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48D9">
      <w:pPr>
        <w:spacing w:line="360" w:lineRule="auto"/>
        <w:jc w:val="center"/>
        <w:rPr>
          <w:rFonts w:ascii="方正小标宋简体" w:hAnsi="方正小标宋简体" w:eastAsia="方正小标宋简体" w:cs="方正小标宋简体"/>
          <w:color w:val="auto"/>
          <w:sz w:val="72"/>
          <w:szCs w:val="72"/>
          <w:highlight w:val="none"/>
        </w:rPr>
      </w:pPr>
      <w:r>
        <w:rPr>
          <w:rFonts w:hint="eastAsia" w:ascii="方正小标宋简体" w:hAnsi="宋体" w:eastAsia="方正小标宋简体"/>
          <w:color w:val="auto"/>
          <w:sz w:val="72"/>
          <w:szCs w:val="72"/>
          <w:highlight w:val="none"/>
        </w:rPr>
        <w:t>云之龙咨询集团有限公司</w:t>
      </w:r>
      <w:bookmarkStart w:id="421" w:name="_GoBack"/>
      <w:bookmarkEnd w:id="421"/>
    </w:p>
    <w:p w14:paraId="17F4BE64">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C98624C">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7A0EFF6C">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0AF57651">
      <w:pPr>
        <w:spacing w:line="360" w:lineRule="auto"/>
        <w:rPr>
          <w:rFonts w:hint="eastAsia" w:ascii="仿宋_GB2312" w:hAnsi="宋体" w:eastAsia="仿宋_GB2312"/>
          <w:color w:val="auto"/>
          <w:sz w:val="30"/>
          <w:szCs w:val="72"/>
          <w:highlight w:val="none"/>
        </w:rPr>
      </w:pPr>
    </w:p>
    <w:p w14:paraId="09842193">
      <w:pPr>
        <w:pStyle w:val="44"/>
        <w:rPr>
          <w:rFonts w:hint="eastAsia" w:ascii="仿宋_GB2312" w:hAnsi="宋体" w:eastAsia="仿宋_GB2312"/>
          <w:color w:val="auto"/>
          <w:sz w:val="30"/>
          <w:szCs w:val="72"/>
          <w:highlight w:val="none"/>
        </w:rPr>
      </w:pPr>
    </w:p>
    <w:p w14:paraId="59EE3388">
      <w:pPr>
        <w:pStyle w:val="45"/>
        <w:rPr>
          <w:rFonts w:hint="eastAsia"/>
          <w:color w:val="auto"/>
          <w:highlight w:val="none"/>
          <w:lang w:val="en-US" w:eastAsia="zh-CN"/>
        </w:rPr>
      </w:pPr>
    </w:p>
    <w:p w14:paraId="1FBBE35D">
      <w:pPr>
        <w:pStyle w:val="45"/>
        <w:rPr>
          <w:rFonts w:hint="eastAsia"/>
          <w:color w:val="auto"/>
          <w:highlight w:val="none"/>
          <w:lang w:val="en-US" w:eastAsia="zh-CN"/>
        </w:rPr>
      </w:pPr>
    </w:p>
    <w:p w14:paraId="43F3860C">
      <w:pPr>
        <w:pStyle w:val="45"/>
        <w:rPr>
          <w:rFonts w:hint="eastAsia"/>
          <w:color w:val="auto"/>
          <w:highlight w:val="none"/>
        </w:rPr>
      </w:pPr>
      <w:r>
        <w:rPr>
          <w:rFonts w:hint="eastAsia"/>
          <w:color w:val="auto"/>
          <w:highlight w:val="none"/>
          <w:lang w:val="en-US" w:eastAsia="zh-CN"/>
        </w:rPr>
        <w:t xml:space="preserve">              </w:t>
      </w:r>
    </w:p>
    <w:p w14:paraId="2061B725">
      <w:pPr>
        <w:spacing w:line="360" w:lineRule="auto"/>
        <w:ind w:left="2699" w:leftChars="568" w:hanging="1506" w:hangingChars="5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港口区和平小区九年一贯制学校(含幼儿园)项目(二期)--田径场改造项目</w:t>
      </w:r>
    </w:p>
    <w:p w14:paraId="199061BD">
      <w:pPr>
        <w:pStyle w:val="230"/>
        <w:spacing w:line="360" w:lineRule="auto"/>
        <w:ind w:firstLine="1205"/>
        <w:rPr>
          <w:rFonts w:hint="eastAsia" w:ascii="仿宋_GB2312" w:hAnsi="宋体" w:eastAsia="仿宋_GB2312" w:cs="Courier New"/>
          <w:b/>
          <w:bCs/>
          <w:color w:val="auto"/>
          <w:sz w:val="30"/>
          <w:szCs w:val="30"/>
          <w:highlight w:val="none"/>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：FCZC2026-C2-020020-YZLZ</w:t>
      </w:r>
    </w:p>
    <w:p w14:paraId="558B19A4">
      <w:pPr>
        <w:pStyle w:val="230"/>
        <w:spacing w:line="360" w:lineRule="auto"/>
        <w:ind w:firstLine="120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防城港市港口区教育局</w:t>
      </w:r>
      <w:r>
        <w:rPr>
          <w:rFonts w:hint="eastAsia" w:ascii="仿宋_GB2312" w:hAnsi="宋体" w:eastAsia="仿宋_GB2312"/>
          <w:b/>
          <w:bCs/>
          <w:color w:val="auto"/>
          <w:sz w:val="30"/>
          <w:szCs w:val="30"/>
          <w:highlight w:val="none"/>
        </w:rPr>
        <w:t> </w:t>
      </w:r>
    </w:p>
    <w:p w14:paraId="3EB9AF3E">
      <w:pPr>
        <w:pStyle w:val="230"/>
        <w:spacing w:line="360" w:lineRule="auto"/>
        <w:ind w:firstLine="120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77BF29F6">
      <w:pPr>
        <w:pStyle w:val="230"/>
        <w:spacing w:line="360" w:lineRule="auto"/>
        <w:ind w:firstLine="1125"/>
        <w:rPr>
          <w:rFonts w:hint="eastAsia" w:ascii="仿宋_GB2312" w:hAnsi="宋体" w:eastAsia="仿宋_GB2312"/>
          <w:b/>
          <w:bCs/>
          <w:color w:val="auto"/>
          <w:sz w:val="30"/>
          <w:szCs w:val="30"/>
          <w:highlight w:val="none"/>
        </w:rPr>
      </w:pPr>
    </w:p>
    <w:p w14:paraId="20BAB264">
      <w:pPr>
        <w:pStyle w:val="230"/>
        <w:spacing w:line="360" w:lineRule="auto"/>
        <w:ind w:left="420" w:firstLine="841"/>
        <w:rPr>
          <w:rFonts w:hint="eastAsia" w:hAnsi="宋体" w:cs="宋体"/>
          <w:b/>
          <w:bCs/>
          <w:color w:val="auto"/>
          <w:sz w:val="32"/>
          <w:szCs w:val="32"/>
          <w:highlight w:val="none"/>
        </w:rPr>
      </w:pPr>
      <w:r>
        <w:rPr>
          <w:rFonts w:hint="eastAsia" w:ascii="仿宋_GB2312" w:hAnsi="宋体" w:eastAsia="仿宋_GB2312"/>
          <w:b/>
          <w:bCs/>
          <w:color w:val="auto"/>
          <w:sz w:val="30"/>
          <w:szCs w:val="30"/>
          <w:highlight w:val="none"/>
        </w:rPr>
        <w:t xml:space="preserve">               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p>
    <w:p w14:paraId="631AF628">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1"/>
          <w:cols w:space="1701" w:num="1"/>
          <w:titlePg/>
        </w:sectPr>
      </w:pPr>
    </w:p>
    <w:p w14:paraId="0AD36048">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E4E3D8A">
      <w:pPr>
        <w:spacing w:line="400" w:lineRule="exact"/>
        <w:jc w:val="center"/>
        <w:rPr>
          <w:rFonts w:hint="eastAsia" w:ascii="宋体" w:hAnsi="宋体"/>
          <w:b/>
          <w:color w:val="auto"/>
          <w:sz w:val="44"/>
          <w:szCs w:val="44"/>
          <w:highlight w:val="none"/>
        </w:rPr>
      </w:pPr>
    </w:p>
    <w:p w14:paraId="7EA290C4">
      <w:pPr>
        <w:pStyle w:val="243"/>
        <w:tabs>
          <w:tab w:val="right" w:leader="dot" w:pos="8869"/>
        </w:tabs>
        <w:spacing w:line="360" w:lineRule="auto"/>
        <w:rPr>
          <w:rFonts w:ascii="Calibri" w:hAnsi="Calibri"/>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"_Toc122424244"</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第一章</w:t>
      </w:r>
      <w:r>
        <w:rPr>
          <w:rStyle w:val="263"/>
          <w:b/>
          <w:color w:val="auto"/>
          <w:sz w:val="24"/>
          <w:highlight w:val="none"/>
        </w:rPr>
        <w:t xml:space="preserve"> </w:t>
      </w:r>
      <w:r>
        <w:rPr>
          <w:rStyle w:val="263"/>
          <w:rFonts w:hint="eastAsia"/>
          <w:b/>
          <w:color w:val="auto"/>
          <w:sz w:val="24"/>
          <w:highlight w:val="none"/>
        </w:rPr>
        <w:t>竞争性磋商公告</w:t>
      </w:r>
      <w:r>
        <w:rPr>
          <w:b/>
          <w:color w:val="auto"/>
          <w:sz w:val="24"/>
          <w:highlight w:val="none"/>
        </w:rPr>
        <w:tab/>
      </w:r>
      <w:r>
        <w:rPr>
          <w:rFonts w:hint="eastAsia"/>
          <w:b/>
          <w:color w:val="auto"/>
          <w:sz w:val="24"/>
          <w:highlight w:val="none"/>
          <w:lang w:val="en-US" w:eastAsia="zh-CN"/>
        </w:rPr>
        <w:t>2</w:t>
      </w:r>
      <w:r>
        <w:rPr>
          <w:rStyle w:val="263"/>
          <w:b/>
          <w:color w:val="auto"/>
          <w:sz w:val="24"/>
          <w:highlight w:val="none"/>
        </w:rPr>
        <w:fldChar w:fldCharType="end"/>
      </w:r>
    </w:p>
    <w:p w14:paraId="26079FE5">
      <w:pPr>
        <w:pStyle w:val="243"/>
        <w:tabs>
          <w:tab w:val="right" w:leader="dot" w:pos="8869"/>
        </w:tabs>
        <w:spacing w:line="360" w:lineRule="auto"/>
        <w:rPr>
          <w:rFonts w:ascii="Calibri" w:hAnsi="Calibri"/>
          <w:b/>
          <w:color w:val="auto"/>
          <w:sz w:val="24"/>
          <w:highlight w:val="none"/>
        </w:rPr>
      </w:pP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"_Toc122424245"</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第二章</w:t>
      </w:r>
      <w:r>
        <w:rPr>
          <w:rStyle w:val="263"/>
          <w:b/>
          <w:color w:val="auto"/>
          <w:sz w:val="24"/>
          <w:highlight w:val="none"/>
        </w:rPr>
        <w:t xml:space="preserve"> </w:t>
      </w:r>
      <w:r>
        <w:rPr>
          <w:rStyle w:val="263"/>
          <w:rFonts w:hint="eastAsia"/>
          <w:b/>
          <w:color w:val="auto"/>
          <w:sz w:val="24"/>
          <w:highlight w:val="none"/>
        </w:rPr>
        <w:t>供应商须知</w:t>
      </w:r>
      <w:r>
        <w:rPr>
          <w:b/>
          <w:color w:val="auto"/>
          <w:sz w:val="24"/>
          <w:highlight w:val="none"/>
        </w:rPr>
        <w:tab/>
      </w:r>
      <w:r>
        <w:rPr>
          <w:rFonts w:hint="eastAsia"/>
          <w:b/>
          <w:color w:val="auto"/>
          <w:sz w:val="24"/>
          <w:highlight w:val="none"/>
          <w:lang w:val="en-US" w:eastAsia="zh-CN"/>
        </w:rPr>
        <w:t>5</w:t>
      </w:r>
      <w:r>
        <w:rPr>
          <w:rStyle w:val="263"/>
          <w:b/>
          <w:color w:val="auto"/>
          <w:sz w:val="24"/>
          <w:highlight w:val="none"/>
        </w:rPr>
        <w:fldChar w:fldCharType="end"/>
      </w:r>
    </w:p>
    <w:p w14:paraId="32087FC3">
      <w:pPr>
        <w:pStyle w:val="243"/>
        <w:tabs>
          <w:tab w:val="right" w:leader="dot" w:pos="8869"/>
        </w:tabs>
        <w:spacing w:line="360" w:lineRule="auto"/>
        <w:rPr>
          <w:rFonts w:ascii="Calibri" w:hAnsi="Calibri"/>
          <w:b/>
          <w:color w:val="auto"/>
          <w:sz w:val="24"/>
          <w:highlight w:val="none"/>
        </w:rPr>
      </w:pP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"_Toc122424246"</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第三章</w:t>
      </w:r>
      <w:r>
        <w:rPr>
          <w:rStyle w:val="263"/>
          <w:b/>
          <w:color w:val="auto"/>
          <w:sz w:val="24"/>
          <w:highlight w:val="none"/>
        </w:rPr>
        <w:t xml:space="preserve"> </w:t>
      </w:r>
      <w:r>
        <w:rPr>
          <w:rStyle w:val="263"/>
          <w:rFonts w:hint="eastAsia"/>
          <w:b/>
          <w:color w:val="auto"/>
          <w:sz w:val="24"/>
          <w:highlight w:val="none"/>
        </w:rPr>
        <w:t>采购需求</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_Toc122424246 \h </w:instrText>
      </w:r>
      <w:r>
        <w:rPr>
          <w:b/>
          <w:color w:val="auto"/>
          <w:sz w:val="24"/>
          <w:highlight w:val="none"/>
        </w:rPr>
        <w:fldChar w:fldCharType="separate"/>
      </w:r>
      <w:r>
        <w:rPr>
          <w:b/>
          <w:color w:val="auto"/>
          <w:sz w:val="24"/>
          <w:highlight w:val="none"/>
        </w:rPr>
        <w:t>2</w:t>
      </w:r>
      <w:r>
        <w:rPr>
          <w:rFonts w:hint="eastAsia"/>
          <w:b/>
          <w:color w:val="auto"/>
          <w:sz w:val="24"/>
          <w:highlight w:val="none"/>
          <w:lang w:val="en-US" w:eastAsia="zh-CN"/>
        </w:rPr>
        <w:t>0</w:t>
      </w:r>
      <w:r>
        <w:rPr>
          <w:b/>
          <w:color w:val="auto"/>
          <w:sz w:val="24"/>
          <w:highlight w:val="none"/>
        </w:rPr>
        <w:fldChar w:fldCharType="end"/>
      </w:r>
      <w:r>
        <w:rPr>
          <w:rStyle w:val="263"/>
          <w:b/>
          <w:color w:val="auto"/>
          <w:sz w:val="24"/>
          <w:highlight w:val="none"/>
        </w:rPr>
        <w:fldChar w:fldCharType="end"/>
      </w:r>
    </w:p>
    <w:p w14:paraId="400E1ED4">
      <w:pPr>
        <w:pStyle w:val="243"/>
        <w:tabs>
          <w:tab w:val="right" w:leader="dot" w:pos="8869"/>
        </w:tabs>
        <w:spacing w:line="360" w:lineRule="auto"/>
        <w:rPr>
          <w:rFonts w:hint="default" w:ascii="Calibri" w:hAnsi="Calibri" w:eastAsia="宋体"/>
          <w:b/>
          <w:color w:val="auto"/>
          <w:sz w:val="24"/>
          <w:highlight w:val="none"/>
          <w:lang w:val="en-US" w:eastAsia="zh-CN"/>
        </w:rPr>
      </w:pP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"_Toc122424247"</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第四章</w:t>
      </w:r>
      <w:r>
        <w:rPr>
          <w:rStyle w:val="263"/>
          <w:b/>
          <w:color w:val="auto"/>
          <w:sz w:val="24"/>
          <w:highlight w:val="none"/>
        </w:rPr>
        <w:t xml:space="preserve"> </w:t>
      </w:r>
      <w:r>
        <w:rPr>
          <w:rStyle w:val="263"/>
          <w:rFonts w:hint="eastAsia"/>
          <w:b/>
          <w:color w:val="auto"/>
          <w:sz w:val="24"/>
          <w:highlight w:val="none"/>
        </w:rPr>
        <w:t>评审程序、评审方法和评审标准</w:t>
      </w:r>
      <w:r>
        <w:rPr>
          <w:b/>
          <w:color w:val="auto"/>
          <w:sz w:val="24"/>
          <w:highlight w:val="none"/>
        </w:rPr>
        <w:tab/>
      </w:r>
      <w:r>
        <w:rPr>
          <w:rFonts w:hint="eastAsia"/>
          <w:b/>
          <w:color w:val="auto"/>
          <w:sz w:val="24"/>
          <w:highlight w:val="none"/>
        </w:rPr>
        <w:t>2</w:t>
      </w:r>
      <w:r>
        <w:rPr>
          <w:rStyle w:val="263"/>
          <w:b/>
          <w:color w:val="auto"/>
          <w:sz w:val="24"/>
          <w:highlight w:val="none"/>
        </w:rPr>
        <w:fldChar w:fldCharType="end"/>
      </w:r>
      <w:r>
        <w:rPr>
          <w:rStyle w:val="263"/>
          <w:rFonts w:hint="eastAsia"/>
          <w:b/>
          <w:color w:val="auto"/>
          <w:sz w:val="24"/>
          <w:highlight w:val="none"/>
          <w:lang w:val="en-US" w:eastAsia="zh-CN"/>
        </w:rPr>
        <w:t>2</w:t>
      </w:r>
    </w:p>
    <w:p w14:paraId="0776F18C">
      <w:pPr>
        <w:pStyle w:val="243"/>
        <w:tabs>
          <w:tab w:val="right" w:leader="dot" w:pos="8869"/>
        </w:tabs>
        <w:spacing w:line="360" w:lineRule="auto"/>
        <w:rPr>
          <w:rFonts w:hint="eastAsia" w:ascii="Calibri" w:hAnsi="Calibri" w:eastAsia="宋体"/>
          <w:b/>
          <w:color w:val="auto"/>
          <w:sz w:val="24"/>
          <w:highlight w:val="none"/>
          <w:lang w:eastAsia="zh-CN"/>
        </w:rPr>
      </w:pP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"_Toc122424248"</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第五章</w:t>
      </w:r>
      <w:r>
        <w:rPr>
          <w:rStyle w:val="263"/>
          <w:b/>
          <w:color w:val="auto"/>
          <w:sz w:val="24"/>
          <w:highlight w:val="none"/>
        </w:rPr>
        <w:t xml:space="preserve"> </w:t>
      </w:r>
      <w:r>
        <w:rPr>
          <w:rStyle w:val="263"/>
          <w:rFonts w:hint="eastAsia"/>
          <w:b/>
          <w:color w:val="auto"/>
          <w:sz w:val="24"/>
          <w:highlight w:val="none"/>
        </w:rPr>
        <w:t>工程量清单及图纸</w:t>
      </w:r>
      <w:r>
        <w:rPr>
          <w:b/>
          <w:color w:val="auto"/>
          <w:sz w:val="24"/>
          <w:highlight w:val="none"/>
        </w:rPr>
        <w:tab/>
      </w:r>
      <w:r>
        <w:rPr>
          <w:rFonts w:hint="eastAsia"/>
          <w:b/>
          <w:color w:val="auto"/>
          <w:sz w:val="24"/>
          <w:highlight w:val="none"/>
        </w:rPr>
        <w:t>3</w:t>
      </w:r>
      <w:r>
        <w:rPr>
          <w:rStyle w:val="263"/>
          <w:b/>
          <w:color w:val="auto"/>
          <w:sz w:val="24"/>
          <w:highlight w:val="none"/>
        </w:rPr>
        <w:fldChar w:fldCharType="end"/>
      </w:r>
      <w:r>
        <w:rPr>
          <w:rStyle w:val="263"/>
          <w:rFonts w:hint="eastAsia"/>
          <w:b/>
          <w:color w:val="auto"/>
          <w:sz w:val="24"/>
          <w:highlight w:val="none"/>
          <w:lang w:val="en-US" w:eastAsia="zh-CN"/>
        </w:rPr>
        <w:t>4</w:t>
      </w:r>
    </w:p>
    <w:p w14:paraId="21F23C44">
      <w:pPr>
        <w:pStyle w:val="243"/>
        <w:tabs>
          <w:tab w:val="right" w:leader="dot" w:pos="8869"/>
        </w:tabs>
        <w:spacing w:line="360" w:lineRule="auto"/>
        <w:rPr>
          <w:rFonts w:hint="eastAsia" w:ascii="Calibri" w:hAnsi="Calibri" w:eastAsia="宋体"/>
          <w:b/>
          <w:color w:val="auto"/>
          <w:sz w:val="24"/>
          <w:highlight w:val="none"/>
          <w:lang w:val="en-US" w:eastAsia="zh-CN"/>
        </w:rPr>
      </w:pP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"_Toc122424265"</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第六章</w:t>
      </w:r>
      <w:r>
        <w:rPr>
          <w:rStyle w:val="263"/>
          <w:b/>
          <w:color w:val="auto"/>
          <w:sz w:val="24"/>
          <w:highlight w:val="none"/>
        </w:rPr>
        <w:t xml:space="preserve"> </w:t>
      </w:r>
      <w:r>
        <w:rPr>
          <w:rStyle w:val="263"/>
          <w:rFonts w:hint="eastAsia"/>
          <w:b/>
          <w:color w:val="auto"/>
          <w:sz w:val="24"/>
          <w:highlight w:val="none"/>
        </w:rPr>
        <w:t>响应文件格式</w:t>
      </w:r>
      <w:r>
        <w:rPr>
          <w:b/>
          <w:color w:val="auto"/>
          <w:sz w:val="24"/>
          <w:highlight w:val="none"/>
        </w:rPr>
        <w:tab/>
      </w:r>
      <w:r>
        <w:rPr>
          <w:rFonts w:hint="eastAsia"/>
          <w:b/>
          <w:color w:val="auto"/>
          <w:sz w:val="24"/>
          <w:highlight w:val="none"/>
          <w:lang w:val="en-US" w:eastAsia="zh-CN"/>
        </w:rPr>
        <w:t>3</w:t>
      </w:r>
      <w:r>
        <w:rPr>
          <w:rStyle w:val="263"/>
          <w:b/>
          <w:color w:val="auto"/>
          <w:sz w:val="24"/>
          <w:highlight w:val="none"/>
        </w:rPr>
        <w:fldChar w:fldCharType="end"/>
      </w:r>
      <w:r>
        <w:rPr>
          <w:rStyle w:val="263"/>
          <w:rFonts w:hint="eastAsia"/>
          <w:b/>
          <w:color w:val="auto"/>
          <w:sz w:val="24"/>
          <w:highlight w:val="none"/>
          <w:lang w:val="en-US" w:eastAsia="zh-CN"/>
        </w:rPr>
        <w:t>8</w:t>
      </w:r>
    </w:p>
    <w:p w14:paraId="6911BC5F">
      <w:pPr>
        <w:pStyle w:val="243"/>
        <w:tabs>
          <w:tab w:val="right" w:leader="dot" w:pos="8869"/>
        </w:tabs>
        <w:spacing w:line="360" w:lineRule="auto"/>
        <w:rPr>
          <w:rFonts w:hint="eastAsia" w:ascii="Calibri" w:hAnsi="Calibri" w:eastAsia="宋体"/>
          <w:b/>
          <w:color w:val="auto"/>
          <w:sz w:val="24"/>
          <w:highlight w:val="none"/>
          <w:lang w:eastAsia="zh-CN"/>
        </w:rPr>
      </w:pPr>
      <w:r>
        <w:rPr>
          <w:rStyle w:val="263"/>
          <w:b/>
          <w:color w:val="auto"/>
          <w:sz w:val="24"/>
          <w:highlight w:val="none"/>
        </w:rPr>
        <w:fldChar w:fldCharType="begin"/>
      </w:r>
      <w:r>
        <w:rPr>
          <w:rStyle w:val="263"/>
          <w:b/>
          <w:color w:val="auto"/>
          <w:sz w:val="24"/>
          <w:highlight w:val="none"/>
        </w:rPr>
        <w:instrText xml:space="preserve"> </w:instrText>
      </w:r>
      <w:r>
        <w:rPr>
          <w:b/>
          <w:color w:val="auto"/>
          <w:sz w:val="24"/>
          <w:highlight w:val="none"/>
        </w:rPr>
        <w:instrText xml:space="preserve">HYPERLINK \l "_Toc122424267"</w:instrText>
      </w:r>
      <w:r>
        <w:rPr>
          <w:rStyle w:val="263"/>
          <w:b/>
          <w:color w:val="auto"/>
          <w:sz w:val="24"/>
          <w:highlight w:val="none"/>
        </w:rPr>
        <w:instrText xml:space="preserve"> </w:instrText>
      </w:r>
      <w:r>
        <w:rPr>
          <w:rStyle w:val="263"/>
          <w:b/>
          <w:color w:val="auto"/>
          <w:sz w:val="24"/>
          <w:highlight w:val="none"/>
        </w:rPr>
        <w:fldChar w:fldCharType="separate"/>
      </w:r>
      <w:r>
        <w:rPr>
          <w:rStyle w:val="263"/>
          <w:rFonts w:hint="eastAsia"/>
          <w:b/>
          <w:color w:val="auto"/>
          <w:sz w:val="24"/>
          <w:highlight w:val="none"/>
        </w:rPr>
        <w:t>第七章</w:t>
      </w:r>
      <w:r>
        <w:rPr>
          <w:rStyle w:val="263"/>
          <w:b/>
          <w:color w:val="auto"/>
          <w:sz w:val="24"/>
          <w:highlight w:val="none"/>
        </w:rPr>
        <w:t xml:space="preserve"> </w:t>
      </w:r>
      <w:r>
        <w:rPr>
          <w:rStyle w:val="263"/>
          <w:rFonts w:hint="eastAsia"/>
          <w:b/>
          <w:color w:val="auto"/>
          <w:sz w:val="24"/>
          <w:highlight w:val="none"/>
        </w:rPr>
        <w:t>合同文本</w:t>
      </w:r>
      <w:r>
        <w:rPr>
          <w:b/>
          <w:color w:val="auto"/>
          <w:sz w:val="24"/>
          <w:highlight w:val="none"/>
        </w:rPr>
        <w:tab/>
      </w:r>
      <w:r>
        <w:rPr>
          <w:rFonts w:hint="eastAsia"/>
          <w:b/>
          <w:color w:val="auto"/>
          <w:sz w:val="24"/>
          <w:highlight w:val="none"/>
        </w:rPr>
        <w:t>7</w:t>
      </w:r>
      <w:r>
        <w:rPr>
          <w:rStyle w:val="263"/>
          <w:b/>
          <w:color w:val="auto"/>
          <w:sz w:val="24"/>
          <w:highlight w:val="none"/>
        </w:rPr>
        <w:fldChar w:fldCharType="end"/>
      </w:r>
      <w:r>
        <w:rPr>
          <w:rStyle w:val="263"/>
          <w:rFonts w:hint="eastAsia"/>
          <w:b/>
          <w:color w:val="auto"/>
          <w:sz w:val="24"/>
          <w:highlight w:val="none"/>
          <w:lang w:val="en-US" w:eastAsia="zh-CN"/>
        </w:rPr>
        <w:t>5</w:t>
      </w:r>
    </w:p>
    <w:p w14:paraId="124BF7FB">
      <w:pPr>
        <w:pStyle w:val="243"/>
        <w:tabs>
          <w:tab w:val="right" w:leader="dot" w:pos="8869"/>
        </w:tabs>
        <w:spacing w:line="360" w:lineRule="auto"/>
        <w:rPr>
          <w:rFonts w:hint="eastAsia" w:ascii="宋体" w:hAnsi="宋体"/>
          <w:b/>
          <w:color w:val="auto"/>
          <w:sz w:val="24"/>
          <w:highlight w:val="none"/>
        </w:rPr>
      </w:pPr>
      <w:r>
        <w:rPr>
          <w:rFonts w:ascii="宋体" w:hAnsi="宋体"/>
          <w:b/>
          <w:color w:val="auto"/>
          <w:sz w:val="24"/>
          <w:highlight w:val="none"/>
        </w:rPr>
        <w:fldChar w:fldCharType="end"/>
      </w:r>
    </w:p>
    <w:p w14:paraId="0024E16C">
      <w:pPr>
        <w:spacing w:line="360" w:lineRule="auto"/>
        <w:jc w:val="left"/>
        <w:rPr>
          <w:rFonts w:hint="eastAsia" w:ascii="宋体" w:hAnsi="宋体"/>
          <w:b/>
          <w:color w:val="auto"/>
          <w:sz w:val="32"/>
          <w:szCs w:val="32"/>
          <w:highlight w:val="none"/>
        </w:rPr>
      </w:pPr>
    </w:p>
    <w:p w14:paraId="28A39B39">
      <w:pPr>
        <w:spacing w:line="400" w:lineRule="exact"/>
        <w:jc w:val="center"/>
        <w:rPr>
          <w:rFonts w:hint="eastAsia" w:ascii="宋体" w:hAnsi="宋体"/>
          <w:b/>
          <w:color w:val="auto"/>
          <w:sz w:val="32"/>
          <w:szCs w:val="32"/>
          <w:highlight w:val="none"/>
        </w:rPr>
      </w:pPr>
    </w:p>
    <w:p w14:paraId="2A93221C">
      <w:pPr>
        <w:spacing w:line="400" w:lineRule="exact"/>
        <w:jc w:val="center"/>
        <w:rPr>
          <w:rFonts w:hint="eastAsia" w:ascii="宋体" w:hAnsi="宋体"/>
          <w:b/>
          <w:color w:val="auto"/>
          <w:sz w:val="32"/>
          <w:szCs w:val="32"/>
          <w:highlight w:val="none"/>
        </w:rPr>
      </w:pPr>
    </w:p>
    <w:p w14:paraId="53BCB4A9">
      <w:pPr>
        <w:spacing w:line="400" w:lineRule="exact"/>
        <w:jc w:val="center"/>
        <w:rPr>
          <w:rFonts w:hint="eastAsia" w:ascii="宋体" w:hAnsi="宋体"/>
          <w:b/>
          <w:color w:val="auto"/>
          <w:sz w:val="32"/>
          <w:szCs w:val="32"/>
          <w:highlight w:val="none"/>
        </w:rPr>
      </w:pPr>
    </w:p>
    <w:p w14:paraId="403D27EE">
      <w:pPr>
        <w:spacing w:line="400" w:lineRule="exact"/>
        <w:jc w:val="center"/>
        <w:rPr>
          <w:rFonts w:hint="eastAsia" w:ascii="宋体" w:hAnsi="宋体"/>
          <w:b/>
          <w:color w:val="auto"/>
          <w:sz w:val="32"/>
          <w:szCs w:val="32"/>
          <w:highlight w:val="none"/>
        </w:rPr>
      </w:pPr>
    </w:p>
    <w:p w14:paraId="07BA05C7">
      <w:pPr>
        <w:spacing w:line="400" w:lineRule="exact"/>
        <w:rPr>
          <w:rFonts w:hint="eastAsia"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1701" w:num="1"/>
        </w:sectPr>
      </w:pPr>
    </w:p>
    <w:p w14:paraId="738EE6D8">
      <w:pPr>
        <w:pStyle w:val="190"/>
        <w:spacing w:after="340" w:line="360" w:lineRule="auto"/>
        <w:jc w:val="center"/>
        <w:rPr>
          <w:color w:val="auto"/>
          <w:highlight w:val="none"/>
        </w:rPr>
      </w:pPr>
      <w:bookmarkStart w:id="0" w:name="_Toc122424244"/>
      <w:r>
        <w:rPr>
          <w:rFonts w:hint="eastAsia"/>
          <w:color w:val="auto"/>
          <w:highlight w:val="none"/>
        </w:rPr>
        <w:t>第一章 竞争性磋商公告</w:t>
      </w:r>
      <w:bookmarkEnd w:id="0"/>
    </w:p>
    <w:p w14:paraId="78E1E097">
      <w:pPr>
        <w:spacing w:line="5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云之龙咨询集团有限公司关于</w:t>
      </w:r>
      <w:r>
        <w:rPr>
          <w:rFonts w:hint="eastAsia" w:ascii="宋体" w:hAnsi="宋体"/>
          <w:b/>
          <w:bCs/>
          <w:color w:val="auto"/>
          <w:sz w:val="32"/>
          <w:szCs w:val="32"/>
          <w:highlight w:val="none"/>
          <w:lang w:eastAsia="zh-CN"/>
        </w:rPr>
        <w:t>港口区和平小区九年一贯制学校(含幼儿园)项目(二期)--田径场改造项目</w:t>
      </w:r>
      <w:r>
        <w:rPr>
          <w:rFonts w:hint="eastAsia" w:ascii="宋体" w:hAnsi="宋体"/>
          <w:b/>
          <w:bCs/>
          <w:color w:val="auto"/>
          <w:sz w:val="32"/>
          <w:szCs w:val="32"/>
          <w:highlight w:val="none"/>
        </w:rPr>
        <w:t>的竞争性磋商公告</w:t>
      </w:r>
    </w:p>
    <w:p w14:paraId="37EE9703">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olor w:val="auto"/>
          <w:szCs w:val="21"/>
          <w:highlight w:val="none"/>
        </w:rPr>
      </w:pPr>
    </w:p>
    <w:p w14:paraId="79E8FF76">
      <w:pPr>
        <w:keepNext w:val="0"/>
        <w:keepLines w:val="0"/>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082909A8">
      <w:pPr>
        <w:keepNext w:val="0"/>
        <w:keepLines w:val="0"/>
        <w:pageBreakBefore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r>
        <w:rPr>
          <w:rFonts w:hint="eastAsia" w:ascii="宋体" w:hAnsi="宋体"/>
          <w:color w:val="auto"/>
          <w:szCs w:val="21"/>
          <w:highlight w:val="none"/>
          <w:lang w:eastAsia="zh-CN"/>
        </w:rPr>
        <w:t>港口区和平小区九年一贯制学校(含幼儿园)项目(二期)--田径场改造项目</w:t>
      </w:r>
      <w:r>
        <w:rPr>
          <w:rFonts w:hint="eastAsia" w:ascii="宋体" w:hAnsi="宋体"/>
          <w:color w:val="auto"/>
          <w:szCs w:val="21"/>
          <w:highlight w:val="none"/>
        </w:rPr>
        <w:t>的潜在供应商应在广西政府采购云平台获取（下载）竞争性磋商文件，并于</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日9时30分（北京时间）前提交（上传）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23E2999">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olor w:val="auto"/>
          <w:szCs w:val="21"/>
          <w:highlight w:val="none"/>
        </w:rPr>
      </w:pPr>
    </w:p>
    <w:p w14:paraId="28792996">
      <w:pPr>
        <w:keepNext w:val="0"/>
        <w:keepLines w:val="0"/>
        <w:pageBreakBefore w:val="0"/>
        <w:kinsoku/>
        <w:wordWrap/>
        <w:overflowPunct/>
        <w:topLinePunct w:val="0"/>
        <w:autoSpaceDE/>
        <w:autoSpaceDN/>
        <w:bidi w:val="0"/>
        <w:adjustRightInd/>
        <w:snapToGrid/>
        <w:spacing w:line="380" w:lineRule="exact"/>
        <w:ind w:firstLine="354"/>
        <w:textAlignment w:val="auto"/>
        <w:rPr>
          <w:rFonts w:ascii="黑体" w:hAnsi="黑体" w:eastAsia="黑体"/>
          <w:b/>
          <w:color w:val="auto"/>
          <w:sz w:val="24"/>
          <w:highlight w:val="none"/>
        </w:rPr>
      </w:pPr>
      <w:bookmarkStart w:id="2" w:name="_Toc28359012"/>
      <w:bookmarkStart w:id="3" w:name="_Toc44229878"/>
      <w:bookmarkStart w:id="4" w:name="_Toc28359089"/>
      <w:bookmarkStart w:id="5" w:name="_Toc71365905"/>
      <w:bookmarkStart w:id="6" w:name="_Toc35393798"/>
      <w:bookmarkStart w:id="7" w:name="_Toc35393629"/>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555660F5">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项目编号：FCZC2026-C2-020020-YZLZ</w:t>
      </w:r>
    </w:p>
    <w:p w14:paraId="1AC6A48F">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港口区和平小区九年一贯制学校(含幼儿园)项目(二期)--田径场改造项目</w:t>
      </w:r>
    </w:p>
    <w:p w14:paraId="4B141967">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r>
        <w:rPr>
          <w:rFonts w:hint="eastAsia" w:ascii="宋体" w:hAnsi="宋体"/>
          <w:color w:val="auto"/>
          <w:szCs w:val="21"/>
          <w:highlight w:val="none"/>
        </w:rPr>
        <w:t>采购方式：竞争性磋商</w:t>
      </w:r>
    </w:p>
    <w:p w14:paraId="596C40A0">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u w:val="single"/>
          <w:lang w:val="en-US" w:eastAsia="zh-CN"/>
        </w:rPr>
      </w:pPr>
      <w:r>
        <w:rPr>
          <w:rFonts w:hint="eastAsia" w:ascii="宋体" w:hAnsi="宋体"/>
          <w:color w:val="auto"/>
          <w:szCs w:val="21"/>
          <w:highlight w:val="none"/>
        </w:rPr>
        <w:t>预算金额：</w:t>
      </w:r>
      <w:r>
        <w:rPr>
          <w:rFonts w:hint="eastAsia" w:ascii="宋体" w:hAnsi="宋体" w:eastAsia="宋体" w:cs="Times New Roman"/>
          <w:color w:val="auto"/>
          <w:szCs w:val="21"/>
          <w:highlight w:val="none"/>
          <w:lang w:val="en-US" w:eastAsia="zh-CN"/>
        </w:rPr>
        <w:t>人</w:t>
      </w:r>
      <w:r>
        <w:rPr>
          <w:rFonts w:hint="eastAsia" w:ascii="宋体" w:hAnsi="宋体"/>
          <w:color w:val="auto"/>
          <w:szCs w:val="21"/>
          <w:highlight w:val="none"/>
        </w:rPr>
        <w:t>民币</w:t>
      </w:r>
      <w:r>
        <w:rPr>
          <w:rFonts w:hint="eastAsia" w:ascii="宋体" w:hAnsi="宋体"/>
          <w:color w:val="auto"/>
          <w:szCs w:val="21"/>
          <w:highlight w:val="none"/>
          <w:u w:val="single"/>
          <w:lang w:val="en-US" w:eastAsia="zh-CN"/>
        </w:rPr>
        <w:t>捌拾肆万伍仟柒佰肆拾伍元捌角捌分</w:t>
      </w:r>
      <w:r>
        <w:rPr>
          <w:rFonts w:hint="eastAsia" w:ascii="宋体" w:hAnsi="宋体"/>
          <w:color w:val="auto"/>
          <w:szCs w:val="21"/>
          <w:highlight w:val="none"/>
        </w:rPr>
        <w:t>（¥</w:t>
      </w:r>
      <w:r>
        <w:rPr>
          <w:rFonts w:hint="eastAsia" w:ascii="宋体" w:hAnsi="宋体"/>
          <w:color w:val="auto"/>
          <w:szCs w:val="21"/>
          <w:highlight w:val="none"/>
          <w:u w:val="single"/>
          <w:lang w:val="en-US" w:eastAsia="zh-CN"/>
        </w:rPr>
        <w:t>845,745.88</w:t>
      </w:r>
      <w:r>
        <w:rPr>
          <w:rFonts w:hint="eastAsia" w:ascii="宋体" w:hAnsi="宋体"/>
          <w:color w:val="auto"/>
          <w:szCs w:val="21"/>
          <w:highlight w:val="none"/>
        </w:rPr>
        <w:t>）</w:t>
      </w:r>
    </w:p>
    <w:p w14:paraId="2D4900B9">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eastAsia="宋体" w:cs="Times New Roman"/>
          <w:color w:val="auto"/>
          <w:szCs w:val="21"/>
          <w:highlight w:val="none"/>
          <w:lang w:val="en-US" w:eastAsia="zh-CN"/>
        </w:rPr>
        <w:t>人</w:t>
      </w:r>
      <w:r>
        <w:rPr>
          <w:rFonts w:hint="eastAsia" w:ascii="宋体" w:hAnsi="宋体"/>
          <w:color w:val="auto"/>
          <w:szCs w:val="21"/>
          <w:highlight w:val="none"/>
        </w:rPr>
        <w:t>民币</w:t>
      </w:r>
      <w:r>
        <w:rPr>
          <w:rFonts w:hint="eastAsia" w:ascii="宋体" w:hAnsi="宋体"/>
          <w:color w:val="auto"/>
          <w:szCs w:val="21"/>
          <w:highlight w:val="none"/>
          <w:u w:val="single"/>
          <w:lang w:val="en-US" w:eastAsia="zh-CN"/>
        </w:rPr>
        <w:t>捌拾肆万伍仟柒佰肆拾伍元捌角捌分</w:t>
      </w:r>
      <w:r>
        <w:rPr>
          <w:rFonts w:hint="eastAsia" w:ascii="宋体" w:hAnsi="宋体"/>
          <w:color w:val="auto"/>
          <w:szCs w:val="21"/>
          <w:highlight w:val="none"/>
        </w:rPr>
        <w:t>（¥</w:t>
      </w:r>
      <w:r>
        <w:rPr>
          <w:rFonts w:hint="eastAsia" w:ascii="宋体" w:hAnsi="宋体"/>
          <w:color w:val="auto"/>
          <w:szCs w:val="21"/>
          <w:highlight w:val="none"/>
          <w:u w:val="single"/>
          <w:lang w:val="en-US" w:eastAsia="zh-CN"/>
        </w:rPr>
        <w:t>845,745.88</w:t>
      </w:r>
      <w:r>
        <w:rPr>
          <w:rFonts w:hint="eastAsia" w:ascii="宋体" w:hAnsi="宋体"/>
          <w:color w:val="auto"/>
          <w:szCs w:val="21"/>
          <w:highlight w:val="none"/>
        </w:rPr>
        <w:t>）</w:t>
      </w:r>
    </w:p>
    <w:p w14:paraId="27B01AA5">
      <w:pPr>
        <w:keepNext w:val="0"/>
        <w:keepLines w:val="0"/>
        <w:pageBreakBefore w:val="0"/>
        <w:numPr>
          <w:ilvl w:val="0"/>
          <w:numId w:val="0"/>
        </w:numPr>
        <w:kinsoku/>
        <w:wordWrap/>
        <w:overflowPunct/>
        <w:topLinePunct w:val="0"/>
        <w:autoSpaceDE/>
        <w:autoSpaceDN/>
        <w:bidi w:val="0"/>
        <w:adjustRightInd/>
        <w:snapToGrid/>
        <w:spacing w:line="380" w:lineRule="exact"/>
        <w:ind w:firstLine="420"/>
        <w:textAlignment w:val="auto"/>
        <w:rPr>
          <w:color w:val="auto"/>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港口区和平小区九年一贯制学校(含幼儿园)项目（二期）--田径场改造项目，建设改造内容包括田径场人工草坪、固定足球场门架、半场足球场门架及足球场划线</w:t>
      </w:r>
      <w:r>
        <w:rPr>
          <w:rFonts w:hint="eastAsia"/>
          <w:color w:val="auto"/>
          <w:highlight w:val="none"/>
          <w:lang w:val="en-US" w:eastAsia="zh-CN"/>
        </w:rPr>
        <w:t>等</w:t>
      </w:r>
      <w:r>
        <w:rPr>
          <w:rFonts w:hint="eastAsia" w:ascii="宋体" w:hAnsi="宋体"/>
          <w:color w:val="auto"/>
          <w:szCs w:val="21"/>
          <w:highlight w:val="none"/>
          <w:lang w:val="en-US" w:eastAsia="zh-CN"/>
        </w:rPr>
        <w:t>，</w:t>
      </w:r>
      <w:r>
        <w:rPr>
          <w:rFonts w:hint="eastAsia"/>
          <w:color w:val="auto"/>
          <w:highlight w:val="none"/>
          <w:lang w:val="en-US" w:eastAsia="zh-CN"/>
        </w:rPr>
        <w:t>具体内容详见供应商在广西政府采购云平台获取的竞争性磋商文件（含</w:t>
      </w:r>
      <w:r>
        <w:rPr>
          <w:rFonts w:hint="eastAsia"/>
          <w:color w:val="auto"/>
          <w:highlight w:val="none"/>
        </w:rPr>
        <w:t>施工图纸、工程量清单、招标控制价</w:t>
      </w:r>
      <w:r>
        <w:rPr>
          <w:rFonts w:hint="eastAsia"/>
          <w:color w:val="auto"/>
          <w:highlight w:val="none"/>
          <w:lang w:val="en-US" w:eastAsia="zh-CN"/>
        </w:rPr>
        <w:t>）。</w:t>
      </w:r>
    </w:p>
    <w:p w14:paraId="1162D184">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60日历天</w:t>
      </w:r>
      <w:r>
        <w:rPr>
          <w:rFonts w:hint="eastAsia" w:ascii="宋体" w:hAnsi="宋体"/>
          <w:color w:val="auto"/>
          <w:szCs w:val="21"/>
          <w:highlight w:val="none"/>
        </w:rPr>
        <w:t>。</w:t>
      </w:r>
    </w:p>
    <w:p w14:paraId="7BF60D70">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r>
        <w:rPr>
          <w:rFonts w:hint="eastAsia" w:ascii="宋体" w:hAnsi="宋体"/>
          <w:color w:val="auto"/>
          <w:szCs w:val="21"/>
          <w:highlight w:val="none"/>
        </w:rPr>
        <w:t>本项目不接受联合体竞标。</w:t>
      </w:r>
    </w:p>
    <w:p w14:paraId="3036C94B">
      <w:pPr>
        <w:keepNext w:val="0"/>
        <w:keepLines w:val="0"/>
        <w:pageBreakBefore w:val="0"/>
        <w:numPr>
          <w:ilvl w:val="0"/>
          <w:numId w:val="1"/>
        </w:numPr>
        <w:kinsoku/>
        <w:wordWrap/>
        <w:overflowPunct/>
        <w:topLinePunct w:val="0"/>
        <w:autoSpaceDE/>
        <w:autoSpaceDN/>
        <w:bidi w:val="0"/>
        <w:adjustRightInd/>
        <w:snapToGrid/>
        <w:spacing w:line="380" w:lineRule="exact"/>
        <w:ind w:firstLine="482"/>
        <w:textAlignment w:val="auto"/>
        <w:rPr>
          <w:rFonts w:hint="eastAsia" w:ascii="黑体" w:hAnsi="黑体" w:eastAsia="黑体"/>
          <w:b/>
          <w:color w:val="auto"/>
          <w:sz w:val="24"/>
          <w:highlight w:val="none"/>
        </w:rPr>
      </w:pPr>
      <w:bookmarkStart w:id="8" w:name="_Toc28359013"/>
      <w:bookmarkStart w:id="9" w:name="_Toc35393799"/>
      <w:bookmarkStart w:id="10" w:name="_Toc35393630"/>
      <w:bookmarkStart w:id="11" w:name="_Toc28359090"/>
      <w:bookmarkStart w:id="12" w:name="_Toc44229879"/>
      <w:bookmarkStart w:id="13" w:name="_Toc71365906"/>
      <w:r>
        <w:rPr>
          <w:rFonts w:hint="eastAsia" w:ascii="黑体" w:hAnsi="黑体" w:eastAsia="黑体"/>
          <w:b/>
          <w:color w:val="auto"/>
          <w:sz w:val="24"/>
          <w:highlight w:val="none"/>
        </w:rPr>
        <w:t>申请人的资格条件</w:t>
      </w:r>
      <w:bookmarkEnd w:id="7"/>
      <w:bookmarkEnd w:id="8"/>
      <w:bookmarkEnd w:id="9"/>
      <w:bookmarkEnd w:id="10"/>
      <w:bookmarkEnd w:id="11"/>
      <w:bookmarkEnd w:id="12"/>
    </w:p>
    <w:p w14:paraId="71F86B49">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bookmarkStart w:id="14" w:name="_Toc28359091"/>
      <w:bookmarkStart w:id="15" w:name="_Toc35393631"/>
      <w:bookmarkStart w:id="16" w:name="_Toc44229880"/>
      <w:bookmarkStart w:id="17" w:name="_Toc35393800"/>
      <w:bookmarkStart w:id="18" w:name="_Toc28359014"/>
      <w:r>
        <w:rPr>
          <w:rFonts w:hint="eastAsia" w:ascii="宋体" w:hAnsi="宋体"/>
          <w:color w:val="auto"/>
          <w:szCs w:val="21"/>
          <w:highlight w:val="none"/>
        </w:rPr>
        <w:t>1.满足《中华人民共和国政府采购法》第二十二条规定；</w:t>
      </w:r>
    </w:p>
    <w:p w14:paraId="198E39D8">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2.落实政府采购政策需满足的资格要求：本项目为专门面向</w:t>
      </w:r>
      <w:r>
        <w:rPr>
          <w:rFonts w:hint="eastAsia" w:ascii="宋体" w:hAnsi="宋体"/>
          <w:color w:val="auto"/>
          <w:szCs w:val="21"/>
          <w:highlight w:val="none"/>
          <w:lang w:eastAsia="zh-CN"/>
        </w:rPr>
        <w:t>小微</w:t>
      </w:r>
      <w:r>
        <w:rPr>
          <w:rFonts w:hint="eastAsia" w:ascii="宋体" w:hAnsi="宋体"/>
          <w:color w:val="auto"/>
          <w:szCs w:val="21"/>
          <w:highlight w:val="none"/>
        </w:rPr>
        <w:t>企业</w:t>
      </w:r>
      <w:r>
        <w:rPr>
          <w:rFonts w:hint="eastAsia" w:ascii="宋体" w:hAnsi="宋体"/>
          <w:color w:val="auto"/>
          <w:szCs w:val="21"/>
          <w:highlight w:val="none"/>
        </w:rPr>
        <w:t>预留项目，参加本项目磋商的供应商必须为</w:t>
      </w:r>
      <w:r>
        <w:rPr>
          <w:rFonts w:hint="eastAsia" w:ascii="宋体" w:hAnsi="宋体"/>
          <w:color w:val="auto"/>
          <w:szCs w:val="21"/>
          <w:highlight w:val="none"/>
        </w:rPr>
        <w:t>小</w:t>
      </w:r>
      <w:r>
        <w:rPr>
          <w:rFonts w:hint="eastAsia" w:ascii="宋体" w:hAnsi="宋体"/>
          <w:color w:val="auto"/>
          <w:szCs w:val="21"/>
          <w:highlight w:val="none"/>
          <w:lang w:eastAsia="zh-CN"/>
        </w:rPr>
        <w:t>型、</w:t>
      </w:r>
      <w:r>
        <w:rPr>
          <w:rFonts w:hint="eastAsia" w:ascii="宋体" w:hAnsi="宋体"/>
          <w:color w:val="auto"/>
          <w:szCs w:val="21"/>
          <w:highlight w:val="none"/>
        </w:rPr>
        <w:t>微型</w:t>
      </w:r>
      <w:r>
        <w:rPr>
          <w:rFonts w:hint="eastAsia" w:ascii="宋体" w:hAnsi="宋体"/>
          <w:color w:val="auto"/>
          <w:szCs w:val="21"/>
          <w:highlight w:val="none"/>
        </w:rPr>
        <w:t>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p>
    <w:p w14:paraId="70A053ED">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rPr>
        <w:t>：</w:t>
      </w:r>
      <w:r>
        <w:rPr>
          <w:rFonts w:hint="eastAsia" w:ascii="宋体" w:hAnsi="宋体"/>
          <w:color w:val="auto"/>
          <w:szCs w:val="21"/>
          <w:highlight w:val="none"/>
          <w:lang w:eastAsia="zh-CN"/>
        </w:rPr>
        <w:t>无</w:t>
      </w:r>
    </w:p>
    <w:bookmarkEnd w:id="13"/>
    <w:bookmarkEnd w:id="14"/>
    <w:p w14:paraId="63DCDB90">
      <w:pPr>
        <w:keepNext w:val="0"/>
        <w:keepLines w:val="0"/>
        <w:pageBreakBefore w:val="0"/>
        <w:kinsoku/>
        <w:wordWrap/>
        <w:overflowPunct/>
        <w:topLinePunct w:val="0"/>
        <w:autoSpaceDE/>
        <w:autoSpaceDN/>
        <w:bidi w:val="0"/>
        <w:adjustRightInd/>
        <w:snapToGrid/>
        <w:spacing w:line="380" w:lineRule="exact"/>
        <w:ind w:firstLine="354"/>
        <w:textAlignment w:val="auto"/>
        <w:rPr>
          <w:rFonts w:ascii="黑体" w:hAnsi="黑体" w:eastAsia="黑体"/>
          <w:b/>
          <w:color w:val="auto"/>
          <w:sz w:val="24"/>
          <w:highlight w:val="none"/>
        </w:rPr>
      </w:pPr>
      <w:bookmarkStart w:id="19" w:name="_Toc71365907"/>
      <w:bookmarkStart w:id="20" w:name="_Hlk189841637"/>
      <w:bookmarkStart w:id="21" w:name="OLE_LINK6"/>
      <w:r>
        <w:rPr>
          <w:rFonts w:hint="eastAsia" w:ascii="黑体" w:hAnsi="黑体" w:eastAsia="黑体"/>
          <w:b/>
          <w:color w:val="auto"/>
          <w:sz w:val="24"/>
          <w:highlight w:val="none"/>
        </w:rPr>
        <w:t>三、获取竞争性磋商文件</w:t>
      </w:r>
      <w:bookmarkEnd w:id="15"/>
      <w:bookmarkEnd w:id="16"/>
      <w:bookmarkEnd w:id="17"/>
      <w:bookmarkEnd w:id="18"/>
      <w:bookmarkEnd w:id="19"/>
      <w:bookmarkEnd w:id="20"/>
    </w:p>
    <w:p w14:paraId="2429356A">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bookmarkStart w:id="22" w:name="_Toc44229881"/>
      <w:bookmarkStart w:id="23" w:name="_Toc35393632"/>
      <w:bookmarkStart w:id="24" w:name="_Toc35393801"/>
      <w:bookmarkStart w:id="25" w:name="_Toc28359015"/>
      <w:bookmarkStart w:id="26" w:name="_Toc28359092"/>
      <w:r>
        <w:rPr>
          <w:rFonts w:hint="eastAsia" w:ascii="宋体" w:hAnsi="宋体"/>
          <w:color w:val="auto"/>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rPr>
        <w:t>日</w:t>
      </w:r>
      <w:r>
        <w:rPr>
          <w:rFonts w:hint="eastAsia" w:ascii="宋体" w:hAnsi="宋体"/>
          <w:color w:val="auto"/>
          <w:szCs w:val="21"/>
          <w:highlight w:val="none"/>
        </w:rPr>
        <w:t>至</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rPr>
        <w:t>日</w:t>
      </w:r>
      <w:r>
        <w:rPr>
          <w:rFonts w:hint="eastAsia" w:ascii="宋体" w:hAnsi="宋体"/>
          <w:color w:val="auto"/>
          <w:szCs w:val="21"/>
          <w:highlight w:val="none"/>
        </w:rPr>
        <w:t>，每天上午8时00分至12时00分，下午3时00分至6时00分（北京时间，法定节假日除外）</w:t>
      </w:r>
    </w:p>
    <w:p w14:paraId="7F956434">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地点：广西政府采购云平台</w:t>
      </w:r>
    </w:p>
    <w:p w14:paraId="48738EB4">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方式：网上下载。本项目不提供纸质文件，潜在供应商需在广西政府采购云平台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369CAF42">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Cs w:val="21"/>
          <w:highlight w:val="none"/>
        </w:rPr>
      </w:pPr>
      <w:r>
        <w:rPr>
          <w:rFonts w:hint="eastAsia" w:ascii="宋体" w:hAnsi="宋体" w:cs="宋体"/>
          <w:bCs/>
          <w:color w:val="auto"/>
          <w:szCs w:val="21"/>
          <w:highlight w:val="none"/>
        </w:rPr>
        <w:t>售价：0元</w:t>
      </w:r>
    </w:p>
    <w:p w14:paraId="6BAE0235">
      <w:pPr>
        <w:keepNext w:val="0"/>
        <w:keepLines w:val="0"/>
        <w:pageBreakBefore w:val="0"/>
        <w:kinsoku/>
        <w:wordWrap/>
        <w:overflowPunct/>
        <w:topLinePunct w:val="0"/>
        <w:autoSpaceDE/>
        <w:autoSpaceDN/>
        <w:bidi w:val="0"/>
        <w:adjustRightInd/>
        <w:snapToGrid/>
        <w:spacing w:line="380" w:lineRule="exact"/>
        <w:ind w:firstLine="354"/>
        <w:textAlignment w:val="auto"/>
        <w:rPr>
          <w:rFonts w:ascii="黑体" w:hAnsi="黑体" w:eastAsia="黑体"/>
          <w:b/>
          <w:color w:val="auto"/>
          <w:sz w:val="24"/>
          <w:highlight w:val="none"/>
        </w:rPr>
      </w:pPr>
      <w:bookmarkStart w:id="27" w:name="_Toc71365908"/>
      <w:r>
        <w:rPr>
          <w:rFonts w:hint="eastAsia" w:ascii="黑体" w:hAnsi="黑体" w:eastAsia="黑体"/>
          <w:b/>
          <w:color w:val="auto"/>
          <w:sz w:val="24"/>
          <w:highlight w:val="none"/>
        </w:rPr>
        <w:t>四、响应文件提交</w:t>
      </w:r>
      <w:bookmarkEnd w:id="21"/>
      <w:bookmarkEnd w:id="22"/>
      <w:bookmarkEnd w:id="23"/>
      <w:bookmarkEnd w:id="24"/>
      <w:bookmarkEnd w:id="25"/>
      <w:bookmarkEnd w:id="26"/>
    </w:p>
    <w:p w14:paraId="2D289DF4">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bCs/>
          <w:color w:val="auto"/>
          <w:szCs w:val="21"/>
          <w:highlight w:val="none"/>
        </w:rPr>
      </w:pPr>
      <w:bookmarkStart w:id="28" w:name="_Toc35393633"/>
      <w:bookmarkStart w:id="29" w:name="_Toc28359016"/>
      <w:bookmarkStart w:id="30" w:name="_Toc35393802"/>
      <w:bookmarkStart w:id="31" w:name="_Toc44229882"/>
      <w:bookmarkStart w:id="32" w:name="_Toc28359093"/>
      <w:r>
        <w:rPr>
          <w:rFonts w:hint="eastAsia" w:ascii="宋体" w:hAnsi="宋体"/>
          <w:color w:val="auto"/>
          <w:szCs w:val="21"/>
          <w:highlight w:val="none"/>
        </w:rPr>
        <w:t>截止时间：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日9时30分（北京时间）</w:t>
      </w:r>
    </w:p>
    <w:p w14:paraId="4372963B">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p>
    <w:p w14:paraId="271CE975">
      <w:pPr>
        <w:keepNext w:val="0"/>
        <w:keepLines w:val="0"/>
        <w:pageBreakBefore w:val="0"/>
        <w:kinsoku/>
        <w:wordWrap/>
        <w:overflowPunct/>
        <w:topLinePunct w:val="0"/>
        <w:autoSpaceDE/>
        <w:autoSpaceDN/>
        <w:bidi w:val="0"/>
        <w:adjustRightInd/>
        <w:snapToGrid/>
        <w:spacing w:line="380" w:lineRule="exact"/>
        <w:ind w:firstLine="354"/>
        <w:textAlignment w:val="auto"/>
        <w:rPr>
          <w:rFonts w:ascii="黑体" w:hAnsi="黑体" w:eastAsia="黑体"/>
          <w:b/>
          <w:color w:val="auto"/>
          <w:sz w:val="24"/>
          <w:highlight w:val="none"/>
        </w:rPr>
      </w:pPr>
      <w:bookmarkStart w:id="33" w:name="_Toc71365909"/>
      <w:r>
        <w:rPr>
          <w:rFonts w:hint="eastAsia" w:ascii="黑体" w:hAnsi="黑体" w:eastAsia="黑体"/>
          <w:b/>
          <w:color w:val="auto"/>
          <w:sz w:val="24"/>
          <w:highlight w:val="none"/>
        </w:rPr>
        <w:t>五、开启</w:t>
      </w:r>
      <w:bookmarkEnd w:id="27"/>
      <w:bookmarkEnd w:id="28"/>
      <w:bookmarkEnd w:id="29"/>
      <w:bookmarkEnd w:id="30"/>
      <w:bookmarkEnd w:id="31"/>
      <w:bookmarkEnd w:id="32"/>
    </w:p>
    <w:p w14:paraId="31AF2266">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日9时30分（北京时间）</w:t>
      </w:r>
    </w:p>
    <w:p w14:paraId="10C7940B">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地点：广西政府采购云平台政府采购开评标室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p>
    <w:p w14:paraId="3FDACE0F">
      <w:pPr>
        <w:keepNext w:val="0"/>
        <w:keepLines w:val="0"/>
        <w:pageBreakBefore w:val="0"/>
        <w:kinsoku/>
        <w:wordWrap/>
        <w:overflowPunct/>
        <w:topLinePunct w:val="0"/>
        <w:autoSpaceDE/>
        <w:autoSpaceDN/>
        <w:bidi w:val="0"/>
        <w:adjustRightInd/>
        <w:snapToGrid/>
        <w:spacing w:line="380" w:lineRule="exact"/>
        <w:ind w:firstLine="354"/>
        <w:textAlignment w:val="auto"/>
        <w:rPr>
          <w:rFonts w:ascii="黑体" w:hAnsi="黑体" w:eastAsia="黑体"/>
          <w:b/>
          <w:color w:val="auto"/>
          <w:sz w:val="24"/>
          <w:highlight w:val="none"/>
        </w:rPr>
      </w:pPr>
      <w:bookmarkStart w:id="34" w:name="_Toc71365910"/>
      <w:bookmarkStart w:id="35" w:name="_Toc35393803"/>
      <w:bookmarkStart w:id="36" w:name="_Toc28359094"/>
      <w:bookmarkStart w:id="37" w:name="_Toc28359017"/>
      <w:bookmarkStart w:id="38" w:name="_Toc44229883"/>
      <w:bookmarkStart w:id="39" w:name="_Toc35393634"/>
      <w:r>
        <w:rPr>
          <w:rFonts w:hint="eastAsia" w:ascii="黑体" w:hAnsi="黑体" w:eastAsia="黑体"/>
          <w:b/>
          <w:color w:val="auto"/>
          <w:sz w:val="24"/>
          <w:highlight w:val="none"/>
        </w:rPr>
        <w:t>六、公告期限</w:t>
      </w:r>
      <w:bookmarkEnd w:id="33"/>
      <w:bookmarkEnd w:id="34"/>
      <w:bookmarkEnd w:id="35"/>
      <w:bookmarkEnd w:id="36"/>
      <w:bookmarkEnd w:id="37"/>
      <w:bookmarkEnd w:id="38"/>
    </w:p>
    <w:p w14:paraId="32418C44">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9E7CA">
      <w:pPr>
        <w:keepNext w:val="0"/>
        <w:keepLines w:val="0"/>
        <w:pageBreakBefore w:val="0"/>
        <w:kinsoku/>
        <w:wordWrap/>
        <w:overflowPunct/>
        <w:topLinePunct w:val="0"/>
        <w:autoSpaceDE/>
        <w:autoSpaceDN/>
        <w:bidi w:val="0"/>
        <w:adjustRightInd/>
        <w:snapToGrid/>
        <w:spacing w:line="380" w:lineRule="exact"/>
        <w:ind w:firstLine="354"/>
        <w:textAlignment w:val="auto"/>
        <w:rPr>
          <w:rFonts w:ascii="黑体" w:hAnsi="黑体" w:eastAsia="黑体"/>
          <w:b/>
          <w:color w:val="auto"/>
          <w:sz w:val="24"/>
          <w:highlight w:val="none"/>
        </w:rPr>
      </w:pPr>
      <w:bookmarkStart w:id="40" w:name="_Toc35393635"/>
      <w:bookmarkStart w:id="41" w:name="_Toc35393804"/>
      <w:bookmarkStart w:id="42" w:name="_Toc44229884"/>
      <w:bookmarkStart w:id="43" w:name="_Toc71365911"/>
      <w:r>
        <w:rPr>
          <w:rFonts w:hint="eastAsia" w:ascii="黑体" w:hAnsi="黑体" w:eastAsia="黑体"/>
          <w:b/>
          <w:color w:val="auto"/>
          <w:sz w:val="24"/>
          <w:highlight w:val="none"/>
        </w:rPr>
        <w:t>七、其他补充事宜</w:t>
      </w:r>
      <w:bookmarkEnd w:id="39"/>
      <w:bookmarkEnd w:id="40"/>
      <w:bookmarkEnd w:id="41"/>
      <w:bookmarkEnd w:id="42"/>
    </w:p>
    <w:p w14:paraId="7EFBB6B2">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网上查询地址</w:t>
      </w:r>
    </w:p>
    <w:p w14:paraId="1283C9FE">
      <w:pPr>
        <w:keepNext w:val="0"/>
        <w:keepLines w:val="0"/>
        <w:pageBreakBefore w:val="0"/>
        <w:kinsoku/>
        <w:wordWrap/>
        <w:overflowPunct/>
        <w:topLinePunct w:val="0"/>
        <w:autoSpaceDE/>
        <w:autoSpaceDN/>
        <w:bidi w:val="0"/>
        <w:adjustRightInd/>
        <w:snapToGrid/>
        <w:spacing w:line="380" w:lineRule="exact"/>
        <w:ind w:firstLine="424"/>
        <w:textAlignment w:val="auto"/>
        <w:rPr>
          <w:rFonts w:hint="eastAsia" w:ascii="宋体" w:hAnsi="宋体"/>
          <w:color w:val="auto"/>
          <w:szCs w:val="21"/>
          <w:highlight w:val="none"/>
        </w:rPr>
      </w:pPr>
      <w:bookmarkStart w:id="44" w:name="_Toc28359018"/>
      <w:bookmarkStart w:id="45" w:name="_Toc35393636"/>
      <w:bookmarkStart w:id="46" w:name="_Toc44229885"/>
      <w:bookmarkStart w:id="47" w:name="_Toc35393805"/>
      <w:bookmarkStart w:id="48" w:name="_Hlk37429674"/>
      <w:bookmarkStart w:id="49" w:name="_Toc28359095"/>
      <w:r>
        <w:rPr>
          <w:rFonts w:hint="eastAsia" w:ascii="宋体" w:hAnsi="宋体"/>
          <w:color w:val="auto"/>
          <w:szCs w:val="21"/>
          <w:highlight w:val="none"/>
        </w:rPr>
        <w:t>中国招标投标公共服务平台网（http://www.cebpubservice.com/）</w:t>
      </w:r>
      <w:r>
        <w:rPr>
          <w:rFonts w:hint="eastAsia" w:ascii="宋体" w:hAnsi="宋体"/>
          <w:color w:val="auto"/>
          <w:szCs w:val="21"/>
          <w:highlight w:val="none"/>
          <w:lang w:eastAsia="zh-CN"/>
        </w:rPr>
        <w:t>、</w:t>
      </w:r>
      <w:r>
        <w:rPr>
          <w:rFonts w:hint="eastAsia" w:ascii="宋体" w:hAnsi="宋体"/>
          <w:color w:val="auto"/>
          <w:szCs w:val="21"/>
          <w:highlight w:val="none"/>
        </w:rPr>
        <w:t>中国政府采购网（http://www.ccgp.gov.cn/）、广西壮族自治区政府采购网（http://www.ccgp-guangxi.gov.cn/）、全国公共资源交易平台(广西·防城港)（http://ggzy.jgswj.gxzf.gov.cn/fcgggzy/）。</w:t>
      </w:r>
    </w:p>
    <w:p w14:paraId="4F33BCCA">
      <w:pPr>
        <w:keepNext w:val="0"/>
        <w:keepLines w:val="0"/>
        <w:pageBreakBefore w:val="0"/>
        <w:kinsoku/>
        <w:wordWrap/>
        <w:overflowPunct/>
        <w:topLinePunct w:val="0"/>
        <w:autoSpaceDE/>
        <w:autoSpaceDN/>
        <w:bidi w:val="0"/>
        <w:adjustRightInd/>
        <w:snapToGrid/>
        <w:spacing w:line="380" w:lineRule="exact"/>
        <w:ind w:firstLine="424"/>
        <w:textAlignment w:val="auto"/>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bookmarkEnd w:id="43"/>
    </w:p>
    <w:p w14:paraId="1791A65F">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s="宋体"/>
          <w:iCs/>
          <w:color w:val="auto"/>
          <w:szCs w:val="21"/>
          <w:highlight w:val="none"/>
        </w:rPr>
      </w:pPr>
      <w:r>
        <w:rPr>
          <w:rFonts w:hint="eastAsia" w:ascii="宋体" w:hAnsi="宋体" w:cs="宋体"/>
          <w:iCs/>
          <w:color w:val="auto"/>
          <w:szCs w:val="21"/>
          <w:highlight w:val="none"/>
        </w:rPr>
        <w:t>（1）政府采购促进中小企业发展。</w:t>
      </w:r>
    </w:p>
    <w:p w14:paraId="3B1E2DDD">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cs="宋体"/>
          <w:iCs/>
          <w:color w:val="auto"/>
          <w:szCs w:val="21"/>
          <w:highlight w:val="none"/>
        </w:rPr>
      </w:pPr>
      <w:r>
        <w:rPr>
          <w:rFonts w:hint="eastAsia" w:ascii="宋体" w:hAnsi="宋体" w:cs="宋体"/>
          <w:iCs/>
          <w:color w:val="auto"/>
          <w:szCs w:val="21"/>
          <w:highlight w:val="none"/>
        </w:rPr>
        <w:t>（2）强制采购节能产品；优先采购节能产品、环境标志产品。</w:t>
      </w:r>
    </w:p>
    <w:p w14:paraId="4768171F">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cs="宋体"/>
          <w:iCs/>
          <w:color w:val="auto"/>
          <w:szCs w:val="21"/>
          <w:highlight w:val="none"/>
        </w:rPr>
      </w:pP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3</w:t>
      </w:r>
      <w:r>
        <w:rPr>
          <w:rFonts w:hint="eastAsia" w:ascii="宋体" w:hAnsi="宋体" w:cs="宋体"/>
          <w:iCs/>
          <w:color w:val="auto"/>
          <w:szCs w:val="21"/>
          <w:highlight w:val="none"/>
        </w:rPr>
        <w:t>）政府采购促进残疾人就业政策。</w:t>
      </w:r>
    </w:p>
    <w:p w14:paraId="2B961839">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hint="eastAsia" w:ascii="宋体" w:hAnsi="宋体" w:cs="宋体"/>
          <w:iCs/>
          <w:color w:val="auto"/>
          <w:szCs w:val="21"/>
          <w:highlight w:val="none"/>
        </w:rPr>
      </w:pP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4</w:t>
      </w:r>
      <w:r>
        <w:rPr>
          <w:rFonts w:hint="eastAsia" w:ascii="宋体" w:hAnsi="宋体" w:cs="宋体"/>
          <w:iCs/>
          <w:color w:val="auto"/>
          <w:szCs w:val="21"/>
          <w:highlight w:val="none"/>
        </w:rPr>
        <w:t>）政府采购支持监狱企业发展。</w:t>
      </w:r>
    </w:p>
    <w:p w14:paraId="5D941B38">
      <w:pPr>
        <w:keepNext w:val="0"/>
        <w:keepLines w:val="0"/>
        <w:pageBreakBefore w:val="0"/>
        <w:widowControl/>
        <w:kinsoku/>
        <w:wordWrap/>
        <w:overflowPunct/>
        <w:topLinePunct w:val="0"/>
        <w:autoSpaceDE/>
        <w:autoSpaceDN/>
        <w:bidi w:val="0"/>
        <w:adjustRightInd/>
        <w:snapToGrid/>
        <w:spacing w:line="380" w:lineRule="exact"/>
        <w:ind w:firstLine="420"/>
        <w:jc w:val="left"/>
        <w:textAlignment w:val="auto"/>
        <w:rPr>
          <w:rFonts w:ascii="宋体" w:hAnsi="宋体"/>
          <w:color w:val="auto"/>
          <w:szCs w:val="21"/>
          <w:highlight w:val="none"/>
        </w:rPr>
      </w:pPr>
      <w:r>
        <w:rPr>
          <w:rFonts w:hint="eastAsia" w:ascii="宋体" w:hAnsi="宋体" w:cs="宋体"/>
          <w:color w:val="auto"/>
          <w:szCs w:val="21"/>
          <w:highlight w:val="none"/>
        </w:rPr>
        <w:t>3.供应商</w:t>
      </w:r>
      <w:r>
        <w:rPr>
          <w:rFonts w:hint="eastAsia" w:ascii="宋体" w:hAnsi="宋体"/>
          <w:color w:val="auto"/>
          <w:szCs w:val="21"/>
          <w:highlight w:val="none"/>
        </w:rPr>
        <w:t>竞标注意事项</w:t>
      </w:r>
    </w:p>
    <w:p w14:paraId="3085565F">
      <w:pPr>
        <w:keepNext w:val="0"/>
        <w:keepLines w:val="0"/>
        <w:pageBreakBefore w:val="0"/>
        <w:widowControl/>
        <w:kinsoku/>
        <w:wordWrap/>
        <w:overflowPunct/>
        <w:topLinePunct w:val="0"/>
        <w:autoSpaceDE/>
        <w:autoSpaceDN/>
        <w:bidi w:val="0"/>
        <w:adjustRightInd/>
        <w:snapToGrid/>
        <w:spacing w:line="380" w:lineRule="exact"/>
        <w:ind w:firstLine="525"/>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val="en-US" w:eastAsia="zh-CN"/>
        </w:rPr>
        <w:t>响应文件</w:t>
      </w:r>
      <w:r>
        <w:rPr>
          <w:rFonts w:hint="eastAsia" w:ascii="宋体" w:hAnsi="宋体"/>
          <w:color w:val="auto"/>
          <w:szCs w:val="21"/>
          <w:highlight w:val="none"/>
        </w:rPr>
        <w:t>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供应商登录广西政府采购云平台，依次进入“服务中心-项目采购-操作流程-电子招竞标-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2657AF92">
      <w:pPr>
        <w:keepNext w:val="0"/>
        <w:keepLines w:val="0"/>
        <w:pageBreakBefore w:val="0"/>
        <w:widowControl/>
        <w:kinsoku/>
        <w:wordWrap/>
        <w:overflowPunct/>
        <w:topLinePunct w:val="0"/>
        <w:autoSpaceDE/>
        <w:autoSpaceDN/>
        <w:bidi w:val="0"/>
        <w:adjustRightInd/>
        <w:snapToGrid/>
        <w:spacing w:line="380" w:lineRule="exact"/>
        <w:ind w:firstLine="525"/>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如在操作过程中遇到问题或者需要技术支持，请致电客服热线：95763或0771-3381253</w:t>
      </w:r>
      <w:r>
        <w:rPr>
          <w:rFonts w:hint="eastAsia" w:ascii="宋体" w:hAnsi="宋体"/>
          <w:color w:val="auto"/>
          <w:szCs w:val="21"/>
          <w:highlight w:val="none"/>
        </w:rPr>
        <w:t>）。</w:t>
      </w:r>
    </w:p>
    <w:p w14:paraId="0267949B">
      <w:pPr>
        <w:keepNext w:val="0"/>
        <w:keepLines w:val="0"/>
        <w:pageBreakBefore w:val="0"/>
        <w:widowControl/>
        <w:kinsoku/>
        <w:wordWrap/>
        <w:overflowPunct/>
        <w:topLinePunct w:val="0"/>
        <w:autoSpaceDE/>
        <w:autoSpaceDN/>
        <w:bidi w:val="0"/>
        <w:adjustRightInd/>
        <w:snapToGrid/>
        <w:spacing w:line="380" w:lineRule="exact"/>
        <w:ind w:firstLine="525"/>
        <w:jc w:val="left"/>
        <w:textAlignment w:val="auto"/>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2AA3F123">
      <w:pPr>
        <w:keepNext w:val="0"/>
        <w:keepLines w:val="0"/>
        <w:pageBreakBefore w:val="0"/>
        <w:widowControl/>
        <w:kinsoku/>
        <w:wordWrap/>
        <w:overflowPunct/>
        <w:topLinePunct w:val="0"/>
        <w:autoSpaceDE/>
        <w:autoSpaceDN/>
        <w:bidi w:val="0"/>
        <w:adjustRightInd/>
        <w:snapToGrid/>
        <w:spacing w:line="380" w:lineRule="exact"/>
        <w:ind w:firstLine="525"/>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w:t>
      </w:r>
      <w:r>
        <w:rPr>
          <w:color w:val="auto"/>
          <w:highlight w:val="none"/>
        </w:rPr>
        <w:t>磋商</w:t>
      </w:r>
      <w:r>
        <w:rPr>
          <w:rFonts w:hint="eastAsia" w:ascii="宋体" w:hAnsi="宋体"/>
          <w:color w:val="auto"/>
          <w:szCs w:val="21"/>
          <w:highlight w:val="none"/>
        </w:rPr>
        <w:t>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31680418">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25"/>
        <w:jc w:val="left"/>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lang w:val="en-US" w:eastAsia="zh-CN" w:bidi="ar-SA"/>
        </w:rPr>
        <w:t>4.</w:t>
      </w:r>
      <w:r>
        <w:rPr>
          <w:rFonts w:hint="eastAsia" w:ascii="宋体" w:hAnsi="宋体" w:cs="宋体"/>
          <w:bCs/>
          <w:color w:val="auto"/>
          <w:szCs w:val="21"/>
          <w:highlight w:val="none"/>
        </w:rPr>
        <w:t>磋商保证金：无。</w:t>
      </w:r>
    </w:p>
    <w:p w14:paraId="7CB1AE42">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25"/>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5.监督部门</w:t>
      </w:r>
    </w:p>
    <w:p w14:paraId="6A9861EC">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25"/>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名称：防城港市港口区政府采购管理办公室</w:t>
      </w:r>
    </w:p>
    <w:p w14:paraId="113DCD16">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25"/>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电话：0770-6106362</w:t>
      </w:r>
    </w:p>
    <w:p w14:paraId="36650B49">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25"/>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6.评标说明：本项目为远程异地全流程电子评标。</w:t>
      </w:r>
    </w:p>
    <w:p w14:paraId="7E9D3E21">
      <w:pPr>
        <w:keepNext w:val="0"/>
        <w:keepLines w:val="0"/>
        <w:pageBreakBefore w:val="0"/>
        <w:widowControl/>
        <w:kinsoku/>
        <w:wordWrap/>
        <w:overflowPunct/>
        <w:topLinePunct w:val="0"/>
        <w:autoSpaceDE/>
        <w:autoSpaceDN/>
        <w:bidi w:val="0"/>
        <w:adjustRightInd/>
        <w:snapToGrid/>
        <w:spacing w:line="380" w:lineRule="exact"/>
        <w:ind w:firstLine="482"/>
        <w:jc w:val="left"/>
        <w:textAlignment w:val="auto"/>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4"/>
      <w:bookmarkEnd w:id="45"/>
      <w:bookmarkEnd w:id="46"/>
      <w:bookmarkEnd w:id="47"/>
      <w:bookmarkEnd w:id="48"/>
    </w:p>
    <w:p w14:paraId="43F45F06">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auto"/>
          <w:szCs w:val="21"/>
          <w:highlight w:val="none"/>
        </w:rPr>
      </w:pPr>
      <w:bookmarkStart w:id="50" w:name="_Toc28359019"/>
      <w:bookmarkStart w:id="51" w:name="_Toc28359096"/>
      <w:bookmarkStart w:id="52" w:name="_Toc35393806"/>
      <w:bookmarkStart w:id="53" w:name="_Toc35393637"/>
      <w:r>
        <w:rPr>
          <w:rFonts w:hint="eastAsia" w:ascii="宋体" w:hAnsi="宋体" w:cs="宋体"/>
          <w:color w:val="auto"/>
          <w:szCs w:val="21"/>
          <w:highlight w:val="none"/>
        </w:rPr>
        <w:t>1.采购人信息</w:t>
      </w:r>
      <w:bookmarkEnd w:id="49"/>
      <w:bookmarkEnd w:id="50"/>
      <w:bookmarkEnd w:id="51"/>
      <w:bookmarkEnd w:id="52"/>
    </w:p>
    <w:p w14:paraId="6146BDAE">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防城港市港口区教育局</w:t>
      </w:r>
    </w:p>
    <w:p w14:paraId="2D59F42E">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地址：防城港市港口区渔洲坪兴教路88号 </w:t>
      </w:r>
    </w:p>
    <w:p w14:paraId="3EE81A5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李强</w:t>
      </w:r>
      <w:r>
        <w:rPr>
          <w:rFonts w:hint="eastAsia" w:ascii="宋体" w:hAnsi="宋体"/>
          <w:color w:val="auto"/>
          <w:szCs w:val="21"/>
          <w:highlight w:val="none"/>
        </w:rPr>
        <w:t> 0770-</w:t>
      </w:r>
      <w:r>
        <w:rPr>
          <w:rFonts w:hint="eastAsia" w:ascii="宋体" w:hAnsi="宋体"/>
          <w:color w:val="auto"/>
          <w:szCs w:val="21"/>
          <w:highlight w:val="none"/>
          <w:lang w:val="en-US" w:eastAsia="zh-CN"/>
        </w:rPr>
        <w:t>2810070</w:t>
      </w:r>
      <w:r>
        <w:rPr>
          <w:rFonts w:hint="eastAsia" w:ascii="宋体" w:hAnsi="宋体"/>
          <w:color w:val="auto"/>
          <w:szCs w:val="21"/>
          <w:highlight w:val="none"/>
        </w:rPr>
        <w:t> </w:t>
      </w:r>
    </w:p>
    <w:p w14:paraId="695E2995">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auto"/>
          <w:szCs w:val="21"/>
          <w:highlight w:val="none"/>
        </w:rPr>
      </w:pPr>
      <w:bookmarkStart w:id="54" w:name="_Toc28359020"/>
      <w:bookmarkStart w:id="55" w:name="_Toc28359097"/>
      <w:bookmarkStart w:id="56" w:name="_Toc35393638"/>
      <w:bookmarkStart w:id="57" w:name="_Toc35393807"/>
      <w:r>
        <w:rPr>
          <w:rFonts w:hint="eastAsia" w:ascii="宋体" w:hAnsi="宋体" w:cs="宋体"/>
          <w:color w:val="auto"/>
          <w:szCs w:val="21"/>
          <w:highlight w:val="none"/>
        </w:rPr>
        <w:t>2.采购代理机构信息</w:t>
      </w:r>
      <w:bookmarkEnd w:id="53"/>
      <w:bookmarkEnd w:id="54"/>
      <w:bookmarkEnd w:id="55"/>
      <w:bookmarkEnd w:id="56"/>
    </w:p>
    <w:p w14:paraId="2D64DCD1">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s="宋体"/>
          <w:color w:val="auto"/>
          <w:szCs w:val="21"/>
          <w:highlight w:val="none"/>
        </w:rPr>
        <w:t>云之龙咨询集团有限公司</w:t>
      </w:r>
    </w:p>
    <w:p w14:paraId="24C42EBB">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防城港市港口区桃花湾广场海悦华府一单元12楼1203室</w:t>
      </w:r>
    </w:p>
    <w:p w14:paraId="2EF8F8BE">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s="宋体"/>
          <w:color w:val="auto"/>
          <w:szCs w:val="21"/>
          <w:highlight w:val="none"/>
        </w:rPr>
        <w:t>0770-2882899</w:t>
      </w:r>
    </w:p>
    <w:p w14:paraId="1750A430">
      <w:pPr>
        <w:keepNext w:val="0"/>
        <w:keepLines w:val="0"/>
        <w:pageBreakBefore w:val="0"/>
        <w:kinsoku/>
        <w:wordWrap/>
        <w:overflowPunct/>
        <w:topLinePunct w:val="0"/>
        <w:autoSpaceDE/>
        <w:autoSpaceDN/>
        <w:bidi w:val="0"/>
        <w:adjustRightInd/>
        <w:snapToGrid/>
        <w:spacing w:line="380" w:lineRule="exact"/>
        <w:ind w:firstLine="420"/>
        <w:textAlignment w:val="auto"/>
        <w:rPr>
          <w:rFonts w:ascii="宋体" w:hAnsi="宋体" w:cs="宋体"/>
          <w:color w:val="auto"/>
          <w:szCs w:val="21"/>
          <w:highlight w:val="none"/>
        </w:rPr>
      </w:pPr>
      <w:bookmarkStart w:id="58" w:name="_Toc28359021"/>
      <w:bookmarkStart w:id="59" w:name="_Toc35393639"/>
      <w:bookmarkStart w:id="60" w:name="_Toc28359098"/>
      <w:bookmarkStart w:id="61" w:name="_Toc35393808"/>
      <w:r>
        <w:rPr>
          <w:rFonts w:hint="eastAsia" w:ascii="宋体" w:hAnsi="宋体" w:cs="宋体"/>
          <w:color w:val="auto"/>
          <w:szCs w:val="21"/>
          <w:highlight w:val="none"/>
        </w:rPr>
        <w:t>3.项目联系</w:t>
      </w:r>
      <w:r>
        <w:rPr>
          <w:rFonts w:ascii="宋体" w:hAnsi="宋体" w:cs="宋体"/>
          <w:color w:val="auto"/>
          <w:szCs w:val="21"/>
          <w:highlight w:val="none"/>
        </w:rPr>
        <w:t>方式</w:t>
      </w:r>
      <w:bookmarkEnd w:id="57"/>
      <w:bookmarkEnd w:id="58"/>
      <w:bookmarkEnd w:id="59"/>
      <w:bookmarkEnd w:id="60"/>
    </w:p>
    <w:p w14:paraId="498AD343">
      <w:pPr>
        <w:pStyle w:val="230"/>
        <w:keepNext w:val="0"/>
        <w:keepLines w:val="0"/>
        <w:pageBreakBefore w:val="0"/>
        <w:kinsoku/>
        <w:wordWrap/>
        <w:overflowPunct/>
        <w:topLinePunct w:val="0"/>
        <w:autoSpaceDE/>
        <w:autoSpaceDN/>
        <w:bidi w:val="0"/>
        <w:adjustRightInd/>
        <w:snapToGrid/>
        <w:spacing w:line="380" w:lineRule="exact"/>
        <w:ind w:firstLine="420"/>
        <w:textAlignment w:val="auto"/>
        <w:rPr>
          <w:rFonts w:hAnsi="宋体"/>
          <w:color w:val="auto"/>
          <w:sz w:val="21"/>
          <w:highlight w:val="none"/>
        </w:rPr>
      </w:pPr>
      <w:r>
        <w:rPr>
          <w:rFonts w:hint="eastAsia" w:hAnsi="宋体"/>
          <w:color w:val="auto"/>
          <w:sz w:val="21"/>
          <w:highlight w:val="none"/>
        </w:rPr>
        <w:t>项目联系人：</w:t>
      </w:r>
      <w:r>
        <w:rPr>
          <w:rFonts w:hint="eastAsia" w:hAnsi="宋体" w:cs="宋体"/>
          <w:color w:val="auto"/>
          <w:sz w:val="21"/>
          <w:highlight w:val="none"/>
          <w:lang w:val="en-US" w:eastAsia="zh-CN"/>
        </w:rPr>
        <w:t>熊福玉、包文杰、陈义廷、</w:t>
      </w:r>
      <w:r>
        <w:rPr>
          <w:rFonts w:hint="eastAsia" w:hAnsi="宋体"/>
          <w:color w:val="auto"/>
          <w:sz w:val="21"/>
          <w:highlight w:val="none"/>
          <w:lang w:eastAsia="zh-CN"/>
        </w:rPr>
        <w:t>韦玉明</w:t>
      </w:r>
    </w:p>
    <w:p w14:paraId="5580F722">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Cs w:val="21"/>
          <w:highlight w:val="none"/>
        </w:rPr>
      </w:pPr>
      <w:r>
        <w:rPr>
          <w:rFonts w:hint="eastAsia" w:ascii="宋体" w:hAnsi="宋体"/>
          <w:color w:val="auto"/>
          <w:szCs w:val="21"/>
          <w:highlight w:val="none"/>
        </w:rPr>
        <w:t>电话：</w:t>
      </w:r>
      <w:r>
        <w:rPr>
          <w:rFonts w:hint="eastAsia" w:ascii="宋体" w:hAnsi="宋体" w:cs="宋体"/>
          <w:color w:val="auto"/>
          <w:szCs w:val="21"/>
          <w:highlight w:val="none"/>
        </w:rPr>
        <w:t>0770-2882899</w:t>
      </w:r>
    </w:p>
    <w:p w14:paraId="0224E035">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Cs w:val="21"/>
          <w:highlight w:val="none"/>
        </w:rPr>
      </w:pPr>
    </w:p>
    <w:p w14:paraId="0AD1271E">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Cs w:val="21"/>
          <w:highlight w:val="none"/>
        </w:rPr>
      </w:pPr>
    </w:p>
    <w:p w14:paraId="2BD91D4B">
      <w:pPr>
        <w:keepNext w:val="0"/>
        <w:keepLines w:val="0"/>
        <w:pageBreakBefore w:val="0"/>
        <w:kinsoku/>
        <w:wordWrap/>
        <w:overflowPunct/>
        <w:topLinePunct w:val="0"/>
        <w:autoSpaceDE/>
        <w:autoSpaceDN/>
        <w:bidi w:val="0"/>
        <w:adjustRightInd/>
        <w:snapToGrid/>
        <w:spacing w:line="380" w:lineRule="exact"/>
        <w:ind w:firstLine="420"/>
        <w:textAlignment w:val="auto"/>
        <w:rPr>
          <w:rFonts w:hint="eastAsia" w:ascii="宋体" w:hAnsi="宋体" w:cs="宋体"/>
          <w:color w:val="auto"/>
          <w:szCs w:val="21"/>
          <w:highlight w:val="none"/>
        </w:rPr>
      </w:pPr>
    </w:p>
    <w:p w14:paraId="02E75430">
      <w:pPr>
        <w:keepNext w:val="0"/>
        <w:keepLines w:val="0"/>
        <w:pageBreakBefore w:val="0"/>
        <w:kinsoku/>
        <w:wordWrap/>
        <w:overflowPunct/>
        <w:topLinePunct w:val="0"/>
        <w:autoSpaceDE/>
        <w:autoSpaceDN/>
        <w:bidi w:val="0"/>
        <w:adjustRightInd/>
        <w:snapToGrid/>
        <w:spacing w:line="380" w:lineRule="exact"/>
        <w:ind w:firstLine="42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防城港市港口区教育局</w:t>
      </w:r>
    </w:p>
    <w:p w14:paraId="158A93F7">
      <w:pPr>
        <w:keepNext w:val="0"/>
        <w:keepLines w:val="0"/>
        <w:pageBreakBefore w:val="0"/>
        <w:kinsoku/>
        <w:wordWrap/>
        <w:overflowPunct/>
        <w:topLinePunct w:val="0"/>
        <w:autoSpaceDE/>
        <w:autoSpaceDN/>
        <w:bidi w:val="0"/>
        <w:adjustRightInd/>
        <w:snapToGrid/>
        <w:spacing w:line="380" w:lineRule="exact"/>
        <w:ind w:firstLine="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采购代理机构：云之龙咨询集团有限公司</w:t>
      </w:r>
    </w:p>
    <w:p w14:paraId="2BD3756C">
      <w:pPr>
        <w:keepNext w:val="0"/>
        <w:keepLines w:val="0"/>
        <w:pageBreakBefore w:val="0"/>
        <w:kinsoku/>
        <w:wordWrap/>
        <w:overflowPunct/>
        <w:topLinePunct w:val="0"/>
        <w:autoSpaceDE/>
        <w:autoSpaceDN/>
        <w:bidi w:val="0"/>
        <w:adjustRightInd/>
        <w:snapToGrid/>
        <w:spacing w:line="380" w:lineRule="exact"/>
        <w:ind w:firstLine="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 xml:space="preserve"> 27 </w:t>
      </w:r>
      <w:r>
        <w:rPr>
          <w:rFonts w:hint="eastAsia" w:ascii="宋体" w:hAnsi="宋体"/>
          <w:bCs/>
          <w:color w:val="auto"/>
          <w:szCs w:val="21"/>
          <w:highlight w:val="none"/>
        </w:rPr>
        <w:t>日</w:t>
      </w:r>
    </w:p>
    <w:bookmarkEnd w:id="61"/>
    <w:p w14:paraId="1697A4D9">
      <w:pPr>
        <w:spacing w:line="360" w:lineRule="auto"/>
        <w:ind w:firstLine="420"/>
        <w:rPr>
          <w:rFonts w:ascii="宋体" w:hAnsi="宋体"/>
          <w:color w:val="auto"/>
          <w:szCs w:val="21"/>
          <w:highlight w:val="none"/>
          <w:u w:val="single"/>
        </w:rPr>
      </w:pPr>
    </w:p>
    <w:p w14:paraId="445CB83F">
      <w:pPr>
        <w:spacing w:line="400" w:lineRule="exact"/>
        <w:jc w:val="center"/>
        <w:rPr>
          <w:rFonts w:hint="eastAsia"/>
          <w:color w:val="auto"/>
          <w:highlight w:val="none"/>
        </w:rPr>
      </w:pPr>
      <w:r>
        <w:rPr>
          <w:rFonts w:ascii="宋体" w:hAnsi="宋体"/>
          <w:color w:val="auto"/>
          <w:sz w:val="32"/>
          <w:szCs w:val="32"/>
          <w:highlight w:val="none"/>
        </w:rPr>
        <w:br w:type="page" w:clear="all"/>
      </w:r>
      <w:bookmarkStart w:id="62" w:name="_Toc122424245"/>
      <w:r>
        <w:rPr>
          <w:rFonts w:hint="eastAsia" w:ascii="宋体" w:hAnsi="宋体"/>
          <w:b/>
          <w:color w:val="auto"/>
          <w:sz w:val="32"/>
          <w:szCs w:val="32"/>
          <w:highlight w:val="none"/>
        </w:rPr>
        <w:t>第二章 供应商须知</w:t>
      </w:r>
      <w:bookmarkEnd w:id="62"/>
    </w:p>
    <w:p w14:paraId="01E1842C">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0F0994BA">
      <w:pPr>
        <w:spacing w:line="400" w:lineRule="exact"/>
        <w:jc w:val="center"/>
        <w:rPr>
          <w:rFonts w:hint="eastAsia" w:ascii="宋体" w:hAnsi="宋体"/>
          <w:b/>
          <w:color w:val="auto"/>
          <w:sz w:val="32"/>
          <w:szCs w:val="32"/>
          <w:highlight w:val="none"/>
        </w:rPr>
      </w:pPr>
    </w:p>
    <w:tbl>
      <w:tblPr>
        <w:tblStyle w:val="3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84B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top"/>
          </w:tcPr>
          <w:p w14:paraId="11A4EDC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noWrap w:val="0"/>
            <w:vAlign w:val="top"/>
          </w:tcPr>
          <w:p w14:paraId="6E28EBE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534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063B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FBD5408">
            <w:pPr>
              <w:spacing w:line="360" w:lineRule="auto"/>
              <w:rPr>
                <w:rFonts w:hint="eastAsia" w:ascii="宋体" w:hAnsi="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w:t>
            </w:r>
            <w:r>
              <w:rPr>
                <w:rFonts w:hint="eastAsia" w:ascii="宋体" w:hAnsi="宋体" w:cs="宋体"/>
                <w:bCs/>
                <w:color w:val="auto"/>
                <w:szCs w:val="21"/>
                <w:highlight w:val="none"/>
              </w:rPr>
              <w:t>详见竞争性磋商公告</w:t>
            </w:r>
          </w:p>
        </w:tc>
      </w:tr>
      <w:tr w14:paraId="21BE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8350E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673915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7B6B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55AC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0363BAA">
            <w:pPr>
              <w:pStyle w:val="22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2AE0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B1AA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5AC370A">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BE12E70">
            <w:pPr>
              <w:pStyle w:val="22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1.供应商为法人或者其他组织的提供其营业执照等证明文件复印件或扫描件（如营业执照或者事业单位法人证书或者执业许可证或者登记证书等）；（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必须提供，否则响应文件按无效处理</w:t>
            </w:r>
            <w:r>
              <w:rPr>
                <w:rFonts w:hint="eastAsia" w:ascii="宋体" w:hAnsi="宋体" w:cs="宋体"/>
                <w:color w:val="auto"/>
                <w:szCs w:val="21"/>
                <w:highlight w:val="none"/>
                <w:lang w:val="en-US" w:eastAsia="zh-CN"/>
              </w:rPr>
              <w:t>）</w:t>
            </w:r>
          </w:p>
          <w:p w14:paraId="1C17497E">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2.供应商根据防财监〔2023〕58号文要求提供的《防城港市政府采购供应商信用承诺函》（格式附后）；（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D8EDC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33857A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6E27E36">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5.供应商的《中小企业声明函》或《残疾人福利性单位声明函》或属于监狱企业的证明文件</w:t>
            </w:r>
            <w:r>
              <w:rPr>
                <w:rFonts w:hint="eastAsia" w:ascii="宋体" w:hAnsi="宋体" w:cs="宋体"/>
                <w:iCs/>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05655204">
            <w:pPr>
              <w:spacing w:line="360" w:lineRule="auto"/>
              <w:rPr>
                <w:rFonts w:hint="eastAsia" w:cs="Arial"/>
                <w:color w:val="auto"/>
                <w:szCs w:val="21"/>
                <w:highlight w:val="none"/>
              </w:rPr>
            </w:pPr>
            <w:r>
              <w:rPr>
                <w:rFonts w:hint="eastAsia" w:cs="Arial"/>
                <w:color w:val="auto"/>
                <w:szCs w:val="21"/>
                <w:highlight w:val="none"/>
                <w:lang w:val="en-US" w:eastAsia="zh-CN"/>
              </w:rPr>
              <w:t>6</w:t>
            </w:r>
            <w:r>
              <w:rPr>
                <w:rFonts w:hint="eastAsia" w:ascii="宋体" w:hAnsi="宋体" w:cs="宋体"/>
                <w:color w:val="auto"/>
                <w:szCs w:val="21"/>
                <w:highlight w:val="none"/>
              </w:rPr>
              <w:t>.</w:t>
            </w:r>
            <w:r>
              <w:rPr>
                <w:rFonts w:hint="eastAsia" w:cs="Arial"/>
                <w:color w:val="auto"/>
                <w:szCs w:val="21"/>
                <w:highlight w:val="none"/>
              </w:rPr>
              <w:t>除磋商文件规定必须提供以外，供应商认为需要提供的其他证明材料。</w:t>
            </w:r>
          </w:p>
          <w:p w14:paraId="3FD14045">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3D69748E">
            <w:pPr>
              <w:spacing w:line="360" w:lineRule="auto"/>
              <w:ind w:firstLine="413"/>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tc>
      </w:tr>
      <w:tr w14:paraId="012C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C6A8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63E2261">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624A29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59DE3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2232C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2520A76">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4CC3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8953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9F0CAF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436F4E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A9AB8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9EEAE3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F5AA0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52E0E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cs="宋体"/>
                <w:color w:val="auto"/>
                <w:highlight w:val="none"/>
              </w:rPr>
              <w:t>建设工程项目管理承诺书</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41DAC2">
            <w:pPr>
              <w:spacing w:line="360" w:lineRule="auto"/>
              <w:rPr>
                <w:color w:val="auto"/>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技术要求偏离表</w:t>
            </w:r>
            <w:r>
              <w:rPr>
                <w:rFonts w:hint="eastAsia" w:ascii="宋体" w:hAnsi="宋体" w:cs="Courier New"/>
                <w:color w:val="auto"/>
                <w:spacing w:val="2"/>
                <w:highlight w:val="none"/>
              </w:rPr>
              <w:t>（格式后附）；</w:t>
            </w:r>
            <w:r>
              <w:rPr>
                <w:rFonts w:hint="eastAsia" w:ascii="宋体" w:hAnsi="宋体" w:cs="Courier New"/>
                <w:b/>
                <w:color w:val="auto"/>
                <w:spacing w:val="2"/>
                <w:highlight w:val="none"/>
              </w:rPr>
              <w:t>（必须提供，否则响应文件按无效处理）</w:t>
            </w:r>
          </w:p>
          <w:p w14:paraId="5F418922">
            <w:pPr>
              <w:spacing w:line="360" w:lineRule="auto"/>
              <w:rPr>
                <w:rFonts w:ascii="宋体" w:hAnsi="宋体" w:cs="Courier New"/>
                <w:bCs/>
                <w:color w:val="auto"/>
                <w:spacing w:val="2"/>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bCs/>
                <w:color w:val="auto"/>
                <w:highlight w:val="none"/>
              </w:rPr>
              <w:t>商务要求</w:t>
            </w:r>
            <w:r>
              <w:rPr>
                <w:rFonts w:hint="eastAsia" w:ascii="宋体" w:hAnsi="宋体" w:cs="宋体"/>
                <w:color w:val="auto"/>
                <w:szCs w:val="21"/>
                <w:highlight w:val="none"/>
              </w:rPr>
              <w:t>偏离表</w:t>
            </w:r>
            <w:r>
              <w:rPr>
                <w:rFonts w:hint="eastAsia" w:ascii="宋体" w:hAnsi="宋体" w:cs="Courier New"/>
                <w:color w:val="auto"/>
                <w:spacing w:val="2"/>
                <w:highlight w:val="none"/>
              </w:rPr>
              <w:t>（格式后附）；</w:t>
            </w:r>
            <w:r>
              <w:rPr>
                <w:rFonts w:hint="eastAsia" w:ascii="宋体" w:hAnsi="宋体" w:cs="Courier New"/>
                <w:b/>
                <w:color w:val="auto"/>
                <w:spacing w:val="2"/>
                <w:highlight w:val="none"/>
              </w:rPr>
              <w:t>（必须提供，否则响应文件按无效处理）</w:t>
            </w:r>
          </w:p>
          <w:p w14:paraId="0D5031E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C0906B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9F19B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72B6C0A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0D37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327CA0">
            <w:pPr>
              <w:spacing w:line="360" w:lineRule="auto"/>
              <w:jc w:val="center"/>
              <w:rPr>
                <w:rFonts w:hint="eastAsia" w:ascii="宋体" w:hAnsi="宋体" w:cs="宋体"/>
                <w:color w:val="auto"/>
                <w:szCs w:val="21"/>
                <w:highlight w:val="none"/>
              </w:rPr>
            </w:pPr>
            <w:r>
              <w:rPr>
                <w:rFonts w:hint="eastAsia"/>
                <w:color w:val="auto"/>
                <w:highlight w:val="none"/>
              </w:rPr>
              <w:t>15.1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5C4C79C7">
            <w:pPr>
              <w:spacing w:line="360" w:lineRule="auto"/>
              <w:contextualSpacing/>
              <w:jc w:val="left"/>
              <w:rPr>
                <w:rFonts w:hint="eastAsia" w:ascii="宋体" w:hAnsi="宋体"/>
                <w:color w:val="auto"/>
                <w:szCs w:val="21"/>
                <w:highlight w:val="none"/>
              </w:rPr>
            </w:pPr>
            <w:bookmarkStart w:id="63" w:name="OLE_LINK54"/>
            <w:r>
              <w:rPr>
                <w:rFonts w:hint="eastAsia" w:ascii="宋体" w:hAnsi="宋体"/>
                <w:color w:val="auto"/>
                <w:szCs w:val="21"/>
                <w:highlight w:val="none"/>
              </w:rPr>
              <w:t>竞标报价应按磋商文件中“竞标报价表”及“已标价工程量清单”格式填写。</w:t>
            </w:r>
            <w:bookmarkEnd w:id="63"/>
          </w:p>
        </w:tc>
      </w:tr>
      <w:tr w14:paraId="4D952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EA89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559D18D">
            <w:pPr>
              <w:spacing w:line="360" w:lineRule="auto"/>
              <w:contextualSpacing/>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竞标报价是履行合同的最终价格，包括</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r>
              <w:rPr>
                <w:rFonts w:hint="eastAsia" w:ascii="宋体" w:hAnsi="宋体"/>
                <w:b/>
                <w:color w:val="auto"/>
                <w:szCs w:val="21"/>
                <w:highlight w:val="none"/>
              </w:rPr>
              <w:t>（</w:t>
            </w:r>
            <w:r>
              <w:rPr>
                <w:rFonts w:hint="eastAsia" w:ascii="宋体" w:hAnsi="宋体" w:cs="宋体"/>
                <w:b/>
                <w:bCs/>
                <w:color w:val="auto"/>
                <w:highlight w:val="none"/>
              </w:rPr>
              <w:t>磋商过程中，供应商的最后报价如有变动，则必须以工程量清单报价表的格式编制提交，供应商须提前做好相关准备并按时递交最后报价文件，否则磋商无效。</w:t>
            </w:r>
            <w:r>
              <w:rPr>
                <w:rFonts w:hint="eastAsia" w:ascii="宋体" w:hAnsi="宋体" w:cs="宋体"/>
                <w:b/>
                <w:bCs/>
                <w:color w:val="auto"/>
                <w:highlight w:val="none"/>
                <w:lang w:eastAsia="zh-CN"/>
              </w:rPr>
              <w:t>）</w:t>
            </w:r>
          </w:p>
        </w:tc>
      </w:tr>
      <w:tr w14:paraId="3F23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3489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58FF498">
            <w:pPr>
              <w:tabs>
                <w:tab w:val="left" w:pos="3164"/>
              </w:tabs>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本工程增值税计税方法：一般计税法</w:t>
            </w:r>
          </w:p>
        </w:tc>
      </w:tr>
      <w:tr w14:paraId="67B6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1EEF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50F9D54">
            <w:pPr>
              <w:pStyle w:val="216"/>
              <w:widowControl w:val="0"/>
              <w:spacing w:line="360" w:lineRule="auto"/>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日。</w:t>
            </w:r>
          </w:p>
        </w:tc>
      </w:tr>
      <w:tr w14:paraId="67D0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96BC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0A979BB">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706B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06F0DD">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55A07CB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656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43E7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57E2130">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A342E3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025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011C8F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DD913A2">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581B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BA462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B014C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5336767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244D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4699D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3B7CCB2">
            <w:pPr>
              <w:spacing w:line="360" w:lineRule="auto"/>
              <w:contextualSpacing/>
              <w:jc w:val="left"/>
              <w:rPr>
                <w:rFonts w:hint="eastAsia"/>
                <w:color w:val="auto"/>
                <w:highlight w:val="none"/>
              </w:rPr>
            </w:pPr>
            <w:r>
              <w:rPr>
                <w:rFonts w:hint="eastAsia" w:ascii="宋体" w:hAnsi="宋体" w:cs="宋体"/>
                <w:color w:val="auto"/>
                <w:szCs w:val="21"/>
                <w:highlight w:val="none"/>
              </w:rPr>
              <w:t>本项目不收取履约保证金。</w:t>
            </w:r>
          </w:p>
        </w:tc>
      </w:tr>
      <w:tr w14:paraId="2E1C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74223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50603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57BD762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D944669">
            <w:pPr>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53E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6D628D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1675FC6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接收质疑函方式：书面形式或者</w:t>
            </w:r>
            <w:r>
              <w:rPr>
                <w:rFonts w:hint="eastAsia" w:ascii="宋体" w:hAnsi="宋体"/>
                <w:color w:val="auto"/>
                <w:szCs w:val="21"/>
                <w:highlight w:val="none"/>
              </w:rPr>
              <w:t>广西政府采购云平台</w:t>
            </w:r>
            <w:r>
              <w:rPr>
                <w:rFonts w:hint="eastAsia" w:ascii="宋体" w:hAnsi="宋体" w:cs="宋体"/>
                <w:color w:val="auto"/>
                <w:szCs w:val="21"/>
                <w:highlight w:val="none"/>
              </w:rPr>
              <w:t>在线形式</w:t>
            </w:r>
            <w:r>
              <w:rPr>
                <w:rFonts w:hint="eastAsia" w:ascii="宋体" w:hAnsi="宋体" w:cs="宋体"/>
                <w:color w:val="auto"/>
                <w:szCs w:val="21"/>
                <w:highlight w:val="none"/>
                <w:lang w:eastAsia="zh-CN"/>
              </w:rPr>
              <w:t>。</w:t>
            </w:r>
          </w:p>
          <w:p w14:paraId="2E18FA9B">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质疑联系部门及联系方式：</w:t>
            </w:r>
            <w:r>
              <w:rPr>
                <w:rFonts w:hint="eastAsia" w:hAnsi="宋体" w:cs="宋体"/>
                <w:color w:val="auto"/>
                <w:sz w:val="21"/>
                <w:highlight w:val="none"/>
                <w:u w:val="single"/>
                <w:lang w:val="en-US" w:eastAsia="zh-CN"/>
              </w:rPr>
              <w:t>云之龙咨询集团有限公司防城港市分公司</w:t>
            </w:r>
            <w:r>
              <w:rPr>
                <w:rFonts w:hint="eastAsia" w:hAnsi="宋体" w:cs="宋体"/>
                <w:color w:val="auto"/>
                <w:sz w:val="21"/>
                <w:highlight w:val="none"/>
                <w:lang w:val="en-US" w:eastAsia="zh-CN"/>
              </w:rPr>
              <w:t>，联系电话：0770-2882899，通讯地址：防城港市港口区桃花湾广场海悦华府一单元12楼1203室</w:t>
            </w:r>
          </w:p>
          <w:p w14:paraId="42F26306">
            <w:pPr>
              <w:spacing w:line="360" w:lineRule="auto"/>
              <w:rPr>
                <w:rFonts w:hint="eastAsia" w:ascii="宋体" w:hAnsi="宋体"/>
                <w:color w:val="auto"/>
                <w:szCs w:val="21"/>
                <w:highlight w:val="none"/>
              </w:rPr>
            </w:pPr>
            <w:r>
              <w:rPr>
                <w:rFonts w:hint="eastAsia" w:hAnsi="宋体" w:cs="宋体"/>
                <w:color w:val="auto"/>
                <w:highlight w:val="none"/>
              </w:rPr>
              <w:t>业</w:t>
            </w:r>
            <w:r>
              <w:rPr>
                <w:rFonts w:hint="eastAsia" w:ascii="宋体" w:hAnsi="宋体" w:cs="宋体"/>
                <w:color w:val="auto"/>
                <w:highlight w:val="none"/>
              </w:rPr>
              <w:t>务时间：工作日每天上午</w:t>
            </w:r>
            <w:r>
              <w:rPr>
                <w:rFonts w:ascii="宋体" w:hAnsi="宋体" w:cs="宋体"/>
                <w:color w:val="auto"/>
                <w:highlight w:val="none"/>
              </w:rPr>
              <w:t>8</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分到</w:t>
            </w:r>
            <w:r>
              <w:rPr>
                <w:rFonts w:ascii="宋体" w:hAnsi="宋体" w:cs="宋体"/>
                <w:color w:val="auto"/>
                <w:highlight w:val="none"/>
              </w:rPr>
              <w:t>12</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分，下午</w:t>
            </w:r>
            <w:r>
              <w:rPr>
                <w:rFonts w:ascii="宋体" w:hAnsi="宋体" w:cs="宋体"/>
                <w:color w:val="auto"/>
                <w:highlight w:val="none"/>
              </w:rPr>
              <w:t>3</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分到</w:t>
            </w:r>
            <w:r>
              <w:rPr>
                <w:rFonts w:ascii="宋体" w:hAnsi="宋体" w:cs="宋体"/>
                <w:color w:val="auto"/>
                <w:highlight w:val="none"/>
              </w:rPr>
              <w:t>6</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w:t>
            </w:r>
          </w:p>
        </w:tc>
      </w:tr>
      <w:tr w14:paraId="3EF1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FB8BC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65A3020">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7784544D">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本项目代理服务费由成交供应商一次性向采购代理机构支付。</w:t>
            </w:r>
          </w:p>
          <w:p w14:paraId="2C2CE594">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8D2032D">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以成交金额为计费额，按本须知正文第32.2条规定的工程类收费标准采用差额定率累进法计算出收费基准价格，采购代理收费以收费基准价格收取。</w:t>
            </w:r>
          </w:p>
          <w:p w14:paraId="7D5D96F9">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4B4E5983">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账户名称：云之龙咨询集团有限公司防城港分公司</w:t>
            </w:r>
          </w:p>
          <w:p w14:paraId="0E08F7E9">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4085B7BC">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1FBF9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4E56A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45D99DA">
            <w:pPr>
              <w:pStyle w:val="230"/>
              <w:spacing w:line="360" w:lineRule="auto"/>
              <w:rPr>
                <w:rFonts w:hint="eastAsia" w:hAnsi="宋体" w:cs="宋体"/>
                <w:color w:val="auto"/>
                <w:sz w:val="21"/>
                <w:highlight w:val="none"/>
                <w:lang w:val="en-US" w:eastAsia="zh-CN"/>
              </w:rPr>
            </w:pPr>
            <w:r>
              <w:rPr>
                <w:rFonts w:hint="eastAsia" w:hAnsi="宋体"/>
                <w:color w:val="auto"/>
                <w:sz w:val="21"/>
                <w:highlight w:val="none"/>
                <w:lang w:val="en-US" w:eastAsia="zh-CN"/>
              </w:rPr>
              <w:t>解释：</w:t>
            </w:r>
            <w:r>
              <w:rPr>
                <w:rFonts w:hAnsi="宋体"/>
                <w:color w:val="auto"/>
                <w:sz w:val="21"/>
                <w:highlight w:val="none"/>
                <w:lang w:val="en-US" w:eastAsia="zh-CN"/>
              </w:rPr>
              <w:t>构成本</w:t>
            </w:r>
            <w:r>
              <w:rPr>
                <w:rFonts w:hint="eastAsia" w:hAnsi="宋体"/>
                <w:color w:val="auto"/>
                <w:sz w:val="21"/>
                <w:highlight w:val="none"/>
                <w:lang w:val="en-US" w:eastAsia="zh-CN"/>
              </w:rPr>
              <w:t>磋商文件</w:t>
            </w:r>
            <w:r>
              <w:rPr>
                <w:rFonts w:hAnsi="宋体"/>
                <w:color w:val="auto"/>
                <w:sz w:val="21"/>
                <w:highlight w:val="none"/>
                <w:lang w:val="en-US" w:eastAsia="zh-CN"/>
              </w:rPr>
              <w:t>的各个组成文件应互为解释，互为说明；除</w:t>
            </w:r>
            <w:r>
              <w:rPr>
                <w:rFonts w:hint="eastAsia" w:hAnsi="宋体"/>
                <w:color w:val="auto"/>
                <w:sz w:val="21"/>
                <w:highlight w:val="none"/>
                <w:lang w:val="en-US" w:eastAsia="zh-CN"/>
              </w:rPr>
              <w:t>磋商文件</w:t>
            </w:r>
            <w:r>
              <w:rPr>
                <w:rFonts w:hAnsi="宋体"/>
                <w:color w:val="auto"/>
                <w:sz w:val="21"/>
                <w:highlight w:val="none"/>
                <w:lang w:val="en-US" w:eastAsia="zh-CN"/>
              </w:rPr>
              <w:t>中有特别规定外，仅适用于</w:t>
            </w:r>
            <w:r>
              <w:rPr>
                <w:rFonts w:hint="eastAsia" w:hAnsi="宋体"/>
                <w:color w:val="auto"/>
                <w:sz w:val="21"/>
                <w:highlight w:val="none"/>
                <w:lang w:val="en-US" w:eastAsia="zh-CN"/>
              </w:rPr>
              <w:t>竞标</w:t>
            </w:r>
            <w:r>
              <w:rPr>
                <w:rFonts w:hAnsi="宋体"/>
                <w:color w:val="auto"/>
                <w:sz w:val="21"/>
                <w:highlight w:val="none"/>
                <w:lang w:val="en-US" w:eastAsia="zh-CN"/>
              </w:rPr>
              <w:t>阶段的规定，按</w:t>
            </w:r>
            <w:r>
              <w:rPr>
                <w:rFonts w:hint="eastAsia" w:hAnsi="宋体"/>
                <w:color w:val="auto"/>
                <w:sz w:val="21"/>
                <w:highlight w:val="none"/>
                <w:lang w:val="en-US" w:eastAsia="zh-CN"/>
              </w:rPr>
              <w:t>更正公告（澄清公告）</w:t>
            </w:r>
            <w:r>
              <w:rPr>
                <w:rFonts w:hAnsi="宋体"/>
                <w:color w:val="auto"/>
                <w:sz w:val="21"/>
                <w:highlight w:val="none"/>
                <w:lang w:val="en-US" w:eastAsia="zh-CN"/>
              </w:rPr>
              <w:t>、</w:t>
            </w:r>
            <w:r>
              <w:rPr>
                <w:rFonts w:hint="eastAsia" w:hAnsi="宋体"/>
                <w:color w:val="auto"/>
                <w:sz w:val="21"/>
                <w:highlight w:val="none"/>
                <w:lang w:val="en-US" w:eastAsia="zh-CN"/>
              </w:rPr>
              <w:t>竞争性磋商</w:t>
            </w:r>
            <w:r>
              <w:rPr>
                <w:rFonts w:hAnsi="宋体"/>
                <w:color w:val="auto"/>
                <w:sz w:val="21"/>
                <w:highlight w:val="none"/>
                <w:lang w:val="en-US" w:eastAsia="zh-CN"/>
              </w:rPr>
              <w:t>公告、</w:t>
            </w:r>
            <w:r>
              <w:rPr>
                <w:rFonts w:hint="eastAsia" w:hAnsi="宋体"/>
                <w:color w:val="auto"/>
                <w:sz w:val="21"/>
                <w:highlight w:val="none"/>
                <w:lang w:val="en-US" w:eastAsia="zh-CN"/>
              </w:rPr>
              <w:t>供应商</w:t>
            </w:r>
            <w:r>
              <w:rPr>
                <w:rFonts w:hAnsi="宋体"/>
                <w:color w:val="auto"/>
                <w:sz w:val="21"/>
                <w:highlight w:val="none"/>
                <w:lang w:val="en-US" w:eastAsia="zh-CN"/>
              </w:rPr>
              <w:t>须知</w:t>
            </w:r>
            <w:r>
              <w:rPr>
                <w:rFonts w:hint="eastAsia" w:hAnsi="宋体"/>
                <w:color w:val="auto"/>
                <w:sz w:val="21"/>
                <w:highlight w:val="none"/>
                <w:lang w:val="en-US" w:eastAsia="zh-CN"/>
              </w:rPr>
              <w:t>、采购需求</w:t>
            </w:r>
            <w:r>
              <w:rPr>
                <w:rFonts w:hAnsi="宋体"/>
                <w:color w:val="auto"/>
                <w:sz w:val="21"/>
                <w:highlight w:val="none"/>
                <w:lang w:val="en-US" w:eastAsia="zh-CN"/>
              </w:rPr>
              <w:t>、</w:t>
            </w:r>
            <w:r>
              <w:rPr>
                <w:rFonts w:hint="eastAsia"/>
                <w:color w:val="auto"/>
                <w:sz w:val="21"/>
                <w:highlight w:val="none"/>
                <w:lang w:val="en-US" w:eastAsia="zh-CN"/>
              </w:rPr>
              <w:t>评审程序、评审方法和评审标准</w:t>
            </w:r>
            <w:r>
              <w:rPr>
                <w:rFonts w:hAnsi="宋体"/>
                <w:color w:val="auto"/>
                <w:sz w:val="21"/>
                <w:highlight w:val="none"/>
                <w:lang w:val="en-US" w:eastAsia="zh-CN"/>
              </w:rPr>
              <w:t>、</w:t>
            </w:r>
            <w:r>
              <w:rPr>
                <w:rFonts w:hint="eastAsia" w:hAnsi="宋体"/>
                <w:color w:val="auto"/>
                <w:sz w:val="21"/>
                <w:highlight w:val="none"/>
                <w:lang w:val="en-US" w:eastAsia="zh-CN"/>
              </w:rPr>
              <w:t>响应</w:t>
            </w:r>
            <w:r>
              <w:rPr>
                <w:rFonts w:hAnsi="宋体"/>
                <w:color w:val="auto"/>
                <w:sz w:val="21"/>
                <w:highlight w:val="none"/>
                <w:lang w:val="en-US" w:eastAsia="zh-CN"/>
              </w:rPr>
              <w:t>文件格式</w:t>
            </w:r>
            <w:r>
              <w:rPr>
                <w:rFonts w:hint="eastAsia" w:hAnsi="宋体"/>
                <w:color w:val="auto"/>
                <w:sz w:val="21"/>
                <w:highlight w:val="none"/>
                <w:lang w:val="en-US" w:eastAsia="zh-CN"/>
              </w:rPr>
              <w:t>、合同文本</w:t>
            </w:r>
            <w:r>
              <w:rPr>
                <w:rFonts w:hAnsi="宋体"/>
                <w:color w:val="auto"/>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lang w:val="en-US" w:eastAsia="zh-CN"/>
              </w:rPr>
              <w:t>更正公告（澄清公告）</w:t>
            </w:r>
            <w:r>
              <w:rPr>
                <w:rFonts w:hAnsi="宋体"/>
                <w:color w:val="auto"/>
                <w:sz w:val="21"/>
                <w:highlight w:val="none"/>
                <w:lang w:val="en-US" w:eastAsia="zh-CN"/>
              </w:rPr>
              <w:t>与同步更新的</w:t>
            </w:r>
            <w:r>
              <w:rPr>
                <w:rFonts w:hint="eastAsia" w:hAnsi="宋体"/>
                <w:color w:val="auto"/>
                <w:sz w:val="21"/>
                <w:highlight w:val="none"/>
                <w:lang w:val="en-US" w:eastAsia="zh-CN"/>
              </w:rPr>
              <w:t>磋商文件</w:t>
            </w:r>
            <w:r>
              <w:rPr>
                <w:rFonts w:hAnsi="宋体"/>
                <w:color w:val="auto"/>
                <w:sz w:val="21"/>
                <w:highlight w:val="none"/>
                <w:lang w:val="en-US" w:eastAsia="zh-CN"/>
              </w:rPr>
              <w:t>不一致时以</w:t>
            </w:r>
            <w:r>
              <w:rPr>
                <w:rFonts w:hint="eastAsia" w:hAnsi="宋体"/>
                <w:color w:val="auto"/>
                <w:sz w:val="21"/>
                <w:highlight w:val="none"/>
                <w:lang w:val="en-US" w:eastAsia="zh-CN"/>
              </w:rPr>
              <w:t>更正公告（澄清公告）</w:t>
            </w:r>
            <w:r>
              <w:rPr>
                <w:rFonts w:hAnsi="宋体"/>
                <w:color w:val="auto"/>
                <w:sz w:val="21"/>
                <w:highlight w:val="none"/>
                <w:lang w:val="en-US" w:eastAsia="zh-CN"/>
              </w:rPr>
              <w:t>为准。按本款前述规定仍不能形成结论的，由</w:t>
            </w:r>
            <w:r>
              <w:rPr>
                <w:rFonts w:hint="eastAsia" w:hAnsi="宋体"/>
                <w:color w:val="auto"/>
                <w:sz w:val="21"/>
                <w:highlight w:val="none"/>
                <w:lang w:val="en-US" w:eastAsia="zh-CN"/>
              </w:rPr>
              <w:t>采购</w:t>
            </w:r>
            <w:r>
              <w:rPr>
                <w:rFonts w:hAnsi="宋体"/>
                <w:color w:val="auto"/>
                <w:sz w:val="21"/>
                <w:highlight w:val="none"/>
                <w:lang w:val="en-US" w:eastAsia="zh-CN"/>
              </w:rPr>
              <w:t>人</w:t>
            </w:r>
            <w:r>
              <w:rPr>
                <w:rFonts w:hint="eastAsia" w:hAnsi="宋体"/>
                <w:color w:val="auto"/>
                <w:sz w:val="21"/>
                <w:highlight w:val="none"/>
                <w:lang w:val="en-US" w:eastAsia="zh-CN"/>
              </w:rPr>
              <w:t>或者采购代理机构</w:t>
            </w:r>
            <w:r>
              <w:rPr>
                <w:rFonts w:hAnsi="宋体"/>
                <w:color w:val="auto"/>
                <w:sz w:val="21"/>
                <w:highlight w:val="none"/>
                <w:lang w:val="en-US" w:eastAsia="zh-CN"/>
              </w:rPr>
              <w:t>负责解释。</w:t>
            </w:r>
          </w:p>
        </w:tc>
      </w:tr>
      <w:tr w14:paraId="5967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EF90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C9F18C9">
            <w:pPr>
              <w:pStyle w:val="230"/>
              <w:spacing w:line="360" w:lineRule="auto"/>
              <w:rPr>
                <w:rFonts w:hint="eastAsia" w:hAnsi="宋体"/>
                <w:color w:val="auto"/>
                <w:sz w:val="21"/>
                <w:highlight w:val="none"/>
                <w:lang w:val="en-US" w:eastAsia="zh-CN"/>
              </w:rPr>
            </w:pPr>
            <w:r>
              <w:rPr>
                <w:rFonts w:hint="eastAsia" w:hAnsi="宋体"/>
                <w:color w:val="auto"/>
                <w:sz w:val="21"/>
                <w:highlight w:val="none"/>
                <w:lang w:val="en-US" w:eastAsia="zh-CN"/>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F49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DFA8C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3099470">
            <w:pPr>
              <w:pStyle w:val="23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竞标专用章、业务专用章及银行的转账章、现金收讫章、现金付讫章等其他形式印章均不能代替公章。</w:t>
            </w:r>
          </w:p>
          <w:p w14:paraId="7EC1FA19">
            <w:pPr>
              <w:pStyle w:val="230"/>
              <w:spacing w:line="360" w:lineRule="auto"/>
              <w:rPr>
                <w:rFonts w:hint="eastAsia" w:hAnsi="宋体" w:cs="宋体"/>
                <w:color w:val="auto"/>
                <w:sz w:val="21"/>
                <w:highlight w:val="none"/>
                <w:lang w:val="en-US" w:eastAsia="zh-CN"/>
              </w:rPr>
            </w:pPr>
            <w:r>
              <w:rPr>
                <w:rFonts w:hint="eastAsia" w:hAnsi="宋体" w:cs="宋体"/>
                <w:bCs/>
                <w:color w:val="auto"/>
                <w:sz w:val="21"/>
                <w:highlight w:val="none"/>
                <w:lang w:val="en-US" w:eastAsia="zh-CN"/>
              </w:rPr>
              <w:t>2.本磋商文件所称的“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w:t>
            </w:r>
            <w:r>
              <w:rPr>
                <w:rFonts w:hAnsi="宋体"/>
                <w:bCs/>
                <w:color w:val="auto"/>
                <w:sz w:val="21"/>
                <w:highlight w:val="none"/>
                <w:lang w:val="en-US" w:eastAsia="zh-CN"/>
              </w:rPr>
              <w:t>广西政府采购云平台</w:t>
            </w:r>
            <w:r>
              <w:rPr>
                <w:rFonts w:hint="eastAsia" w:hAnsi="宋体"/>
                <w:color w:val="auto"/>
                <w:sz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52E8979A">
            <w:pPr>
              <w:pStyle w:val="230"/>
              <w:spacing w:line="360" w:lineRule="auto"/>
              <w:rPr>
                <w:rFonts w:hint="eastAsia" w:hAnsi="宋体" w:cs="宋体"/>
                <w:bCs/>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.供应商为其他组织时，本磋商文件规定的法定代表人指负责人。本磋商文件所称负责人是指参加竞标的其他组织</w:t>
            </w:r>
            <w:r>
              <w:rPr>
                <w:rFonts w:hint="eastAsia" w:hAnsi="宋体" w:cs="宋体"/>
                <w:bCs/>
                <w:color w:val="auto"/>
                <w:sz w:val="21"/>
                <w:highlight w:val="none"/>
                <w:lang w:val="en-US" w:eastAsia="zh-CN"/>
              </w:rPr>
              <w:t>营业执照或者执业许可证等证照上的</w:t>
            </w:r>
            <w:r>
              <w:rPr>
                <w:rFonts w:hint="eastAsia" w:hAnsi="宋体" w:cs="宋体"/>
                <w:color w:val="auto"/>
                <w:sz w:val="21"/>
                <w:highlight w:val="none"/>
                <w:lang w:val="en-US" w:eastAsia="zh-CN"/>
              </w:rPr>
              <w:t>负责人</w:t>
            </w:r>
            <w:r>
              <w:rPr>
                <w:rFonts w:hint="eastAsia" w:hAnsi="宋体" w:cs="宋体"/>
                <w:bCs/>
                <w:color w:val="auto"/>
                <w:sz w:val="21"/>
                <w:highlight w:val="none"/>
                <w:lang w:val="en-US" w:eastAsia="zh-CN"/>
              </w:rPr>
              <w:t>。</w:t>
            </w:r>
          </w:p>
          <w:p w14:paraId="0C1382E6">
            <w:pPr>
              <w:pStyle w:val="230"/>
              <w:spacing w:line="360" w:lineRule="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68D49481">
            <w:pPr>
              <w:pStyle w:val="23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本磋商文件所称的“以上”“以下”“以内”“届满”，包括本数；所称的“不满”“超过”“以外”，不包括本数。</w:t>
            </w:r>
          </w:p>
        </w:tc>
      </w:tr>
    </w:tbl>
    <w:p w14:paraId="5BE7147B">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6A28BECC">
      <w:pPr>
        <w:spacing w:line="400" w:lineRule="exact"/>
        <w:jc w:val="center"/>
        <w:rPr>
          <w:rFonts w:hint="eastAsia" w:ascii="宋体" w:hAnsi="宋体"/>
          <w:b/>
          <w:color w:val="auto"/>
          <w:sz w:val="32"/>
          <w:szCs w:val="32"/>
          <w:highlight w:val="none"/>
        </w:rPr>
      </w:pPr>
    </w:p>
    <w:p w14:paraId="39B2974A">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4C821B6">
      <w:pPr>
        <w:spacing w:line="400" w:lineRule="exact"/>
        <w:rPr>
          <w:rFonts w:hint="eastAsia" w:ascii="宋体" w:hAnsi="宋体"/>
          <w:color w:val="auto"/>
          <w:szCs w:val="21"/>
          <w:highlight w:val="none"/>
        </w:rPr>
      </w:pPr>
    </w:p>
    <w:p w14:paraId="3D5B526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870EA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49435D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5F7D34B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304BD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4A631C7">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1B3D0C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91725EB">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252E344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35F352FC">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936EA6A">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F1A48DB">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61D8229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4693B1B">
      <w:pPr>
        <w:spacing w:line="360" w:lineRule="auto"/>
        <w:ind w:firstLine="42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6C5417AB">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1F76362">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853E92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7629F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2487A4DF">
      <w:pPr>
        <w:spacing w:line="360" w:lineRule="auto"/>
        <w:ind w:firstLine="420"/>
        <w:rPr>
          <w:rFonts w:hint="eastAsia" w:cs="宋体"/>
          <w:color w:val="auto"/>
          <w:highlight w:val="none"/>
        </w:rPr>
      </w:pPr>
      <w:r>
        <w:rPr>
          <w:rFonts w:hint="eastAsia" w:ascii="宋体" w:hAnsi="宋体" w:cs="宋体"/>
          <w:color w:val="auto"/>
          <w:szCs w:val="21"/>
          <w:highlight w:val="none"/>
        </w:rPr>
        <w:t>3.2供应商</w:t>
      </w:r>
      <w:r>
        <w:rPr>
          <w:rFonts w:hint="eastAsia" w:cs="宋体"/>
          <w:color w:val="auto"/>
          <w:highlight w:val="none"/>
        </w:rPr>
        <w:t>不得存在下列情形之一：</w:t>
      </w:r>
    </w:p>
    <w:p w14:paraId="4F413816">
      <w:pPr>
        <w:spacing w:line="360" w:lineRule="auto"/>
        <w:ind w:firstLine="420"/>
        <w:rPr>
          <w:rFonts w:hint="eastAsia" w:ascii="宋体" w:hAnsi="宋体" w:cs="宋体"/>
          <w:color w:val="auto"/>
          <w:szCs w:val="21"/>
          <w:highlight w:val="none"/>
        </w:rPr>
      </w:pPr>
      <w:r>
        <w:rPr>
          <w:rFonts w:hint="eastAsia" w:cs="宋体"/>
          <w:color w:val="auto"/>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51096F00">
      <w:pPr>
        <w:spacing w:line="360" w:lineRule="auto"/>
        <w:ind w:firstLine="420"/>
        <w:rPr>
          <w:rFonts w:hint="eastAsia" w:cs="宋体"/>
          <w:color w:val="auto"/>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24ECBD9E">
      <w:pPr>
        <w:spacing w:line="360" w:lineRule="auto"/>
        <w:ind w:firstLine="420"/>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）为本分标的代建人；</w:t>
      </w:r>
    </w:p>
    <w:p w14:paraId="0FC84DDE">
      <w:pPr>
        <w:spacing w:line="360" w:lineRule="auto"/>
        <w:ind w:firstLine="420"/>
        <w:rPr>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）为本分标提供采购代理服务的；</w:t>
      </w:r>
    </w:p>
    <w:p w14:paraId="6C3EB8A6">
      <w:pPr>
        <w:spacing w:line="360" w:lineRule="auto"/>
        <w:ind w:firstLine="42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）与本分标的监理人或代建人或采购代理机构同为一个法定代表人的；</w:t>
      </w:r>
    </w:p>
    <w:p w14:paraId="16BC0B17">
      <w:pPr>
        <w:spacing w:line="360" w:lineRule="auto"/>
        <w:ind w:firstLine="420"/>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）与本分标的监理人或代建人或采购代理机构相互控股或参股的；</w:t>
      </w:r>
    </w:p>
    <w:p w14:paraId="555EAC73">
      <w:pPr>
        <w:spacing w:line="360" w:lineRule="auto"/>
        <w:ind w:firstLine="420"/>
        <w:rPr>
          <w:rFonts w:hint="eastAsia" w:cs="宋体"/>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）与本分标的监理人或代建人或采购代理机构相互任职或工作的；</w:t>
      </w:r>
    </w:p>
    <w:p w14:paraId="3E95D9B2">
      <w:pPr>
        <w:spacing w:line="360" w:lineRule="auto"/>
        <w:ind w:firstLine="420"/>
        <w:rPr>
          <w:color w:val="auto"/>
          <w:highlight w:val="none"/>
        </w:rPr>
      </w:pPr>
      <w:r>
        <w:rPr>
          <w:rFonts w:hint="eastAsia" w:cs="宋体"/>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23D923B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09B25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B828DE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7CEC08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4C8B52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70ED28CE">
      <w:pPr>
        <w:pStyle w:val="194"/>
        <w:keepNext w:val="0"/>
        <w:keepLines w:val="0"/>
        <w:spacing w:before="0" w:after="0" w:line="360" w:lineRule="auto"/>
        <w:ind w:left="420"/>
        <w:rPr>
          <w:rFonts w:hint="eastAsia" w:ascii="宋体" w:hAnsi="宋体"/>
          <w:b w:val="0"/>
          <w:color w:val="auto"/>
          <w:sz w:val="21"/>
          <w:szCs w:val="21"/>
          <w:highlight w:val="none"/>
        </w:rPr>
      </w:pPr>
      <w:bookmarkStart w:id="64" w:name="_Toc254970532"/>
      <w:bookmarkStart w:id="65" w:name="_Toc254970673"/>
      <w:r>
        <w:rPr>
          <w:rFonts w:hint="eastAsia" w:ascii="宋体" w:hAnsi="宋体"/>
          <w:b w:val="0"/>
          <w:color w:val="auto"/>
          <w:sz w:val="21"/>
          <w:szCs w:val="21"/>
          <w:highlight w:val="none"/>
        </w:rPr>
        <w:t>6.1本项目不允许转包。</w:t>
      </w:r>
    </w:p>
    <w:p w14:paraId="0A5BBC5C">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4"/>
      <w:bookmarkEnd w:id="65"/>
    </w:p>
    <w:p w14:paraId="08F50272">
      <w:pPr>
        <w:spacing w:line="360" w:lineRule="auto"/>
        <w:ind w:firstLine="420"/>
        <w:rPr>
          <w:rFonts w:hint="eastAsia"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bookmarkEnd w:id="67"/>
    </w:p>
    <w:p w14:paraId="3DC4B1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151433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7B7294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A85C0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6435A1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7BCB28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8432F3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B2604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72186D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D149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3DF43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或不同供应商报名的IP地址一致的； </w:t>
      </w:r>
    </w:p>
    <w:p w14:paraId="5C09844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858B74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4D316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DC80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88F3F8F">
      <w:pPr>
        <w:tabs>
          <w:tab w:val="left" w:pos="6931"/>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29356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F67E3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FD77E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B5606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3A407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72D0E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331363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933498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41BE12E">
      <w:pPr>
        <w:spacing w:line="360" w:lineRule="auto"/>
        <w:ind w:firstLine="420"/>
        <w:rPr>
          <w:rFonts w:hint="eastAsia" w:ascii="宋体" w:hAnsi="宋体" w:cs="宋体"/>
          <w:color w:val="auto"/>
          <w:szCs w:val="21"/>
          <w:highlight w:val="none"/>
        </w:rPr>
      </w:pPr>
    </w:p>
    <w:p w14:paraId="1DAE6D3B">
      <w:pPr>
        <w:spacing w:line="360" w:lineRule="auto"/>
        <w:ind w:left="1" w:firstLine="417"/>
        <w:jc w:val="center"/>
        <w:rPr>
          <w:rFonts w:hint="eastAsia" w:ascii="宋体" w:hAnsi="宋体"/>
          <w:color w:val="auto"/>
          <w:highlight w:val="none"/>
        </w:rPr>
      </w:pPr>
      <w:bookmarkStart w:id="68" w:name="_Toc254970534"/>
      <w:bookmarkStart w:id="69" w:name="_Toc254970675"/>
    </w:p>
    <w:p w14:paraId="7691D898">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8"/>
      <w:bookmarkEnd w:id="69"/>
    </w:p>
    <w:p w14:paraId="25EA584A">
      <w:pPr>
        <w:spacing w:line="360" w:lineRule="auto"/>
        <w:rPr>
          <w:rFonts w:hint="eastAsia" w:ascii="宋体" w:hAnsi="宋体"/>
          <w:color w:val="auto"/>
          <w:szCs w:val="21"/>
          <w:highlight w:val="none"/>
        </w:rPr>
      </w:pPr>
    </w:p>
    <w:p w14:paraId="721DA5D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62F961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53EA933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0B7D82F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7ACBBE1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270AA5D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5E3DDE7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0BFCDF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162229F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7198A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E0935F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195A60C">
      <w:pPr>
        <w:spacing w:line="360" w:lineRule="auto"/>
        <w:ind w:firstLine="42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1010029B">
      <w:pPr>
        <w:spacing w:line="360" w:lineRule="auto"/>
        <w:rPr>
          <w:rFonts w:hint="eastAsia" w:ascii="宋体" w:hAnsi="宋体"/>
          <w:color w:val="auto"/>
          <w:szCs w:val="21"/>
          <w:highlight w:val="none"/>
        </w:rPr>
      </w:pPr>
    </w:p>
    <w:p w14:paraId="79FE4CB3">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07C11494">
      <w:pPr>
        <w:spacing w:line="360" w:lineRule="auto"/>
        <w:rPr>
          <w:rFonts w:hint="eastAsia" w:ascii="宋体" w:hAnsi="宋体"/>
          <w:color w:val="auto"/>
          <w:szCs w:val="21"/>
          <w:highlight w:val="none"/>
        </w:rPr>
      </w:pPr>
    </w:p>
    <w:p w14:paraId="2F13C7C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9ACD97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6FD889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424FD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5C0BCAE">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9CC6FFE">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C925E75">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E144CBC">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038A8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DAE9B6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C3B06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FC7B3E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CE39109">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15.1</w:t>
      </w:r>
      <w:r>
        <w:rPr>
          <w:rFonts w:hint="eastAsia" w:ascii="宋体" w:hAnsi="宋体"/>
          <w:color w:val="auto"/>
          <w:szCs w:val="21"/>
          <w:highlight w:val="none"/>
        </w:rPr>
        <w:t>竞标报价应按磋商文件中“竞标报价表”及“已标价工程量清单”格式填写</w:t>
      </w:r>
      <w:r>
        <w:rPr>
          <w:rFonts w:hint="eastAsia" w:ascii="宋体" w:hAnsi="宋体"/>
          <w:color w:val="auto"/>
          <w:szCs w:val="21"/>
          <w:highlight w:val="none"/>
          <w:lang w:eastAsia="zh-CN"/>
        </w:rPr>
        <w:t>。</w:t>
      </w:r>
    </w:p>
    <w:p w14:paraId="2A81A122">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2567D17">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6F2CBCA2">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0B6CC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482D335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4F46D40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40C649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7A3DCD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0" w:name="_Hlk42592874"/>
      <w:r>
        <w:rPr>
          <w:rFonts w:hint="eastAsia" w:ascii="宋体" w:hAnsi="宋体" w:cs="宋体"/>
          <w:color w:val="auto"/>
          <w:szCs w:val="21"/>
          <w:highlight w:val="none"/>
        </w:rPr>
        <w:t>竞标报价（包含首次报价、最后报价）超过分项采购预算金额或者单价最高限价的（如有要求），其响应文件将按无效处理。</w:t>
      </w:r>
    </w:p>
    <w:p w14:paraId="3F8433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bookmarkEnd w:id="70"/>
    </w:p>
    <w:p w14:paraId="2756311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6F3BC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DBE0D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54EF6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FB0F96F">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307788C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1AA0051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18.1供应商应先安装“采购云电子交易客户端”（请自行前往</w:t>
      </w:r>
      <w:r>
        <w:rPr>
          <w:rFonts w:ascii="宋体" w:hAnsi="宋体" w:cs="宋体"/>
          <w:bCs/>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ascii="宋体" w:hAnsi="宋体" w:cs="宋体"/>
          <w:bCs/>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576AB1C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ascii="宋体" w:hAnsi="宋体" w:cs="宋体"/>
          <w:bCs/>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2671C4A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3354E7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258F89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49C783F">
      <w:pPr>
        <w:spacing w:line="360" w:lineRule="auto"/>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5D7A196">
      <w:pPr>
        <w:spacing w:line="360" w:lineRule="auto"/>
        <w:ind w:firstLine="420"/>
        <w:rPr>
          <w:rFonts w:hint="eastAsia" w:ascii="宋体" w:hAnsi="宋体" w:cs="宋体"/>
          <w:color w:val="auto"/>
          <w:szCs w:val="21"/>
          <w:highlight w:val="none"/>
        </w:rPr>
      </w:pPr>
      <w:r>
        <w:rPr>
          <w:rFonts w:hint="eastAsia"/>
          <w:color w:val="auto"/>
          <w:highlight w:val="none"/>
        </w:rPr>
        <w:t>电子备份响应文件是指通过“采购云电子竞标客户端”在线编制生成且后缀名为“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4B7829A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A48D691">
      <w:pPr>
        <w:spacing w:line="360" w:lineRule="auto"/>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ascii="宋体" w:hAnsi="宋体"/>
          <w:bCs/>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C02202B">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ascii="宋体" w:hAnsi="宋体" w:cs="宋体"/>
          <w:bCs/>
          <w:color w:val="auto"/>
          <w:szCs w:val="21"/>
          <w:highlight w:val="none"/>
        </w:rPr>
        <w:t>广西政府采购云平台</w:t>
      </w:r>
      <w:r>
        <w:rPr>
          <w:rFonts w:hint="eastAsia" w:ascii="宋体" w:hAnsi="宋体"/>
          <w:color w:val="auto"/>
          <w:szCs w:val="21"/>
          <w:highlight w:val="none"/>
        </w:rPr>
        <w:t>将拒收。</w:t>
      </w:r>
    </w:p>
    <w:p w14:paraId="3088854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51C36E0">
      <w:pPr>
        <w:spacing w:line="360" w:lineRule="auto"/>
        <w:ind w:firstLine="420"/>
        <w:rPr>
          <w:rFonts w:hint="eastAsia" w:hAnsi="宋体"/>
          <w:bCs/>
          <w:color w:val="auto"/>
          <w:szCs w:val="21"/>
          <w:highlight w:val="none"/>
        </w:rPr>
      </w:pPr>
      <w:bookmarkStart w:id="71" w:name="_Toc254970684"/>
      <w:bookmarkStart w:id="72"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Ansi="宋体"/>
          <w:bCs/>
          <w:color w:val="auto"/>
          <w:szCs w:val="21"/>
          <w:highlight w:val="none"/>
        </w:rPr>
        <w:t>广西政府采购云平台</w:t>
      </w:r>
      <w:r>
        <w:rPr>
          <w:rFonts w:hint="eastAsia" w:hAnsi="宋体"/>
          <w:bCs/>
          <w:color w:val="auto"/>
          <w:szCs w:val="21"/>
          <w:highlight w:val="none"/>
        </w:rPr>
        <w:t>将予以拒收。（注：补充、修改或者撤回方式可登录</w:t>
      </w:r>
      <w:r>
        <w:rPr>
          <w:rFonts w:ascii="宋体" w:hAnsi="宋体" w:cs="宋体"/>
          <w:bCs/>
          <w:color w:val="auto"/>
          <w:szCs w:val="21"/>
          <w:highlight w:val="none"/>
        </w:rPr>
        <w:t>广西政府采购云平台</w:t>
      </w:r>
      <w:r>
        <w:rPr>
          <w:rFonts w:hint="eastAsia" w:hAnsi="宋体"/>
          <w:bCs/>
          <w:color w:val="auto"/>
          <w:szCs w:val="21"/>
          <w:highlight w:val="none"/>
        </w:rPr>
        <w:t>，进入“服务中心”中查看 “电子</w:t>
      </w:r>
      <w:r>
        <w:rPr>
          <w:rFonts w:hint="eastAsia" w:hAnsi="宋体"/>
          <w:bCs/>
          <w:color w:val="auto"/>
          <w:szCs w:val="21"/>
          <w:highlight w:val="none"/>
          <w:lang w:val="en-US" w:eastAsia="zh-CN"/>
        </w:rPr>
        <w:t>投标</w:t>
      </w:r>
      <w:r>
        <w:rPr>
          <w:rFonts w:hint="eastAsia" w:hAnsi="宋体"/>
          <w:bCs/>
          <w:color w:val="auto"/>
          <w:szCs w:val="21"/>
          <w:highlight w:val="none"/>
        </w:rPr>
        <w:t>文件制作与投送教程”）</w:t>
      </w:r>
      <w:bookmarkEnd w:id="71"/>
      <w:bookmarkEnd w:id="72"/>
    </w:p>
    <w:p w14:paraId="610599C0">
      <w:pPr>
        <w:pStyle w:val="287"/>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75C89E34">
      <w:pPr>
        <w:spacing w:line="360" w:lineRule="auto"/>
        <w:ind w:firstLine="482"/>
        <w:rPr>
          <w:rFonts w:ascii="黑体" w:hAnsi="黑体" w:eastAsia="黑体" w:cs="宋体"/>
          <w:b/>
          <w:bCs/>
          <w:color w:val="auto"/>
          <w:sz w:val="24"/>
          <w:highlight w:val="none"/>
        </w:rPr>
      </w:pPr>
      <w:bookmarkStart w:id="73" w:name="_Hlk45702405"/>
      <w:r>
        <w:rPr>
          <w:rFonts w:hint="eastAsia" w:ascii="黑体" w:hAnsi="黑体" w:eastAsia="黑体" w:cs="宋体"/>
          <w:b/>
          <w:bCs/>
          <w:color w:val="auto"/>
          <w:sz w:val="24"/>
          <w:highlight w:val="none"/>
        </w:rPr>
        <w:t>22.响应文件的退回</w:t>
      </w:r>
    </w:p>
    <w:p w14:paraId="2015F10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E48A34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09E6302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bookmarkEnd w:id="73"/>
    </w:p>
    <w:p w14:paraId="4AE92223">
      <w:pPr>
        <w:spacing w:line="360" w:lineRule="auto"/>
        <w:rPr>
          <w:rFonts w:hint="eastAsia" w:ascii="宋体" w:hAnsi="宋体"/>
          <w:color w:val="auto"/>
          <w:szCs w:val="21"/>
          <w:highlight w:val="none"/>
        </w:rPr>
      </w:pPr>
    </w:p>
    <w:p w14:paraId="32C82818">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7B61C8A">
      <w:pPr>
        <w:spacing w:line="360" w:lineRule="auto"/>
        <w:ind w:left="420" w:firstLine="420"/>
        <w:rPr>
          <w:rFonts w:hint="eastAsia" w:ascii="宋体" w:hAnsi="宋体"/>
          <w:color w:val="auto"/>
          <w:szCs w:val="21"/>
          <w:highlight w:val="none"/>
        </w:rPr>
      </w:pPr>
    </w:p>
    <w:p w14:paraId="6E2FF02D">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995E3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0B3A2D5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86BED9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ascii="宋体" w:hAnsi="宋体" w:cs="宋体"/>
          <w:bCs/>
          <w:color w:val="auto"/>
          <w:szCs w:val="21"/>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55D24CFB">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538CE6A">
      <w:pPr>
        <w:spacing w:line="360" w:lineRule="auto"/>
        <w:ind w:firstLine="42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ascii="宋体" w:hAnsi="宋体" w:cs="宋体"/>
          <w:bCs/>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ascii="宋体" w:hAnsi="宋体" w:cs="宋体"/>
          <w:bCs/>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0BFEB37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1E19203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216B2946">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00169EA8">
      <w:pPr>
        <w:spacing w:line="360" w:lineRule="auto"/>
        <w:ind w:firstLine="420"/>
        <w:rPr>
          <w:rFonts w:ascii="宋体" w:hAnsi="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9F90C5F">
      <w:pPr>
        <w:spacing w:line="360" w:lineRule="auto"/>
        <w:ind w:firstLine="42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E01CD31">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53DD88C6">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6E52B642">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18DB6DD7">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1F5D33DE">
      <w:pPr>
        <w:spacing w:line="360" w:lineRule="auto"/>
        <w:ind w:firstLine="420"/>
        <w:rPr>
          <w:rFonts w:hint="eastAsia" w:hAnsi="宋体"/>
          <w:color w:val="auto"/>
          <w:highlight w:val="none"/>
        </w:rPr>
      </w:pPr>
      <w:r>
        <w:rPr>
          <w:rFonts w:hint="eastAsia" w:hAnsi="宋体"/>
          <w:color w:val="auto"/>
          <w:highlight w:val="none"/>
        </w:rPr>
        <w:t>（5）其他无法保证电子交易的公平、公正和安全的情况。</w:t>
      </w:r>
    </w:p>
    <w:p w14:paraId="3C57A663">
      <w:pPr>
        <w:spacing w:line="360" w:lineRule="auto"/>
        <w:ind w:firstLine="420"/>
        <w:rPr>
          <w:rFonts w:hint="eastAsia" w:ascii="宋体" w:hAnsi="宋体" w:cs="宋体"/>
          <w:color w:val="auto"/>
          <w:szCs w:val="21"/>
          <w:highlight w:val="none"/>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4BB0367">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551147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EC0304">
      <w:pPr>
        <w:spacing w:line="360" w:lineRule="auto"/>
        <w:ind w:firstLine="42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4"/>
    </w:p>
    <w:p w14:paraId="29941D51">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026C6655">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75A93FD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01B99A5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1DEFC37">
      <w:pPr>
        <w:spacing w:line="360" w:lineRule="auto"/>
        <w:ind w:firstLine="42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6E56C7D">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1E33E46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371918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2855A0FC">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1FAE775">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22153D63">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09731CC">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BA87FF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0E9943">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A9AE32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892ABB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41BF6FC">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29.8供应商可凭中标（成交）通知书或政府采购合同等在内的相关材料、信息，通过中征应收账款融资服务平台向银行业金融机构在线申请“政采贷”融资。</w:t>
      </w:r>
    </w:p>
    <w:p w14:paraId="7514973C">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3A883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300B789">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86B5494">
      <w:pPr>
        <w:pStyle w:val="195"/>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D2D9BE2">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EC2C99A">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F4F7312">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092E977">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5EDBF44">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BD828A5">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6CEFAB2">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C17D66C">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7405874D">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6642B1D">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37C8318A">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329FF53D">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70FF224C">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81C4A46">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79DC211">
      <w:pPr>
        <w:spacing w:line="360" w:lineRule="auto"/>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722FBCE">
      <w:pPr>
        <w:spacing w:line="360" w:lineRule="auto"/>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6EE1544">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BECBB44">
      <w:pPr>
        <w:spacing w:line="360" w:lineRule="auto"/>
        <w:ind w:firstLine="42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A41EAD">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52F3C7B">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w:t>
      </w:r>
    </w:p>
    <w:p w14:paraId="5F2E51CB">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496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14C0A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DBBC49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C0A54D3">
            <w:pPr>
              <w:spacing w:line="360" w:lineRule="auto"/>
              <w:ind w:firstLine="105"/>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07DD16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0B163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12EF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3581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A2365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3BBD50C">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1AD7E93">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1.0% </w:t>
            </w:r>
          </w:p>
        </w:tc>
      </w:tr>
      <w:tr w14:paraId="6863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E0AF5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C5476C7">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50637576">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FF0EFD4">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0.7% </w:t>
            </w:r>
          </w:p>
        </w:tc>
      </w:tr>
      <w:tr w14:paraId="0E23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7A3F0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81A1E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15BE3C5">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AB75A84">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0.55%</w:t>
            </w:r>
          </w:p>
        </w:tc>
      </w:tr>
      <w:tr w14:paraId="73D8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72E843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74B098D">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C520722">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B1423F1">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0.35% </w:t>
            </w:r>
          </w:p>
        </w:tc>
      </w:tr>
      <w:tr w14:paraId="58B3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40698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98C6FD4">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662F890E">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4E79AE8">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0.2%</w:t>
            </w:r>
          </w:p>
        </w:tc>
      </w:tr>
      <w:tr w14:paraId="747F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9F22C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1E0279">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69679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5ABFD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2617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6E1C0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069840D">
            <w:pPr>
              <w:keepNext w:val="0"/>
              <w:keepLines w:val="0"/>
              <w:pageBreakBefore w:val="0"/>
              <w:widowControl w:val="0"/>
              <w:kinsoku/>
              <w:wordWrap/>
              <w:overflowPunct/>
              <w:topLinePunct w:val="0"/>
              <w:autoSpaceDE/>
              <w:autoSpaceDN/>
              <w:bidi w:val="0"/>
              <w:adjustRightInd/>
              <w:snapToGrid/>
              <w:spacing w:line="440" w:lineRule="exact"/>
              <w:ind w:firstLine="105"/>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AF778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45131FC2">
            <w:pPr>
              <w:keepNext w:val="0"/>
              <w:keepLines w:val="0"/>
              <w:pageBreakBefore w:val="0"/>
              <w:widowControl w:val="0"/>
              <w:kinsoku/>
              <w:wordWrap/>
              <w:overflowPunct/>
              <w:topLinePunct w:val="0"/>
              <w:autoSpaceDE/>
              <w:autoSpaceDN/>
              <w:bidi w:val="0"/>
              <w:adjustRightInd/>
              <w:snapToGrid/>
              <w:spacing w:line="440" w:lineRule="exact"/>
              <w:ind w:firstLine="105"/>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419D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0DEF2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EF532EB">
            <w:pPr>
              <w:keepNext w:val="0"/>
              <w:keepLines w:val="0"/>
              <w:pageBreakBefore w:val="0"/>
              <w:widowControl w:val="0"/>
              <w:kinsoku/>
              <w:wordWrap/>
              <w:overflowPunct/>
              <w:topLinePunct w:val="0"/>
              <w:autoSpaceDE/>
              <w:autoSpaceDN/>
              <w:bidi w:val="0"/>
              <w:adjustRightInd/>
              <w:snapToGrid/>
              <w:spacing w:line="440" w:lineRule="exact"/>
              <w:ind w:firstLine="105"/>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0EC7D41">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06AF4FBC">
            <w:pPr>
              <w:keepNext w:val="0"/>
              <w:keepLines w:val="0"/>
              <w:pageBreakBefore w:val="0"/>
              <w:widowControl w:val="0"/>
              <w:kinsoku/>
              <w:wordWrap/>
              <w:overflowPunct/>
              <w:topLinePunct w:val="0"/>
              <w:autoSpaceDE/>
              <w:autoSpaceDN/>
              <w:bidi w:val="0"/>
              <w:adjustRightInd/>
              <w:snapToGrid/>
              <w:spacing w:line="440" w:lineRule="exact"/>
              <w:ind w:firstLine="105"/>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DE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DC52A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88650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772F8753">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69AA698">
            <w:pPr>
              <w:keepNext w:val="0"/>
              <w:keepLines w:val="0"/>
              <w:pageBreakBefore w:val="0"/>
              <w:widowControl w:val="0"/>
              <w:kinsoku/>
              <w:wordWrap/>
              <w:overflowPunct/>
              <w:topLinePunct w:val="0"/>
              <w:autoSpaceDE/>
              <w:autoSpaceDN/>
              <w:bidi w:val="0"/>
              <w:adjustRightInd/>
              <w:snapToGrid/>
              <w:spacing w:line="440" w:lineRule="exact"/>
              <w:ind w:firstLine="105"/>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EFB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64085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7DF45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5FEA4DDD">
            <w:pPr>
              <w:keepNext w:val="0"/>
              <w:keepLines w:val="0"/>
              <w:pageBreakBefore w:val="0"/>
              <w:widowControl w:val="0"/>
              <w:kinsoku/>
              <w:wordWrap/>
              <w:overflowPunct/>
              <w:topLinePunct w:val="0"/>
              <w:autoSpaceDE/>
              <w:autoSpaceDN/>
              <w:bidi w:val="0"/>
              <w:adjustRightInd/>
              <w:snapToGrid/>
              <w:spacing w:line="440" w:lineRule="exact"/>
              <w:ind w:firstLine="21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FCD53CC">
            <w:pPr>
              <w:keepNext w:val="0"/>
              <w:keepLines w:val="0"/>
              <w:pageBreakBefore w:val="0"/>
              <w:widowControl w:val="0"/>
              <w:kinsoku/>
              <w:wordWrap/>
              <w:overflowPunct/>
              <w:topLinePunct w:val="0"/>
              <w:autoSpaceDE/>
              <w:autoSpaceDN/>
              <w:bidi w:val="0"/>
              <w:adjustRightInd/>
              <w:snapToGrid/>
              <w:spacing w:line="440" w:lineRule="exact"/>
              <w:ind w:firstLine="105"/>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838BCE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ascii="宋体" w:hAnsi="宋体" w:cs="宋体"/>
          <w:color w:val="auto"/>
          <w:highlight w:val="none"/>
        </w:rPr>
        <w:t>注：</w:t>
      </w:r>
    </w:p>
    <w:p w14:paraId="4050562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7CBB638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5570A8F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53C70B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rPr>
        <w:t>0</w:t>
      </w:r>
      <w:r>
        <w:rPr>
          <w:rFonts w:ascii="宋体" w:hAnsi="宋体" w:cs="宋体"/>
          <w:color w:val="auto"/>
          <w:highlight w:val="none"/>
        </w:rPr>
        <w:t xml:space="preserve"> %＝ 1.</w:t>
      </w:r>
      <w:r>
        <w:rPr>
          <w:rFonts w:hint="eastAsia" w:ascii="宋体" w:hAnsi="宋体" w:cs="宋体"/>
          <w:color w:val="auto"/>
          <w:highlight w:val="none"/>
        </w:rPr>
        <w:t>0</w:t>
      </w:r>
      <w:r>
        <w:rPr>
          <w:rFonts w:ascii="宋体" w:hAnsi="宋体" w:cs="宋体"/>
          <w:color w:val="auto"/>
          <w:highlight w:val="none"/>
        </w:rPr>
        <w:t>万元</w:t>
      </w:r>
    </w:p>
    <w:p w14:paraId="15793C9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w:t>
      </w:r>
      <w:r>
        <w:rPr>
          <w:rFonts w:hint="eastAsia" w:ascii="宋体" w:hAnsi="宋体" w:cs="宋体"/>
          <w:color w:val="auto"/>
          <w:highlight w:val="none"/>
        </w:rPr>
        <w:t xml:space="preserve"> </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2E84142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4F19D712">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594945F">
      <w:pPr>
        <w:pStyle w:val="230"/>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3.1</w:t>
      </w:r>
      <w:r>
        <w:rPr>
          <w:rFonts w:hint="eastAsia" w:hAnsi="宋体" w:cs="宋体"/>
          <w:color w:val="auto"/>
          <w:sz w:val="21"/>
          <w:highlight w:val="none"/>
        </w:rPr>
        <w:t>本磋商文件解释规则详见“供应商须知前附表”。</w:t>
      </w:r>
    </w:p>
    <w:p w14:paraId="477BF6EC">
      <w:pPr>
        <w:pStyle w:val="230"/>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hAnsi="宋体" w:cs="宋体"/>
          <w:color w:val="auto"/>
          <w:sz w:val="21"/>
          <w:highlight w:val="none"/>
        </w:rPr>
      </w:pPr>
      <w:r>
        <w:rPr>
          <w:rFonts w:hint="eastAsia" w:hAnsi="宋体" w:cs="宋体"/>
          <w:color w:val="auto"/>
          <w:sz w:val="21"/>
          <w:highlight w:val="none"/>
        </w:rPr>
        <w:t>33.2农民工工资保证金见“供应商须知前附表”。</w:t>
      </w:r>
    </w:p>
    <w:p w14:paraId="5632ADCE">
      <w:pPr>
        <w:pStyle w:val="230"/>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Ansi="宋体" w:cs="宋体"/>
          <w:color w:val="auto"/>
          <w:sz w:val="21"/>
          <w:highlight w:val="none"/>
        </w:rPr>
      </w:pPr>
      <w:r>
        <w:rPr>
          <w:rFonts w:hAnsi="宋体" w:cs="宋体"/>
          <w:color w:val="auto"/>
          <w:sz w:val="21"/>
          <w:highlight w:val="none"/>
        </w:rPr>
        <w:t>33.</w:t>
      </w:r>
      <w:r>
        <w:rPr>
          <w:rFonts w:hint="eastAsia" w:hAnsi="宋体" w:cs="宋体"/>
          <w:color w:val="auto"/>
          <w:sz w:val="21"/>
          <w:highlight w:val="none"/>
        </w:rPr>
        <w:t>3 其他事项详见“供应商须知前附表”。</w:t>
      </w:r>
    </w:p>
    <w:p w14:paraId="2E064239">
      <w:pPr>
        <w:pStyle w:val="230"/>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w:t>
      </w:r>
      <w:r>
        <w:rPr>
          <w:rFonts w:hint="eastAsia" w:hAnsi="宋体" w:cs="宋体"/>
          <w:color w:val="auto"/>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EB4F8DA">
      <w:pPr>
        <w:pStyle w:val="230"/>
        <w:keepNext w:val="0"/>
        <w:keepLines w:val="0"/>
        <w:pageBreakBefore w:val="0"/>
        <w:widowControl w:val="0"/>
        <w:kinsoku/>
        <w:wordWrap/>
        <w:overflowPunct/>
        <w:topLinePunct w:val="0"/>
        <w:autoSpaceDE/>
        <w:autoSpaceDN/>
        <w:bidi w:val="0"/>
        <w:adjustRightInd/>
        <w:snapToGrid/>
        <w:spacing w:line="440" w:lineRule="exact"/>
        <w:ind w:firstLine="420"/>
        <w:contextualSpacing/>
        <w:textAlignment w:val="auto"/>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02C87DA">
      <w:pPr>
        <w:pStyle w:val="230"/>
        <w:keepNext w:val="0"/>
        <w:keepLines w:val="0"/>
        <w:pageBreakBefore w:val="0"/>
        <w:widowControl w:val="0"/>
        <w:kinsoku/>
        <w:wordWrap/>
        <w:overflowPunct/>
        <w:topLinePunct w:val="0"/>
        <w:autoSpaceDE/>
        <w:autoSpaceDN/>
        <w:bidi w:val="0"/>
        <w:adjustRightInd/>
        <w:snapToGrid/>
        <w:spacing w:line="440" w:lineRule="exact"/>
        <w:ind w:firstLine="420"/>
        <w:contextualSpacing/>
        <w:textAlignment w:val="auto"/>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6D38688">
      <w:pPr>
        <w:pStyle w:val="230"/>
        <w:keepNext w:val="0"/>
        <w:keepLines w:val="0"/>
        <w:pageBreakBefore w:val="0"/>
        <w:widowControl w:val="0"/>
        <w:kinsoku/>
        <w:wordWrap/>
        <w:overflowPunct/>
        <w:topLinePunct w:val="0"/>
        <w:autoSpaceDE/>
        <w:autoSpaceDN/>
        <w:bidi w:val="0"/>
        <w:adjustRightInd/>
        <w:snapToGrid/>
        <w:spacing w:line="440" w:lineRule="exact"/>
        <w:ind w:firstLine="420"/>
        <w:contextualSpacing/>
        <w:textAlignment w:val="auto"/>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79C2F85">
      <w:pPr>
        <w:pStyle w:val="230"/>
        <w:keepNext w:val="0"/>
        <w:keepLines w:val="0"/>
        <w:pageBreakBefore w:val="0"/>
        <w:widowControl w:val="0"/>
        <w:kinsoku/>
        <w:wordWrap/>
        <w:overflowPunct/>
        <w:topLinePunct w:val="0"/>
        <w:autoSpaceDE/>
        <w:autoSpaceDN/>
        <w:bidi w:val="0"/>
        <w:adjustRightInd/>
        <w:snapToGrid/>
        <w:spacing w:line="440" w:lineRule="exact"/>
        <w:ind w:firstLine="420"/>
        <w:contextualSpacing/>
        <w:textAlignment w:val="auto"/>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43228878">
      <w:pPr>
        <w:pStyle w:val="230"/>
        <w:keepNext w:val="0"/>
        <w:keepLines w:val="0"/>
        <w:pageBreakBefore w:val="0"/>
        <w:widowControl w:val="0"/>
        <w:kinsoku/>
        <w:wordWrap/>
        <w:overflowPunct/>
        <w:topLinePunct w:val="0"/>
        <w:autoSpaceDE/>
        <w:autoSpaceDN/>
        <w:bidi w:val="0"/>
        <w:adjustRightInd/>
        <w:snapToGrid/>
        <w:spacing w:line="440" w:lineRule="exact"/>
        <w:ind w:firstLine="420"/>
        <w:contextualSpacing/>
        <w:textAlignment w:val="auto"/>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507B5BE2">
      <w:pPr>
        <w:pStyle w:val="190"/>
        <w:spacing w:before="0" w:after="0" w:line="360" w:lineRule="auto"/>
        <w:jc w:val="center"/>
        <w:rPr>
          <w:rFonts w:hint="eastAsia"/>
          <w:color w:val="auto"/>
          <w:highlight w:val="none"/>
        </w:rPr>
      </w:pPr>
      <w:bookmarkStart w:id="75" w:name="_Toc122424246"/>
      <w:r>
        <w:rPr>
          <w:rFonts w:hint="eastAsia"/>
          <w:color w:val="auto"/>
          <w:highlight w:val="none"/>
        </w:rPr>
        <w:t>第三章 采购需求</w:t>
      </w:r>
      <w:bookmarkEnd w:id="75"/>
    </w:p>
    <w:p w14:paraId="37BD6A1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AD49B35">
      <w:pPr>
        <w:spacing w:line="360" w:lineRule="auto"/>
        <w:ind w:firstLine="42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7F0F7106">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“实质性要求”是指采购需求中带“▲”的条款或者不能负偏离的条款或者已经指明不满足按响应文件无效处理的条款。</w:t>
      </w:r>
    </w:p>
    <w:p w14:paraId="1FAA7797">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7159E767">
      <w:pPr>
        <w:spacing w:line="360" w:lineRule="auto"/>
        <w:ind w:firstLine="422"/>
        <w:rPr>
          <w:rFonts w:hint="eastAsia" w:ascii="宋体" w:hAnsi="宋体"/>
          <w:color w:val="auto"/>
          <w:szCs w:val="21"/>
          <w:highlight w:val="none"/>
        </w:rPr>
      </w:pPr>
      <w:r>
        <w:rPr>
          <w:rFonts w:hint="eastAsia" w:ascii="宋体" w:hAnsi="宋体"/>
          <w:b/>
          <w:color w:val="auto"/>
          <w:szCs w:val="21"/>
          <w:highlight w:val="none"/>
          <w:lang w:val="en-US" w:eastAsia="zh-CN"/>
        </w:rPr>
        <w:t>4.项目概况：</w:t>
      </w:r>
      <w:r>
        <w:rPr>
          <w:rFonts w:hint="eastAsia" w:ascii="宋体" w:hAnsi="宋体"/>
          <w:color w:val="auto"/>
          <w:szCs w:val="21"/>
          <w:highlight w:val="none"/>
          <w:lang w:eastAsia="zh-CN"/>
        </w:rPr>
        <w:t>港口区和平小区九年一贯制学校(含幼儿园)项目（二期）--田径场改造项目，建设改造内容包括田径场人工草坪、固定足球场门架、半场足球场门架及足球场划线</w:t>
      </w:r>
      <w:r>
        <w:rPr>
          <w:rFonts w:hint="eastAsia"/>
          <w:color w:val="auto"/>
          <w:highlight w:val="none"/>
          <w:lang w:val="en-US" w:eastAsia="zh-CN"/>
        </w:rPr>
        <w:t>等</w:t>
      </w:r>
      <w:r>
        <w:rPr>
          <w:rFonts w:hint="eastAsia" w:ascii="宋体" w:hAnsi="宋体"/>
          <w:color w:val="auto"/>
          <w:szCs w:val="21"/>
          <w:highlight w:val="none"/>
          <w:lang w:val="en-US" w:eastAsia="zh-CN"/>
        </w:rPr>
        <w:t>。本项</w:t>
      </w:r>
      <w:r>
        <w:rPr>
          <w:rFonts w:hint="eastAsia" w:ascii="宋体" w:hAnsi="宋体" w:eastAsia="宋体" w:cs="Times New Roman"/>
          <w:color w:val="auto"/>
          <w:szCs w:val="21"/>
          <w:highlight w:val="none"/>
          <w:lang w:val="en-US" w:eastAsia="zh-CN"/>
        </w:rPr>
        <w:t>目采购预算：人</w:t>
      </w:r>
      <w:r>
        <w:rPr>
          <w:rFonts w:hint="eastAsia" w:ascii="宋体" w:hAnsi="宋体"/>
          <w:color w:val="auto"/>
          <w:szCs w:val="21"/>
          <w:highlight w:val="none"/>
        </w:rPr>
        <w:t>民币</w:t>
      </w:r>
      <w:r>
        <w:rPr>
          <w:rFonts w:hint="eastAsia" w:ascii="宋体" w:hAnsi="宋体"/>
          <w:color w:val="auto"/>
          <w:szCs w:val="21"/>
          <w:highlight w:val="none"/>
          <w:u w:val="single"/>
          <w:lang w:val="en-US" w:eastAsia="zh-CN"/>
        </w:rPr>
        <w:t>捌拾肆万伍仟柒佰肆拾伍元捌角捌分</w:t>
      </w:r>
      <w:r>
        <w:rPr>
          <w:rFonts w:hint="eastAsia" w:ascii="宋体" w:hAnsi="宋体"/>
          <w:color w:val="auto"/>
          <w:szCs w:val="21"/>
          <w:highlight w:val="none"/>
        </w:rPr>
        <w:t>（¥</w:t>
      </w:r>
      <w:r>
        <w:rPr>
          <w:rFonts w:hint="eastAsia" w:ascii="宋体" w:hAnsi="宋体"/>
          <w:color w:val="auto"/>
          <w:szCs w:val="21"/>
          <w:highlight w:val="none"/>
          <w:u w:val="single"/>
          <w:lang w:val="en-US" w:eastAsia="zh-CN"/>
        </w:rPr>
        <w:t>845,745.88</w:t>
      </w:r>
      <w:r>
        <w:rPr>
          <w:rFonts w:hint="eastAsia" w:ascii="宋体" w:hAnsi="宋体"/>
          <w:color w:val="auto"/>
          <w:szCs w:val="21"/>
          <w:highlight w:val="none"/>
        </w:rPr>
        <w:t>）</w:t>
      </w:r>
    </w:p>
    <w:tbl>
      <w:tblPr>
        <w:tblStyle w:val="34"/>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988"/>
        <w:gridCol w:w="230"/>
        <w:gridCol w:w="635"/>
        <w:gridCol w:w="917"/>
        <w:gridCol w:w="6174"/>
      </w:tblGrid>
      <w:tr w14:paraId="0FB3C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470" w:type="dxa"/>
            <w:gridSpan w:val="6"/>
            <w:tcBorders>
              <w:top w:val="single" w:color="000000" w:sz="4" w:space="0"/>
              <w:left w:val="single" w:color="000000" w:sz="4" w:space="0"/>
              <w:bottom w:val="single" w:color="000000" w:sz="4" w:space="0"/>
              <w:right w:val="single" w:color="000000" w:sz="4" w:space="0"/>
            </w:tcBorders>
            <w:noWrap w:val="0"/>
            <w:vAlign w:val="center"/>
          </w:tcPr>
          <w:p w14:paraId="2532D636">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Times New Roman"/>
                <w:b/>
                <w:color w:val="auto"/>
                <w:szCs w:val="21"/>
                <w:highlight w:val="none"/>
                <w:lang w:val="en-US" w:eastAsia="zh-CN"/>
              </w:rPr>
              <w:t>一、</w:t>
            </w:r>
            <w:r>
              <w:rPr>
                <w:rFonts w:hint="eastAsia" w:ascii="宋体" w:hAnsi="宋体" w:eastAsia="宋体" w:cs="Times New Roman"/>
                <w:b/>
                <w:color w:val="auto"/>
                <w:szCs w:val="21"/>
                <w:highlight w:val="none"/>
              </w:rPr>
              <w:t>技术要求</w:t>
            </w:r>
          </w:p>
        </w:tc>
      </w:tr>
      <w:tr w14:paraId="0BC8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1E94">
            <w:pPr>
              <w:tabs>
                <w:tab w:val="left" w:pos="180"/>
                <w:tab w:val="left" w:pos="1620"/>
              </w:tabs>
              <w:spacing w:line="360" w:lineRule="auto"/>
              <w:jc w:val="both"/>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序号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7506C">
            <w:pPr>
              <w:tabs>
                <w:tab w:val="left" w:pos="180"/>
                <w:tab w:val="left" w:pos="1620"/>
              </w:tabs>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标的的名称</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E05D4">
            <w:pPr>
              <w:tabs>
                <w:tab w:val="left" w:pos="180"/>
                <w:tab w:val="left" w:pos="1620"/>
              </w:tabs>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数量及单位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3379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64991457">
            <w:pPr>
              <w:tabs>
                <w:tab w:val="left" w:pos="180"/>
                <w:tab w:val="left" w:pos="1620"/>
              </w:tabs>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行业</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3A568">
            <w:pPr>
              <w:tabs>
                <w:tab w:val="left" w:pos="180"/>
                <w:tab w:val="left" w:pos="1620"/>
              </w:tabs>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技术要求</w:t>
            </w:r>
          </w:p>
        </w:tc>
      </w:tr>
      <w:tr w14:paraId="4DEA1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14:paraId="1E8D237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8972F9E">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港口区和平小区九年一贯制学校(含幼儿园)项目(二期)--田径场改造项目</w:t>
            </w:r>
          </w:p>
        </w:tc>
        <w:tc>
          <w:tcPr>
            <w:tcW w:w="865" w:type="dxa"/>
            <w:gridSpan w:val="2"/>
            <w:tcBorders>
              <w:top w:val="single" w:color="000000" w:sz="4" w:space="0"/>
              <w:left w:val="single" w:color="000000" w:sz="4" w:space="0"/>
              <w:bottom w:val="single" w:color="000000" w:sz="4" w:space="0"/>
              <w:right w:val="single" w:color="000000" w:sz="4" w:space="0"/>
            </w:tcBorders>
            <w:noWrap w:val="0"/>
            <w:vAlign w:val="center"/>
          </w:tcPr>
          <w:p w14:paraId="2996A30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3DF0BE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6174" w:type="dxa"/>
            <w:tcBorders>
              <w:top w:val="single" w:color="000000" w:sz="4" w:space="0"/>
              <w:left w:val="single" w:color="000000" w:sz="4" w:space="0"/>
              <w:bottom w:val="single" w:color="000000" w:sz="4" w:space="0"/>
              <w:right w:val="single" w:color="000000" w:sz="4" w:space="0"/>
            </w:tcBorders>
            <w:noWrap w:val="0"/>
            <w:vAlign w:val="center"/>
          </w:tcPr>
          <w:p w14:paraId="0C1459BE">
            <w:pPr>
              <w:pStyle w:val="282"/>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.质量要求：达到建设工程施工验收规范合格标准。</w:t>
            </w:r>
          </w:p>
          <w:p w14:paraId="76D9D510">
            <w:pPr>
              <w:pStyle w:val="282"/>
              <w:spacing w:line="360" w:lineRule="auto"/>
              <w:ind w:firstLine="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.工程建设地点的现场条件：</w:t>
            </w:r>
          </w:p>
          <w:p w14:paraId="758EA275">
            <w:pPr>
              <w:pStyle w:val="282"/>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（1）现场自然条件：满足施工要求。</w:t>
            </w:r>
          </w:p>
          <w:p w14:paraId="671728BA">
            <w:pPr>
              <w:pStyle w:val="282"/>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（2）现场施工条件：符合施工要求。</w:t>
            </w:r>
          </w:p>
          <w:p w14:paraId="32940AC1">
            <w:pPr>
              <w:pStyle w:val="282"/>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.技术要求：按照施工图纸及工程量清单的要求进行施工，同时也要严格执行国家相关的专业现行标准和技术规范。</w:t>
            </w:r>
          </w:p>
          <w:p w14:paraId="3E32D479">
            <w:pPr>
              <w:pStyle w:val="282"/>
              <w:spacing w:line="360" w:lineRule="auto"/>
              <w:ind w:firstLine="0"/>
              <w:rPr>
                <w:rFonts w:hint="eastAsia" w:ascii="宋体" w:hAnsi="宋体"/>
                <w:color w:val="auto"/>
                <w:highlight w:val="none"/>
              </w:rPr>
            </w:pPr>
            <w:r>
              <w:rPr>
                <w:rFonts w:hint="eastAsia"/>
                <w:color w:val="auto"/>
                <w:highlight w:val="none"/>
                <w:lang w:val="en-US" w:eastAsia="zh-CN"/>
              </w:rPr>
              <w:t>4</w:t>
            </w:r>
            <w:r>
              <w:rPr>
                <w:rFonts w:hint="eastAsia" w:ascii="宋体" w:hAnsi="宋体" w:cs="宋体"/>
                <w:color w:val="auto"/>
                <w:szCs w:val="21"/>
                <w:highlight w:val="none"/>
              </w:rPr>
              <w:t>.</w:t>
            </w:r>
            <w:r>
              <w:rPr>
                <w:rFonts w:hint="eastAsia"/>
                <w:color w:val="auto"/>
                <w:highlight w:val="none"/>
              </w:rPr>
              <w:t>项目管理机构配备要求：投</w:t>
            </w:r>
            <w:r>
              <w:rPr>
                <w:rFonts w:hint="eastAsia"/>
                <w:color w:val="auto"/>
                <w:highlight w:val="none"/>
                <w:lang w:eastAsia="zh-CN"/>
              </w:rPr>
              <w:t>入</w:t>
            </w:r>
            <w:r>
              <w:rPr>
                <w:rFonts w:hint="eastAsia"/>
                <w:color w:val="auto"/>
                <w:highlight w:val="none"/>
              </w:rPr>
              <w:t>本项目的施工现场专业人员至少包括</w:t>
            </w:r>
            <w:r>
              <w:rPr>
                <w:rFonts w:hint="eastAsia"/>
                <w:color w:val="auto"/>
                <w:highlight w:val="none"/>
              </w:rPr>
              <w:t>项目经理、专职安全生产管理人员、施工员</w:t>
            </w:r>
            <w:r>
              <w:rPr>
                <w:rFonts w:hint="eastAsia"/>
                <w:color w:val="auto"/>
                <w:highlight w:val="none"/>
                <w:lang w:val="en-US" w:eastAsia="zh-CN"/>
              </w:rPr>
              <w:t>等</w:t>
            </w:r>
            <w:r>
              <w:rPr>
                <w:rFonts w:hint="eastAsia"/>
                <w:color w:val="auto"/>
                <w:highlight w:val="none"/>
              </w:rPr>
              <w:t>主要管理人员，且以上管理人员不会相互兼任、不得缺位，并均为本单位在职人员（在响应文件中提供响应文件递交截止时间前半年内任意1个月社会保险证明材料或工资流水证明或劳动合同书复印件</w:t>
            </w:r>
            <w:r>
              <w:rPr>
                <w:rFonts w:hint="eastAsia" w:ascii="宋体" w:hAnsi="宋体" w:cs="宋体"/>
                <w:color w:val="auto"/>
                <w:szCs w:val="21"/>
                <w:highlight w:val="none"/>
                <w:lang w:val="en-US" w:eastAsia="zh-CN"/>
              </w:rPr>
              <w:t>或扫描件</w:t>
            </w:r>
            <w:r>
              <w:rPr>
                <w:rFonts w:hint="eastAsia"/>
                <w:color w:val="auto"/>
                <w:highlight w:val="none"/>
              </w:rPr>
              <w:t>）</w:t>
            </w:r>
            <w:r>
              <w:rPr>
                <w:rFonts w:hint="eastAsia" w:ascii="宋体" w:hAnsi="宋体"/>
                <w:color w:val="auto"/>
                <w:highlight w:val="none"/>
              </w:rPr>
              <w:t>。</w:t>
            </w:r>
          </w:p>
        </w:tc>
      </w:tr>
      <w:tr w14:paraId="4DDD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top"/>
          </w:tcPr>
          <w:p w14:paraId="4136AABB">
            <w:pPr>
              <w:spacing w:line="360" w:lineRule="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lang w:val="en-US" w:eastAsia="zh-CN"/>
              </w:rPr>
              <w:t>二</w:t>
            </w:r>
            <w:r>
              <w:rPr>
                <w:rFonts w:hint="eastAsia" w:ascii="宋体" w:hAnsi="宋体"/>
                <w:b/>
                <w:color w:val="auto"/>
                <w:szCs w:val="21"/>
                <w:highlight w:val="none"/>
              </w:rPr>
              <w:t>、商务要求</w:t>
            </w:r>
          </w:p>
        </w:tc>
      </w:tr>
      <w:tr w14:paraId="17BF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54E12486">
            <w:pPr>
              <w:spacing w:line="360" w:lineRule="auto"/>
              <w:jc w:val="center"/>
              <w:rPr>
                <w:rFonts w:ascii="宋体" w:hAnsi="宋体"/>
                <w:b/>
                <w:color w:val="auto"/>
                <w:szCs w:val="21"/>
                <w:highlight w:val="none"/>
              </w:rPr>
            </w:pPr>
            <w:r>
              <w:rPr>
                <w:rFonts w:hint="eastAsia" w:ascii="宋体" w:hAnsi="宋体" w:cs="宋体"/>
                <w:color w:val="auto"/>
                <w:szCs w:val="21"/>
                <w:highlight w:val="none"/>
              </w:rPr>
              <w:t>计划工期</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3806CB9D">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计划工期：</w:t>
            </w:r>
            <w:r>
              <w:rPr>
                <w:rFonts w:hint="eastAsia" w:ascii="宋体" w:hAnsi="宋体" w:cs="宋体"/>
                <w:color w:val="auto"/>
                <w:szCs w:val="21"/>
                <w:highlight w:val="none"/>
                <w:lang w:val="en-US" w:eastAsia="zh-CN"/>
              </w:rPr>
              <w:t>60日历天</w:t>
            </w:r>
          </w:p>
        </w:tc>
      </w:tr>
      <w:tr w14:paraId="340D6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3A3ECCD2">
            <w:pPr>
              <w:spacing w:line="360" w:lineRule="auto"/>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01C54026">
            <w:pPr>
              <w:spacing w:line="360" w:lineRule="auto"/>
              <w:rPr>
                <w:rFonts w:hint="eastAsia" w:ascii="宋体" w:hAnsi="宋体"/>
                <w:color w:val="auto"/>
                <w:szCs w:val="21"/>
                <w:highlight w:val="none"/>
              </w:rPr>
            </w:pPr>
            <w:r>
              <w:rPr>
                <w:rFonts w:hint="eastAsia" w:ascii="宋体" w:hAnsi="宋体" w:cs="宋体"/>
                <w:color w:val="auto"/>
                <w:szCs w:val="21"/>
                <w:highlight w:val="none"/>
                <w:lang w:val="en-US" w:eastAsia="zh-CN"/>
              </w:rPr>
              <w:t>防城港</w:t>
            </w:r>
            <w:r>
              <w:rPr>
                <w:rFonts w:hint="eastAsia" w:ascii="宋体" w:hAnsi="宋体" w:cs="宋体"/>
                <w:color w:val="auto"/>
                <w:szCs w:val="21"/>
                <w:highlight w:val="none"/>
                <w:lang w:eastAsia="zh-CN"/>
              </w:rPr>
              <w:t>港口区和平小区九年一贯制学校内</w:t>
            </w:r>
            <w:r>
              <w:rPr>
                <w:rFonts w:hint="eastAsia" w:ascii="宋体" w:hAnsi="宋体" w:cs="宋体"/>
                <w:color w:val="auto"/>
                <w:szCs w:val="21"/>
                <w:highlight w:val="none"/>
              </w:rPr>
              <w:t>。</w:t>
            </w:r>
          </w:p>
        </w:tc>
      </w:tr>
      <w:tr w14:paraId="2C0C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6E2FF78E">
            <w:pPr>
              <w:spacing w:line="360" w:lineRule="auto"/>
              <w:jc w:val="center"/>
              <w:rPr>
                <w:rFonts w:ascii="宋体" w:hAnsi="宋体"/>
                <w:b/>
                <w:color w:val="auto"/>
                <w:szCs w:val="21"/>
                <w:highlight w:val="none"/>
              </w:rPr>
            </w:pPr>
            <w:r>
              <w:rPr>
                <w:rFonts w:hint="eastAsia" w:ascii="宋体" w:hAnsi="宋体"/>
                <w:color w:val="auto"/>
                <w:szCs w:val="21"/>
                <w:highlight w:val="none"/>
              </w:rPr>
              <w:t>合同签订时间</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5F8DDEB8">
            <w:pPr>
              <w:spacing w:line="360" w:lineRule="auto"/>
              <w:rPr>
                <w:rFonts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日内</w:t>
            </w:r>
          </w:p>
        </w:tc>
      </w:tr>
      <w:tr w14:paraId="4F1A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7191C850">
            <w:pPr>
              <w:spacing w:line="360" w:lineRule="auto"/>
              <w:jc w:val="center"/>
              <w:rPr>
                <w:rFonts w:hint="eastAsia" w:ascii="宋体" w:hAnsi="宋体"/>
                <w:color w:val="auto"/>
                <w:szCs w:val="21"/>
                <w:highlight w:val="none"/>
              </w:rPr>
            </w:pPr>
            <w:r>
              <w:rPr>
                <w:rFonts w:hint="eastAsia" w:ascii="宋体" w:hAnsi="宋体"/>
                <w:color w:val="auto"/>
                <w:szCs w:val="21"/>
                <w:highlight w:val="none"/>
              </w:rPr>
              <w:t>竞标报价</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38A227FA">
            <w:pPr>
              <w:spacing w:line="360" w:lineRule="auto"/>
              <w:rPr>
                <w:rFonts w:hint="eastAsia" w:ascii="宋体" w:hAnsi="宋体"/>
                <w:color w:val="auto"/>
                <w:szCs w:val="21"/>
                <w:highlight w:val="none"/>
              </w:rPr>
            </w:pPr>
            <w:r>
              <w:rPr>
                <w:rFonts w:hint="eastAsia" w:ascii="宋体" w:hAnsi="宋体"/>
                <w:color w:val="auto"/>
                <w:szCs w:val="21"/>
                <w:highlight w:val="none"/>
              </w:rPr>
              <w:t>竞标报价是履行合同的最终价格，包括为实施和完成合同工程所需的劳务、材料、机械、质检（自检）、安装、缺陷修复、管理、保险、税费、利润等费用，以及合同明示或暗示的所有责任、义务和</w:t>
            </w:r>
            <w:r>
              <w:rPr>
                <w:rFonts w:hint="eastAsia" w:ascii="宋体" w:hAnsi="宋体"/>
                <w:color w:val="auto"/>
                <w:szCs w:val="21"/>
                <w:highlight w:val="none"/>
              </w:rPr>
              <w:t>一般</w:t>
            </w:r>
            <w:r>
              <w:rPr>
                <w:rFonts w:hint="eastAsia" w:ascii="宋体" w:hAnsi="宋体"/>
                <w:color w:val="auto"/>
                <w:szCs w:val="21"/>
                <w:highlight w:val="none"/>
              </w:rPr>
              <w:t>风险。</w:t>
            </w:r>
            <w:r>
              <w:rPr>
                <w:rFonts w:hint="eastAsia" w:ascii="宋体" w:hAnsi="宋体"/>
                <w:b/>
                <w:color w:val="auto"/>
                <w:szCs w:val="21"/>
                <w:highlight w:val="none"/>
              </w:rPr>
              <w:t>（</w:t>
            </w:r>
            <w:r>
              <w:rPr>
                <w:rFonts w:hint="eastAsia" w:ascii="宋体" w:hAnsi="宋体" w:cs="宋体"/>
                <w:b/>
                <w:bCs/>
                <w:color w:val="auto"/>
                <w:highlight w:val="none"/>
              </w:rPr>
              <w:t>磋商过程中，供应商的最后报价如有变动，则必须以工程量清单报价表的格式编制提交，供应商须提前做好相关准备并按时递交最后报价文件，否则磋商无效）</w:t>
            </w:r>
          </w:p>
        </w:tc>
      </w:tr>
      <w:tr w14:paraId="7349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7CFD1EF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付款条件（进度和方式）</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333FC7DE">
            <w:pPr>
              <w:pStyle w:val="220"/>
              <w:spacing w:line="40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每月20-25日（逾期不提交的待下月同期再提交）</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应向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提交当月工程完成工程形象进度报表，同时在进度报表中附</w:t>
            </w:r>
            <w:r>
              <w:rPr>
                <w:rFonts w:hint="eastAsia" w:ascii="宋体" w:hAnsi="宋体" w:eastAsia="宋体" w:cs="宋体"/>
                <w:color w:val="auto"/>
                <w:highlight w:val="none"/>
                <w:lang w:val="en-US" w:eastAsia="zh-CN"/>
              </w:rPr>
              <w:t>上</w:t>
            </w:r>
            <w:r>
              <w:rPr>
                <w:rFonts w:hint="eastAsia" w:ascii="宋体" w:hAnsi="宋体" w:eastAsia="宋体" w:cs="宋体"/>
                <w:color w:val="auto"/>
                <w:highlight w:val="none"/>
                <w:lang w:val="en-US" w:eastAsia="zh-CN"/>
              </w:rPr>
              <w:t>农民工工资支付计划并提交上一期农民工工资支付情况表以及项目原材料进场登记表，经建设单位核实后，合同内按每月完成工程量的80%支付工程进度款；在工程竣工结算评审后支付至工程款总额的97%，总额的3%作为质量保证金，质保金在缺陷责任期满后21个工作日内一次性无息付清。合同外工程款待工程竣工结算后一并支付。</w:t>
            </w:r>
          </w:p>
          <w:p w14:paraId="387D7EBA">
            <w:pPr>
              <w:pStyle w:val="220"/>
              <w:spacing w:line="40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2.防城港市</w:t>
            </w:r>
            <w:r>
              <w:rPr>
                <w:rFonts w:hint="eastAsia" w:ascii="宋体" w:hAnsi="宋体" w:eastAsia="宋体" w:cs="宋体"/>
                <w:color w:val="auto"/>
                <w:highlight w:val="none"/>
                <w:lang w:val="en-US" w:eastAsia="zh-CN"/>
              </w:rPr>
              <w:t>港口区财政局拨付相关款项后7个工作日内完成支付。</w:t>
            </w:r>
          </w:p>
        </w:tc>
      </w:tr>
      <w:tr w14:paraId="731E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27DA2430">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其他要求</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19E53F1D">
            <w:pPr>
              <w:pStyle w:val="22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1.工程竣工后，供应商应按照采购人的要求对开工的工程场地进行清理及清洁。</w:t>
            </w:r>
          </w:p>
          <w:p w14:paraId="7C5596D7">
            <w:pPr>
              <w:pStyle w:val="22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2.工程量不明确的，供应商在现场考察时详细测量，磋商时必须详细列明所报工作范围，并在施工方案中保证工程完整、全面。</w:t>
            </w:r>
          </w:p>
          <w:p w14:paraId="47479AFB">
            <w:pPr>
              <w:pStyle w:val="22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3.供应商在响应文件中</w:t>
            </w:r>
            <w:r>
              <w:rPr>
                <w:rFonts w:hint="eastAsia" w:ascii="宋体" w:hAnsi="宋体" w:cs="宋体"/>
                <w:color w:val="auto"/>
                <w:highlight w:val="none"/>
                <w:lang w:val="en-US" w:eastAsia="zh-CN"/>
              </w:rPr>
              <w:t>必须</w:t>
            </w:r>
            <w:r>
              <w:rPr>
                <w:rFonts w:hint="eastAsia" w:ascii="宋体" w:hAnsi="宋体" w:eastAsia="宋体" w:cs="宋体"/>
                <w:color w:val="auto"/>
                <w:highlight w:val="none"/>
                <w:lang w:val="en-US" w:eastAsia="zh-CN"/>
              </w:rPr>
              <w:t>提供具体的项目管理机构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项目经理安全生产考核合格证（B类）、专职安全生产管理人员的安全生产考核合格证（C类）</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施工员的培训证书的复印件或扫描件</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和施工组织设计以供评审。</w:t>
            </w:r>
          </w:p>
        </w:tc>
      </w:tr>
      <w:tr w14:paraId="521C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4515AA47">
            <w:pPr>
              <w:spacing w:line="360" w:lineRule="auto"/>
              <w:rPr>
                <w:rFonts w:ascii="宋体" w:hAnsi="宋体"/>
                <w:color w:val="auto"/>
                <w:szCs w:val="21"/>
                <w:highlight w:val="none"/>
              </w:rPr>
            </w:pPr>
            <w:r>
              <w:rPr>
                <w:rFonts w:hint="eastAsia" w:ascii="宋体" w:hAnsi="宋体"/>
                <w:b/>
                <w:bCs/>
                <w:color w:val="auto"/>
                <w:szCs w:val="21"/>
                <w:highlight w:val="none"/>
                <w:lang w:val="en-US" w:eastAsia="zh-CN"/>
              </w:rPr>
              <w:t>三</w:t>
            </w:r>
            <w:r>
              <w:rPr>
                <w:rFonts w:hint="eastAsia" w:ascii="宋体" w:hAnsi="宋体"/>
                <w:b/>
                <w:bCs/>
                <w:color w:val="auto"/>
                <w:szCs w:val="21"/>
                <w:highlight w:val="none"/>
              </w:rPr>
              <w:t>、与实现项目目标相关的其他要求</w:t>
            </w:r>
          </w:p>
        </w:tc>
      </w:tr>
      <w:tr w14:paraId="66EE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24E30FE1">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（一）验收标准</w:t>
            </w:r>
          </w:p>
        </w:tc>
      </w:tr>
      <w:tr w14:paraId="1E86A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7744A8E1">
            <w:pPr>
              <w:tabs>
                <w:tab w:val="left" w:pos="180"/>
                <w:tab w:val="left" w:pos="162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工程质量达到建设工程施工验收规范合格标准。</w:t>
            </w:r>
          </w:p>
        </w:tc>
      </w:tr>
      <w:tr w14:paraId="2EDF0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43DAFDBB">
            <w:pPr>
              <w:spacing w:line="360" w:lineRule="auto"/>
              <w:rPr>
                <w:rFonts w:ascii="宋体" w:hAnsi="宋体"/>
                <w:color w:val="auto"/>
                <w:szCs w:val="21"/>
                <w:highlight w:val="none"/>
              </w:rPr>
            </w:pPr>
            <w:r>
              <w:rPr>
                <w:rFonts w:hint="eastAsia" w:ascii="宋体" w:hAnsi="宋体"/>
                <w:b/>
                <w:color w:val="auto"/>
                <w:szCs w:val="21"/>
                <w:highlight w:val="none"/>
              </w:rPr>
              <w:t>（二）其他要求</w:t>
            </w:r>
          </w:p>
        </w:tc>
      </w:tr>
      <w:tr w14:paraId="1362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584643BF">
            <w:pPr>
              <w:tabs>
                <w:tab w:val="left" w:pos="180"/>
                <w:tab w:val="left" w:pos="1620"/>
              </w:tabs>
              <w:spacing w:line="360" w:lineRule="auto"/>
              <w:rPr>
                <w:rFonts w:ascii="宋体" w:hAnsi="宋体" w:cs="宋体"/>
                <w:bCs/>
                <w:color w:val="auto"/>
                <w:szCs w:val="21"/>
                <w:highlight w:val="none"/>
              </w:rPr>
            </w:pPr>
            <w:r>
              <w:rPr>
                <w:rFonts w:hint="eastAsia" w:ascii="宋体" w:hAnsi="宋体"/>
                <w:b/>
                <w:bCs w:val="0"/>
                <w:color w:val="auto"/>
                <w:szCs w:val="21"/>
                <w:highlight w:val="none"/>
              </w:rPr>
              <w:t>以上技术要求及商务要求有任意一项负偏离（或漏项）的，竞标无效。</w:t>
            </w:r>
          </w:p>
        </w:tc>
      </w:tr>
    </w:tbl>
    <w:p w14:paraId="0EF51BF9">
      <w:pPr>
        <w:pStyle w:val="190"/>
        <w:spacing w:before="0" w:after="0" w:line="360" w:lineRule="auto"/>
        <w:jc w:val="center"/>
        <w:rPr>
          <w:rFonts w:hint="eastAsia"/>
          <w:color w:val="auto"/>
          <w:highlight w:val="none"/>
        </w:rPr>
      </w:pPr>
      <w:r>
        <w:rPr>
          <w:rFonts w:ascii="宋体" w:hAnsi="宋体" w:cs="宋体"/>
          <w:color w:val="auto"/>
          <w:sz w:val="20"/>
          <w:szCs w:val="20"/>
          <w:highlight w:val="none"/>
        </w:rPr>
        <w:br w:type="page" w:clear="all"/>
      </w:r>
      <w:bookmarkStart w:id="76" w:name="_Toc122424247"/>
      <w:r>
        <w:rPr>
          <w:rFonts w:hint="eastAsia"/>
          <w:color w:val="auto"/>
          <w:highlight w:val="none"/>
        </w:rPr>
        <w:t>第四章  评审程序、评审方法和评审标准</w:t>
      </w:r>
      <w:bookmarkEnd w:id="76"/>
    </w:p>
    <w:p w14:paraId="1580EF4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67313E3A">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3CD2B83">
      <w:pPr>
        <w:spacing w:line="360" w:lineRule="auto"/>
        <w:ind w:firstLine="42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729DA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66511F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bCs/>
          <w:color w:val="auto"/>
          <w:szCs w:val="21"/>
          <w:highlight w:val="none"/>
        </w:rPr>
        <w:t>广西政府采购云平台</w:t>
      </w:r>
      <w:r>
        <w:rPr>
          <w:rFonts w:hint="eastAsia" w:ascii="宋体" w:hAnsi="宋体" w:cs="宋体"/>
          <w:bCs/>
          <w:color w:val="auto"/>
          <w:szCs w:val="21"/>
          <w:highlight w:val="none"/>
        </w:rPr>
        <w:t>“</w:t>
      </w:r>
      <w:r>
        <w:rPr>
          <w:rFonts w:hint="eastAsia" w:ascii="宋体" w:hAnsi="宋体" w:cs="宋体"/>
          <w:color w:val="auto"/>
          <w:szCs w:val="21"/>
          <w:highlight w:val="none"/>
        </w:rPr>
        <w:t>信用中国”网站（www.creditchina.gov.cn）、中国政府采购网（www.ccgp.gov.cn）链接入口。</w:t>
      </w:r>
    </w:p>
    <w:p w14:paraId="12BB83C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9B136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FE9028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E53DDA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2849EE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79DFBCB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85067B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86C423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1D8EF8C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45DF961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）有第二章“供应商须知”第3.2项规定的任何一种情形的。</w:t>
      </w:r>
    </w:p>
    <w:p w14:paraId="5988EB8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26A9CAE1">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FB3CAE5">
      <w:pPr>
        <w:spacing w:line="360" w:lineRule="auto"/>
        <w:ind w:firstLine="420"/>
        <w:rPr>
          <w:rFonts w:hint="eastAsia" w:ascii="宋体" w:hAnsi="宋体" w:cs="宋体"/>
          <w:color w:val="auto"/>
          <w:szCs w:val="21"/>
          <w:highlight w:val="none"/>
        </w:rPr>
      </w:pPr>
      <w:bookmarkStart w:id="77"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bookmarkEnd w:id="77"/>
    </w:p>
    <w:p w14:paraId="4B23CE33">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DDF1E2">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B32A3F5">
      <w:pPr>
        <w:spacing w:line="360" w:lineRule="auto"/>
        <w:ind w:firstLine="42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DBB95E2">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BB635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E6DA4E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F42949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B2405B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4982B4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bookmarkStart w:id="78" w:name="OLE_LINK8"/>
      <w:bookmarkStart w:id="79" w:name="OLE_LINK9"/>
      <w:r>
        <w:rPr>
          <w:rFonts w:hint="eastAsia" w:ascii="宋体" w:hAnsi="宋体" w:cs="宋体"/>
          <w:color w:val="auto"/>
          <w:szCs w:val="21"/>
          <w:highlight w:val="none"/>
        </w:rPr>
        <w:t>其响应文件按无效处理。</w:t>
      </w:r>
      <w:bookmarkEnd w:id="78"/>
      <w:bookmarkEnd w:id="79"/>
    </w:p>
    <w:p w14:paraId="6C6D6854">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408BB9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500559A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（1）商务技术评审</w:t>
      </w:r>
    </w:p>
    <w:p w14:paraId="296563A6">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0A792DE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7E66EF48">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0FE4693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75B926F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5958A7CD">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69234E3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59D187FE">
      <w:pPr>
        <w:spacing w:line="360" w:lineRule="auto"/>
        <w:ind w:firstLine="422"/>
        <w:rPr>
          <w:rFonts w:ascii="宋体" w:hAnsi="宋体" w:cs="宋体"/>
          <w:b/>
          <w:color w:val="auto"/>
          <w:szCs w:val="21"/>
          <w:highlight w:val="none"/>
        </w:rPr>
      </w:pPr>
      <w:r>
        <w:rPr>
          <w:rFonts w:ascii="宋体" w:hAnsi="宋体" w:cs="宋体"/>
          <w:b/>
          <w:color w:val="auto"/>
          <w:szCs w:val="21"/>
          <w:highlight w:val="none"/>
        </w:rPr>
        <w:t>8</w:t>
      </w:r>
      <w:r>
        <w:rPr>
          <w:rFonts w:hint="eastAsia" w:ascii="宋体" w:hAnsi="宋体" w:cs="宋体"/>
          <w:b/>
          <w:color w:val="auto"/>
          <w:szCs w:val="21"/>
          <w:highlight w:val="none"/>
        </w:rPr>
        <w:t>）属于“供应商须知正文”第7.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4B83D86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28F0DC23">
      <w:pPr>
        <w:spacing w:line="360" w:lineRule="auto"/>
        <w:ind w:firstLine="422"/>
        <w:rPr>
          <w:rFonts w:ascii="宋体" w:hAnsi="宋体" w:cs="宋体"/>
          <w:b/>
          <w:color w:val="auto"/>
          <w:szCs w:val="21"/>
          <w:highlight w:val="none"/>
        </w:rPr>
      </w:pPr>
      <w:bookmarkStart w:id="80" w:name="_Hlk71704147"/>
      <w:r>
        <w:rPr>
          <w:rFonts w:hint="eastAsia" w:ascii="宋体" w:hAnsi="宋体" w:cs="宋体"/>
          <w:b/>
          <w:color w:val="auto"/>
          <w:szCs w:val="21"/>
          <w:highlight w:val="none"/>
        </w:rPr>
        <w:t>10）磋商文件未载明允许提供备选（替代）竞标方案或明确不允许提供备选（替代）竞标方案时，供应商提供了备选（替代）竞标方案的；</w:t>
      </w:r>
      <w:bookmarkEnd w:id="80"/>
    </w:p>
    <w:p w14:paraId="61C5F978">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b/>
          <w:color w:val="auto"/>
          <w:szCs w:val="21"/>
          <w:highlight w:val="none"/>
        </w:rPr>
        <w:t>竞争性磋商文件明确不允许分包，响应文件拟分包的；</w:t>
      </w:r>
    </w:p>
    <w:p w14:paraId="560E1DE7">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2）未响应磋商文件实质性要求的；</w:t>
      </w:r>
    </w:p>
    <w:p w14:paraId="742F28FC">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3）商务要求允许负偏离的条款数超过“供应商须知前附表”规定项数的；</w:t>
      </w:r>
    </w:p>
    <w:p w14:paraId="09E09E0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14）</w:t>
      </w:r>
      <w:r>
        <w:rPr>
          <w:rFonts w:hint="eastAsia"/>
          <w:b/>
          <w:color w:val="auto"/>
          <w:highlight w:val="none"/>
        </w:rPr>
        <w:t>技术及其他要求</w:t>
      </w:r>
      <w:r>
        <w:rPr>
          <w:rFonts w:hint="eastAsia" w:ascii="宋体" w:hAnsi="宋体" w:cs="宋体"/>
          <w:b/>
          <w:color w:val="auto"/>
          <w:szCs w:val="21"/>
          <w:highlight w:val="none"/>
        </w:rPr>
        <w:t>允许负偏离的条款数超过“供应商须知前附表”规定项数的；</w:t>
      </w:r>
    </w:p>
    <w:p w14:paraId="5CDFA16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5</w:t>
      </w:r>
      <w:r>
        <w:rPr>
          <w:rFonts w:hint="eastAsia" w:ascii="宋体" w:hAnsi="宋体" w:cs="宋体"/>
          <w:b/>
          <w:color w:val="auto"/>
          <w:szCs w:val="21"/>
          <w:highlight w:val="none"/>
        </w:rPr>
        <w:t>）法律、法规和磋商文件规定的其他无效情形。</w:t>
      </w:r>
    </w:p>
    <w:p w14:paraId="2DA6EC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52A8E9B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1）响应文件未提供“供应商须知前附表”报价文件中规定的“竞标报价表”的；</w:t>
      </w:r>
    </w:p>
    <w:p w14:paraId="63CF5F3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1D026DE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28139F5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w:t>
      </w:r>
      <w:bookmarkStart w:id="81" w:name="OLE_LINK2"/>
      <w:r>
        <w:rPr>
          <w:rFonts w:hint="eastAsia" w:ascii="宋体" w:hAnsi="宋体" w:cs="宋体"/>
          <w:b/>
          <w:color w:val="auto"/>
          <w:szCs w:val="21"/>
          <w:highlight w:val="none"/>
        </w:rPr>
        <w:t>竞标报价（包含首次报价、最后报价）超过本项目规定的采购预算金额或者最高限价的（如本项目公布了最高限价）</w:t>
      </w:r>
      <w:bookmarkEnd w:id="81"/>
      <w:r>
        <w:rPr>
          <w:rFonts w:hint="eastAsia" w:ascii="宋体" w:hAnsi="宋体" w:cs="宋体"/>
          <w:b/>
          <w:color w:val="auto"/>
          <w:szCs w:val="21"/>
          <w:highlight w:val="none"/>
        </w:rPr>
        <w:t>；</w:t>
      </w:r>
      <w:bookmarkStart w:id="82" w:name="_Hlk42596405"/>
      <w:r>
        <w:rPr>
          <w:rFonts w:hint="eastAsia" w:ascii="宋体" w:hAnsi="宋体" w:cs="宋体"/>
          <w:b/>
          <w:color w:val="auto"/>
          <w:szCs w:val="21"/>
          <w:highlight w:val="none"/>
        </w:rPr>
        <w:t>竞标报价（包含首次报价、最后报价）</w:t>
      </w:r>
      <w:bookmarkEnd w:id="82"/>
      <w:bookmarkStart w:id="83" w:name="_Hlk42596276"/>
      <w:r>
        <w:rPr>
          <w:rFonts w:hint="eastAsia" w:ascii="宋体" w:hAnsi="宋体" w:cs="宋体"/>
          <w:b/>
          <w:color w:val="auto"/>
          <w:szCs w:val="21"/>
          <w:highlight w:val="none"/>
        </w:rPr>
        <w:t>超过磋商文件分项采购预算金额或者最高限价的</w:t>
      </w:r>
      <w:bookmarkEnd w:id="83"/>
      <w:r>
        <w:rPr>
          <w:rFonts w:hint="eastAsia" w:ascii="宋体" w:hAnsi="宋体" w:cs="宋体"/>
          <w:b/>
          <w:color w:val="auto"/>
          <w:szCs w:val="21"/>
          <w:highlight w:val="none"/>
        </w:rPr>
        <w:t>（如本项目有要求并公布了分项采购预算金额或者最高限价）；</w:t>
      </w:r>
    </w:p>
    <w:p w14:paraId="0E42C3FE">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本项目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115F604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6）在</w:t>
      </w:r>
      <w:r>
        <w:rPr>
          <w:rFonts w:hint="eastAsia" w:ascii="宋体" w:hAnsi="宋体" w:cs="宋体"/>
          <w:b/>
          <w:color w:val="auto"/>
          <w:szCs w:val="21"/>
          <w:highlight w:val="none"/>
          <w:lang w:val="en-US" w:eastAsia="zh-CN"/>
        </w:rPr>
        <w:t>总价包干</w:t>
      </w:r>
      <w:r>
        <w:rPr>
          <w:rFonts w:hint="eastAsia" w:ascii="宋体" w:hAnsi="宋体" w:cs="宋体"/>
          <w:b/>
          <w:color w:val="auto"/>
          <w:szCs w:val="21"/>
          <w:highlight w:val="none"/>
        </w:rPr>
        <w:t>工程中供应商采用总价优惠或以总价百分比优惠的方式进行竞标报价的；</w:t>
      </w:r>
    </w:p>
    <w:p w14:paraId="59B05CF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7）竞标报价与已标价工程量清单汇总表不一致的；</w:t>
      </w:r>
    </w:p>
    <w:p w14:paraId="4136C69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8）安全文明施工费和规费、增值税不按广西区费用定额及造价管理相关文件规定报价的（园林绿化及仿古建筑工程除外）；</w:t>
      </w:r>
    </w:p>
    <w:p w14:paraId="65AB45A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9）供应商已标价工程量清单的项目编码、计量单位、工程量任何一处与工程量清单不一致的；</w:t>
      </w:r>
    </w:p>
    <w:p w14:paraId="7EEDB2D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10）供应商已标价工程量清单的项目名称或项目特征与工程量清单不一致，磋商小组要求澄清、说明或补正，但供应商拒绝澄清、说明或补正的；</w:t>
      </w:r>
    </w:p>
    <w:p w14:paraId="53903312">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11）设有暂估价（如：材料设备暂估价、专业工程暂估价、安全生产责任保险费暂估价等）、暂列金额的，竞标时未按工程量清单给出的暂估价总价、暂列金额总价计入竞标报价中的；</w:t>
      </w:r>
    </w:p>
    <w:p w14:paraId="085D421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24595C4B">
      <w:pPr>
        <w:spacing w:line="360" w:lineRule="auto"/>
        <w:ind w:firstLine="422"/>
        <w:rPr>
          <w:rFonts w:ascii="宋体" w:hAnsi="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响应文件响应的标的数量及单位与磋商文件要求实质性不一致的；</w:t>
      </w:r>
    </w:p>
    <w:p w14:paraId="65B0008D">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4）竞标函的承诺不符合磋商文件的规定；</w:t>
      </w:r>
    </w:p>
    <w:p w14:paraId="3DBB80D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5</w:t>
      </w:r>
      <w:r>
        <w:rPr>
          <w:rFonts w:hint="eastAsia" w:ascii="宋体" w:hAnsi="宋体" w:cs="宋体"/>
          <w:b/>
          <w:color w:val="auto"/>
          <w:szCs w:val="21"/>
          <w:highlight w:val="none"/>
        </w:rPr>
        <w:t>）未响应磋商文件实质性要求的。</w:t>
      </w:r>
    </w:p>
    <w:p w14:paraId="3781CAD2">
      <w:pPr>
        <w:spacing w:line="360" w:lineRule="auto"/>
        <w:ind w:firstLine="42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4C128697">
      <w:pPr>
        <w:spacing w:line="360" w:lineRule="auto"/>
        <w:ind w:firstLine="482"/>
        <w:rPr>
          <w:rFonts w:hint="eastAsia" w:ascii="宋体" w:hAnsi="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DBE7828">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8DFE4B2">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bCs/>
          <w:color w:val="auto"/>
          <w:szCs w:val="21"/>
          <w:highlight w:val="none"/>
        </w:rPr>
        <w:t>其响应文件按无效处理。</w:t>
      </w:r>
    </w:p>
    <w:p w14:paraId="48CBA9A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B759A0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4B87BBF">
      <w:pPr>
        <w:spacing w:line="360" w:lineRule="auto"/>
        <w:ind w:firstLine="420"/>
        <w:rPr>
          <w:rFonts w:hint="eastAsia" w:ascii="宋体" w:hAnsi="宋体" w:cs="宋体"/>
          <w:b/>
          <w:bCs/>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w:t>
      </w:r>
      <w:r>
        <w:rPr>
          <w:rFonts w:hint="eastAsia" w:ascii="宋体" w:hAnsi="宋体" w:cs="宋体"/>
          <w:b/>
          <w:bCs/>
          <w:color w:val="auto"/>
          <w:szCs w:val="21"/>
          <w:highlight w:val="none"/>
        </w:rPr>
        <w:t>其响应文件按无效处理。</w:t>
      </w:r>
    </w:p>
    <w:p w14:paraId="40F96FA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24D133A2">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7B4C2283">
      <w:pPr>
        <w:widowControl/>
        <w:tabs>
          <w:tab w:val="left" w:pos="540"/>
        </w:tabs>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F86C628">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6CF9F7D2">
      <w:pPr>
        <w:spacing w:line="360" w:lineRule="auto"/>
        <w:ind w:firstLine="482"/>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6AE2BF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s="宋体"/>
          <w:bCs/>
          <w:color w:val="auto"/>
          <w:szCs w:val="21"/>
          <w:highlight w:val="none"/>
        </w:rPr>
        <w:t>广西政府采购云平台</w:t>
      </w:r>
      <w:r>
        <w:rPr>
          <w:rFonts w:hint="eastAsia" w:ascii="宋体" w:hAnsi="宋体" w:cs="宋体"/>
          <w:color w:val="auto"/>
          <w:szCs w:val="21"/>
          <w:highlight w:val="none"/>
        </w:rPr>
        <w:t>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455F52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s="宋体"/>
          <w:bCs/>
          <w:color w:val="auto"/>
          <w:szCs w:val="21"/>
          <w:highlight w:val="none"/>
        </w:rPr>
        <w:t>广西政府采购云平台</w:t>
      </w:r>
      <w:r>
        <w:rPr>
          <w:rFonts w:hint="eastAsia" w:ascii="宋体" w:hAnsi="宋体" w:cs="宋体"/>
          <w:color w:val="auto"/>
          <w:szCs w:val="21"/>
          <w:highlight w:val="none"/>
        </w:rPr>
        <w:t>开标大厅提交最后报价。</w:t>
      </w:r>
      <w:r>
        <w:rPr>
          <w:rFonts w:hint="eastAsia" w:ascii="宋体" w:hAnsi="宋体" w:cs="宋体"/>
          <w:b/>
          <w:color w:val="auto"/>
          <w:szCs w:val="21"/>
          <w:highlight w:val="none"/>
        </w:rPr>
        <w:t>如果供应商的最后报价与首次报价不一致的，不能只报竞标总报价，必须同时在最后报价环节上传调整过的 “已标价工程量清单”，否则做无效响应处理。</w:t>
      </w:r>
    </w:p>
    <w:p w14:paraId="1E31294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0E971F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6CDCD65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621B2E2C">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3A03326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B1226E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71163281">
      <w:pPr>
        <w:spacing w:line="360" w:lineRule="auto"/>
        <w:ind w:firstLine="42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EBB09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A1697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B9EAB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（3）经供应商确认修正后的竞标报价（包含首次报价、最后报价）超过分项采购预算金额或者单价最高限价的（如项目有要求并公布了分项采购预算金额或者单价最高限价）。</w:t>
      </w:r>
    </w:p>
    <w:p w14:paraId="70E04E9A">
      <w:pPr>
        <w:spacing w:line="360" w:lineRule="auto"/>
        <w:ind w:firstLine="420"/>
        <w:rPr>
          <w:rFonts w:hint="eastAsia"/>
          <w:color w:val="auto"/>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B27C400">
      <w:pPr>
        <w:spacing w:line="360" w:lineRule="auto"/>
        <w:ind w:firstLine="424"/>
        <w:jc w:val="left"/>
        <w:rPr>
          <w:rFonts w:hint="eastAsia" w:ascii="宋体" w:hAnsi="宋体"/>
          <w:color w:val="auto"/>
          <w:spacing w:val="-6"/>
          <w:szCs w:val="21"/>
          <w:highlight w:val="none"/>
        </w:rPr>
      </w:pPr>
      <w:r>
        <w:rPr>
          <w:rFonts w:hint="eastAsia" w:ascii="宋体" w:hAnsi="宋体" w:cs="宋体"/>
          <w:color w:val="auto"/>
          <w:szCs w:val="21"/>
          <w:highlight w:val="none"/>
        </w:rPr>
        <w:t>4.10</w:t>
      </w:r>
      <w:r>
        <w:rPr>
          <w:rFonts w:hint="eastAsia" w:ascii="宋体" w:hAnsi="宋体"/>
          <w:color w:val="auto"/>
          <w:szCs w:val="21"/>
          <w:highlight w:val="none"/>
        </w:rPr>
        <w:t>异常低价响应审查</w:t>
      </w:r>
    </w:p>
    <w:p w14:paraId="6088F605">
      <w:pPr>
        <w:spacing w:line="360" w:lineRule="auto"/>
        <w:ind w:firstLine="42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797AAD8F">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rPr>
        <w:t>响应报价</w:t>
      </w:r>
      <w:r>
        <w:rPr>
          <w:rFonts w:hint="eastAsia" w:ascii="宋体" w:hAnsi="宋体"/>
          <w:color w:val="auto"/>
          <w:szCs w:val="21"/>
          <w:highlight w:val="none"/>
        </w:rPr>
        <w:t>低于全部通过符合性审查供应商</w:t>
      </w:r>
      <w:r>
        <w:rPr>
          <w:rFonts w:hint="eastAsia" w:ascii="宋体" w:hAnsi="宋体"/>
          <w:color w:val="auto"/>
          <w:szCs w:val="21"/>
          <w:highlight w:val="none"/>
        </w:rPr>
        <w:t>响应报价</w:t>
      </w:r>
      <w:r>
        <w:rPr>
          <w:rFonts w:hint="eastAsia" w:ascii="宋体" w:hAnsi="宋体"/>
          <w:color w:val="auto"/>
          <w:szCs w:val="21"/>
          <w:highlight w:val="none"/>
        </w:rPr>
        <w:t>平均</w:t>
      </w:r>
      <w:r>
        <w:rPr>
          <w:rFonts w:hint="eastAsia" w:ascii="宋体" w:hAnsi="宋体" w:eastAsia="宋体" w:cs="Times New Roman"/>
          <w:color w:val="auto"/>
          <w:szCs w:val="21"/>
          <w:highlight w:val="none"/>
        </w:rPr>
        <w:t>值65%的，即</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＜全部通过符合性审查供应商</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平均值×</w:t>
      </w:r>
      <w:r>
        <w:rPr>
          <w:rFonts w:hint="eastAsia" w:ascii="宋体" w:hAnsi="宋体" w:eastAsia="宋体" w:cs="Times New Roman"/>
          <w:color w:val="auto"/>
          <w:szCs w:val="21"/>
          <w:highlight w:val="none"/>
          <w:lang w:val="en-US" w:eastAsia="zh-CN"/>
        </w:rPr>
        <w:t>65</w:t>
      </w:r>
      <w:r>
        <w:rPr>
          <w:rFonts w:hint="eastAsia" w:ascii="宋体" w:hAnsi="宋体" w:eastAsia="宋体" w:cs="Times New Roman"/>
          <w:color w:val="auto"/>
          <w:szCs w:val="21"/>
          <w:highlight w:val="none"/>
        </w:rPr>
        <w:t>%；</w:t>
      </w:r>
    </w:p>
    <w:p w14:paraId="02D0722C">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低于通过符合性审查的次低报价供应商</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65%的，即</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＜通过符合性审查的次低报价供应商</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×65%；</w:t>
      </w:r>
    </w:p>
    <w:p w14:paraId="782A84EE">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低于采购项目最高限价65%的，即</w:t>
      </w:r>
      <w:r>
        <w:rPr>
          <w:rFonts w:hint="eastAsia" w:ascii="宋体" w:hAnsi="宋体" w:eastAsia="宋体" w:cs="Times New Roman"/>
          <w:color w:val="auto"/>
          <w:szCs w:val="21"/>
          <w:highlight w:val="none"/>
        </w:rPr>
        <w:t>响应报价</w:t>
      </w:r>
      <w:r>
        <w:rPr>
          <w:rFonts w:hint="eastAsia" w:ascii="宋体" w:hAnsi="宋体" w:eastAsia="宋体" w:cs="Times New Roman"/>
          <w:color w:val="auto"/>
          <w:szCs w:val="21"/>
          <w:highlight w:val="none"/>
        </w:rPr>
        <w:t>＜采购项目最高限价×65%；</w:t>
      </w:r>
    </w:p>
    <w:p w14:paraId="2CA642FD">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④磋商小组基于专业判断，认为供应商报价过低，有可能影响产品质量</w:t>
      </w:r>
      <w:r>
        <w:rPr>
          <w:rFonts w:hint="eastAsia" w:ascii="宋体" w:hAnsi="宋体"/>
          <w:color w:val="auto"/>
          <w:szCs w:val="21"/>
          <w:highlight w:val="none"/>
        </w:rPr>
        <w:t>或者不能诚信履约的</w:t>
      </w:r>
      <w:r>
        <w:rPr>
          <w:rFonts w:hint="eastAsia" w:ascii="宋体" w:hAnsi="宋体" w:eastAsia="宋体" w:cs="Times New Roman"/>
          <w:color w:val="auto"/>
          <w:szCs w:val="21"/>
          <w:highlight w:val="none"/>
        </w:rPr>
        <w:t>其他情形。</w:t>
      </w:r>
    </w:p>
    <w:p w14:paraId="7FF324D7">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w:t>
      </w:r>
      <w:r>
        <w:rPr>
          <w:rFonts w:hint="eastAsia" w:ascii="宋体" w:hAnsi="宋体" w:eastAsia="宋体" w:cs="Times New Roman"/>
          <w:color w:val="auto"/>
          <w:szCs w:val="21"/>
          <w:highlight w:val="none"/>
        </w:rPr>
        <w:t>一般</w:t>
      </w:r>
      <w:r>
        <w:rPr>
          <w:rFonts w:hint="eastAsia" w:ascii="宋体" w:hAnsi="宋体" w:eastAsia="宋体" w:cs="Times New Roman"/>
          <w:color w:val="auto"/>
          <w:szCs w:val="21"/>
          <w:highlight w:val="none"/>
        </w:rPr>
        <w:t>不少于30分钟。其中，属于第③项情形，供应商已随响应文件一并提交相关书面说明及必要的证明材料的，可不再重复提交。</w:t>
      </w:r>
    </w:p>
    <w:p w14:paraId="52B0671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56E1C3A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w:t>
      </w:r>
      <w:r>
        <w:rPr>
          <w:rFonts w:hint="eastAsia" w:ascii="宋体" w:hAnsi="宋体"/>
          <w:color w:val="auto"/>
          <w:szCs w:val="21"/>
          <w:highlight w:val="none"/>
        </w:rPr>
        <w:t>便利</w:t>
      </w:r>
      <w:r>
        <w:rPr>
          <w:rFonts w:hint="eastAsia" w:ascii="宋体" w:hAnsi="宋体"/>
          <w:color w:val="auto"/>
          <w:szCs w:val="21"/>
          <w:highlight w:val="none"/>
        </w:rPr>
        <w:t>。磋商小组借助互联网等渠道查询相关信息的，应当严格遵守评审工作纪律，不得实施影响评审公正的行为。</w:t>
      </w:r>
    </w:p>
    <w:p w14:paraId="6625D3D2">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1496BC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4.11</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51C0CD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最后报价结束后，磋商小组不得再与供应商进行任何形式的商谈。</w:t>
      </w:r>
    </w:p>
    <w:p w14:paraId="11F01F5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7462C7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E2239F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8D11A3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452897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0B84B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7B9B2D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成交供应商推荐原则</w:t>
      </w:r>
    </w:p>
    <w:p w14:paraId="2E4EF0B2">
      <w:pPr>
        <w:spacing w:line="360" w:lineRule="auto"/>
        <w:ind w:firstLine="420"/>
        <w:rPr>
          <w:rFonts w:hint="eastAsia" w:ascii="宋体" w:hAnsi="宋体"/>
          <w:bCs/>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w:t>
      </w:r>
      <w:r>
        <w:rPr>
          <w:rFonts w:hint="eastAsia" w:cs="宋体"/>
          <w:color w:val="auto"/>
          <w:highlight w:val="none"/>
        </w:rPr>
        <w:t>以商务评审分高的优先；商务评审分也相等的，以企业用于该项工程竞标的资质高的优先；企业用于该项工程竞标的资质也相同的，以技术标得分高的优先；技术标得分也相同的，</w:t>
      </w:r>
      <w:r>
        <w:rPr>
          <w:rFonts w:hint="eastAsia" w:ascii="宋体" w:hAnsi="宋体"/>
          <w:bCs/>
          <w:color w:val="auto"/>
          <w:szCs w:val="21"/>
          <w:highlight w:val="none"/>
        </w:rPr>
        <w:t>由磋商小组随机抽取推荐</w:t>
      </w:r>
      <w:r>
        <w:rPr>
          <w:rFonts w:hint="eastAsia" w:ascii="宋体" w:hAnsi="宋体"/>
          <w:color w:val="auto"/>
          <w:szCs w:val="21"/>
          <w:highlight w:val="none"/>
        </w:rPr>
        <w:t>。</w:t>
      </w:r>
    </w:p>
    <w:p w14:paraId="14A6BC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8D02EB2">
      <w:pPr>
        <w:pStyle w:val="44"/>
        <w:rPr>
          <w:rFonts w:hint="eastAsia"/>
          <w:color w:val="auto"/>
          <w:highlight w:val="none"/>
        </w:rPr>
      </w:pPr>
    </w:p>
    <w:p w14:paraId="0F244AE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52BB9134">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3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11"/>
        <w:gridCol w:w="6480"/>
        <w:gridCol w:w="866"/>
      </w:tblGrid>
      <w:tr w14:paraId="2EB1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2116B9A5">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序号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2D6212A">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评审因素</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395CB2D5">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评审标准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C390A1E">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分值</w:t>
            </w:r>
          </w:p>
        </w:tc>
      </w:tr>
      <w:tr w14:paraId="3A63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3939389">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3E748F0">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价格分</w:t>
            </w:r>
          </w:p>
        </w:tc>
        <w:tc>
          <w:tcPr>
            <w:tcW w:w="6480" w:type="dxa"/>
            <w:tcBorders>
              <w:top w:val="single" w:color="auto" w:sz="4" w:space="0"/>
              <w:left w:val="single" w:color="auto" w:sz="4" w:space="0"/>
              <w:bottom w:val="single" w:color="auto" w:sz="4" w:space="0"/>
              <w:right w:val="single" w:color="auto" w:sz="4" w:space="0"/>
            </w:tcBorders>
            <w:noWrap w:val="0"/>
            <w:vAlign w:val="top"/>
          </w:tcPr>
          <w:p w14:paraId="3B4714BA">
            <w:pPr>
              <w:spacing w:line="360" w:lineRule="auto"/>
              <w:ind w:firstLine="420"/>
              <w:jc w:val="left"/>
              <w:rPr>
                <w:rFonts w:hint="eastAsia" w:hAnsi="宋体"/>
                <w:bCs/>
                <w:color w:val="auto"/>
                <w:highlight w:val="none"/>
              </w:rPr>
            </w:pPr>
            <w:r>
              <w:rPr>
                <w:rFonts w:hint="eastAsia"/>
                <w:color w:val="auto"/>
                <w:highlight w:val="none"/>
              </w:rPr>
              <w:t>（1）本项目为专门面向</w:t>
            </w:r>
            <w:r>
              <w:rPr>
                <w:rFonts w:hint="eastAsia" w:ascii="宋体" w:hAnsi="宋体"/>
                <w:color w:val="auto"/>
                <w:szCs w:val="21"/>
                <w:highlight w:val="none"/>
                <w:lang w:eastAsia="zh-CN"/>
              </w:rPr>
              <w:t>小微</w:t>
            </w:r>
            <w:r>
              <w:rPr>
                <w:rFonts w:hint="eastAsia" w:ascii="宋体" w:hAnsi="宋体"/>
                <w:color w:val="auto"/>
                <w:szCs w:val="21"/>
                <w:highlight w:val="none"/>
              </w:rPr>
              <w:t>企业</w:t>
            </w:r>
            <w:r>
              <w:rPr>
                <w:rFonts w:hint="eastAsia"/>
                <w:color w:val="auto"/>
                <w:highlight w:val="none"/>
              </w:rPr>
              <w:t>项目，根据《政府采购促进中小企业发展管理办法》（财库〔2020〕46号）的规定</w:t>
            </w:r>
            <w:r>
              <w:rPr>
                <w:rFonts w:hint="eastAsia"/>
                <w:color w:val="auto"/>
                <w:highlight w:val="none"/>
                <w:lang w:eastAsia="zh-CN"/>
              </w:rPr>
              <w:t>、</w:t>
            </w:r>
            <w:r>
              <w:rPr>
                <w:rFonts w:hint="eastAsia" w:ascii="宋体" w:hAnsi="宋体"/>
                <w:color w:val="auto"/>
                <w:szCs w:val="21"/>
                <w:highlight w:val="none"/>
              </w:rPr>
              <w:t>《财政部、司法部关于政府采购支持监狱企业发展有关问题的通知》（财库〔2014〕68号）</w:t>
            </w:r>
            <w:r>
              <w:rPr>
                <w:rFonts w:hint="eastAsia"/>
                <w:color w:val="auto"/>
                <w:highlight w:val="none"/>
                <w:lang w:eastAsia="zh-CN"/>
              </w:rPr>
              <w:t>、</w:t>
            </w:r>
            <w:r>
              <w:rPr>
                <w:rFonts w:hint="eastAsia" w:ascii="宋体" w:hAnsi="宋体"/>
                <w:color w:val="auto"/>
                <w:szCs w:val="21"/>
                <w:highlight w:val="none"/>
              </w:rPr>
              <w:t>《关于促进残疾人就业政府采购政策的通知》（财库〔2017〕141号）</w:t>
            </w:r>
            <w:r>
              <w:rPr>
                <w:rFonts w:hint="eastAsia" w:ascii="宋体" w:hAnsi="宋体"/>
                <w:color w:val="auto"/>
                <w:szCs w:val="21"/>
                <w:highlight w:val="none"/>
                <w:lang w:eastAsia="zh-CN"/>
              </w:rPr>
              <w:t>的</w:t>
            </w:r>
            <w:r>
              <w:rPr>
                <w:rFonts w:hint="eastAsia" w:ascii="宋体" w:hAnsi="宋体"/>
                <w:color w:val="auto"/>
                <w:szCs w:val="21"/>
                <w:highlight w:val="none"/>
              </w:rPr>
              <w:t>规定</w:t>
            </w:r>
            <w:r>
              <w:rPr>
                <w:rFonts w:hint="eastAsia"/>
                <w:color w:val="auto"/>
                <w:highlight w:val="none"/>
              </w:rPr>
              <w:t>，不再对</w:t>
            </w:r>
            <w:r>
              <w:rPr>
                <w:rFonts w:hint="eastAsia"/>
                <w:color w:val="auto"/>
                <w:highlight w:val="none"/>
                <w:lang w:val="en-US" w:eastAsia="zh-CN"/>
              </w:rPr>
              <w:t>供应商</w:t>
            </w:r>
            <w:r>
              <w:rPr>
                <w:rFonts w:hint="eastAsia"/>
                <w:color w:val="auto"/>
                <w:highlight w:val="none"/>
              </w:rPr>
              <w:t>的最后报价进行政策性扣除。</w:t>
            </w:r>
          </w:p>
          <w:p w14:paraId="64FDBE5C">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（2）以进入比较与评价环节的最低的</w:t>
            </w:r>
            <w:r>
              <w:rPr>
                <w:rFonts w:hint="eastAsia" w:hAnsi="宋体"/>
                <w:bCs/>
                <w:color w:val="auto"/>
                <w:sz w:val="21"/>
                <w:highlight w:val="none"/>
                <w:lang w:val="en-US" w:eastAsia="zh-CN"/>
              </w:rPr>
              <w:t>最后报价</w:t>
            </w:r>
            <w:r>
              <w:rPr>
                <w:rFonts w:hint="eastAsia" w:hAnsi="宋体"/>
                <w:bCs/>
                <w:color w:val="auto"/>
                <w:sz w:val="21"/>
                <w:highlight w:val="none"/>
                <w:lang w:val="en-US" w:eastAsia="zh-CN"/>
              </w:rPr>
              <w:t>为基准价，基准价得分为30分。</w:t>
            </w:r>
          </w:p>
          <w:p w14:paraId="7574F1B2">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（3）价格分计算公式：</w:t>
            </w:r>
          </w:p>
          <w:p w14:paraId="5BD737A8">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报价得分=（基准价/最后报价）×30分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23C8AA3">
            <w:pPr>
              <w:widowControl/>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 xml:space="preserve"> 30分</w:t>
            </w:r>
          </w:p>
        </w:tc>
      </w:tr>
      <w:tr w14:paraId="5C3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053E4E9">
            <w:pPr>
              <w:widowControl/>
              <w:spacing w:line="360" w:lineRule="auto"/>
              <w:jc w:val="center"/>
              <w:rPr>
                <w:rFonts w:hint="eastAsia" w:ascii="宋体" w:hAnsi="宋体" w:cs="Tahoma"/>
                <w:color w:val="auto"/>
                <w:szCs w:val="21"/>
                <w:highlight w:val="none"/>
              </w:rPr>
            </w:pPr>
            <w:r>
              <w:rPr>
                <w:rFonts w:hint="eastAsia" w:ascii="宋体" w:hAnsi="宋体"/>
                <w:bCs/>
                <w:color w:val="auto"/>
                <w:szCs w:val="21"/>
                <w:highlight w:val="none"/>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F8DF157">
            <w:pPr>
              <w:widowControl/>
              <w:spacing w:line="360" w:lineRule="auto"/>
              <w:jc w:val="center"/>
              <w:rPr>
                <w:rFonts w:hint="eastAsia" w:ascii="宋体" w:hAnsi="宋体" w:cs="Tahoma"/>
                <w:color w:val="auto"/>
                <w:szCs w:val="21"/>
                <w:highlight w:val="none"/>
              </w:rPr>
            </w:pPr>
            <w:r>
              <w:rPr>
                <w:rFonts w:hint="eastAsia" w:ascii="宋体" w:hAnsi="宋体"/>
                <w:bCs/>
                <w:color w:val="auto"/>
                <w:szCs w:val="21"/>
                <w:highlight w:val="none"/>
              </w:rPr>
              <w:t>技术分</w:t>
            </w:r>
          </w:p>
        </w:tc>
        <w:tc>
          <w:tcPr>
            <w:tcW w:w="7346" w:type="dxa"/>
            <w:gridSpan w:val="2"/>
            <w:tcBorders>
              <w:top w:val="single" w:color="auto" w:sz="4" w:space="0"/>
              <w:left w:val="single" w:color="auto" w:sz="4" w:space="0"/>
              <w:bottom w:val="single" w:color="auto" w:sz="4" w:space="0"/>
              <w:right w:val="single" w:color="auto" w:sz="4" w:space="0"/>
            </w:tcBorders>
            <w:noWrap w:val="0"/>
            <w:vAlign w:val="center"/>
          </w:tcPr>
          <w:p w14:paraId="43E072E5">
            <w:pPr>
              <w:spacing w:line="360" w:lineRule="auto"/>
              <w:jc w:val="center"/>
              <w:rPr>
                <w:rFonts w:hint="eastAsia" w:ascii="宋体" w:hAnsi="宋体" w:cs="Tahoma"/>
                <w:color w:val="auto"/>
                <w:szCs w:val="21"/>
                <w:highlight w:val="none"/>
              </w:rPr>
            </w:pPr>
            <w:r>
              <w:rPr>
                <w:rFonts w:hint="eastAsia" w:ascii="宋体" w:hAnsi="宋体"/>
                <w:bCs/>
                <w:color w:val="auto"/>
                <w:szCs w:val="21"/>
                <w:highlight w:val="none"/>
              </w:rPr>
              <w:t>评审标准</w:t>
            </w:r>
          </w:p>
        </w:tc>
      </w:tr>
      <w:tr w14:paraId="23A8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vAlign w:val="center"/>
          </w:tcPr>
          <w:p w14:paraId="19B0DC55">
            <w:pPr>
              <w:spacing w:line="360" w:lineRule="auto"/>
              <w:ind w:left="-105" w:right="-105"/>
              <w:jc w:val="center"/>
              <w:rPr>
                <w:rFonts w:hint="eastAsia" w:ascii="宋体" w:hAnsi="宋体"/>
                <w:bCs/>
                <w:color w:val="auto"/>
                <w:szCs w:val="21"/>
                <w:highlight w:val="none"/>
              </w:rPr>
            </w:pPr>
            <w:r>
              <w:rPr>
                <w:rFonts w:hint="eastAsia" w:ascii="宋体" w:hAnsi="宋体"/>
                <w:bCs/>
                <w:color w:val="auto"/>
                <w:szCs w:val="21"/>
                <w:highlight w:val="none"/>
              </w:rPr>
              <w:t>2.1</w:t>
            </w:r>
          </w:p>
        </w:tc>
        <w:tc>
          <w:tcPr>
            <w:tcW w:w="1211" w:type="dxa"/>
            <w:vMerge w:val="restart"/>
            <w:tcBorders>
              <w:top w:val="single" w:color="auto" w:sz="4" w:space="0"/>
              <w:left w:val="single" w:color="auto" w:sz="4" w:space="0"/>
              <w:bottom w:val="single" w:color="auto" w:sz="4" w:space="0"/>
              <w:right w:val="single" w:color="auto" w:sz="4" w:space="0"/>
            </w:tcBorders>
            <w:noWrap w:val="0"/>
            <w:vAlign w:val="center"/>
          </w:tcPr>
          <w:p w14:paraId="0A7A29D1">
            <w:pPr>
              <w:spacing w:line="360" w:lineRule="auto"/>
              <w:rPr>
                <w:rFonts w:hint="eastAsia" w:cs="宋体"/>
                <w:color w:val="auto"/>
                <w:highlight w:val="none"/>
              </w:rPr>
            </w:pPr>
            <w:r>
              <w:rPr>
                <w:rFonts w:hint="eastAsia" w:cs="宋体"/>
                <w:color w:val="auto"/>
                <w:highlight w:val="none"/>
              </w:rPr>
              <w:t>施工组织设计（60分）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3B2E0FFD">
            <w:pPr>
              <w:spacing w:line="360" w:lineRule="auto"/>
              <w:rPr>
                <w:rFonts w:hint="eastAsia" w:cs="宋体"/>
                <w:color w:val="auto"/>
                <w:highlight w:val="none"/>
              </w:rPr>
            </w:pPr>
            <w:r>
              <w:rPr>
                <w:rFonts w:hint="eastAsia" w:cs="宋体"/>
                <w:color w:val="auto"/>
                <w:highlight w:val="none"/>
              </w:rPr>
              <w:t>（1）设备配置（满分6分）</w:t>
            </w:r>
          </w:p>
          <w:p w14:paraId="75264C96">
            <w:pPr>
              <w:spacing w:line="360" w:lineRule="auto"/>
              <w:ind w:firstLine="420"/>
              <w:rPr>
                <w:rFonts w:hint="eastAsia" w:cs="宋体"/>
                <w:color w:val="auto"/>
                <w:highlight w:val="none"/>
              </w:rPr>
            </w:pPr>
            <w:r>
              <w:rPr>
                <w:rFonts w:hint="eastAsia" w:cs="宋体"/>
                <w:color w:val="auto"/>
                <w:highlight w:val="none"/>
              </w:rPr>
              <w:t>优（6 分）：拟投入的主要机械设备、辅助施工设备、器具齐全完备，投入计划与进度计划呼应，设备型号、数量满足施工需要，适配工程需求，选用国际、国内机械设备。​</w:t>
            </w:r>
          </w:p>
          <w:p w14:paraId="6DF21160">
            <w:pPr>
              <w:spacing w:line="360" w:lineRule="auto"/>
              <w:ind w:firstLine="420"/>
              <w:rPr>
                <w:rFonts w:hint="eastAsia" w:cs="宋体"/>
                <w:color w:val="auto"/>
                <w:highlight w:val="none"/>
              </w:rPr>
            </w:pPr>
            <w:r>
              <w:rPr>
                <w:rFonts w:hint="eastAsia" w:cs="宋体"/>
                <w:color w:val="auto"/>
                <w:highlight w:val="none"/>
              </w:rPr>
              <w:t>良（4 分）：拟投入的主要机械设备、辅助施工设备、器具齐全，投入计划与进度计划呼应，设备型号、数量满足施工需要，适配工程需求，选用国际、国内机械设备。​</w:t>
            </w:r>
          </w:p>
          <w:p w14:paraId="6988BBA0">
            <w:pPr>
              <w:spacing w:line="360" w:lineRule="auto"/>
              <w:ind w:firstLine="420"/>
              <w:rPr>
                <w:rFonts w:hint="eastAsia" w:cs="宋体"/>
                <w:color w:val="auto"/>
                <w:highlight w:val="none"/>
              </w:rPr>
            </w:pPr>
            <w:r>
              <w:rPr>
                <w:rFonts w:hint="eastAsia" w:cs="宋体"/>
                <w:color w:val="auto"/>
                <w:highlight w:val="none"/>
              </w:rPr>
              <w:t>中（3 分）：拟投入的主要机械设备、辅助施工设备、器具齐备，投入计划与进度计划呼应，无重大缺漏，设备型号、数量适配施工需要，选用国际、国内机械设备。​</w:t>
            </w:r>
          </w:p>
          <w:p w14:paraId="094123D9">
            <w:pPr>
              <w:spacing w:line="360" w:lineRule="auto"/>
              <w:ind w:firstLine="420"/>
              <w:rPr>
                <w:rFonts w:hint="eastAsia" w:cs="宋体"/>
                <w:color w:val="auto"/>
                <w:highlight w:val="none"/>
              </w:rPr>
            </w:pPr>
            <w:r>
              <w:rPr>
                <w:rFonts w:hint="eastAsia" w:cs="宋体"/>
                <w:color w:val="auto"/>
                <w:highlight w:val="none"/>
              </w:rPr>
              <w:t>一般</w:t>
            </w:r>
            <w:r>
              <w:rPr>
                <w:rFonts w:hint="eastAsia" w:cs="宋体"/>
                <w:color w:val="auto"/>
                <w:highlight w:val="none"/>
              </w:rPr>
              <w:t>（2 分）：拟投入的主要机械设备、辅助施工设备、器具齐备，投入计划与进度计划呼应，无重大缺漏，设备型号、数量适配施工需要，选用国际、国内机械设备。​</w:t>
            </w:r>
          </w:p>
          <w:p w14:paraId="5EC56FD2">
            <w:pPr>
              <w:spacing w:line="360" w:lineRule="auto"/>
              <w:ind w:firstLine="420"/>
              <w:rPr>
                <w:rFonts w:hint="eastAsia" w:cs="宋体"/>
                <w:color w:val="auto"/>
                <w:highlight w:val="none"/>
              </w:rPr>
            </w:pPr>
            <w:r>
              <w:rPr>
                <w:rFonts w:hint="eastAsia" w:cs="宋体"/>
                <w:color w:val="auto"/>
                <w:highlight w:val="none"/>
              </w:rPr>
              <w:t>差（0 分）：拟投入的主要机械设备、辅助施工设备、器具不齐备，投入计划与进度计划不呼应，存在重大缺漏，设备型号、数量无法满足施工需要。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6585696">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40C6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7B89DF26">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02468AD4">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78ED25E6">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（2）主要施工方法（满分6分）</w:t>
            </w:r>
          </w:p>
          <w:p w14:paraId="0F17AD09">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各主要分部施工方法符合项目实际，须有详尽的施工技术方案，工艺成熟可靠、规范合规且</w:t>
            </w:r>
            <w:r>
              <w:rPr>
                <w:rFonts w:hint="eastAsia" w:hAnsi="宋体"/>
                <w:bCs/>
                <w:color w:val="auto"/>
                <w:sz w:val="21"/>
                <w:highlight w:val="none"/>
                <w:lang w:val="en-US" w:eastAsia="zh-CN"/>
              </w:rPr>
              <w:t>适配性强</w:t>
            </w:r>
            <w:r>
              <w:rPr>
                <w:rFonts w:hint="eastAsia" w:hAnsi="宋体"/>
                <w:bCs/>
                <w:color w:val="auto"/>
                <w:sz w:val="21"/>
                <w:highlight w:val="none"/>
                <w:lang w:val="en-US" w:eastAsia="zh-CN"/>
              </w:rPr>
              <w:t>、可行，能指导具体施工并确保安全。</w:t>
            </w:r>
          </w:p>
          <w:p w14:paraId="3D204267">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04D0D8EA">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优（6分）：各主要分部施工方法符合项目实际，须有详尽的施工技术方案，工艺成熟可靠、方法规范合规且</w:t>
            </w:r>
            <w:r>
              <w:rPr>
                <w:rFonts w:hint="eastAsia" w:hAnsi="宋体"/>
                <w:bCs/>
                <w:color w:val="auto"/>
                <w:sz w:val="21"/>
                <w:highlight w:val="none"/>
                <w:lang w:val="en-US" w:eastAsia="zh-CN"/>
              </w:rPr>
              <w:t>适配性强</w:t>
            </w:r>
            <w:r>
              <w:rPr>
                <w:rFonts w:hint="eastAsia" w:hAnsi="宋体"/>
                <w:bCs/>
                <w:color w:val="auto"/>
                <w:sz w:val="21"/>
                <w:highlight w:val="none"/>
                <w:lang w:val="en-US" w:eastAsia="zh-CN"/>
              </w:rPr>
              <w:t>、可行，完全能指导具体施工并确保安全，方案完整性、贴合项目实际需求、适配度及可操作</w:t>
            </w:r>
            <w:r>
              <w:rPr>
                <w:rFonts w:hint="eastAsia" w:hAnsi="宋体"/>
                <w:bCs/>
                <w:color w:val="auto"/>
                <w:sz w:val="21"/>
                <w:highlight w:val="none"/>
                <w:lang w:val="en-US" w:eastAsia="zh-CN"/>
              </w:rPr>
              <w:t>性高</w:t>
            </w:r>
            <w:r>
              <w:rPr>
                <w:rFonts w:hint="eastAsia" w:hAnsi="宋体"/>
                <w:bCs/>
                <w:color w:val="auto"/>
                <w:sz w:val="21"/>
                <w:highlight w:val="none"/>
                <w:lang w:val="en-US" w:eastAsia="zh-CN"/>
              </w:rPr>
              <w:t xml:space="preserve">； </w:t>
            </w:r>
          </w:p>
          <w:p w14:paraId="664F233E">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分）：各主要分部施工方法符合项目实际，须有具体的施工技术方案，工艺、方法可行， 能指导具体施工并确保安全，方案要素齐全，有明确适配场景和合理性；  </w:t>
            </w:r>
          </w:p>
          <w:p w14:paraId="270BA2F3">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中（3分）：各主要分部施工方法符合项目实际，但无详尽的施工技术方案，</w:t>
            </w:r>
            <w:r>
              <w:rPr>
                <w:rFonts w:hint="eastAsia" w:hAnsi="宋体"/>
                <w:bCs/>
                <w:color w:val="auto"/>
                <w:sz w:val="21"/>
                <w:highlight w:val="none"/>
                <w:lang w:val="en-US" w:eastAsia="zh-CN"/>
              </w:rPr>
              <w:t>满足</w:t>
            </w:r>
            <w:r>
              <w:rPr>
                <w:rFonts w:hint="eastAsia" w:hAnsi="宋体"/>
                <w:bCs/>
                <w:color w:val="auto"/>
                <w:sz w:val="21"/>
                <w:highlight w:val="none"/>
                <w:lang w:val="en-US" w:eastAsia="zh-CN"/>
              </w:rPr>
              <w:t>现场施工指导需求并确保安全，方案适配项目实际场景不足；</w:t>
            </w:r>
          </w:p>
          <w:p w14:paraId="462D19F4">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（2分）：各主要分部施工方法不符合项目实际，无详尽的施工技术方案，不能指导具体施工并确保安全，方案不完整、未针对项目实际场景设计、无适配性及可操作性；</w:t>
            </w:r>
          </w:p>
          <w:p w14:paraId="31376850">
            <w:pPr>
              <w:pStyle w:val="230"/>
              <w:spacing w:line="360" w:lineRule="auto"/>
              <w:ind w:firstLine="420"/>
              <w:rPr>
                <w:rFonts w:hint="eastAsia" w:hAnsi="宋体"/>
                <w:color w:val="auto"/>
                <w:sz w:val="21"/>
                <w:highlight w:val="none"/>
                <w:lang w:val="en-US" w:eastAsia="zh-CN"/>
              </w:rPr>
            </w:pPr>
            <w:r>
              <w:rPr>
                <w:rFonts w:hint="eastAsia" w:hAnsi="宋体"/>
                <w:bCs/>
                <w:color w:val="auto"/>
                <w:sz w:val="21"/>
                <w:highlight w:val="none"/>
                <w:lang w:val="en-US" w:eastAsia="zh-CN"/>
              </w:rPr>
              <w:t>差（0分）：施工方案</w:t>
            </w:r>
            <w:r>
              <w:rPr>
                <w:rFonts w:hint="eastAsia" w:hAnsi="宋体"/>
                <w:bCs/>
                <w:color w:val="auto"/>
                <w:sz w:val="21"/>
                <w:highlight w:val="none"/>
                <w:lang w:val="en-US" w:eastAsia="zh-CN"/>
              </w:rPr>
              <w:t>内容不完整</w:t>
            </w:r>
            <w:r>
              <w:rPr>
                <w:rFonts w:hint="eastAsia" w:hAnsi="宋体"/>
                <w:bCs/>
                <w:color w:val="auto"/>
                <w:sz w:val="21"/>
                <w:highlight w:val="none"/>
                <w:lang w:val="en-US" w:eastAsia="zh-CN"/>
              </w:rPr>
              <w:t>、有缺失，不能满足施工需要。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E51AA2D">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6178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17CED755">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72136CCE">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69AC4060">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（3）拟投入的主要物资计划（满分6分）</w:t>
            </w:r>
          </w:p>
          <w:p w14:paraId="22218FA4">
            <w:pPr>
              <w:pStyle w:val="230"/>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投入的施工材料有详细的组织计划且计划周密，数量、选型配置、进场时间安排合理，满足施工需要。</w:t>
            </w:r>
          </w:p>
          <w:p w14:paraId="70773CDF">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7FF43708">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优（6分）：投入的施工材料有详细的组织计划且计划周密，数量、选型配置、进场时间安排精准高效，优于施工需要。</w:t>
            </w:r>
          </w:p>
          <w:p w14:paraId="5A4722B7">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良（4 分）：投入的施工材料有组织计划，数量、选型配置、进场时间安排合理，完全满足施工需要。</w:t>
            </w:r>
          </w:p>
          <w:p w14:paraId="5711261D">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中（3分）：投入的施工材料有组织计划，数量、选型配置、进场时间安排</w:t>
            </w:r>
            <w:r>
              <w:rPr>
                <w:rFonts w:hint="eastAsia" w:hAnsi="宋体"/>
                <w:bCs/>
                <w:color w:val="auto"/>
                <w:sz w:val="21"/>
                <w:highlight w:val="none"/>
                <w:lang w:val="en-US" w:eastAsia="zh-CN"/>
              </w:rPr>
              <w:t>合理</w:t>
            </w:r>
            <w:r>
              <w:rPr>
                <w:rFonts w:hint="eastAsia" w:hAnsi="宋体"/>
                <w:bCs/>
                <w:color w:val="auto"/>
                <w:sz w:val="21"/>
                <w:highlight w:val="none"/>
                <w:lang w:val="en-US" w:eastAsia="zh-CN"/>
              </w:rPr>
              <w:t>，满足施工需要。</w:t>
            </w:r>
          </w:p>
          <w:p w14:paraId="6D4EA9BF">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（2分）投入的施工材料有组织计划，数量、选型配置、进场时间安排存在不足但仍可执行，部分满足施工需要。</w:t>
            </w:r>
          </w:p>
          <w:p w14:paraId="284ED9D4">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差（0分）：投入的施工材料没有组织计划，不能满足施工需要。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5527636E">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18A6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464FB069">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0FB26B5B">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02EBAED2">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（4）劳动力安排计划（满分6分）</w:t>
            </w:r>
          </w:p>
          <w:p w14:paraId="10B03C87">
            <w:pPr>
              <w:pStyle w:val="230"/>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各主要施工工序应有详细周密的劳动力安排计划，有各工种劳动力安排计划，劳动力投入合理，满足施工需要。</w:t>
            </w:r>
          </w:p>
          <w:p w14:paraId="5A5573BE">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优（6分）：各主要施工工序应有详细周密的劳动力安排计划，有详细的各工种劳动力安排计划，劳动力投入充裕且合理，优于施工需要。</w:t>
            </w:r>
          </w:p>
          <w:p w14:paraId="121BB846">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良（4分）：各主要施工工序有劳动力安排计划，有各工种劳动力安排计划，劳动力投入合理，满足施工需要。</w:t>
            </w:r>
          </w:p>
          <w:p w14:paraId="072918C4">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 分）：各主要施工工序有劳动力安排计划，有各工种劳动力安排计划，劳动力投入</w:t>
            </w:r>
            <w:r>
              <w:rPr>
                <w:rFonts w:hint="eastAsia" w:hAnsi="宋体"/>
                <w:bCs/>
                <w:color w:val="auto"/>
                <w:sz w:val="21"/>
                <w:highlight w:val="none"/>
                <w:lang w:val="en-US" w:eastAsia="zh-CN"/>
              </w:rPr>
              <w:t>较合理</w:t>
            </w:r>
            <w:r>
              <w:rPr>
                <w:rFonts w:hint="eastAsia" w:hAnsi="宋体"/>
                <w:bCs/>
                <w:color w:val="auto"/>
                <w:sz w:val="21"/>
                <w:highlight w:val="none"/>
                <w:lang w:val="en-US" w:eastAsia="zh-CN"/>
              </w:rPr>
              <w:t>，</w:t>
            </w:r>
            <w:r>
              <w:rPr>
                <w:rFonts w:hint="eastAsia" w:hAnsi="宋体"/>
                <w:bCs/>
                <w:color w:val="auto"/>
                <w:sz w:val="21"/>
                <w:highlight w:val="none"/>
                <w:lang w:val="en-US" w:eastAsia="zh-CN"/>
              </w:rPr>
              <w:t>较</w:t>
            </w:r>
            <w:r>
              <w:rPr>
                <w:rFonts w:hint="eastAsia" w:hAnsi="宋体"/>
                <w:bCs/>
                <w:color w:val="auto"/>
                <w:sz w:val="21"/>
                <w:highlight w:val="none"/>
                <w:lang w:val="en-US" w:eastAsia="zh-CN"/>
              </w:rPr>
              <w:t>能满足施工需要。</w:t>
            </w:r>
          </w:p>
          <w:p w14:paraId="22972FFD">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（2分）：各主要施工工序有劳动力安排计划，有各工种劳动力安排计划，劳动力投入</w:t>
            </w:r>
            <w:r>
              <w:rPr>
                <w:rFonts w:hint="eastAsia" w:hAnsi="宋体"/>
                <w:bCs/>
                <w:color w:val="auto"/>
                <w:sz w:val="21"/>
                <w:highlight w:val="none"/>
                <w:lang w:val="en-US" w:eastAsia="zh-CN"/>
              </w:rPr>
              <w:t>基本合理</w:t>
            </w:r>
            <w:r>
              <w:rPr>
                <w:rFonts w:hint="eastAsia" w:hAnsi="宋体"/>
                <w:bCs/>
                <w:color w:val="auto"/>
                <w:sz w:val="21"/>
                <w:highlight w:val="none"/>
                <w:lang w:val="en-US" w:eastAsia="zh-CN"/>
              </w:rPr>
              <w:t>，</w:t>
            </w:r>
            <w:r>
              <w:rPr>
                <w:rFonts w:hint="eastAsia" w:hAnsi="宋体"/>
                <w:bCs/>
                <w:color w:val="auto"/>
                <w:sz w:val="21"/>
                <w:highlight w:val="none"/>
                <w:lang w:val="en-US" w:eastAsia="zh-CN"/>
              </w:rPr>
              <w:t>基本满足</w:t>
            </w:r>
            <w:r>
              <w:rPr>
                <w:rFonts w:hint="eastAsia" w:hAnsi="宋体"/>
                <w:bCs/>
                <w:color w:val="auto"/>
                <w:sz w:val="21"/>
                <w:highlight w:val="none"/>
                <w:lang w:val="en-US" w:eastAsia="zh-CN"/>
              </w:rPr>
              <w:t>施工需要。</w:t>
            </w:r>
          </w:p>
          <w:p w14:paraId="649DB30D">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差（0分）：主要施工工序的劳动力安排计划不详细，各工种劳动力安排计划不明确，劳动力投入不合理，不能满足施工需要。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89C4148">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6B8D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2855C5CB">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40840625">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6EC30615">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（5）确保工程质量的技术组织措施（满分6分）</w:t>
            </w:r>
          </w:p>
          <w:p w14:paraId="0EF9EB86">
            <w:pPr>
              <w:pStyle w:val="230"/>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应有专门的质量技术管理班子和制度，且人员配备合理，制度健全。主要工序应有质量技术保证措施和手段，质控体系完整，能有效保证技术质量，达到承诺的质量标准。</w:t>
            </w:r>
          </w:p>
          <w:p w14:paraId="5EA65C08">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6AE67929">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优（6分）：质量技术管理班子和制度内容完整，人员配备合理，制度健全，主要工序的质量技术保证措施和手段完善，自控体系完整，完全保证技术质量，优于承诺的质量标准； </w:t>
            </w:r>
          </w:p>
          <w:p w14:paraId="439B1AF6">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分）：质量技术管理班子和制度内容齐全，人员配备完整，制度设置适配项目需求， 主要工序的质量技术保证措施和手段可落地执行，自控体系规范有效，保证技术质量，达到承诺的质量标准； </w:t>
            </w:r>
          </w:p>
          <w:p w14:paraId="2507571D">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 分）：质量技术管理班子和制度</w:t>
            </w:r>
            <w:r>
              <w:rPr>
                <w:rFonts w:hint="eastAsia" w:hAnsi="宋体"/>
                <w:bCs/>
                <w:color w:val="auto"/>
                <w:sz w:val="21"/>
                <w:highlight w:val="none"/>
                <w:lang w:val="en-US" w:eastAsia="zh-CN"/>
              </w:rPr>
              <w:t>内容不完整</w:t>
            </w:r>
            <w:r>
              <w:rPr>
                <w:rFonts w:hint="eastAsia" w:hAnsi="宋体"/>
                <w:bCs/>
                <w:color w:val="auto"/>
                <w:sz w:val="21"/>
                <w:highlight w:val="none"/>
                <w:lang w:val="en-US" w:eastAsia="zh-CN"/>
              </w:rPr>
              <w:t>，人员配备不足，制度不健全，主要工序的质量技术保证措施和手段不完善，自控体系不完整，基本保证技术质量，达到承诺的质量标准；</w:t>
            </w:r>
          </w:p>
          <w:p w14:paraId="49F1D0D2">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（2分）：质量技术管理班子和制度</w:t>
            </w:r>
            <w:r>
              <w:rPr>
                <w:rFonts w:hint="eastAsia" w:hAnsi="宋体"/>
                <w:bCs/>
                <w:color w:val="auto"/>
                <w:sz w:val="21"/>
                <w:highlight w:val="none"/>
                <w:lang w:val="en-US" w:eastAsia="zh-CN"/>
              </w:rPr>
              <w:t>内容不完整</w:t>
            </w:r>
            <w:r>
              <w:rPr>
                <w:rFonts w:hint="eastAsia" w:hAnsi="宋体"/>
                <w:bCs/>
                <w:color w:val="auto"/>
                <w:sz w:val="21"/>
                <w:highlight w:val="none"/>
                <w:lang w:val="en-US" w:eastAsia="zh-CN"/>
              </w:rPr>
              <w:t>，人员配备不足，制度不健全，主要工序的质量技术保证措施和手段不完善，自控体系不完整，不能保证技术质量，达不到承诺的质量标准；</w:t>
            </w:r>
          </w:p>
          <w:p w14:paraId="262590AC">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差（1分）：质量技术管理班子和制度内容有缺失，人员配备不合理。</w:t>
            </w:r>
          </w:p>
          <w:p w14:paraId="6647DB0D">
            <w:pPr>
              <w:pStyle w:val="230"/>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A91B71E">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5E4B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5C5E4427">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46774C34">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17F954A8">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（6）确保安全生产的技术组织措施（满分6分）</w:t>
            </w:r>
          </w:p>
          <w:p w14:paraId="69522342">
            <w:pPr>
              <w:pStyle w:val="230"/>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应有专门的安全管理人员和制度，且人员配备合理，制度健全，各道工序安全技术措施</w:t>
            </w:r>
            <w:r>
              <w:rPr>
                <w:rFonts w:hint="eastAsia" w:hAnsi="宋体"/>
                <w:bCs/>
                <w:color w:val="auto"/>
                <w:sz w:val="21"/>
                <w:highlight w:val="none"/>
                <w:lang w:val="en-US" w:eastAsia="zh-CN"/>
              </w:rPr>
              <w:t>针对性强</w:t>
            </w:r>
            <w:r>
              <w:rPr>
                <w:rFonts w:hint="eastAsia" w:hAnsi="宋体"/>
                <w:bCs/>
                <w:color w:val="auto"/>
                <w:sz w:val="21"/>
                <w:highlight w:val="none"/>
                <w:lang w:val="en-US" w:eastAsia="zh-CN"/>
              </w:rPr>
              <w:t>，符合实际且满足有关安全技术标准要求。现场防火、应急救援、社会治安安全措施得力。危险性</w:t>
            </w:r>
            <w:r>
              <w:rPr>
                <w:rFonts w:hint="eastAsia" w:hAnsi="宋体"/>
                <w:bCs/>
                <w:color w:val="auto"/>
                <w:sz w:val="21"/>
                <w:highlight w:val="none"/>
                <w:lang w:val="en-US" w:eastAsia="zh-CN"/>
              </w:rPr>
              <w:t>较大</w:t>
            </w:r>
            <w:r>
              <w:rPr>
                <w:rFonts w:hint="eastAsia" w:hAnsi="宋体"/>
                <w:bCs/>
                <w:color w:val="auto"/>
                <w:sz w:val="21"/>
                <w:highlight w:val="none"/>
                <w:lang w:val="en-US" w:eastAsia="zh-CN"/>
              </w:rPr>
              <w:t>的分部分项工程量清单补充完善并明确相应的安全管理措施。</w:t>
            </w:r>
          </w:p>
          <w:p w14:paraId="7186D143">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0C9B6A0C">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优（6分）：安全管理人员和制度条款设置完善，人员配备合理，制度健全，各道工序安全技术措施</w:t>
            </w:r>
            <w:r>
              <w:rPr>
                <w:rFonts w:hint="eastAsia" w:hAnsi="宋体"/>
                <w:bCs/>
                <w:color w:val="auto"/>
                <w:sz w:val="21"/>
                <w:highlight w:val="none"/>
                <w:lang w:val="en-US" w:eastAsia="zh-CN"/>
              </w:rPr>
              <w:t>针对性强</w:t>
            </w:r>
            <w:r>
              <w:rPr>
                <w:rFonts w:hint="eastAsia" w:hAnsi="宋体"/>
                <w:bCs/>
                <w:color w:val="auto"/>
                <w:sz w:val="21"/>
                <w:highlight w:val="none"/>
                <w:lang w:val="en-US" w:eastAsia="zh-CN"/>
              </w:rPr>
              <w:t xml:space="preserve">，契合实际且满足有关安全技术标准要求。现场防火、应急 救援、社会治安安全措施得力； </w:t>
            </w:r>
          </w:p>
          <w:p w14:paraId="59FA73C5">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分）：安全管理人员和制度条款适配项目需求，人员符合要求，制度健全度达标，各道工序安全技术措施针对性明确，符合实际且满足有关安全技术标准要求。现场防火、应急救援、社会治安安全措施可行；  </w:t>
            </w:r>
          </w:p>
          <w:p w14:paraId="0B97B6AC">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 分）：有安全管理人员和制度条款设置，人员配备合理，各道工序安全技术措施针对性</w:t>
            </w:r>
            <w:r>
              <w:rPr>
                <w:rFonts w:hint="eastAsia" w:hAnsi="宋体"/>
                <w:bCs/>
                <w:color w:val="auto"/>
                <w:sz w:val="21"/>
                <w:highlight w:val="none"/>
                <w:lang w:val="en-US" w:eastAsia="zh-CN"/>
              </w:rPr>
              <w:t>不够详细</w:t>
            </w:r>
            <w:r>
              <w:rPr>
                <w:rFonts w:hint="eastAsia" w:hAnsi="宋体"/>
                <w:bCs/>
                <w:color w:val="auto"/>
                <w:sz w:val="21"/>
                <w:highlight w:val="none"/>
                <w:lang w:val="en-US" w:eastAsia="zh-CN"/>
              </w:rPr>
              <w:t xml:space="preserve">，有关安全技术标准要 求。有现场防火、应急救援、社会治安安全措施； </w:t>
            </w:r>
          </w:p>
          <w:p w14:paraId="4665AD98">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 xml:space="preserve">（2分）：有安全管理人员和制度条款设置，人员配备满足要求，各道工序安全技术措施无针对性，有关安全技术标准要求。无现场防火、应急救援、社会治安安全措施； </w:t>
            </w:r>
          </w:p>
          <w:p w14:paraId="627CF8BE">
            <w:pPr>
              <w:pStyle w:val="230"/>
              <w:spacing w:line="360" w:lineRule="auto"/>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差（1分）：安全管理人员和人员配备不合理，制度有缺失。</w:t>
            </w:r>
          </w:p>
          <w:p w14:paraId="47DEF9A6">
            <w:pPr>
              <w:pStyle w:val="230"/>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5DE3D66">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5160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2BB870AE">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1AC9E918">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07A18406">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（7）确保工期的技术组织措施（满分6分）</w:t>
            </w:r>
          </w:p>
          <w:p w14:paraId="139297F4">
            <w:pPr>
              <w:pStyle w:val="230"/>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在施工工艺、施工方法、材料选用、劳动力安排、技术等方面有保证工期的具体措施且措施得当。有控制工期的施工进度计划。应有施工总进度表或施工网络图，各项计划图表编制完善，安排合理，符合本项目施工实际要求。</w:t>
            </w:r>
          </w:p>
          <w:p w14:paraId="767B9517">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6A026FDB">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优（6分）：施工工艺、施工方法、材料选用、劳动力安排、技术等方面有保证工期的具体措施且措施得当。有控制工期的施工进 度计划。施工总进度表或施工网络图详实完整，各项计划图表编制完善，安排合理，优于本项目施工实际要求； </w:t>
            </w:r>
          </w:p>
          <w:p w14:paraId="07998E4E">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良（4分）：施工工艺、施工方法、材料选用、劳动力安排、技术等方面的保证工期措施合理。控制工期的施工进度计划明确。施工总进度表或施工网络图完整， 各项计划图表编制合理， 符合本项目施工实际要求； </w:t>
            </w:r>
          </w:p>
          <w:p w14:paraId="1C45E269">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中（3分）：施工工艺、施工方法、材料选用、劳动力安排、技术等方面有保证工期措施合理。有控制工期的施工进度计划。有施工总进度表或施工网络图，有各项计划图表编制。 </w:t>
            </w:r>
          </w:p>
          <w:p w14:paraId="1D735018">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（2分）：施工工艺、施工方法、材料选用、劳动力安排、技术等方面保证工期措施</w:t>
            </w:r>
            <w:r>
              <w:rPr>
                <w:rFonts w:hint="eastAsia" w:hAnsi="宋体"/>
                <w:bCs/>
                <w:color w:val="auto"/>
                <w:sz w:val="21"/>
                <w:highlight w:val="none"/>
                <w:lang w:val="en-US" w:eastAsia="zh-CN"/>
              </w:rPr>
              <w:t>不够详细</w:t>
            </w:r>
            <w:r>
              <w:rPr>
                <w:rFonts w:hint="eastAsia" w:hAnsi="宋体"/>
                <w:bCs/>
                <w:color w:val="auto"/>
                <w:sz w:val="21"/>
                <w:highlight w:val="none"/>
                <w:lang w:val="en-US" w:eastAsia="zh-CN"/>
              </w:rPr>
              <w:t>。没有控制工期的施工进度计划。有施工总进度表或施工网络图，没有各项计划图表编制。</w:t>
            </w:r>
          </w:p>
          <w:p w14:paraId="391F5F23">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差（1分）：确保工期的技术组织措施不完整。</w:t>
            </w:r>
          </w:p>
          <w:p w14:paraId="4F6DFB76">
            <w:pPr>
              <w:pStyle w:val="230"/>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53BF467">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138E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60BE0D9D">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6EB875B4">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60EA6070">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（8）确保文明施工的技术组织措施（满分6分）</w:t>
            </w:r>
          </w:p>
          <w:p w14:paraId="59A28A79">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针对本工程项目特点，应有现场文明施工、环境保护措施，</w:t>
            </w:r>
            <w:r>
              <w:rPr>
                <w:rFonts w:hint="eastAsia" w:ascii="Times New Roman" w:hAnsi="宋体" w:cs="宋体"/>
                <w:color w:val="auto"/>
                <w:sz w:val="21"/>
                <w:highlight w:val="none"/>
                <w:lang w:val="en-US" w:eastAsia="zh-CN"/>
              </w:rPr>
              <w:t>且措施符合国家、行业、地方标准和要求。</w:t>
            </w:r>
          </w:p>
          <w:p w14:paraId="4DD74711">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7CC3780E">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优（6分）：针对本工程项目特点制定有完整的现场文明施工措施、完整的环境保护措施，且措施符合国家、行业、地方标准和要求，各项措施全面、具体、有效，有具体实现现场文明施工目标的承诺； </w:t>
            </w:r>
          </w:p>
          <w:p w14:paraId="7B5CED65">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良（4分）：针对本工程项目特点制定的现场文明施工措施合理、环境保护措施可行，措施内容符合国家、行业、地方标准和要求，各项措施完整，有实现现场文明施工目标的承诺； </w:t>
            </w:r>
          </w:p>
          <w:p w14:paraId="044447E9">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中（3分）：有现场文明施工措施、环境保护措施详细，各项措施完整，有实现现场文明施工目标的承诺；</w:t>
            </w:r>
          </w:p>
          <w:p w14:paraId="35332CAB">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（2分）：现场文明施工措施、环境保护措施</w:t>
            </w:r>
            <w:r>
              <w:rPr>
                <w:rFonts w:hint="eastAsia" w:hAnsi="宋体"/>
                <w:bCs/>
                <w:color w:val="auto"/>
                <w:sz w:val="21"/>
                <w:highlight w:val="none"/>
                <w:lang w:val="en-US" w:eastAsia="zh-CN"/>
              </w:rPr>
              <w:t>不够详细</w:t>
            </w:r>
            <w:r>
              <w:rPr>
                <w:rFonts w:hint="eastAsia" w:hAnsi="宋体"/>
                <w:bCs/>
                <w:color w:val="auto"/>
                <w:sz w:val="21"/>
                <w:highlight w:val="none"/>
                <w:lang w:val="en-US" w:eastAsia="zh-CN"/>
              </w:rPr>
              <w:t>，各项措施不完整，有实现现场文明施工目标的承诺；</w:t>
            </w:r>
          </w:p>
          <w:p w14:paraId="538DCE51">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差（1分）：确保文明施工的技术组织措施不详细、不完整，仅有实现现场文明施工目标的承诺。</w:t>
            </w:r>
          </w:p>
          <w:p w14:paraId="32CAF426">
            <w:pPr>
              <w:pStyle w:val="230"/>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09456A5">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61C8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7DA48264">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7AF07E53">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7A50FA5D">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（9）工程施工的重点和难点及保证措施（满分6分）</w:t>
            </w:r>
          </w:p>
          <w:p w14:paraId="426084C4">
            <w:pPr>
              <w:pStyle w:val="230"/>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针对本工程的特点，阐述本工程的重点和难点，解决重点和难点问题的方法是否可行。</w:t>
            </w:r>
          </w:p>
          <w:p w14:paraId="3335E873">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656F6385">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优（6分）：对本工程的特点、重点和难点有深入的表达，对重点、难点有合理的建议并有可行的安全措施，解决方案合理、完整、经济、安全、切实可行，措施得力。</w:t>
            </w:r>
          </w:p>
          <w:p w14:paraId="313EBF1D">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良（4分）：对本工程的特点、重点和难点有详细的表达，对重点、难点有合理的建议，对重点、难点有合理的建议，解决方案经济、 安全、解决方案满足标准。</w:t>
            </w:r>
          </w:p>
          <w:p w14:paraId="38D1C7FC">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中（3分）：对本工程的特点、重点和难点有了解，对重点、难点有建议，解决方案满足最低标准。</w:t>
            </w:r>
          </w:p>
          <w:p w14:paraId="223EBE02">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w:t>
            </w:r>
            <w:r>
              <w:rPr>
                <w:rFonts w:hint="eastAsia" w:hAnsi="宋体"/>
                <w:bCs/>
                <w:color w:val="auto"/>
                <w:sz w:val="21"/>
                <w:highlight w:val="none"/>
                <w:lang w:val="en-US" w:eastAsia="zh-CN"/>
              </w:rPr>
              <w:t>（2分）：对本工程的特点、重点和难点有了解，对重点、难点有建议，解决方案可实施保障程度不足。</w:t>
            </w:r>
          </w:p>
          <w:p w14:paraId="704151F2">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差（1分）：对本工程的特点、重点和难点表达不详细，对重点、难点有建议，解决方案不可行。</w:t>
            </w:r>
          </w:p>
          <w:p w14:paraId="0ED8B43E">
            <w:pPr>
              <w:pStyle w:val="230"/>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BD758EC">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51DF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07D675E4">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77935EBC">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4F10A6D3">
            <w:pPr>
              <w:pStyle w:val="230"/>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（10）新技术应用与承诺（满分6分）</w:t>
            </w:r>
          </w:p>
          <w:p w14:paraId="61D1CA2A">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 优（6分）：针对项目实际，提出采用新技术的具体措施。新技术的验证材料可靠，对节约投资和工期的保证措施得力、具体、严谨。对采用新技术可能产生的风险预见充分，对新技术的实施有安全生产 的可靠方案。 </w:t>
            </w:r>
          </w:p>
          <w:p w14:paraId="7CC063F7">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良（5 分）：针对项目实际，提出采用新技术的具体措施。新技术的验证材料可靠，对节约投资和工期有保证措施。对采用新技术可能产生的风险有预见。</w:t>
            </w:r>
          </w:p>
          <w:p w14:paraId="389FE622">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 中（3 分）：有新技术措施，但验证材料不充分，对节约投资和工期可能有收益的，对采用新技术可能产生的风险预见不足。</w:t>
            </w:r>
          </w:p>
          <w:p w14:paraId="754A2B92">
            <w:pPr>
              <w:pStyle w:val="230"/>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 差（1分）：采用的新技术针对性差或验证材料不可靠，对节约投资和工期没有具体收益。</w:t>
            </w:r>
          </w:p>
          <w:p w14:paraId="4AA4DE2C">
            <w:pPr>
              <w:pStyle w:val="230"/>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0426D30">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5E9E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04740DD9">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3</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5D4EE79">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346" w:type="dxa"/>
            <w:gridSpan w:val="2"/>
            <w:tcBorders>
              <w:top w:val="single" w:color="auto" w:sz="4" w:space="0"/>
              <w:left w:val="single" w:color="auto" w:sz="4" w:space="0"/>
              <w:bottom w:val="single" w:color="auto" w:sz="4" w:space="0"/>
              <w:right w:val="single" w:color="auto" w:sz="4" w:space="0"/>
            </w:tcBorders>
            <w:noWrap w:val="0"/>
            <w:vAlign w:val="center"/>
          </w:tcPr>
          <w:p w14:paraId="025376D3">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评审标准</w:t>
            </w:r>
          </w:p>
        </w:tc>
      </w:tr>
      <w:tr w14:paraId="1D43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07010AF">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3.1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679D3E1">
            <w:pPr>
              <w:widowControl/>
              <w:spacing w:line="360" w:lineRule="auto"/>
              <w:jc w:val="center"/>
              <w:rPr>
                <w:rFonts w:ascii="宋体" w:hAnsi="宋体" w:cs="Tahoma"/>
                <w:color w:val="auto"/>
                <w:szCs w:val="21"/>
                <w:highlight w:val="none"/>
              </w:rPr>
            </w:pPr>
            <w:r>
              <w:rPr>
                <w:rFonts w:hint="eastAsia" w:ascii="宋体" w:hAnsi="宋体" w:cs="Courier New"/>
                <w:bCs/>
                <w:color w:val="auto"/>
                <w:szCs w:val="21"/>
                <w:highlight w:val="none"/>
              </w:rPr>
              <w:t>类似项目业绩分</w:t>
            </w:r>
          </w:p>
        </w:tc>
        <w:tc>
          <w:tcPr>
            <w:tcW w:w="6480" w:type="dxa"/>
            <w:tcBorders>
              <w:top w:val="single" w:color="auto" w:sz="4" w:space="0"/>
              <w:left w:val="single" w:color="auto" w:sz="4" w:space="0"/>
              <w:bottom w:val="single" w:color="auto" w:sz="4" w:space="0"/>
              <w:right w:val="single" w:color="auto" w:sz="4" w:space="0"/>
            </w:tcBorders>
            <w:noWrap w:val="0"/>
            <w:vAlign w:val="top"/>
          </w:tcPr>
          <w:p w14:paraId="72DC43D6">
            <w:pPr>
              <w:pStyle w:val="230"/>
              <w:spacing w:line="360" w:lineRule="auto"/>
              <w:rPr>
                <w:rFonts w:hAnsi="宋体" w:cs="Courier New"/>
                <w:bCs/>
                <w:color w:val="auto"/>
                <w:sz w:val="21"/>
                <w:highlight w:val="none"/>
                <w:lang w:val="en-US" w:eastAsia="zh-CN"/>
              </w:rPr>
            </w:pPr>
            <w:r>
              <w:rPr>
                <w:rFonts w:hint="eastAsia" w:hAnsi="宋体" w:cs="Courier New"/>
                <w:bCs/>
                <w:color w:val="auto"/>
                <w:sz w:val="21"/>
                <w:highlight w:val="none"/>
                <w:lang w:val="en-US" w:eastAsia="zh-CN"/>
              </w:rPr>
              <w:t>类似项目业绩（满分10分）：2022年1月1日至今（从签订施工合同之日起至本项目磋商截止之日止）承接过类似工程施工业绩的，每有一个得5分，最多计10分</w:t>
            </w:r>
            <w:r>
              <w:rPr>
                <w:rFonts w:hint="eastAsia" w:hAnsi="宋体" w:cs="Courier New"/>
                <w:b/>
                <w:bCs w:val="0"/>
                <w:color w:val="auto"/>
                <w:sz w:val="21"/>
                <w:highlight w:val="none"/>
                <w:lang w:val="en-US" w:eastAsia="zh-CN"/>
              </w:rPr>
              <w:t>（须提供施工合同复印件或扫描件）。</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4F39354">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10分</w:t>
            </w:r>
          </w:p>
        </w:tc>
      </w:tr>
      <w:tr w14:paraId="2393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24" w:type="dxa"/>
            <w:gridSpan w:val="3"/>
            <w:tcBorders>
              <w:top w:val="single" w:color="auto" w:sz="4" w:space="0"/>
              <w:left w:val="single" w:color="auto" w:sz="4" w:space="0"/>
              <w:bottom w:val="single" w:color="auto" w:sz="4" w:space="0"/>
              <w:right w:val="single" w:color="auto" w:sz="4" w:space="0"/>
            </w:tcBorders>
            <w:noWrap w:val="0"/>
            <w:vAlign w:val="top"/>
          </w:tcPr>
          <w:p w14:paraId="603A0CDB">
            <w:pPr>
              <w:pStyle w:val="230"/>
              <w:spacing w:line="360" w:lineRule="auto"/>
              <w:ind w:firstLine="420"/>
              <w:rPr>
                <w:rFonts w:hAnsi="宋体" w:cs="Courier New"/>
                <w:bCs/>
                <w:color w:val="auto"/>
                <w:sz w:val="21"/>
                <w:highlight w:val="none"/>
                <w:lang w:val="en-US" w:eastAsia="zh-CN"/>
              </w:rPr>
            </w:pPr>
            <w:r>
              <w:rPr>
                <w:rFonts w:hint="eastAsia" w:hAnsi="宋体" w:cs="Courier New"/>
                <w:bCs/>
                <w:color w:val="auto"/>
                <w:sz w:val="21"/>
                <w:highlight w:val="none"/>
                <w:lang w:val="en-US" w:eastAsia="zh-CN"/>
              </w:rPr>
              <w:t>总得分＝1＋2＋3</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72330F0A">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100分</w:t>
            </w:r>
          </w:p>
        </w:tc>
      </w:tr>
    </w:tbl>
    <w:p w14:paraId="11117BC5">
      <w:pPr>
        <w:pStyle w:val="190"/>
        <w:jc w:val="center"/>
        <w:rPr>
          <w:rFonts w:hint="eastAsia"/>
          <w:color w:val="auto"/>
          <w:highlight w:val="none"/>
        </w:rPr>
      </w:pPr>
      <w:bookmarkStart w:id="84" w:name="_Toc122424248"/>
      <w:r>
        <w:rPr>
          <w:rFonts w:hint="eastAsia"/>
          <w:color w:val="auto"/>
          <w:highlight w:val="none"/>
        </w:rPr>
        <w:t>第五章 工程量清单及图纸</w:t>
      </w:r>
      <w:bookmarkEnd w:id="84"/>
    </w:p>
    <w:p w14:paraId="10198B2C">
      <w:pPr>
        <w:pStyle w:val="3"/>
        <w:keepNext/>
        <w:keepLines/>
        <w:pageBreakBefore w:val="0"/>
        <w:widowControl w:val="0"/>
        <w:kinsoku/>
        <w:wordWrap/>
        <w:overflowPunct/>
        <w:topLinePunct w:val="0"/>
        <w:autoSpaceDE/>
        <w:autoSpaceDN/>
        <w:bidi w:val="0"/>
        <w:adjustRightInd/>
        <w:snapToGrid/>
        <w:spacing w:before="0" w:after="0" w:line="420" w:lineRule="exact"/>
        <w:textAlignment w:val="auto"/>
        <w:rPr>
          <w:rFonts w:ascii="宋体" w:hAnsi="宋体" w:eastAsia="宋体" w:cs="黑体"/>
          <w:color w:val="auto"/>
          <w:highlight w:val="none"/>
        </w:rPr>
      </w:pPr>
      <w:bookmarkStart w:id="85" w:name="_Toc1392571603"/>
      <w:bookmarkStart w:id="86" w:name="_Toc407135284"/>
      <w:bookmarkStart w:id="87" w:name="_Toc78449869"/>
      <w:bookmarkStart w:id="88" w:name="_Toc1386396751"/>
      <w:r>
        <w:rPr>
          <w:rFonts w:ascii="宋体" w:hAnsi="宋体" w:eastAsia="宋体" w:cs="黑体"/>
          <w:color w:val="auto"/>
          <w:highlight w:val="none"/>
        </w:rPr>
        <w:t>1</w:t>
      </w:r>
      <w:r>
        <w:rPr>
          <w:rFonts w:hint="eastAsia" w:ascii="宋体" w:hAnsi="宋体" w:eastAsia="宋体" w:cs="黑体"/>
          <w:color w:val="auto"/>
          <w:highlight w:val="none"/>
        </w:rPr>
        <w:t>.工程量清单编制说明</w:t>
      </w:r>
      <w:bookmarkEnd w:id="85"/>
      <w:bookmarkEnd w:id="86"/>
      <w:bookmarkEnd w:id="87"/>
      <w:bookmarkEnd w:id="88"/>
    </w:p>
    <w:p w14:paraId="6E2F0AFC">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1.1</w:t>
      </w:r>
      <w:r>
        <w:rPr>
          <w:rFonts w:hint="eastAsia" w:ascii="宋体" w:hAnsi="宋体" w:eastAsia="宋体" w:cs="宋体"/>
          <w:color w:val="auto"/>
          <w:highlight w:val="none"/>
        </w:rPr>
        <w:t>本工程量清单依据《建设工程工程量清单计价规范》广西壮族自治区实施细则(GB50500-2013)、《建设工程工程量计算规范》广西壮族自治区实施细则（修订本）(GB50854~GB50862-2013)、 2022年版《广西壮族自治区市政工程消耗量及费用定额》及其配套的费用定额</w:t>
      </w:r>
      <w:r>
        <w:rPr>
          <w:rFonts w:hint="eastAsia" w:ascii="宋体" w:hAnsi="宋体" w:cs="宋体"/>
          <w:color w:val="auto"/>
          <w:highlight w:val="none"/>
          <w:lang w:eastAsia="zh-CN"/>
        </w:rPr>
        <w:t>、广西壮族</w:t>
      </w:r>
      <w:r>
        <w:rPr>
          <w:rFonts w:hint="eastAsia" w:ascii="宋体" w:hAnsi="宋体" w:eastAsia="宋体" w:cs="宋体"/>
          <w:color w:val="auto"/>
          <w:highlight w:val="none"/>
          <w:lang w:eastAsia="zh-CN"/>
        </w:rPr>
        <w:t>自治区住房城乡建设厅关于颁布2016年《广西壮族自治区建设工程费用定额》的通知 (桂建标〔2016〕16号)</w:t>
      </w:r>
      <w:r>
        <w:rPr>
          <w:rFonts w:hint="eastAsia" w:ascii="宋体" w:hAnsi="宋体" w:cs="宋体"/>
          <w:color w:val="auto"/>
          <w:highlight w:val="none"/>
          <w:lang w:eastAsia="zh-CN"/>
        </w:rPr>
        <w:t>、《自治区住房城乡建设厅关于印发广西壮族自治区房屋建筑和市政基础设施工程安全生产责任保险计价规定的通知》(桂建发〔2023〕6号)、《自治区住房城乡建设厅关于调整建设工程定额人工费及有关费率的通知》(桂建标〔2023〕7号)、广西壮族自治区住房和城乡建设厅关于调整建筑安装工程劳动保险费有关规定的通知(桂造价〔2019〕13号)、广西壮族自治区住房和城乡建设厅关于建筑业实施营业税改征增值税后广西壮族自治区建设工程计价依据调整的通知（桂建标〔2016〕17号）、《关于全面推开营业税改征增值税试点的通知》（财税〔2016〕36号）、《关于调整除税价计算适用增值税税率的通知》（桂造价〔2019〕10号）、《财政投资评审管理规定》（财建〔2009〕648号）、广西壮族自治区财政厅关于印发广西壮族自治区财政投资评审管理办法的通知（桂财办〔2012〕98号）、《财政投资评审质量控制办法（试行）》（财建〔2005〕1065号）、广西壮族自治区财政投资评审操作规程（桂财办〔2018〕107号）</w:t>
      </w:r>
      <w:r>
        <w:rPr>
          <w:rFonts w:hint="eastAsia" w:ascii="宋体" w:hAnsi="宋体" w:eastAsia="宋体" w:cs="宋体"/>
          <w:color w:val="auto"/>
          <w:highlight w:val="none"/>
        </w:rPr>
        <w:t>、磋商文件、施工图等编制。计算规范中没有的清单项目，应在本章第</w:t>
      </w:r>
      <w:r>
        <w:rPr>
          <w:rFonts w:ascii="宋体" w:hAnsi="宋体" w:eastAsia="宋体"/>
          <w:color w:val="auto"/>
          <w:highlight w:val="none"/>
        </w:rPr>
        <w:t>1.4</w:t>
      </w:r>
      <w:r>
        <w:rPr>
          <w:rFonts w:hint="eastAsia" w:ascii="宋体" w:hAnsi="宋体" w:eastAsia="宋体" w:cs="宋体"/>
          <w:color w:val="auto"/>
          <w:highlight w:val="none"/>
        </w:rPr>
        <w:t>款约定。</w:t>
      </w:r>
    </w:p>
    <w:p w14:paraId="51B6105B">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1.2</w:t>
      </w:r>
      <w:r>
        <w:rPr>
          <w:rFonts w:hint="eastAsia" w:ascii="宋体" w:hAnsi="宋体" w:eastAsia="宋体"/>
          <w:color w:val="auto"/>
          <w:highlight w:val="none"/>
        </w:rPr>
        <w:t>工程量清单应与供应商须知、合同协议条款、合同的通用条款、合同专用条款、技术规范及图纸等文件一起结合使用。</w:t>
      </w:r>
    </w:p>
    <w:p w14:paraId="37DF7F65">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1.3</w:t>
      </w:r>
      <w:r>
        <w:rPr>
          <w:rFonts w:hint="eastAsia" w:ascii="宋体" w:hAnsi="宋体" w:eastAsia="宋体" w:cs="宋体"/>
          <w:color w:val="auto"/>
          <w:highlight w:val="none"/>
        </w:rPr>
        <w:t>工程量清单是磋商文件的组成部分，是工程量清单计价的基础，作为编制招标控制价、竞标报价、计算或调整工程量、索赔等的依据之一。</w:t>
      </w:r>
    </w:p>
    <w:p w14:paraId="5D952D04">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1.4</w:t>
      </w:r>
      <w:r>
        <w:rPr>
          <w:rFonts w:hint="eastAsia" w:ascii="宋体" w:hAnsi="宋体" w:eastAsia="宋体" w:cs="宋体"/>
          <w:color w:val="auto"/>
          <w:highlight w:val="none"/>
        </w:rPr>
        <w:t>补充清单项目的特征、计量单位、工程量计算规则及工作内容说明如下：</w:t>
      </w:r>
      <w:r>
        <w:rPr>
          <w:rFonts w:hint="eastAsia" w:ascii="宋体" w:hAnsi="宋体" w:eastAsia="宋体"/>
          <w:color w:val="auto"/>
          <w:highlight w:val="none"/>
          <w:u w:val="single"/>
        </w:rPr>
        <w:t>无</w:t>
      </w:r>
      <w:r>
        <w:rPr>
          <w:rFonts w:hint="eastAsia" w:ascii="宋体" w:hAnsi="宋体" w:eastAsia="宋体" w:cs="宋体"/>
          <w:color w:val="auto"/>
          <w:highlight w:val="none"/>
        </w:rPr>
        <w:t>。</w:t>
      </w:r>
    </w:p>
    <w:p w14:paraId="6E5BC77F">
      <w:pPr>
        <w:pStyle w:val="2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sz w:val="21"/>
          <w:highlight w:val="none"/>
        </w:rPr>
      </w:pPr>
      <w:r>
        <w:rPr>
          <w:rFonts w:ascii="宋体" w:hAnsi="宋体" w:eastAsia="宋体"/>
          <w:color w:val="auto"/>
          <w:sz w:val="21"/>
          <w:highlight w:val="none"/>
        </w:rPr>
        <w:t xml:space="preserve">1.5 </w:t>
      </w:r>
      <w:r>
        <w:rPr>
          <w:rFonts w:hint="eastAsia" w:ascii="宋体" w:hAnsi="宋体" w:eastAsia="宋体"/>
          <w:color w:val="auto"/>
          <w:sz w:val="21"/>
          <w:highlight w:val="none"/>
        </w:rPr>
        <w:t>《允许调整主要材料和工程设备一览表》（表</w:t>
      </w:r>
      <w:r>
        <w:rPr>
          <w:rFonts w:ascii="宋体" w:hAnsi="宋体" w:eastAsia="宋体"/>
          <w:color w:val="auto"/>
          <w:sz w:val="21"/>
          <w:highlight w:val="none"/>
        </w:rPr>
        <w:t>-22</w:t>
      </w:r>
      <w:r>
        <w:rPr>
          <w:rFonts w:hint="eastAsia" w:ascii="宋体" w:hAnsi="宋体" w:eastAsia="宋体"/>
          <w:color w:val="auto"/>
          <w:sz w:val="21"/>
          <w:highlight w:val="none"/>
        </w:rPr>
        <w:t>，表格编号为计价规范相应表格编号，下同）作为项目实施过程中材料和设备价格风险调整依据。</w:t>
      </w:r>
    </w:p>
    <w:p w14:paraId="0AF203C2">
      <w:pPr>
        <w:pStyle w:val="2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sz w:val="21"/>
          <w:highlight w:val="none"/>
        </w:rPr>
      </w:pPr>
      <w:r>
        <w:rPr>
          <w:rFonts w:ascii="宋体" w:hAnsi="宋体" w:eastAsia="宋体"/>
          <w:color w:val="auto"/>
          <w:sz w:val="21"/>
          <w:highlight w:val="none"/>
        </w:rPr>
        <w:t>1.6</w:t>
      </w:r>
      <w:r>
        <w:rPr>
          <w:rFonts w:hint="eastAsia" w:ascii="宋体" w:hAnsi="宋体" w:eastAsia="宋体"/>
          <w:color w:val="auto"/>
          <w:sz w:val="21"/>
          <w:highlight w:val="none"/>
        </w:rPr>
        <w:t>本工程暂列金额：无。</w:t>
      </w:r>
    </w:p>
    <w:p w14:paraId="04D32CF8">
      <w:pPr>
        <w:pStyle w:val="2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sz w:val="21"/>
          <w:highlight w:val="none"/>
        </w:rPr>
      </w:pPr>
      <w:r>
        <w:rPr>
          <w:rFonts w:ascii="宋体" w:hAnsi="宋体" w:eastAsia="宋体"/>
          <w:color w:val="auto"/>
          <w:sz w:val="21"/>
          <w:highlight w:val="none"/>
        </w:rPr>
        <w:t>1.7</w:t>
      </w:r>
      <w:r>
        <w:rPr>
          <w:rFonts w:hint="eastAsia" w:ascii="宋体" w:hAnsi="宋体" w:eastAsia="宋体"/>
          <w:color w:val="auto"/>
          <w:sz w:val="21"/>
          <w:highlight w:val="none"/>
        </w:rPr>
        <w:t>本工程发包人提供的材料和设备详见《发包人提供的主要材料和工程设备一览表》（表</w:t>
      </w:r>
      <w:r>
        <w:rPr>
          <w:rFonts w:ascii="宋体" w:hAnsi="宋体" w:eastAsia="宋体"/>
          <w:color w:val="auto"/>
          <w:sz w:val="21"/>
          <w:highlight w:val="none"/>
        </w:rPr>
        <w:t>-21</w:t>
      </w:r>
      <w:r>
        <w:rPr>
          <w:rFonts w:hint="eastAsia" w:ascii="宋体" w:hAnsi="宋体" w:eastAsia="宋体"/>
          <w:color w:val="auto"/>
          <w:sz w:val="21"/>
          <w:highlight w:val="none"/>
        </w:rPr>
        <w:t>）。</w:t>
      </w:r>
    </w:p>
    <w:p w14:paraId="0F74F2DD">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 xml:space="preserve">1.8 </w:t>
      </w:r>
      <w:r>
        <w:rPr>
          <w:rFonts w:hint="eastAsia" w:ascii="宋体" w:hAnsi="宋体" w:eastAsia="宋体" w:cs="宋体"/>
          <w:color w:val="auto"/>
          <w:highlight w:val="none"/>
        </w:rPr>
        <w:t>本工程部分材料和设备在磋商时作为暂估价计列，结算按实调整，具体内容详见《材料（工程设备）暂估单价及调整表》（表</w:t>
      </w:r>
      <w:r>
        <w:rPr>
          <w:rFonts w:ascii="宋体" w:hAnsi="宋体" w:eastAsia="宋体"/>
          <w:color w:val="auto"/>
          <w:highlight w:val="none"/>
        </w:rPr>
        <w:t>12-2</w:t>
      </w:r>
      <w:r>
        <w:rPr>
          <w:rFonts w:hint="eastAsia" w:ascii="宋体" w:hAnsi="宋体" w:eastAsia="宋体" w:cs="宋体"/>
          <w:color w:val="auto"/>
          <w:highlight w:val="none"/>
        </w:rPr>
        <w:t>）。</w:t>
      </w:r>
    </w:p>
    <w:p w14:paraId="47B3CBFA">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1.9</w:t>
      </w:r>
      <w:r>
        <w:rPr>
          <w:rFonts w:hint="eastAsia" w:ascii="宋体" w:hAnsi="宋体" w:eastAsia="宋体" w:cs="宋体"/>
          <w:color w:val="auto"/>
          <w:highlight w:val="none"/>
        </w:rPr>
        <w:t>磋商时暂估专业工程的价款属于暂估价，结算按实调整，具体内容详见《专业工程暂估价及结算价表》（表</w:t>
      </w:r>
      <w:r>
        <w:rPr>
          <w:rFonts w:ascii="宋体" w:hAnsi="宋体" w:eastAsia="宋体"/>
          <w:color w:val="auto"/>
          <w:highlight w:val="none"/>
        </w:rPr>
        <w:t>12-3</w:t>
      </w:r>
      <w:r>
        <w:rPr>
          <w:rFonts w:hint="eastAsia" w:ascii="宋体" w:hAnsi="宋体" w:eastAsia="宋体" w:cs="宋体"/>
          <w:color w:val="auto"/>
          <w:highlight w:val="none"/>
        </w:rPr>
        <w:t>）。</w:t>
      </w:r>
    </w:p>
    <w:p w14:paraId="09F3D303">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1.1</w:t>
      </w:r>
      <w:r>
        <w:rPr>
          <w:rFonts w:hint="eastAsia" w:ascii="宋体" w:hAnsi="宋体" w:eastAsia="宋体"/>
          <w:color w:val="auto"/>
          <w:highlight w:val="none"/>
        </w:rPr>
        <w:t>0</w:t>
      </w:r>
      <w:r>
        <w:rPr>
          <w:rFonts w:ascii="宋体" w:hAnsi="宋体" w:eastAsia="宋体"/>
          <w:color w:val="auto"/>
          <w:highlight w:val="none"/>
        </w:rPr>
        <w:t xml:space="preserve"> </w:t>
      </w:r>
      <w:r>
        <w:rPr>
          <w:rFonts w:hint="eastAsia" w:ascii="宋体" w:hAnsi="宋体" w:eastAsia="宋体" w:cs="宋体"/>
          <w:color w:val="auto"/>
          <w:highlight w:val="none"/>
        </w:rPr>
        <w:t>其他需要说明的问题：</w:t>
      </w:r>
      <w:r>
        <w:rPr>
          <w:rFonts w:hint="eastAsia"/>
          <w:color w:val="auto"/>
          <w:highlight w:val="none"/>
          <w:u w:val="single"/>
          <w:lang w:val="en-US" w:eastAsia="zh-CN"/>
        </w:rPr>
        <w:t>详见发布的工程量清单</w:t>
      </w:r>
      <w:r>
        <w:rPr>
          <w:rFonts w:ascii="宋体" w:hAnsi="宋体" w:eastAsia="宋体"/>
          <w:color w:val="auto"/>
          <w:highlight w:val="none"/>
          <w:u w:val="single"/>
        </w:rPr>
        <w:t xml:space="preserve"> </w:t>
      </w:r>
      <w:r>
        <w:rPr>
          <w:rFonts w:hint="eastAsia" w:ascii="宋体" w:hAnsi="宋体" w:eastAsia="宋体" w:cs="宋体"/>
          <w:color w:val="auto"/>
          <w:highlight w:val="none"/>
        </w:rPr>
        <w:t>。</w:t>
      </w:r>
    </w:p>
    <w:p w14:paraId="74694904">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eastAsia="宋体"/>
          <w:color w:val="auto"/>
          <w:highlight w:val="none"/>
        </w:rPr>
      </w:pPr>
      <w:r>
        <w:rPr>
          <w:rFonts w:ascii="宋体" w:hAnsi="宋体" w:eastAsia="宋体"/>
          <w:color w:val="auto"/>
          <w:highlight w:val="none"/>
        </w:rPr>
        <w:t>1.1</w:t>
      </w:r>
      <w:r>
        <w:rPr>
          <w:rFonts w:hint="eastAsia" w:ascii="宋体" w:hAnsi="宋体" w:eastAsia="宋体"/>
          <w:color w:val="auto"/>
          <w:highlight w:val="none"/>
        </w:rPr>
        <w:t>1</w:t>
      </w:r>
      <w:r>
        <w:rPr>
          <w:rFonts w:ascii="宋体" w:hAnsi="宋体" w:eastAsia="宋体"/>
          <w:color w:val="auto"/>
          <w:highlight w:val="none"/>
        </w:rPr>
        <w:t xml:space="preserve"> </w:t>
      </w:r>
      <w:r>
        <w:rPr>
          <w:rFonts w:hint="eastAsia" w:ascii="宋体" w:hAnsi="宋体" w:eastAsia="宋体" w:cs="宋体"/>
          <w:color w:val="auto"/>
          <w:highlight w:val="none"/>
        </w:rPr>
        <w:t>工程量清单与磋商文件同时发布。</w:t>
      </w:r>
      <w:r>
        <w:rPr>
          <w:rFonts w:ascii="宋体" w:hAnsi="宋体" w:eastAsia="宋体"/>
          <w:color w:val="auto"/>
          <w:highlight w:val="none"/>
        </w:rPr>
        <w:t xml:space="preserve"> </w:t>
      </w:r>
      <w:r>
        <w:rPr>
          <w:rFonts w:hint="eastAsia" w:ascii="宋体" w:hAnsi="宋体" w:eastAsia="宋体" w:cs="宋体"/>
          <w:color w:val="auto"/>
          <w:highlight w:val="none"/>
        </w:rPr>
        <w:t>一般计税法建设工程的工程量清单表格按《关于建筑业实施营业税改征增值税后广西壮族自治区建设工程计价依据调整的通知》（桂建标〔</w:t>
      </w:r>
      <w:r>
        <w:rPr>
          <w:rFonts w:ascii="宋体" w:hAnsi="宋体" w:eastAsia="宋体"/>
          <w:color w:val="auto"/>
          <w:highlight w:val="none"/>
        </w:rPr>
        <w:t>2016</w:t>
      </w:r>
      <w:r>
        <w:rPr>
          <w:rFonts w:hint="eastAsia" w:ascii="宋体" w:hAnsi="宋体" w:eastAsia="宋体" w:cs="宋体"/>
          <w:color w:val="auto"/>
          <w:highlight w:val="none"/>
        </w:rPr>
        <w:t>〕</w:t>
      </w:r>
      <w:r>
        <w:rPr>
          <w:rFonts w:ascii="宋体" w:hAnsi="宋体" w:eastAsia="宋体"/>
          <w:color w:val="auto"/>
          <w:highlight w:val="none"/>
        </w:rPr>
        <w:t>17</w:t>
      </w:r>
      <w:r>
        <w:rPr>
          <w:rFonts w:hint="eastAsia" w:ascii="宋体" w:hAnsi="宋体" w:eastAsia="宋体" w:cs="宋体"/>
          <w:color w:val="auto"/>
          <w:highlight w:val="none"/>
        </w:rPr>
        <w:t>号）附件“增值税一般计税方法工程计价表”要求提供；简易计税法建设工程按照《计价规范》要求的表格提供，但规费和税费要按照《关于建筑业实施营业税改征增值税后广西壮族自治区建设工程计价依据调整的通知》（桂建标〔</w:t>
      </w:r>
      <w:r>
        <w:rPr>
          <w:rFonts w:ascii="宋体" w:hAnsi="宋体" w:eastAsia="宋体"/>
          <w:color w:val="auto"/>
          <w:highlight w:val="none"/>
        </w:rPr>
        <w:t>2016</w:t>
      </w:r>
      <w:r>
        <w:rPr>
          <w:rFonts w:hint="eastAsia" w:ascii="宋体" w:hAnsi="宋体" w:eastAsia="宋体" w:cs="宋体"/>
          <w:color w:val="auto"/>
          <w:highlight w:val="none"/>
        </w:rPr>
        <w:t>〕</w:t>
      </w:r>
      <w:r>
        <w:rPr>
          <w:rFonts w:ascii="宋体" w:hAnsi="宋体" w:eastAsia="宋体"/>
          <w:color w:val="auto"/>
          <w:highlight w:val="none"/>
        </w:rPr>
        <w:t>17</w:t>
      </w:r>
      <w:r>
        <w:rPr>
          <w:rFonts w:hint="eastAsia" w:ascii="宋体" w:hAnsi="宋体" w:eastAsia="宋体" w:cs="宋体"/>
          <w:color w:val="auto"/>
          <w:highlight w:val="none"/>
        </w:rPr>
        <w:t>号）要求调整，具体包括：</w:t>
      </w:r>
    </w:p>
    <w:p w14:paraId="4C9D9A2E">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 </w:t>
      </w:r>
      <w:r>
        <w:rPr>
          <w:rFonts w:hint="eastAsia" w:ascii="宋体" w:hAnsi="宋体" w:eastAsia="宋体" w:cs="宋体"/>
          <w:color w:val="auto"/>
          <w:highlight w:val="none"/>
        </w:rPr>
        <w:t>招标工程量清单（封</w:t>
      </w:r>
      <w:r>
        <w:rPr>
          <w:rFonts w:ascii="宋体" w:hAnsi="宋体" w:eastAsia="宋体"/>
          <w:color w:val="auto"/>
          <w:highlight w:val="none"/>
        </w:rPr>
        <w:t>-1</w:t>
      </w:r>
      <w:r>
        <w:rPr>
          <w:rFonts w:hint="eastAsia" w:ascii="宋体" w:hAnsi="宋体" w:eastAsia="宋体" w:cs="宋体"/>
          <w:color w:val="auto"/>
          <w:highlight w:val="none"/>
        </w:rPr>
        <w:t>）</w:t>
      </w:r>
    </w:p>
    <w:p w14:paraId="1FEF61A7">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1.2 </w:t>
      </w:r>
      <w:r>
        <w:rPr>
          <w:rFonts w:hint="eastAsia" w:ascii="宋体" w:hAnsi="宋体" w:eastAsia="宋体" w:cs="宋体"/>
          <w:color w:val="auto"/>
          <w:highlight w:val="none"/>
        </w:rPr>
        <w:t>招标工程量清单（封扉</w:t>
      </w:r>
      <w:r>
        <w:rPr>
          <w:rFonts w:ascii="宋体" w:hAnsi="宋体" w:eastAsia="宋体"/>
          <w:color w:val="auto"/>
          <w:highlight w:val="none"/>
        </w:rPr>
        <w:t>-1</w:t>
      </w:r>
      <w:r>
        <w:rPr>
          <w:rFonts w:hint="eastAsia" w:ascii="宋体" w:hAnsi="宋体" w:eastAsia="宋体" w:cs="宋体"/>
          <w:color w:val="auto"/>
          <w:highlight w:val="none"/>
        </w:rPr>
        <w:t>）</w:t>
      </w:r>
    </w:p>
    <w:p w14:paraId="59B90A1C">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1.3 </w:t>
      </w:r>
      <w:r>
        <w:rPr>
          <w:rFonts w:hint="eastAsia" w:ascii="宋体" w:hAnsi="宋体" w:eastAsia="宋体" w:cs="宋体"/>
          <w:color w:val="auto"/>
          <w:highlight w:val="none"/>
        </w:rPr>
        <w:t>总说明（表</w:t>
      </w:r>
      <w:r>
        <w:rPr>
          <w:rFonts w:ascii="宋体" w:hAnsi="宋体" w:eastAsia="宋体"/>
          <w:color w:val="auto"/>
          <w:highlight w:val="none"/>
        </w:rPr>
        <w:t>-01</w:t>
      </w:r>
      <w:r>
        <w:rPr>
          <w:rFonts w:hint="eastAsia" w:ascii="宋体" w:hAnsi="宋体" w:eastAsia="宋体" w:cs="宋体"/>
          <w:color w:val="auto"/>
          <w:highlight w:val="none"/>
        </w:rPr>
        <w:t>）</w:t>
      </w:r>
    </w:p>
    <w:p w14:paraId="4ACFAAF5">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1.4 </w:t>
      </w:r>
      <w:r>
        <w:rPr>
          <w:rFonts w:hint="eastAsia" w:ascii="宋体" w:hAnsi="宋体" w:eastAsia="宋体" w:cs="宋体"/>
          <w:color w:val="auto"/>
          <w:highlight w:val="none"/>
        </w:rPr>
        <w:t>建设项目投标报价汇总表（表</w:t>
      </w:r>
      <w:r>
        <w:rPr>
          <w:rFonts w:ascii="宋体" w:hAnsi="宋体" w:eastAsia="宋体"/>
          <w:color w:val="auto"/>
          <w:highlight w:val="none"/>
        </w:rPr>
        <w:t>-02</w:t>
      </w:r>
      <w:r>
        <w:rPr>
          <w:rFonts w:hint="eastAsia" w:ascii="宋体" w:hAnsi="宋体" w:eastAsia="宋体" w:cs="宋体"/>
          <w:color w:val="auto"/>
          <w:highlight w:val="none"/>
        </w:rPr>
        <w:t>）</w:t>
      </w:r>
    </w:p>
    <w:p w14:paraId="49BD437B">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1.5 </w:t>
      </w:r>
      <w:r>
        <w:rPr>
          <w:rFonts w:hint="eastAsia" w:ascii="宋体" w:hAnsi="宋体" w:eastAsia="宋体" w:cs="宋体"/>
          <w:color w:val="auto"/>
          <w:highlight w:val="none"/>
        </w:rPr>
        <w:t>单项工程投标报价汇总表（表</w:t>
      </w:r>
      <w:r>
        <w:rPr>
          <w:rFonts w:ascii="宋体" w:hAnsi="宋体" w:eastAsia="宋体"/>
          <w:color w:val="auto"/>
          <w:highlight w:val="none"/>
        </w:rPr>
        <w:t>-03</w:t>
      </w:r>
      <w:r>
        <w:rPr>
          <w:rFonts w:hint="eastAsia" w:ascii="宋体" w:hAnsi="宋体" w:eastAsia="宋体" w:cs="宋体"/>
          <w:color w:val="auto"/>
          <w:highlight w:val="none"/>
        </w:rPr>
        <w:t>）</w:t>
      </w:r>
    </w:p>
    <w:p w14:paraId="74BC2DCA">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1.6 </w:t>
      </w:r>
      <w:r>
        <w:rPr>
          <w:rFonts w:hint="eastAsia" w:ascii="宋体" w:hAnsi="宋体" w:eastAsia="宋体" w:cs="宋体"/>
          <w:color w:val="auto"/>
          <w:highlight w:val="none"/>
        </w:rPr>
        <w:t>单位工程投标报价汇总表（表</w:t>
      </w:r>
      <w:r>
        <w:rPr>
          <w:rFonts w:ascii="宋体" w:hAnsi="宋体" w:eastAsia="宋体"/>
          <w:color w:val="auto"/>
          <w:highlight w:val="none"/>
        </w:rPr>
        <w:t>-04</w:t>
      </w:r>
      <w:r>
        <w:rPr>
          <w:rFonts w:hint="eastAsia" w:ascii="宋体" w:hAnsi="宋体" w:eastAsia="宋体" w:cs="宋体"/>
          <w:color w:val="auto"/>
          <w:highlight w:val="none"/>
        </w:rPr>
        <w:t>）</w:t>
      </w:r>
    </w:p>
    <w:p w14:paraId="6C5A6572">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1.7 </w:t>
      </w:r>
      <w:r>
        <w:rPr>
          <w:rFonts w:hint="eastAsia" w:ascii="宋体" w:hAnsi="宋体" w:eastAsia="宋体" w:cs="宋体"/>
          <w:color w:val="auto"/>
          <w:highlight w:val="none"/>
        </w:rPr>
        <w:t>分部分项工程和单价措施项目清单与计价表（表</w:t>
      </w:r>
      <w:r>
        <w:rPr>
          <w:rFonts w:ascii="宋体" w:hAnsi="宋体" w:eastAsia="宋体"/>
          <w:color w:val="auto"/>
          <w:highlight w:val="none"/>
        </w:rPr>
        <w:t>-08</w:t>
      </w:r>
      <w:r>
        <w:rPr>
          <w:rFonts w:hint="eastAsia" w:ascii="宋体" w:hAnsi="宋体" w:eastAsia="宋体" w:cs="宋体"/>
          <w:color w:val="auto"/>
          <w:highlight w:val="none"/>
        </w:rPr>
        <w:t>）</w:t>
      </w:r>
    </w:p>
    <w:p w14:paraId="51DEA0AC">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1.8 </w:t>
      </w:r>
      <w:r>
        <w:rPr>
          <w:rFonts w:hint="eastAsia" w:ascii="宋体" w:hAnsi="宋体" w:eastAsia="宋体" w:cs="宋体"/>
          <w:color w:val="auto"/>
          <w:highlight w:val="none"/>
        </w:rPr>
        <w:t>总价措施项目清单与计价表（表</w:t>
      </w:r>
      <w:r>
        <w:rPr>
          <w:rFonts w:ascii="宋体" w:hAnsi="宋体" w:eastAsia="宋体"/>
          <w:color w:val="auto"/>
          <w:highlight w:val="none"/>
        </w:rPr>
        <w:t>-11</w:t>
      </w:r>
      <w:r>
        <w:rPr>
          <w:rFonts w:hint="eastAsia" w:ascii="宋体" w:hAnsi="宋体" w:eastAsia="宋体" w:cs="宋体"/>
          <w:color w:val="auto"/>
          <w:highlight w:val="none"/>
        </w:rPr>
        <w:t>）</w:t>
      </w:r>
    </w:p>
    <w:p w14:paraId="2DF661D8">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1.9 </w:t>
      </w:r>
      <w:r>
        <w:rPr>
          <w:rFonts w:hint="eastAsia" w:ascii="宋体" w:hAnsi="宋体" w:eastAsia="宋体" w:cs="宋体"/>
          <w:color w:val="auto"/>
          <w:highlight w:val="none"/>
        </w:rPr>
        <w:t>其他项目清单与计价汇总表（表</w:t>
      </w:r>
      <w:r>
        <w:rPr>
          <w:rFonts w:ascii="宋体" w:hAnsi="宋体" w:eastAsia="宋体"/>
          <w:color w:val="auto"/>
          <w:highlight w:val="none"/>
        </w:rPr>
        <w:t>-12</w:t>
      </w:r>
      <w:r>
        <w:rPr>
          <w:rFonts w:hint="eastAsia" w:ascii="宋体" w:hAnsi="宋体" w:eastAsia="宋体" w:cs="宋体"/>
          <w:color w:val="auto"/>
          <w:highlight w:val="none"/>
        </w:rPr>
        <w:t>）</w:t>
      </w:r>
    </w:p>
    <w:p w14:paraId="081DD6FB">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1.10 </w:t>
      </w:r>
      <w:r>
        <w:rPr>
          <w:rFonts w:hint="eastAsia" w:ascii="宋体" w:hAnsi="宋体" w:eastAsia="宋体" w:cs="宋体"/>
          <w:color w:val="auto"/>
          <w:highlight w:val="none"/>
        </w:rPr>
        <w:t>暂列金额明细表（表</w:t>
      </w:r>
      <w:r>
        <w:rPr>
          <w:rFonts w:ascii="宋体" w:hAnsi="宋体" w:eastAsia="宋体"/>
          <w:color w:val="auto"/>
          <w:highlight w:val="none"/>
        </w:rPr>
        <w:t>12-1</w:t>
      </w:r>
      <w:r>
        <w:rPr>
          <w:rFonts w:hint="eastAsia" w:ascii="宋体" w:hAnsi="宋体" w:eastAsia="宋体" w:cs="宋体"/>
          <w:color w:val="auto"/>
          <w:highlight w:val="none"/>
        </w:rPr>
        <w:t>）</w:t>
      </w:r>
    </w:p>
    <w:p w14:paraId="3E54B2A2">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1.11 </w:t>
      </w:r>
      <w:r>
        <w:rPr>
          <w:rFonts w:hint="eastAsia" w:ascii="宋体" w:hAnsi="宋体" w:eastAsia="宋体" w:cs="宋体"/>
          <w:color w:val="auto"/>
          <w:highlight w:val="none"/>
        </w:rPr>
        <w:t>材料（工程设备）暂估单价及调整表（表</w:t>
      </w:r>
      <w:r>
        <w:rPr>
          <w:rFonts w:ascii="宋体" w:hAnsi="宋体" w:eastAsia="宋体"/>
          <w:color w:val="auto"/>
          <w:highlight w:val="none"/>
        </w:rPr>
        <w:t>12-2</w:t>
      </w:r>
      <w:r>
        <w:rPr>
          <w:rFonts w:hint="eastAsia" w:ascii="宋体" w:hAnsi="宋体" w:eastAsia="宋体" w:cs="宋体"/>
          <w:color w:val="auto"/>
          <w:highlight w:val="none"/>
        </w:rPr>
        <w:t>）</w:t>
      </w:r>
    </w:p>
    <w:p w14:paraId="43D5FEA5">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1.12 </w:t>
      </w:r>
      <w:r>
        <w:rPr>
          <w:rFonts w:hint="eastAsia" w:ascii="宋体" w:hAnsi="宋体" w:eastAsia="宋体" w:cs="宋体"/>
          <w:color w:val="auto"/>
          <w:highlight w:val="none"/>
        </w:rPr>
        <w:t>专业工程暂估价</w:t>
      </w:r>
      <w:r>
        <w:rPr>
          <w:rFonts w:hint="eastAsia" w:ascii="宋体" w:hAnsi="宋体" w:eastAsia="宋体"/>
          <w:color w:val="auto"/>
          <w:highlight w:val="none"/>
        </w:rPr>
        <w:t>及结算价</w:t>
      </w:r>
      <w:r>
        <w:rPr>
          <w:rFonts w:hint="eastAsia" w:ascii="宋体" w:hAnsi="宋体" w:eastAsia="宋体" w:cs="宋体"/>
          <w:color w:val="auto"/>
          <w:highlight w:val="none"/>
        </w:rPr>
        <w:t>表（表</w:t>
      </w:r>
      <w:r>
        <w:rPr>
          <w:rFonts w:ascii="宋体" w:hAnsi="宋体" w:eastAsia="宋体"/>
          <w:color w:val="auto"/>
          <w:highlight w:val="none"/>
        </w:rPr>
        <w:t>12-3</w:t>
      </w:r>
      <w:r>
        <w:rPr>
          <w:rFonts w:hint="eastAsia" w:ascii="宋体" w:hAnsi="宋体" w:eastAsia="宋体" w:cs="宋体"/>
          <w:color w:val="auto"/>
          <w:highlight w:val="none"/>
        </w:rPr>
        <w:t>）</w:t>
      </w:r>
    </w:p>
    <w:p w14:paraId="1E1FC312">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1.13 </w:t>
      </w:r>
      <w:r>
        <w:rPr>
          <w:rFonts w:hint="eastAsia" w:ascii="宋体" w:hAnsi="宋体" w:eastAsia="宋体" w:cs="宋体"/>
          <w:color w:val="auto"/>
          <w:highlight w:val="none"/>
        </w:rPr>
        <w:t>计日工表（表</w:t>
      </w:r>
      <w:r>
        <w:rPr>
          <w:rFonts w:ascii="宋体" w:hAnsi="宋体" w:eastAsia="宋体"/>
          <w:color w:val="auto"/>
          <w:highlight w:val="none"/>
        </w:rPr>
        <w:t>12-4</w:t>
      </w:r>
      <w:r>
        <w:rPr>
          <w:rFonts w:hint="eastAsia" w:ascii="宋体" w:hAnsi="宋体" w:eastAsia="宋体" w:cs="宋体"/>
          <w:color w:val="auto"/>
          <w:highlight w:val="none"/>
        </w:rPr>
        <w:t>）</w:t>
      </w:r>
    </w:p>
    <w:p w14:paraId="12915EFA">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1.14 </w:t>
      </w:r>
      <w:r>
        <w:rPr>
          <w:rFonts w:hint="eastAsia" w:ascii="宋体" w:hAnsi="宋体" w:eastAsia="宋体" w:cs="宋体"/>
          <w:color w:val="auto"/>
          <w:highlight w:val="none"/>
        </w:rPr>
        <w:t>总承包服务费计价表（表</w:t>
      </w:r>
      <w:r>
        <w:rPr>
          <w:rFonts w:ascii="宋体" w:hAnsi="宋体" w:eastAsia="宋体"/>
          <w:color w:val="auto"/>
          <w:highlight w:val="none"/>
        </w:rPr>
        <w:t>12-5</w:t>
      </w:r>
      <w:r>
        <w:rPr>
          <w:rFonts w:hint="eastAsia" w:ascii="宋体" w:hAnsi="宋体" w:eastAsia="宋体" w:cs="宋体"/>
          <w:color w:val="auto"/>
          <w:highlight w:val="none"/>
        </w:rPr>
        <w:t>）</w:t>
      </w:r>
    </w:p>
    <w:p w14:paraId="5624B073">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1.15 </w:t>
      </w:r>
      <w:r>
        <w:rPr>
          <w:rFonts w:hint="eastAsia" w:ascii="宋体" w:hAnsi="宋体" w:eastAsia="宋体" w:cs="宋体"/>
          <w:color w:val="auto"/>
          <w:highlight w:val="none"/>
        </w:rPr>
        <w:t>税前项目清单与计价表（表</w:t>
      </w:r>
      <w:r>
        <w:rPr>
          <w:rFonts w:ascii="宋体" w:hAnsi="宋体" w:eastAsia="宋体"/>
          <w:color w:val="auto"/>
          <w:highlight w:val="none"/>
        </w:rPr>
        <w:t>-14</w:t>
      </w:r>
      <w:r>
        <w:rPr>
          <w:rFonts w:hint="eastAsia" w:ascii="宋体" w:hAnsi="宋体" w:eastAsia="宋体" w:cs="宋体"/>
          <w:color w:val="auto"/>
          <w:highlight w:val="none"/>
        </w:rPr>
        <w:t>）</w:t>
      </w:r>
    </w:p>
    <w:p w14:paraId="404E6738">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1.16 </w:t>
      </w:r>
      <w:r>
        <w:rPr>
          <w:rFonts w:hint="eastAsia" w:ascii="宋体" w:hAnsi="宋体" w:eastAsia="宋体" w:cs="宋体"/>
          <w:color w:val="auto"/>
          <w:highlight w:val="none"/>
        </w:rPr>
        <w:t>规费、增值税计价表（表</w:t>
      </w:r>
      <w:r>
        <w:rPr>
          <w:rFonts w:ascii="宋体" w:hAnsi="宋体" w:eastAsia="宋体"/>
          <w:color w:val="auto"/>
          <w:highlight w:val="none"/>
        </w:rPr>
        <w:t>-15</w:t>
      </w:r>
      <w:r>
        <w:rPr>
          <w:rFonts w:hint="eastAsia" w:ascii="宋体" w:hAnsi="宋体" w:eastAsia="宋体" w:cs="宋体"/>
          <w:color w:val="auto"/>
          <w:highlight w:val="none"/>
        </w:rPr>
        <w:t>）</w:t>
      </w:r>
    </w:p>
    <w:p w14:paraId="5024ACDA">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1.17 </w:t>
      </w:r>
      <w:r>
        <w:rPr>
          <w:rFonts w:hint="eastAsia" w:ascii="宋体" w:hAnsi="宋体" w:eastAsia="宋体" w:cs="宋体"/>
          <w:color w:val="auto"/>
          <w:highlight w:val="none"/>
        </w:rPr>
        <w:t>发包人提供主要材料和工程设备一览表（表</w:t>
      </w:r>
      <w:r>
        <w:rPr>
          <w:rFonts w:ascii="宋体" w:hAnsi="宋体" w:eastAsia="宋体"/>
          <w:color w:val="auto"/>
          <w:highlight w:val="none"/>
        </w:rPr>
        <w:t>-21</w:t>
      </w:r>
      <w:r>
        <w:rPr>
          <w:rFonts w:hint="eastAsia" w:ascii="宋体" w:hAnsi="宋体" w:eastAsia="宋体" w:cs="宋体"/>
          <w:color w:val="auto"/>
          <w:highlight w:val="none"/>
        </w:rPr>
        <w:t>）</w:t>
      </w:r>
    </w:p>
    <w:p w14:paraId="7ED9E8EA">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ascii="宋体" w:hAnsi="宋体" w:eastAsia="宋体"/>
          <w:color w:val="auto"/>
          <w:highlight w:val="none"/>
        </w:rPr>
        <w:t xml:space="preserve">1.18 </w:t>
      </w:r>
      <w:r>
        <w:rPr>
          <w:rFonts w:hint="eastAsia" w:ascii="宋体" w:hAnsi="宋体" w:eastAsia="宋体" w:cs="宋体"/>
          <w:color w:val="auto"/>
          <w:highlight w:val="none"/>
        </w:rPr>
        <w:t>允许调整主要材料和工程设备一览表（适用于造价信息差额调整法）（表</w:t>
      </w:r>
      <w:r>
        <w:rPr>
          <w:rFonts w:ascii="宋体" w:hAnsi="宋体" w:eastAsia="宋体"/>
          <w:color w:val="auto"/>
          <w:highlight w:val="none"/>
        </w:rPr>
        <w:t>-22</w:t>
      </w:r>
      <w:r>
        <w:rPr>
          <w:rFonts w:hint="eastAsia" w:ascii="宋体" w:hAnsi="宋体" w:eastAsia="宋体" w:cs="宋体"/>
          <w:color w:val="auto"/>
          <w:highlight w:val="none"/>
        </w:rPr>
        <w:t>）</w:t>
      </w:r>
    </w:p>
    <w:p w14:paraId="666EA02C">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s="宋体"/>
          <w:color w:val="auto"/>
          <w:highlight w:val="none"/>
        </w:rPr>
      </w:pPr>
      <w:r>
        <w:rPr>
          <w:rFonts w:ascii="宋体" w:hAnsi="宋体" w:eastAsia="宋体"/>
          <w:color w:val="auto"/>
          <w:highlight w:val="none"/>
        </w:rPr>
        <w:t>1.19</w:t>
      </w:r>
      <w:r>
        <w:rPr>
          <w:rFonts w:hint="eastAsia" w:ascii="宋体" w:hAnsi="宋体" w:eastAsia="宋体" w:cs="宋体"/>
          <w:color w:val="auto"/>
          <w:highlight w:val="none"/>
        </w:rPr>
        <w:t>允许调整主要材料和工程设备一览表（适用于价格指数差额调整法）（表</w:t>
      </w:r>
      <w:r>
        <w:rPr>
          <w:rFonts w:ascii="宋体" w:hAnsi="宋体" w:eastAsia="宋体"/>
          <w:color w:val="auto"/>
          <w:highlight w:val="none"/>
        </w:rPr>
        <w:t>-23</w:t>
      </w:r>
      <w:r>
        <w:rPr>
          <w:rFonts w:hint="eastAsia" w:ascii="宋体" w:hAnsi="宋体" w:eastAsia="宋体" w:cs="宋体"/>
          <w:color w:val="auto"/>
          <w:highlight w:val="none"/>
        </w:rPr>
        <w:t>）</w:t>
      </w:r>
    </w:p>
    <w:p w14:paraId="12560AC6">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s="宋体"/>
          <w:color w:val="auto"/>
          <w:highlight w:val="none"/>
        </w:rPr>
      </w:pPr>
      <w:r>
        <w:rPr>
          <w:rFonts w:hint="eastAsia" w:ascii="宋体" w:hAnsi="宋体" w:eastAsia="宋体" w:cs="宋体"/>
          <w:color w:val="auto"/>
          <w:highlight w:val="none"/>
        </w:rPr>
        <w:t>1.20本工程</w:t>
      </w:r>
      <w:r>
        <w:rPr>
          <w:rFonts w:ascii="宋体" w:hAnsi="宋体" w:eastAsia="宋体" w:cs="宋体"/>
          <w:color w:val="auto"/>
          <w:highlight w:val="none"/>
        </w:rPr>
        <w:t>材料和工程设备</w:t>
      </w:r>
      <w:r>
        <w:rPr>
          <w:rFonts w:hint="eastAsia" w:ascii="宋体" w:hAnsi="宋体" w:eastAsia="宋体" w:cs="宋体"/>
          <w:color w:val="auto"/>
          <w:highlight w:val="none"/>
        </w:rPr>
        <w:t>一览表（表-24）</w:t>
      </w:r>
    </w:p>
    <w:p w14:paraId="70DDFDE3">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s="宋体"/>
          <w:color w:val="auto"/>
          <w:highlight w:val="none"/>
        </w:rPr>
      </w:pPr>
      <w:r>
        <w:rPr>
          <w:rFonts w:hint="eastAsia" w:ascii="宋体" w:hAnsi="宋体" w:eastAsia="宋体" w:cs="宋体"/>
          <w:color w:val="auto"/>
          <w:highlight w:val="none"/>
        </w:rPr>
        <w:t>注：如本工程在合同中约定采用造价信息价差调整法，1.</w:t>
      </w:r>
      <w:r>
        <w:rPr>
          <w:rFonts w:ascii="宋体" w:hAnsi="宋体" w:eastAsia="宋体"/>
          <w:color w:val="auto"/>
          <w:highlight w:val="none"/>
        </w:rPr>
        <w:t xml:space="preserve">18 </w:t>
      </w:r>
      <w:r>
        <w:rPr>
          <w:rFonts w:ascii="宋体" w:hAnsi="宋体" w:eastAsia="宋体" w:cs="宋体"/>
          <w:color w:val="auto"/>
          <w:highlight w:val="none"/>
        </w:rPr>
        <w:t>允许调整</w:t>
      </w:r>
      <w:r>
        <w:rPr>
          <w:rFonts w:hint="eastAsia" w:ascii="宋体" w:hAnsi="宋体" w:eastAsia="宋体" w:cs="宋体"/>
          <w:color w:val="auto"/>
          <w:highlight w:val="none"/>
        </w:rPr>
        <w:t>主要材料和工程设备一览表（适用于造价信息差额调整法）（表</w:t>
      </w:r>
      <w:r>
        <w:rPr>
          <w:rFonts w:ascii="宋体" w:hAnsi="宋体" w:eastAsia="宋体"/>
          <w:color w:val="auto"/>
          <w:highlight w:val="none"/>
        </w:rPr>
        <w:t>-22</w:t>
      </w:r>
      <w:r>
        <w:rPr>
          <w:rFonts w:hint="eastAsia" w:ascii="宋体" w:hAnsi="宋体" w:eastAsia="宋体" w:cs="宋体"/>
          <w:color w:val="auto"/>
          <w:highlight w:val="none"/>
        </w:rPr>
        <w:t>）载明的主要材料和工程设备为本工程允许调整材料和工程设备，工程量清单必须提供该表格，并应载明允许调整材料和工程设备名称型号规格、单位、风险系数、基准单价等内容，且不能提供空白表。</w:t>
      </w:r>
    </w:p>
    <w:p w14:paraId="3692275D">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以下表格视工程实际需要选用，如该工程不发生如下表格相关项目和费用，所编制工程量清单则不需列入相应表格：</w:t>
      </w:r>
    </w:p>
    <w:p w14:paraId="590A2C02">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①建设项目投标报价汇总表（表</w:t>
      </w:r>
      <w:r>
        <w:rPr>
          <w:rFonts w:ascii="宋体" w:hAnsi="宋体" w:eastAsia="宋体"/>
          <w:color w:val="auto"/>
          <w:highlight w:val="none"/>
        </w:rPr>
        <w:t>-02</w:t>
      </w:r>
      <w:r>
        <w:rPr>
          <w:rFonts w:hint="eastAsia" w:ascii="宋体" w:hAnsi="宋体" w:eastAsia="宋体" w:cs="宋体"/>
          <w:color w:val="auto"/>
          <w:highlight w:val="none"/>
        </w:rPr>
        <w:t>）</w:t>
      </w:r>
    </w:p>
    <w:p w14:paraId="59A47A0E">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②暂列金额明细表（表</w:t>
      </w:r>
      <w:r>
        <w:rPr>
          <w:rFonts w:ascii="宋体" w:hAnsi="宋体" w:eastAsia="宋体"/>
          <w:color w:val="auto"/>
          <w:highlight w:val="none"/>
        </w:rPr>
        <w:t>12-1</w:t>
      </w:r>
      <w:r>
        <w:rPr>
          <w:rFonts w:hint="eastAsia" w:ascii="宋体" w:hAnsi="宋体" w:eastAsia="宋体" w:cs="宋体"/>
          <w:color w:val="auto"/>
          <w:highlight w:val="none"/>
        </w:rPr>
        <w:t>）</w:t>
      </w:r>
    </w:p>
    <w:p w14:paraId="10B78011">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③材料（工程设备）暂估单价及调整表（表</w:t>
      </w:r>
      <w:r>
        <w:rPr>
          <w:rFonts w:ascii="宋体" w:hAnsi="宋体" w:eastAsia="宋体"/>
          <w:color w:val="auto"/>
          <w:highlight w:val="none"/>
        </w:rPr>
        <w:t>12-2</w:t>
      </w:r>
      <w:r>
        <w:rPr>
          <w:rFonts w:hint="eastAsia" w:ascii="宋体" w:hAnsi="宋体" w:eastAsia="宋体" w:cs="宋体"/>
          <w:color w:val="auto"/>
          <w:highlight w:val="none"/>
        </w:rPr>
        <w:t>）</w:t>
      </w:r>
    </w:p>
    <w:p w14:paraId="3EF0D791">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④专业工程暂估价表（表</w:t>
      </w:r>
      <w:r>
        <w:rPr>
          <w:rFonts w:ascii="宋体" w:hAnsi="宋体" w:eastAsia="宋体"/>
          <w:color w:val="auto"/>
          <w:highlight w:val="none"/>
        </w:rPr>
        <w:t>12-3</w:t>
      </w:r>
      <w:r>
        <w:rPr>
          <w:rFonts w:hint="eastAsia" w:ascii="宋体" w:hAnsi="宋体" w:eastAsia="宋体" w:cs="宋体"/>
          <w:color w:val="auto"/>
          <w:highlight w:val="none"/>
        </w:rPr>
        <w:t>）</w:t>
      </w:r>
    </w:p>
    <w:p w14:paraId="5A993ACE">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⑤计日工表（表</w:t>
      </w:r>
      <w:r>
        <w:rPr>
          <w:rFonts w:ascii="宋体" w:hAnsi="宋体" w:eastAsia="宋体"/>
          <w:color w:val="auto"/>
          <w:highlight w:val="none"/>
        </w:rPr>
        <w:t>12-4</w:t>
      </w:r>
      <w:r>
        <w:rPr>
          <w:rFonts w:hint="eastAsia" w:ascii="宋体" w:hAnsi="宋体" w:eastAsia="宋体" w:cs="宋体"/>
          <w:color w:val="auto"/>
          <w:highlight w:val="none"/>
        </w:rPr>
        <w:t>）</w:t>
      </w:r>
    </w:p>
    <w:p w14:paraId="293CF44F">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olor w:val="auto"/>
          <w:highlight w:val="none"/>
        </w:rPr>
      </w:pPr>
      <w:r>
        <w:rPr>
          <w:rFonts w:hint="eastAsia" w:ascii="宋体" w:hAnsi="宋体" w:eastAsia="宋体" w:cs="宋体"/>
          <w:color w:val="auto"/>
          <w:highlight w:val="none"/>
        </w:rPr>
        <w:t>⑥总承包服务费计价表（表</w:t>
      </w:r>
      <w:r>
        <w:rPr>
          <w:rFonts w:ascii="宋体" w:hAnsi="宋体" w:eastAsia="宋体"/>
          <w:color w:val="auto"/>
          <w:highlight w:val="none"/>
        </w:rPr>
        <w:t>12-5</w:t>
      </w:r>
      <w:r>
        <w:rPr>
          <w:rFonts w:hint="eastAsia" w:ascii="宋体" w:hAnsi="宋体" w:eastAsia="宋体" w:cs="宋体"/>
          <w:color w:val="auto"/>
          <w:highlight w:val="none"/>
        </w:rPr>
        <w:t>）</w:t>
      </w:r>
    </w:p>
    <w:p w14:paraId="08528C33">
      <w:pPr>
        <w:pageBreakBefore w:val="0"/>
        <w:widowControl w:val="0"/>
        <w:kinsoku/>
        <w:wordWrap/>
        <w:overflowPunct/>
        <w:topLinePunct w:val="0"/>
        <w:autoSpaceDE/>
        <w:autoSpaceDN/>
        <w:bidi w:val="0"/>
        <w:adjustRightInd/>
        <w:snapToGrid/>
        <w:spacing w:line="420" w:lineRule="exact"/>
        <w:ind w:firstLine="630"/>
        <w:jc w:val="left"/>
        <w:textAlignment w:val="auto"/>
        <w:rPr>
          <w:rFonts w:ascii="宋体" w:hAnsi="宋体" w:eastAsia="宋体" w:cs="宋体"/>
          <w:color w:val="auto"/>
          <w:highlight w:val="none"/>
        </w:rPr>
      </w:pPr>
      <w:r>
        <w:rPr>
          <w:rFonts w:hint="eastAsia" w:ascii="宋体" w:hAnsi="宋体" w:eastAsia="宋体" w:cs="宋体"/>
          <w:color w:val="auto"/>
          <w:highlight w:val="none"/>
        </w:rPr>
        <w:t>⑦税前项目清单与计价表（表</w:t>
      </w:r>
      <w:r>
        <w:rPr>
          <w:rFonts w:ascii="宋体" w:hAnsi="宋体" w:eastAsia="宋体"/>
          <w:color w:val="auto"/>
          <w:highlight w:val="none"/>
        </w:rPr>
        <w:t>-14</w:t>
      </w:r>
      <w:r>
        <w:rPr>
          <w:rFonts w:hint="eastAsia" w:ascii="宋体" w:hAnsi="宋体" w:eastAsia="宋体" w:cs="宋体"/>
          <w:color w:val="auto"/>
          <w:highlight w:val="none"/>
        </w:rPr>
        <w:t>）</w:t>
      </w:r>
    </w:p>
    <w:p w14:paraId="7D75878B">
      <w:pPr>
        <w:pageBreakBefore w:val="0"/>
        <w:widowControl w:val="0"/>
        <w:kinsoku/>
        <w:wordWrap/>
        <w:overflowPunct/>
        <w:topLinePunct w:val="0"/>
        <w:autoSpaceDE/>
        <w:autoSpaceDN/>
        <w:bidi w:val="0"/>
        <w:adjustRightInd/>
        <w:snapToGrid/>
        <w:spacing w:line="420" w:lineRule="exact"/>
        <w:ind w:firstLine="630"/>
        <w:textAlignment w:val="auto"/>
        <w:rPr>
          <w:rFonts w:ascii="宋体" w:hAnsi="宋体" w:eastAsia="宋体" w:cs="宋体"/>
          <w:color w:val="auto"/>
          <w:highlight w:val="none"/>
        </w:rPr>
      </w:pPr>
      <w:r>
        <w:rPr>
          <w:rFonts w:hint="eastAsia" w:ascii="宋体" w:hAnsi="宋体" w:eastAsia="宋体"/>
          <w:color w:val="auto"/>
          <w:highlight w:val="none"/>
        </w:rPr>
        <w:fldChar w:fldCharType="begin"/>
      </w:r>
      <w:r>
        <w:rPr>
          <w:rFonts w:ascii="宋体" w:hAnsi="宋体" w:eastAsia="宋体"/>
          <w:color w:val="auto"/>
          <w:highlight w:val="none"/>
        </w:rPr>
        <w:instrText xml:space="preserve"> = 8 \* GB3 </w:instrText>
      </w:r>
      <w:r>
        <w:rPr>
          <w:rFonts w:hint="eastAsia" w:ascii="宋体" w:hAnsi="宋体" w:eastAsia="宋体"/>
          <w:color w:val="auto"/>
          <w:highlight w:val="none"/>
        </w:rPr>
        <w:fldChar w:fldCharType="separate"/>
      </w:r>
      <w:r>
        <w:rPr>
          <w:rFonts w:hint="eastAsia" w:ascii="宋体" w:hAnsi="宋体" w:eastAsia="宋体"/>
          <w:color w:val="auto"/>
          <w:highlight w:val="none"/>
        </w:rPr>
        <w:t>⑧</w:t>
      </w:r>
      <w:r>
        <w:rPr>
          <w:rFonts w:hint="eastAsia" w:ascii="宋体" w:hAnsi="宋体" w:eastAsia="宋体"/>
          <w:color w:val="auto"/>
          <w:highlight w:val="none"/>
        </w:rPr>
        <w:fldChar w:fldCharType="end"/>
      </w:r>
      <w:r>
        <w:rPr>
          <w:rFonts w:ascii="宋体" w:hAnsi="宋体" w:eastAsia="宋体"/>
          <w:color w:val="auto"/>
          <w:highlight w:val="none"/>
        </w:rPr>
        <w:t xml:space="preserve"> </w:t>
      </w:r>
      <w:r>
        <w:rPr>
          <w:rFonts w:hint="eastAsia" w:ascii="宋体" w:hAnsi="宋体" w:eastAsia="宋体" w:cs="宋体"/>
          <w:color w:val="auto"/>
          <w:highlight w:val="none"/>
        </w:rPr>
        <w:t>允许调整主要材料和工程设备一览表（适用于价格指数差额调整法）（表</w:t>
      </w:r>
      <w:r>
        <w:rPr>
          <w:rFonts w:ascii="宋体" w:hAnsi="宋体" w:eastAsia="宋体"/>
          <w:color w:val="auto"/>
          <w:highlight w:val="none"/>
        </w:rPr>
        <w:t>-23</w:t>
      </w:r>
      <w:r>
        <w:rPr>
          <w:rFonts w:hint="eastAsia" w:ascii="宋体" w:hAnsi="宋体" w:eastAsia="宋体" w:cs="宋体"/>
          <w:color w:val="auto"/>
          <w:highlight w:val="none"/>
        </w:rPr>
        <w:t>）</w:t>
      </w:r>
    </w:p>
    <w:p w14:paraId="32A6A801">
      <w:pPr>
        <w:pStyle w:val="183"/>
        <w:pageBreakBefore w:val="0"/>
        <w:widowControl w:val="0"/>
        <w:kinsoku/>
        <w:wordWrap/>
        <w:overflowPunct/>
        <w:topLinePunct w:val="0"/>
        <w:autoSpaceDE/>
        <w:autoSpaceDN/>
        <w:bidi w:val="0"/>
        <w:adjustRightInd/>
        <w:snapToGrid/>
        <w:spacing w:line="420" w:lineRule="exact"/>
        <w:textAlignment w:val="auto"/>
        <w:rPr>
          <w:color w:val="auto"/>
          <w:highlight w:val="none"/>
        </w:rPr>
      </w:pPr>
    </w:p>
    <w:p w14:paraId="1691470E">
      <w:pPr>
        <w:pStyle w:val="3"/>
        <w:pageBreakBefore w:val="0"/>
        <w:widowControl w:val="0"/>
        <w:kinsoku/>
        <w:wordWrap/>
        <w:overflowPunct/>
        <w:topLinePunct w:val="0"/>
        <w:autoSpaceDE/>
        <w:autoSpaceDN/>
        <w:bidi w:val="0"/>
        <w:adjustRightInd/>
        <w:snapToGrid/>
        <w:spacing w:before="0" w:after="0" w:line="420" w:lineRule="exact"/>
        <w:textAlignment w:val="auto"/>
        <w:rPr>
          <w:rFonts w:ascii="宋体" w:hAnsi="宋体" w:eastAsia="宋体"/>
          <w:color w:val="auto"/>
          <w:highlight w:val="none"/>
        </w:rPr>
      </w:pPr>
      <w:bookmarkStart w:id="89" w:name="_Toc78449870"/>
      <w:bookmarkStart w:id="90" w:name="_Toc347872619"/>
      <w:bookmarkStart w:id="91" w:name="_Toc990933621"/>
      <w:bookmarkStart w:id="92" w:name="_Toc407135285"/>
      <w:r>
        <w:rPr>
          <w:rFonts w:ascii="宋体" w:hAnsi="宋体" w:eastAsia="宋体"/>
          <w:color w:val="auto"/>
          <w:highlight w:val="none"/>
        </w:rPr>
        <w:t>2</w:t>
      </w:r>
      <w:r>
        <w:rPr>
          <w:rFonts w:hint="eastAsia" w:ascii="宋体" w:hAnsi="宋体" w:eastAsia="宋体"/>
          <w:color w:val="auto"/>
          <w:highlight w:val="none"/>
        </w:rPr>
        <w:t>.</w:t>
      </w:r>
      <w:r>
        <w:rPr>
          <w:rFonts w:hint="eastAsia" w:ascii="宋体" w:hAnsi="宋体" w:eastAsia="宋体" w:cs="黑体"/>
          <w:color w:val="auto"/>
          <w:highlight w:val="none"/>
        </w:rPr>
        <w:t>招标控制价编制说明</w:t>
      </w:r>
      <w:bookmarkEnd w:id="89"/>
      <w:bookmarkEnd w:id="90"/>
      <w:bookmarkEnd w:id="91"/>
      <w:bookmarkEnd w:id="92"/>
    </w:p>
    <w:p w14:paraId="41564B2F">
      <w:pPr>
        <w:pageBreakBefore w:val="0"/>
        <w:widowControl w:val="0"/>
        <w:kinsoku/>
        <w:wordWrap/>
        <w:overflowPunct/>
        <w:topLinePunct w:val="0"/>
        <w:autoSpaceDE/>
        <w:autoSpaceDN/>
        <w:bidi w:val="0"/>
        <w:adjustRightInd/>
        <w:snapToGrid/>
        <w:spacing w:line="420" w:lineRule="exact"/>
        <w:ind w:firstLine="420"/>
        <w:textAlignment w:val="auto"/>
        <w:rPr>
          <w:rFonts w:hint="default" w:ascii="宋体" w:hAnsi="宋体" w:eastAsia="宋体"/>
          <w:color w:val="auto"/>
          <w:highlight w:val="none"/>
          <w:lang w:val="en-US" w:eastAsia="zh-CN"/>
        </w:rPr>
      </w:pPr>
      <w:r>
        <w:rPr>
          <w:rFonts w:ascii="宋体" w:hAnsi="宋体" w:eastAsia="宋体"/>
          <w:color w:val="auto"/>
          <w:highlight w:val="none"/>
        </w:rPr>
        <w:t xml:space="preserve">2.1 </w:t>
      </w:r>
      <w:r>
        <w:rPr>
          <w:rFonts w:hint="eastAsia" w:ascii="宋体" w:hAnsi="宋体" w:eastAsia="宋体" w:cs="宋体"/>
          <w:color w:val="auto"/>
          <w:highlight w:val="none"/>
        </w:rPr>
        <w:t>招标控制价编制依据：</w:t>
      </w:r>
      <w:r>
        <w:rPr>
          <w:rFonts w:hint="eastAsia" w:ascii="宋体" w:hAnsi="宋体" w:eastAsia="宋体" w:cs="宋体"/>
          <w:color w:val="auto"/>
          <w:highlight w:val="none"/>
          <w:lang w:val="en-US" w:eastAsia="zh-CN"/>
        </w:rPr>
        <w:t>详见发出的招标控制价。</w:t>
      </w:r>
    </w:p>
    <w:p w14:paraId="5C77EA00">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2.2</w:t>
      </w:r>
      <w:r>
        <w:rPr>
          <w:rFonts w:hint="eastAsia" w:ascii="宋体" w:hAnsi="宋体" w:eastAsia="宋体" w:cs="宋体"/>
          <w:color w:val="auto"/>
          <w:highlight w:val="none"/>
        </w:rPr>
        <w:t>分部分项及单价措施项目综合单价应包括磋商文件中采购人要求供应商所承担的风险内容及其范围（幅度）产生的风险费用。</w:t>
      </w:r>
    </w:p>
    <w:p w14:paraId="3965AD6A">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 xml:space="preserve">2.3 </w:t>
      </w:r>
      <w:r>
        <w:rPr>
          <w:rFonts w:hint="eastAsia" w:ascii="宋体" w:hAnsi="宋体" w:eastAsia="宋体" w:cs="宋体"/>
          <w:color w:val="auto"/>
          <w:highlight w:val="none"/>
        </w:rPr>
        <w:t>总价措施项目应根据拟定的磋商文件和常规施工方案按《计价规范》和《计算规范》规定编制。</w:t>
      </w:r>
    </w:p>
    <w:p w14:paraId="096E36B1">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 xml:space="preserve">2.4 </w:t>
      </w:r>
      <w:r>
        <w:rPr>
          <w:rFonts w:hint="eastAsia" w:ascii="宋体" w:hAnsi="宋体" w:eastAsia="宋体" w:cs="宋体"/>
          <w:color w:val="auto"/>
          <w:highlight w:val="none"/>
        </w:rPr>
        <w:t>其他项目费应按下列规定报价：</w:t>
      </w:r>
    </w:p>
    <w:p w14:paraId="4DE61DAE">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1</w:t>
      </w:r>
      <w:r>
        <w:rPr>
          <w:rFonts w:hint="eastAsia" w:ascii="宋体" w:hAnsi="宋体" w:eastAsia="宋体" w:cs="宋体"/>
          <w:color w:val="auto"/>
          <w:highlight w:val="none"/>
        </w:rPr>
        <w:t>）暂列金额应按工程量清单中列出的金额填写；</w:t>
      </w:r>
    </w:p>
    <w:p w14:paraId="3C60A720">
      <w:pPr>
        <w:pStyle w:val="343"/>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2</w:t>
      </w:r>
      <w:r>
        <w:rPr>
          <w:rFonts w:hint="eastAsia" w:ascii="宋体" w:hAnsi="宋体" w:eastAsia="宋体" w:cs="宋体"/>
          <w:color w:val="auto"/>
          <w:highlight w:val="none"/>
        </w:rPr>
        <w:t>）材料、工程设备暂估价应按工程量清单中列出的单价计入综合单价；</w:t>
      </w:r>
    </w:p>
    <w:p w14:paraId="146F3442">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3</w:t>
      </w:r>
      <w:r>
        <w:rPr>
          <w:rFonts w:hint="eastAsia" w:ascii="宋体" w:hAnsi="宋体" w:eastAsia="宋体" w:cs="宋体"/>
          <w:color w:val="auto"/>
          <w:highlight w:val="none"/>
        </w:rPr>
        <w:t>）专业工程暂估价应按工程量清单中列出的金额填写；</w:t>
      </w:r>
    </w:p>
    <w:p w14:paraId="762D4816">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4</w:t>
      </w:r>
      <w:r>
        <w:rPr>
          <w:rFonts w:hint="eastAsia" w:ascii="宋体" w:hAnsi="宋体" w:eastAsia="宋体" w:cs="宋体"/>
          <w:color w:val="auto"/>
          <w:highlight w:val="none"/>
        </w:rPr>
        <w:t>）安全生产责任保险费暂估价应按工程量清单中列出的金额填写；</w:t>
      </w:r>
    </w:p>
    <w:p w14:paraId="6095065D">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5</w:t>
      </w:r>
      <w:r>
        <w:rPr>
          <w:rFonts w:hint="eastAsia" w:ascii="宋体" w:hAnsi="宋体" w:eastAsia="宋体" w:cs="宋体"/>
          <w:color w:val="auto"/>
          <w:highlight w:val="none"/>
        </w:rPr>
        <w:t>）计日工应按工程量清单中列出的项目和数量，根据工程特点和有关计价依据确定的综合单价计算；</w:t>
      </w:r>
    </w:p>
    <w:p w14:paraId="0E49DAB5">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6</w:t>
      </w:r>
      <w:r>
        <w:rPr>
          <w:rFonts w:hint="eastAsia" w:ascii="宋体" w:hAnsi="宋体" w:eastAsia="宋体" w:cs="宋体"/>
          <w:color w:val="auto"/>
          <w:highlight w:val="none"/>
        </w:rPr>
        <w:t>）总承包服务费应根据工程量清单列出的内容和要求，按</w:t>
      </w:r>
      <w:r>
        <w:rPr>
          <w:rFonts w:hint="eastAsia" w:ascii="宋体" w:hAnsi="宋体" w:cs="宋体"/>
          <w:color w:val="auto"/>
          <w:highlight w:val="none"/>
          <w:lang w:eastAsia="zh-CN"/>
        </w:rPr>
        <w:t>广西壮族</w:t>
      </w:r>
      <w:r>
        <w:rPr>
          <w:rFonts w:hint="eastAsia" w:ascii="宋体" w:hAnsi="宋体" w:eastAsia="宋体" w:cs="宋体"/>
          <w:color w:val="auto"/>
          <w:highlight w:val="none"/>
        </w:rPr>
        <w:t>自治区住房城乡建设行政主管部门颁发的计价定额及有关规定计算。</w:t>
      </w:r>
    </w:p>
    <w:p w14:paraId="6C9C7625">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7</w:t>
      </w:r>
      <w:r>
        <w:rPr>
          <w:rFonts w:hint="eastAsia" w:ascii="宋体" w:hAnsi="宋体" w:eastAsia="宋体"/>
          <w:color w:val="auto"/>
          <w:highlight w:val="none"/>
        </w:rPr>
        <w:t>）对建设单位创建优质工程的，鼓励在招标控制价和预算中按广西区工程建设定额规定计列工程优质费，并明确工程优质费不可竞争。</w:t>
      </w:r>
    </w:p>
    <w:p w14:paraId="4338CC5B">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 xml:space="preserve">2.5 </w:t>
      </w:r>
      <w:r>
        <w:rPr>
          <w:rFonts w:hint="eastAsia" w:ascii="宋体" w:hAnsi="宋体" w:eastAsia="宋体"/>
          <w:color w:val="auto"/>
          <w:highlight w:val="none"/>
        </w:rPr>
        <w:t>规费和增值税应按规定确定，作为不可竞争费用。</w:t>
      </w:r>
    </w:p>
    <w:p w14:paraId="6D83A833">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6</w:t>
      </w:r>
      <w:r>
        <w:rPr>
          <w:rFonts w:ascii="宋体" w:hAnsi="宋体" w:eastAsia="宋体"/>
          <w:color w:val="auto"/>
          <w:highlight w:val="none"/>
        </w:rPr>
        <w:t xml:space="preserve"> </w:t>
      </w:r>
      <w:r>
        <w:rPr>
          <w:rFonts w:hint="eastAsia" w:ascii="宋体" w:hAnsi="宋体" w:eastAsia="宋体"/>
          <w:color w:val="auto"/>
          <w:highlight w:val="none"/>
        </w:rPr>
        <w:t>其他需要说明的问题：无。</w:t>
      </w:r>
    </w:p>
    <w:p w14:paraId="0A19B8F6">
      <w:pPr>
        <w:pStyle w:val="183"/>
        <w:pageBreakBefore w:val="0"/>
        <w:widowControl w:val="0"/>
        <w:kinsoku/>
        <w:wordWrap/>
        <w:overflowPunct/>
        <w:topLinePunct w:val="0"/>
        <w:autoSpaceDE/>
        <w:autoSpaceDN/>
        <w:bidi w:val="0"/>
        <w:adjustRightInd/>
        <w:snapToGrid/>
        <w:spacing w:line="420" w:lineRule="exact"/>
        <w:textAlignment w:val="auto"/>
        <w:rPr>
          <w:color w:val="auto"/>
          <w:highlight w:val="none"/>
        </w:rPr>
      </w:pPr>
    </w:p>
    <w:p w14:paraId="2154540A">
      <w:pPr>
        <w:pStyle w:val="3"/>
        <w:pageBreakBefore w:val="0"/>
        <w:widowControl w:val="0"/>
        <w:kinsoku/>
        <w:wordWrap/>
        <w:overflowPunct/>
        <w:topLinePunct w:val="0"/>
        <w:autoSpaceDE/>
        <w:autoSpaceDN/>
        <w:bidi w:val="0"/>
        <w:adjustRightInd/>
        <w:snapToGrid/>
        <w:spacing w:before="0" w:after="0" w:line="420" w:lineRule="exact"/>
        <w:textAlignment w:val="auto"/>
        <w:rPr>
          <w:rFonts w:ascii="宋体" w:hAnsi="宋体" w:eastAsia="宋体"/>
          <w:color w:val="auto"/>
          <w:highlight w:val="none"/>
        </w:rPr>
      </w:pPr>
      <w:bookmarkStart w:id="93" w:name="_Toc879821176"/>
      <w:bookmarkStart w:id="94" w:name="_Toc407135286"/>
      <w:bookmarkStart w:id="95" w:name="_Toc78449871"/>
      <w:bookmarkStart w:id="96" w:name="_Toc378483916"/>
      <w:r>
        <w:rPr>
          <w:rFonts w:ascii="宋体" w:hAnsi="宋体" w:eastAsia="宋体"/>
          <w:color w:val="auto"/>
          <w:highlight w:val="none"/>
        </w:rPr>
        <w:t>3</w:t>
      </w:r>
      <w:r>
        <w:rPr>
          <w:rFonts w:hint="eastAsia" w:ascii="宋体" w:hAnsi="宋体" w:eastAsia="宋体"/>
          <w:color w:val="auto"/>
          <w:highlight w:val="none"/>
        </w:rPr>
        <w:t>.</w:t>
      </w:r>
      <w:r>
        <w:rPr>
          <w:rFonts w:hint="eastAsia" w:ascii="宋体" w:hAnsi="宋体" w:eastAsia="宋体" w:cs="黑体"/>
          <w:color w:val="auto"/>
          <w:highlight w:val="none"/>
        </w:rPr>
        <w:t>竞标报价（已标价工程量清单）编制说明</w:t>
      </w:r>
      <w:bookmarkEnd w:id="93"/>
      <w:bookmarkEnd w:id="94"/>
      <w:bookmarkEnd w:id="95"/>
      <w:bookmarkEnd w:id="96"/>
    </w:p>
    <w:p w14:paraId="47BBB808">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3.1</w:t>
      </w:r>
      <w:r>
        <w:rPr>
          <w:rFonts w:hint="eastAsia" w:ascii="宋体" w:hAnsi="宋体" w:eastAsia="宋体" w:cs="宋体"/>
          <w:color w:val="auto"/>
          <w:highlight w:val="none"/>
        </w:rPr>
        <w:t>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19668C6A">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3.2</w:t>
      </w:r>
      <w:r>
        <w:rPr>
          <w:rFonts w:hint="eastAsia" w:ascii="宋体" w:hAnsi="宋体" w:eastAsia="宋体" w:cs="宋体"/>
          <w:color w:val="auto"/>
          <w:highlight w:val="none"/>
        </w:rPr>
        <w:t>供应商应按工程量清单填报价格。项目编码、项目名称、项目特征、计量单位、工程量必须与工程量清单一致，供应商不得对工程量清单项目进行增减调整。</w:t>
      </w:r>
    </w:p>
    <w:p w14:paraId="4EB44663">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3.3</w:t>
      </w:r>
      <w:r>
        <w:rPr>
          <w:rFonts w:hint="eastAsia" w:ascii="宋体" w:hAnsi="宋体" w:eastAsia="宋体" w:cs="宋体"/>
          <w:color w:val="auto"/>
          <w:highlight w:val="none"/>
        </w:rPr>
        <w:t>综合单价中应包含磋商文件中划分的应由供应商承担的风险范围及其费用。</w:t>
      </w:r>
    </w:p>
    <w:p w14:paraId="15CAD90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3.4</w:t>
      </w:r>
      <w:r>
        <w:rPr>
          <w:rFonts w:hint="eastAsia" w:ascii="宋体" w:hAnsi="宋体" w:eastAsia="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6977AFA8">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3.5</w:t>
      </w:r>
      <w:r>
        <w:rPr>
          <w:rFonts w:hint="eastAsia" w:ascii="宋体" w:hAnsi="宋体" w:eastAsia="宋体" w:cs="宋体"/>
          <w:color w:val="auto"/>
          <w:highlight w:val="none"/>
        </w:rPr>
        <w:t>总价措施项目的金额应根据磋商文件及竞标时拟定的施工组织设计或施工方案，按计价规范的规定自主确定。但安全文明施工费按国家、省级或行业建设主管部门的有关规定执行，作为不竞争费用单列。</w:t>
      </w:r>
    </w:p>
    <w:p w14:paraId="6731FAE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3.6</w:t>
      </w:r>
      <w:r>
        <w:rPr>
          <w:rFonts w:hint="eastAsia" w:ascii="宋体" w:hAnsi="宋体" w:eastAsia="宋体" w:cs="宋体"/>
          <w:color w:val="auto"/>
          <w:highlight w:val="none"/>
        </w:rPr>
        <w:t>其他项目费应按下列规定报价：</w:t>
      </w:r>
    </w:p>
    <w:p w14:paraId="7DCF45AB">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1</w:t>
      </w:r>
      <w:r>
        <w:rPr>
          <w:rFonts w:hint="eastAsia" w:ascii="宋体" w:hAnsi="宋体" w:eastAsia="宋体" w:cs="宋体"/>
          <w:color w:val="auto"/>
          <w:highlight w:val="none"/>
        </w:rPr>
        <w:t>）暂列金额应按工程量清单中列出的金额填写；</w:t>
      </w:r>
    </w:p>
    <w:p w14:paraId="44BB338B">
      <w:pPr>
        <w:pStyle w:val="343"/>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2</w:t>
      </w:r>
      <w:r>
        <w:rPr>
          <w:rFonts w:hint="eastAsia" w:ascii="宋体" w:hAnsi="宋体" w:eastAsia="宋体" w:cs="宋体"/>
          <w:color w:val="auto"/>
          <w:highlight w:val="none"/>
        </w:rPr>
        <w:t>）材料、工程设备暂估价应按工程量清单中列出的单价计入综合单价；</w:t>
      </w:r>
    </w:p>
    <w:p w14:paraId="7B2F988F">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3</w:t>
      </w:r>
      <w:r>
        <w:rPr>
          <w:rFonts w:hint="eastAsia" w:ascii="宋体" w:hAnsi="宋体" w:eastAsia="宋体" w:cs="宋体"/>
          <w:color w:val="auto"/>
          <w:highlight w:val="none"/>
        </w:rPr>
        <w:t>）专业工程暂估价应按工程量清单中列出的金额填写；</w:t>
      </w:r>
    </w:p>
    <w:p w14:paraId="3DE84089">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4</w:t>
      </w:r>
      <w:r>
        <w:rPr>
          <w:rFonts w:hint="eastAsia" w:ascii="宋体" w:hAnsi="宋体" w:eastAsia="宋体" w:cs="宋体"/>
          <w:color w:val="auto"/>
          <w:highlight w:val="none"/>
        </w:rPr>
        <w:t>）安全生产责任保险费暂估价应按工程量清单中列出的金额填写；</w:t>
      </w:r>
    </w:p>
    <w:p w14:paraId="0FA2E0E7">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5</w:t>
      </w:r>
      <w:r>
        <w:rPr>
          <w:rFonts w:hint="eastAsia" w:ascii="宋体" w:hAnsi="宋体" w:eastAsia="宋体" w:cs="宋体"/>
          <w:color w:val="auto"/>
          <w:highlight w:val="none"/>
        </w:rPr>
        <w:t>）计日工应按工程量清单中列出的项目和估算数量，自主确定综合单价并计算计日工总额；计日工单价均不含规费和税金；</w:t>
      </w:r>
    </w:p>
    <w:p w14:paraId="4C2461D3">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6</w:t>
      </w:r>
      <w:r>
        <w:rPr>
          <w:rFonts w:hint="eastAsia" w:ascii="宋体" w:hAnsi="宋体" w:eastAsia="宋体" w:cs="宋体"/>
          <w:color w:val="auto"/>
          <w:highlight w:val="none"/>
        </w:rPr>
        <w:t>）总承包服务费应根据工程量清单中列出的内容和供应材料、设备情况，按照采购人提出的协调、配合与服务要求和施工现场管理需要自主确定。</w:t>
      </w:r>
    </w:p>
    <w:p w14:paraId="79CAAD7C">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7</w:t>
      </w:r>
      <w:r>
        <w:rPr>
          <w:rFonts w:hint="eastAsia" w:ascii="宋体" w:hAnsi="宋体" w:eastAsia="宋体"/>
          <w:color w:val="auto"/>
          <w:highlight w:val="none"/>
        </w:rPr>
        <w:t>）对建设单位创建优质工程的，鼓励在招标控制价和预算中按我区工程建设定额规定计列工程优质费，并明确工程优质费不可竞争。</w:t>
      </w:r>
    </w:p>
    <w:p w14:paraId="3847E2F9">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3.7</w:t>
      </w:r>
      <w:r>
        <w:rPr>
          <w:rFonts w:hint="eastAsia" w:ascii="宋体" w:hAnsi="宋体" w:eastAsia="宋体" w:cs="宋体"/>
          <w:color w:val="auto"/>
          <w:highlight w:val="none"/>
        </w:rPr>
        <w:t>规费和增值税应按规定确定，作为不可竞争费用。</w:t>
      </w:r>
    </w:p>
    <w:p w14:paraId="41C51697">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3.8</w:t>
      </w:r>
      <w:r>
        <w:rPr>
          <w:rFonts w:hint="eastAsia" w:ascii="宋体" w:hAnsi="宋体" w:eastAsia="宋体"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7DBA3D83">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3.9</w:t>
      </w:r>
      <w:r>
        <w:rPr>
          <w:rFonts w:hint="eastAsia" w:ascii="宋体" w:hAnsi="宋体" w:eastAsia="宋体" w:cs="宋体"/>
          <w:color w:val="auto"/>
          <w:highlight w:val="none"/>
        </w:rPr>
        <w:t>竞标总价应当与分部分项工程费、措施项目费、其他项目费和规费、增值税的合计金额一致。</w:t>
      </w:r>
    </w:p>
    <w:p w14:paraId="264E9F23">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3.1</w:t>
      </w:r>
      <w:r>
        <w:rPr>
          <w:rFonts w:hint="eastAsia" w:ascii="宋体" w:hAnsi="宋体" w:eastAsia="宋体"/>
          <w:color w:val="auto"/>
          <w:highlight w:val="none"/>
        </w:rPr>
        <w:t>0</w:t>
      </w:r>
      <w:r>
        <w:rPr>
          <w:rFonts w:hint="eastAsia" w:ascii="宋体" w:hAnsi="宋体" w:eastAsia="宋体" w:cs="宋体"/>
          <w:color w:val="auto"/>
          <w:highlight w:val="none"/>
        </w:rPr>
        <w:t>供应商应按《允许调整主要材料和工程设备一览表》的内容填报，不得擅自调整材料和设备名称型号规格、单位、风险系数、基准单价。</w:t>
      </w:r>
    </w:p>
    <w:p w14:paraId="48C650F1">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rPr>
      </w:pPr>
      <w:r>
        <w:rPr>
          <w:rFonts w:ascii="宋体" w:hAnsi="宋体" w:eastAsia="宋体"/>
          <w:color w:val="auto"/>
          <w:highlight w:val="none"/>
        </w:rPr>
        <w:t>3.1</w:t>
      </w:r>
      <w:r>
        <w:rPr>
          <w:rFonts w:hint="eastAsia" w:ascii="宋体" w:hAnsi="宋体" w:eastAsia="宋体"/>
          <w:color w:val="auto"/>
          <w:highlight w:val="none"/>
        </w:rPr>
        <w:t>1</w:t>
      </w:r>
      <w:r>
        <w:rPr>
          <w:rFonts w:hint="eastAsia" w:ascii="宋体" w:hAnsi="宋体" w:eastAsia="宋体" w:cs="宋体"/>
          <w:color w:val="auto"/>
          <w:highlight w:val="none"/>
        </w:rPr>
        <w:t>竞标报价表格按本工程工程量清单表格要求填写，并应按磋商文件的要求，附上《工程量清单综合单价分析表》（表</w:t>
      </w:r>
      <w:r>
        <w:rPr>
          <w:rFonts w:ascii="宋体" w:hAnsi="宋体" w:eastAsia="宋体"/>
          <w:color w:val="auto"/>
          <w:highlight w:val="none"/>
        </w:rPr>
        <w:t>-09</w:t>
      </w:r>
      <w:r>
        <w:rPr>
          <w:rFonts w:hint="eastAsia" w:ascii="宋体" w:hAnsi="宋体" w:eastAsia="宋体" w:cs="宋体"/>
          <w:color w:val="auto"/>
          <w:highlight w:val="none"/>
        </w:rPr>
        <w:t>）和《主要清单项目工料机分析表》（表</w:t>
      </w:r>
      <w:r>
        <w:rPr>
          <w:rFonts w:ascii="宋体" w:hAnsi="宋体" w:eastAsia="宋体"/>
          <w:color w:val="auto"/>
          <w:highlight w:val="none"/>
        </w:rPr>
        <w:t>-10</w:t>
      </w:r>
      <w:r>
        <w:rPr>
          <w:rFonts w:hint="eastAsia" w:ascii="宋体" w:hAnsi="宋体" w:eastAsia="宋体" w:cs="宋体"/>
          <w:color w:val="auto"/>
          <w:highlight w:val="none"/>
        </w:rPr>
        <w:t>）。</w:t>
      </w:r>
    </w:p>
    <w:p w14:paraId="00649DEF">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eastAsia="宋体"/>
          <w:color w:val="auto"/>
          <w:highlight w:val="none"/>
          <w:u w:val="single"/>
        </w:rPr>
      </w:pPr>
      <w:r>
        <w:rPr>
          <w:rFonts w:hint="eastAsia" w:ascii="宋体" w:hAnsi="宋体" w:eastAsia="宋体" w:cs="宋体"/>
          <w:color w:val="auto"/>
          <w:highlight w:val="none"/>
        </w:rPr>
        <w:t>未尽事宜详见本工程工程量清单、招标控制价编制说明以及现行《计价规范》等有关规定执行。</w:t>
      </w:r>
    </w:p>
    <w:p w14:paraId="4454B50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08FB1302">
      <w:pPr>
        <w:keepNext w:val="0"/>
        <w:keepLines w:val="0"/>
        <w:pageBreakBefore w:val="0"/>
        <w:widowControl w:val="0"/>
        <w:bidi w:val="0"/>
        <w:spacing w:line="400" w:lineRule="exact"/>
        <w:ind w:firstLine="643"/>
        <w:rPr>
          <w:rFonts w:hint="eastAsia" w:ascii="宋体" w:hAnsi="宋体" w:eastAsia="宋体" w:cs="黑体"/>
          <w:b/>
          <w:bCs/>
          <w:color w:val="auto"/>
          <w:sz w:val="32"/>
          <w:szCs w:val="32"/>
          <w:highlight w:val="none"/>
          <w:lang w:val="en-US" w:eastAsia="zh-CN" w:bidi="ar-SA"/>
        </w:rPr>
      </w:pPr>
      <w:r>
        <w:rPr>
          <w:rFonts w:hint="eastAsia" w:ascii="宋体" w:hAnsi="宋体" w:eastAsia="宋体" w:cs="黑体"/>
          <w:b/>
          <w:bCs/>
          <w:color w:val="auto"/>
          <w:sz w:val="32"/>
          <w:szCs w:val="32"/>
          <w:highlight w:val="none"/>
          <w:lang w:val="en-US" w:eastAsia="zh-CN" w:bidi="ar-SA"/>
        </w:rPr>
        <w:t>4.图纸（另册）</w:t>
      </w:r>
    </w:p>
    <w:p w14:paraId="75320B15">
      <w:pPr>
        <w:rPr>
          <w:rFonts w:hint="eastAsia"/>
          <w:color w:val="auto"/>
          <w:highlight w:val="none"/>
        </w:rPr>
      </w:pPr>
    </w:p>
    <w:p w14:paraId="2487B05B">
      <w:pPr>
        <w:rPr>
          <w:rFonts w:hint="eastAsia"/>
          <w:color w:val="auto"/>
          <w:highlight w:val="none"/>
        </w:rPr>
      </w:pPr>
    </w:p>
    <w:p w14:paraId="6A64E1C2">
      <w:pPr>
        <w:rPr>
          <w:rFonts w:hint="eastAsia"/>
          <w:color w:val="auto"/>
          <w:highlight w:val="none"/>
        </w:rPr>
      </w:pPr>
    </w:p>
    <w:p w14:paraId="1A47F5D5">
      <w:pPr>
        <w:rPr>
          <w:rFonts w:hint="eastAsia"/>
          <w:color w:val="auto"/>
          <w:highlight w:val="none"/>
        </w:rPr>
      </w:pPr>
    </w:p>
    <w:p w14:paraId="6AD9D94A">
      <w:pPr>
        <w:rPr>
          <w:rFonts w:hint="eastAsia"/>
          <w:color w:val="auto"/>
          <w:highlight w:val="none"/>
        </w:rPr>
      </w:pPr>
    </w:p>
    <w:p w14:paraId="7BF89C38">
      <w:pPr>
        <w:rPr>
          <w:rFonts w:hint="eastAsia"/>
          <w:color w:val="auto"/>
          <w:highlight w:val="none"/>
        </w:rPr>
      </w:pPr>
    </w:p>
    <w:p w14:paraId="309FFD4E">
      <w:pPr>
        <w:rPr>
          <w:rFonts w:hint="eastAsia"/>
          <w:color w:val="auto"/>
          <w:highlight w:val="none"/>
        </w:rPr>
      </w:pPr>
    </w:p>
    <w:p w14:paraId="6AE09799">
      <w:pPr>
        <w:rPr>
          <w:rFonts w:hint="eastAsia"/>
          <w:color w:val="auto"/>
          <w:highlight w:val="none"/>
        </w:rPr>
      </w:pPr>
    </w:p>
    <w:p w14:paraId="1A90389E">
      <w:pPr>
        <w:rPr>
          <w:rFonts w:hint="eastAsia"/>
          <w:color w:val="auto"/>
          <w:highlight w:val="none"/>
        </w:rPr>
      </w:pPr>
    </w:p>
    <w:p w14:paraId="64885A78">
      <w:pPr>
        <w:rPr>
          <w:rFonts w:hint="eastAsia"/>
          <w:color w:val="auto"/>
          <w:highlight w:val="none"/>
        </w:rPr>
      </w:pPr>
    </w:p>
    <w:p w14:paraId="50C720FE">
      <w:pPr>
        <w:rPr>
          <w:rFonts w:hint="eastAsia"/>
          <w:color w:val="auto"/>
          <w:highlight w:val="none"/>
        </w:rPr>
      </w:pPr>
    </w:p>
    <w:p w14:paraId="35B44965">
      <w:pPr>
        <w:rPr>
          <w:rFonts w:hint="eastAsia"/>
          <w:color w:val="auto"/>
          <w:highlight w:val="none"/>
        </w:rPr>
      </w:pPr>
    </w:p>
    <w:p w14:paraId="602E169B">
      <w:pPr>
        <w:rPr>
          <w:rFonts w:hint="eastAsia"/>
          <w:color w:val="auto"/>
          <w:highlight w:val="none"/>
        </w:rPr>
      </w:pPr>
    </w:p>
    <w:p w14:paraId="6C4F96BC">
      <w:pPr>
        <w:rPr>
          <w:rFonts w:hint="eastAsia"/>
          <w:color w:val="auto"/>
          <w:highlight w:val="none"/>
        </w:rPr>
      </w:pPr>
    </w:p>
    <w:p w14:paraId="26031E67">
      <w:pPr>
        <w:rPr>
          <w:rFonts w:hint="eastAsia"/>
          <w:color w:val="auto"/>
          <w:highlight w:val="none"/>
        </w:rPr>
      </w:pPr>
    </w:p>
    <w:p w14:paraId="51D7F2BB">
      <w:pPr>
        <w:pStyle w:val="190"/>
        <w:jc w:val="center"/>
        <w:rPr>
          <w:rFonts w:hint="eastAsia"/>
          <w:color w:val="auto"/>
          <w:highlight w:val="none"/>
        </w:rPr>
      </w:pPr>
      <w:bookmarkStart w:id="97" w:name="_Toc122424265"/>
    </w:p>
    <w:p w14:paraId="378785D7">
      <w:pPr>
        <w:pStyle w:val="190"/>
        <w:jc w:val="center"/>
        <w:rPr>
          <w:rFonts w:hint="eastAsia"/>
          <w:color w:val="auto"/>
          <w:highlight w:val="none"/>
        </w:rPr>
      </w:pPr>
    </w:p>
    <w:p w14:paraId="7C260D1D">
      <w:pPr>
        <w:pStyle w:val="190"/>
        <w:jc w:val="center"/>
        <w:rPr>
          <w:rFonts w:hint="eastAsia"/>
          <w:color w:val="auto"/>
          <w:highlight w:val="none"/>
        </w:rPr>
      </w:pPr>
      <w:r>
        <w:rPr>
          <w:rFonts w:hint="eastAsia"/>
          <w:color w:val="auto"/>
          <w:highlight w:val="none"/>
        </w:rPr>
        <w:t>第六章 响应文件格式</w:t>
      </w:r>
      <w:bookmarkEnd w:id="97"/>
    </w:p>
    <w:p w14:paraId="3742C127">
      <w:pPr>
        <w:spacing w:line="240" w:lineRule="atLeast"/>
        <w:rPr>
          <w:rFonts w:hint="eastAsia" w:ascii="宋体" w:hAnsi="宋体"/>
          <w:b/>
          <w:color w:val="auto"/>
          <w:sz w:val="32"/>
          <w:szCs w:val="32"/>
          <w:highlight w:val="none"/>
        </w:rPr>
      </w:pPr>
    </w:p>
    <w:p w14:paraId="403AAD7B">
      <w:pPr>
        <w:spacing w:line="240" w:lineRule="atLeast"/>
        <w:rPr>
          <w:rFonts w:hint="eastAsia" w:ascii="宋体" w:hAnsi="宋体"/>
          <w:b/>
          <w:color w:val="auto"/>
          <w:sz w:val="32"/>
          <w:szCs w:val="32"/>
          <w:highlight w:val="none"/>
        </w:rPr>
      </w:pPr>
    </w:p>
    <w:p w14:paraId="0228799E">
      <w:pPr>
        <w:spacing w:line="240" w:lineRule="atLeast"/>
        <w:rPr>
          <w:rFonts w:hint="eastAsia" w:ascii="宋体" w:hAnsi="宋体"/>
          <w:b/>
          <w:color w:val="auto"/>
          <w:sz w:val="32"/>
          <w:szCs w:val="32"/>
          <w:highlight w:val="none"/>
        </w:rPr>
      </w:pPr>
    </w:p>
    <w:p w14:paraId="4E11131F">
      <w:pPr>
        <w:spacing w:line="240" w:lineRule="atLeast"/>
        <w:rPr>
          <w:rFonts w:hint="eastAsia" w:ascii="宋体" w:hAnsi="宋体"/>
          <w:b/>
          <w:color w:val="auto"/>
          <w:sz w:val="32"/>
          <w:szCs w:val="32"/>
          <w:highlight w:val="none"/>
        </w:rPr>
      </w:pPr>
    </w:p>
    <w:p w14:paraId="3BE00A35">
      <w:pPr>
        <w:spacing w:line="240" w:lineRule="atLeast"/>
        <w:rPr>
          <w:rFonts w:hint="eastAsia" w:ascii="宋体" w:hAnsi="宋体"/>
          <w:b/>
          <w:color w:val="auto"/>
          <w:sz w:val="32"/>
          <w:szCs w:val="32"/>
          <w:highlight w:val="none"/>
        </w:rPr>
      </w:pPr>
    </w:p>
    <w:p w14:paraId="21954EAE">
      <w:pPr>
        <w:spacing w:line="240" w:lineRule="atLeast"/>
        <w:rPr>
          <w:rFonts w:hint="eastAsia" w:ascii="宋体" w:hAnsi="宋体"/>
          <w:b/>
          <w:color w:val="auto"/>
          <w:sz w:val="32"/>
          <w:szCs w:val="32"/>
          <w:highlight w:val="none"/>
        </w:rPr>
      </w:pPr>
    </w:p>
    <w:p w14:paraId="64B429C7">
      <w:pPr>
        <w:spacing w:line="240" w:lineRule="atLeast"/>
        <w:rPr>
          <w:rFonts w:hint="eastAsia" w:ascii="宋体" w:hAnsi="宋体"/>
          <w:b/>
          <w:color w:val="auto"/>
          <w:sz w:val="32"/>
          <w:szCs w:val="32"/>
          <w:highlight w:val="none"/>
        </w:rPr>
      </w:pPr>
    </w:p>
    <w:p w14:paraId="02C879C0">
      <w:pPr>
        <w:spacing w:line="240" w:lineRule="atLeast"/>
        <w:rPr>
          <w:rFonts w:hint="eastAsia" w:ascii="宋体" w:hAnsi="宋体"/>
          <w:b/>
          <w:color w:val="auto"/>
          <w:sz w:val="32"/>
          <w:szCs w:val="32"/>
          <w:highlight w:val="none"/>
        </w:rPr>
      </w:pPr>
    </w:p>
    <w:p w14:paraId="043849E0">
      <w:pPr>
        <w:spacing w:line="240" w:lineRule="atLeast"/>
        <w:rPr>
          <w:rFonts w:hint="eastAsia" w:ascii="宋体" w:hAnsi="宋体"/>
          <w:b/>
          <w:color w:val="auto"/>
          <w:sz w:val="32"/>
          <w:szCs w:val="32"/>
          <w:highlight w:val="none"/>
        </w:rPr>
      </w:pPr>
    </w:p>
    <w:p w14:paraId="2468726F">
      <w:pPr>
        <w:spacing w:line="240" w:lineRule="atLeast"/>
        <w:rPr>
          <w:rFonts w:hint="eastAsia" w:ascii="宋体" w:hAnsi="宋体"/>
          <w:b/>
          <w:color w:val="auto"/>
          <w:sz w:val="32"/>
          <w:szCs w:val="32"/>
          <w:highlight w:val="none"/>
        </w:rPr>
      </w:pPr>
    </w:p>
    <w:p w14:paraId="4A947650">
      <w:pPr>
        <w:spacing w:line="240" w:lineRule="atLeast"/>
        <w:rPr>
          <w:rFonts w:hint="eastAsia" w:ascii="宋体" w:hAnsi="宋体"/>
          <w:b/>
          <w:color w:val="auto"/>
          <w:sz w:val="32"/>
          <w:szCs w:val="32"/>
          <w:highlight w:val="none"/>
        </w:rPr>
      </w:pPr>
    </w:p>
    <w:p w14:paraId="6F1C2F13">
      <w:pPr>
        <w:spacing w:before="50" w:after="50"/>
        <w:outlineLvl w:val="1"/>
        <w:rPr>
          <w:rFonts w:hint="eastAsia" w:ascii="宋体" w:hAnsi="宋体"/>
          <w:b/>
          <w:bCs/>
          <w:color w:val="auto"/>
          <w:sz w:val="24"/>
          <w:highlight w:val="none"/>
        </w:rPr>
      </w:pPr>
    </w:p>
    <w:p w14:paraId="12D4ACB2">
      <w:pPr>
        <w:spacing w:before="120" w:after="50"/>
        <w:jc w:val="center"/>
        <w:rPr>
          <w:rFonts w:hint="eastAsia" w:ascii="仿宋_GB2312" w:hAnsi="仿宋_GB2312" w:eastAsia="仿宋_GB2312" w:cs="仿宋_GB2312"/>
          <w:bCs/>
          <w:color w:val="auto"/>
          <w:sz w:val="32"/>
          <w:szCs w:val="32"/>
          <w:highlight w:val="none"/>
        </w:rPr>
      </w:pPr>
    </w:p>
    <w:p w14:paraId="06E03E2A">
      <w:pPr>
        <w:rPr>
          <w:rFonts w:hint="eastAsia"/>
          <w:b/>
          <w:color w:val="auto"/>
          <w:sz w:val="32"/>
          <w:szCs w:val="32"/>
          <w:highlight w:val="none"/>
        </w:rPr>
      </w:pPr>
      <w:bookmarkStart w:id="98" w:name="_Toc44229899"/>
      <w:bookmarkStart w:id="99" w:name="_Toc35611438"/>
      <w:bookmarkStart w:id="100" w:name="_Toc71366186"/>
      <w:bookmarkStart w:id="101" w:name="_Toc31728084"/>
      <w:bookmarkStart w:id="102" w:name="_Toc31723070"/>
      <w:bookmarkStart w:id="103" w:name="_Toc35611516"/>
      <w:r>
        <w:rPr>
          <w:b/>
          <w:color w:val="auto"/>
          <w:sz w:val="32"/>
          <w:szCs w:val="32"/>
          <w:highlight w:val="none"/>
        </w:rPr>
        <w:br w:type="page" w:clear="all"/>
      </w:r>
      <w:r>
        <w:rPr>
          <w:rFonts w:hint="eastAsia"/>
          <w:b/>
          <w:color w:val="auto"/>
          <w:sz w:val="32"/>
          <w:szCs w:val="32"/>
          <w:highlight w:val="none"/>
        </w:rPr>
        <w:t>一、资格证明文件格式</w:t>
      </w:r>
      <w:bookmarkEnd w:id="98"/>
      <w:bookmarkEnd w:id="99"/>
      <w:bookmarkEnd w:id="100"/>
      <w:bookmarkEnd w:id="101"/>
      <w:bookmarkEnd w:id="102"/>
      <w:bookmarkEnd w:id="103"/>
    </w:p>
    <w:p w14:paraId="5A0CAAD0">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3C6A174">
      <w:pPr>
        <w:spacing w:before="120" w:after="50"/>
        <w:jc w:val="center"/>
        <w:rPr>
          <w:rFonts w:ascii="宋体" w:hAnsi="宋体"/>
          <w:color w:val="auto"/>
          <w:sz w:val="44"/>
          <w:szCs w:val="44"/>
          <w:highlight w:val="none"/>
        </w:rPr>
      </w:pPr>
    </w:p>
    <w:p w14:paraId="13EE73DD">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ECF24D0">
      <w:pPr>
        <w:spacing w:before="120" w:after="50"/>
        <w:rPr>
          <w:rFonts w:hint="eastAsia" w:ascii="宋体" w:hAnsi="宋体"/>
          <w:color w:val="auto"/>
          <w:sz w:val="24"/>
          <w:szCs w:val="20"/>
          <w:highlight w:val="none"/>
        </w:rPr>
      </w:pPr>
    </w:p>
    <w:p w14:paraId="09AA21DC">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88F7078">
      <w:pPr>
        <w:spacing w:before="120" w:after="50"/>
        <w:rPr>
          <w:rFonts w:hint="eastAsia" w:ascii="宋体" w:hAnsi="宋体"/>
          <w:bCs/>
          <w:color w:val="auto"/>
          <w:sz w:val="24"/>
          <w:szCs w:val="20"/>
          <w:highlight w:val="none"/>
        </w:rPr>
      </w:pPr>
    </w:p>
    <w:p w14:paraId="2B1B1D7D">
      <w:pPr>
        <w:spacing w:before="120" w:after="50"/>
        <w:rPr>
          <w:rFonts w:hint="eastAsia" w:ascii="宋体" w:hAnsi="宋体"/>
          <w:bCs/>
          <w:color w:val="auto"/>
          <w:sz w:val="24"/>
          <w:szCs w:val="20"/>
          <w:highlight w:val="none"/>
        </w:rPr>
      </w:pPr>
    </w:p>
    <w:p w14:paraId="12F5AFDB">
      <w:pPr>
        <w:spacing w:before="120" w:after="50"/>
        <w:rPr>
          <w:rFonts w:hint="eastAsia" w:ascii="宋体" w:hAnsi="宋体"/>
          <w:bCs/>
          <w:color w:val="auto"/>
          <w:sz w:val="24"/>
          <w:szCs w:val="20"/>
          <w:highlight w:val="none"/>
        </w:rPr>
      </w:pPr>
    </w:p>
    <w:p w14:paraId="50E2C30C">
      <w:pPr>
        <w:spacing w:before="120" w:after="50"/>
        <w:rPr>
          <w:rFonts w:hint="eastAsia" w:ascii="宋体" w:hAnsi="宋体"/>
          <w:bCs/>
          <w:color w:val="auto"/>
          <w:sz w:val="24"/>
          <w:szCs w:val="20"/>
          <w:highlight w:val="none"/>
        </w:rPr>
      </w:pPr>
    </w:p>
    <w:p w14:paraId="21BF2FB6">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7FA9321">
      <w:pPr>
        <w:spacing w:before="120" w:after="50"/>
        <w:ind w:firstLine="720"/>
        <w:rPr>
          <w:rFonts w:hint="eastAsia" w:ascii="宋体" w:hAnsi="宋体" w:cs="仿宋_GB2312"/>
          <w:bCs/>
          <w:color w:val="auto"/>
          <w:sz w:val="32"/>
          <w:szCs w:val="32"/>
          <w:highlight w:val="none"/>
        </w:rPr>
      </w:pPr>
    </w:p>
    <w:p w14:paraId="7F2C6DB8">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CA15B5A">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D217C8D">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31BF029">
      <w:pPr>
        <w:spacing w:before="120" w:after="50"/>
        <w:ind w:firstLine="720"/>
        <w:rPr>
          <w:rFonts w:hint="eastAsia" w:ascii="宋体" w:hAnsi="宋体" w:cs="仿宋_GB2312"/>
          <w:bCs/>
          <w:color w:val="auto"/>
          <w:sz w:val="32"/>
          <w:szCs w:val="32"/>
          <w:highlight w:val="none"/>
        </w:rPr>
      </w:pPr>
    </w:p>
    <w:p w14:paraId="7868AA88">
      <w:pPr>
        <w:pStyle w:val="195"/>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D03569B">
      <w:pPr>
        <w:spacing w:before="120" w:after="50"/>
        <w:ind w:firstLine="640"/>
        <w:rPr>
          <w:rFonts w:hint="eastAsia" w:ascii="宋体" w:hAnsi="宋体" w:cs="仿宋_GB2312"/>
          <w:bCs/>
          <w:color w:val="auto"/>
          <w:sz w:val="32"/>
          <w:szCs w:val="32"/>
          <w:highlight w:val="none"/>
        </w:rPr>
      </w:pPr>
    </w:p>
    <w:p w14:paraId="21AE7F67">
      <w:pPr>
        <w:pStyle w:val="195"/>
        <w:spacing w:before="50" w:after="50"/>
        <w:ind w:left="0" w:leftChars="0" w:firstLine="0" w:firstLineChars="0"/>
        <w:rPr>
          <w:rFonts w:hint="eastAsia" w:ascii="宋体" w:hAnsi="宋体" w:cs="仿宋_GB2312"/>
          <w:bCs/>
          <w:color w:val="auto"/>
          <w:sz w:val="32"/>
          <w:szCs w:val="32"/>
          <w:highlight w:val="none"/>
        </w:rPr>
      </w:pPr>
    </w:p>
    <w:p w14:paraId="5494EA72">
      <w:pPr>
        <w:pStyle w:val="195"/>
        <w:spacing w:before="50" w:after="50"/>
        <w:ind w:firstLine="1280"/>
        <w:rPr>
          <w:rFonts w:hint="eastAsia" w:ascii="宋体" w:hAnsi="宋体" w:cs="仿宋_GB2312"/>
          <w:bCs/>
          <w:color w:val="auto"/>
          <w:sz w:val="32"/>
          <w:szCs w:val="32"/>
          <w:highlight w:val="none"/>
        </w:rPr>
      </w:pPr>
    </w:p>
    <w:p w14:paraId="5D6703B5">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DDFE946">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0042F9C0">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0153254">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463032F3">
      <w:pPr>
        <w:spacing w:line="300" w:lineRule="auto"/>
        <w:rPr>
          <w:rFonts w:hint="eastAsia" w:ascii="宋体" w:hAnsi="宋体"/>
          <w:color w:val="auto"/>
          <w:szCs w:val="21"/>
          <w:highlight w:val="none"/>
        </w:rPr>
      </w:pPr>
    </w:p>
    <w:p w14:paraId="216E9D3C">
      <w:pPr>
        <w:spacing w:line="300" w:lineRule="auto"/>
        <w:rPr>
          <w:rFonts w:hint="eastAsia" w:ascii="宋体" w:hAnsi="宋体"/>
          <w:color w:val="auto"/>
          <w:szCs w:val="21"/>
          <w:highlight w:val="none"/>
        </w:rPr>
      </w:pPr>
    </w:p>
    <w:p w14:paraId="36621864">
      <w:pPr>
        <w:spacing w:line="300" w:lineRule="auto"/>
        <w:rPr>
          <w:rFonts w:hint="eastAsia" w:ascii="宋体" w:hAnsi="宋体"/>
          <w:color w:val="auto"/>
          <w:szCs w:val="21"/>
          <w:highlight w:val="none"/>
        </w:rPr>
      </w:pPr>
    </w:p>
    <w:p w14:paraId="6BBA2642">
      <w:pPr>
        <w:spacing w:line="300" w:lineRule="auto"/>
        <w:rPr>
          <w:rFonts w:hint="eastAsia" w:ascii="宋体" w:hAnsi="宋体"/>
          <w:color w:val="auto"/>
          <w:szCs w:val="21"/>
          <w:highlight w:val="none"/>
        </w:rPr>
      </w:pPr>
    </w:p>
    <w:p w14:paraId="18AB64F9">
      <w:pPr>
        <w:spacing w:line="300" w:lineRule="auto"/>
        <w:rPr>
          <w:rFonts w:hint="eastAsia" w:ascii="宋体" w:hAnsi="宋体"/>
          <w:color w:val="auto"/>
          <w:szCs w:val="21"/>
          <w:highlight w:val="none"/>
        </w:rPr>
      </w:pPr>
    </w:p>
    <w:p w14:paraId="6400C492">
      <w:pPr>
        <w:spacing w:line="300" w:lineRule="auto"/>
        <w:rPr>
          <w:rFonts w:hint="eastAsia" w:ascii="宋体" w:hAnsi="宋体"/>
          <w:color w:val="auto"/>
          <w:szCs w:val="21"/>
          <w:highlight w:val="none"/>
        </w:rPr>
      </w:pPr>
    </w:p>
    <w:p w14:paraId="3B9F4591">
      <w:pPr>
        <w:spacing w:line="300" w:lineRule="auto"/>
        <w:rPr>
          <w:rFonts w:hint="eastAsia" w:ascii="宋体" w:hAnsi="宋体"/>
          <w:color w:val="auto"/>
          <w:szCs w:val="21"/>
          <w:highlight w:val="none"/>
        </w:rPr>
      </w:pPr>
    </w:p>
    <w:p w14:paraId="1E10345C">
      <w:pPr>
        <w:spacing w:line="300" w:lineRule="auto"/>
        <w:rPr>
          <w:rFonts w:hint="eastAsia" w:ascii="宋体" w:hAnsi="宋体"/>
          <w:color w:val="auto"/>
          <w:szCs w:val="21"/>
          <w:highlight w:val="none"/>
        </w:rPr>
      </w:pPr>
    </w:p>
    <w:p w14:paraId="25864AF5">
      <w:pPr>
        <w:spacing w:line="300" w:lineRule="auto"/>
        <w:rPr>
          <w:rFonts w:hint="eastAsia" w:ascii="宋体" w:hAnsi="宋体"/>
          <w:color w:val="auto"/>
          <w:szCs w:val="21"/>
          <w:highlight w:val="none"/>
        </w:rPr>
      </w:pPr>
    </w:p>
    <w:p w14:paraId="3E38BBB5">
      <w:pPr>
        <w:spacing w:line="300" w:lineRule="auto"/>
        <w:rPr>
          <w:rFonts w:hint="eastAsia" w:ascii="宋体" w:hAnsi="宋体"/>
          <w:color w:val="auto"/>
          <w:szCs w:val="21"/>
          <w:highlight w:val="none"/>
        </w:rPr>
      </w:pPr>
    </w:p>
    <w:p w14:paraId="50D1CFE1">
      <w:pPr>
        <w:spacing w:line="300" w:lineRule="auto"/>
        <w:rPr>
          <w:rFonts w:hint="eastAsia" w:ascii="宋体" w:hAnsi="宋体"/>
          <w:color w:val="auto"/>
          <w:szCs w:val="21"/>
          <w:highlight w:val="none"/>
        </w:rPr>
      </w:pPr>
    </w:p>
    <w:p w14:paraId="6ED4E97C">
      <w:pPr>
        <w:spacing w:line="300" w:lineRule="auto"/>
        <w:rPr>
          <w:rFonts w:hint="eastAsia" w:ascii="宋体" w:hAnsi="宋体"/>
          <w:color w:val="auto"/>
          <w:szCs w:val="21"/>
          <w:highlight w:val="none"/>
        </w:rPr>
      </w:pPr>
    </w:p>
    <w:p w14:paraId="1C9BC21D">
      <w:pPr>
        <w:spacing w:line="300" w:lineRule="auto"/>
        <w:rPr>
          <w:rFonts w:hint="eastAsia" w:ascii="宋体" w:hAnsi="宋体"/>
          <w:color w:val="auto"/>
          <w:szCs w:val="21"/>
          <w:highlight w:val="none"/>
        </w:rPr>
      </w:pPr>
    </w:p>
    <w:p w14:paraId="77DFA68B">
      <w:pPr>
        <w:spacing w:line="300" w:lineRule="auto"/>
        <w:rPr>
          <w:rFonts w:hint="eastAsia" w:ascii="宋体" w:hAnsi="宋体"/>
          <w:color w:val="auto"/>
          <w:szCs w:val="21"/>
          <w:highlight w:val="none"/>
        </w:rPr>
      </w:pPr>
    </w:p>
    <w:p w14:paraId="6BA1B3B0">
      <w:pPr>
        <w:spacing w:line="300" w:lineRule="auto"/>
        <w:rPr>
          <w:rFonts w:hint="eastAsia" w:ascii="宋体" w:hAnsi="宋体"/>
          <w:color w:val="auto"/>
          <w:szCs w:val="21"/>
          <w:highlight w:val="none"/>
        </w:rPr>
      </w:pPr>
    </w:p>
    <w:p w14:paraId="65624726">
      <w:pPr>
        <w:spacing w:line="320" w:lineRule="exact"/>
        <w:jc w:val="center"/>
        <w:rPr>
          <w:rFonts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color w:val="auto"/>
          <w:sz w:val="32"/>
          <w:szCs w:val="32"/>
          <w:highlight w:val="none"/>
        </w:rPr>
        <w:t>防城港市政府采购供应商信用承诺函（格式）</w:t>
      </w:r>
    </w:p>
    <w:p w14:paraId="47393C47">
      <w:pPr>
        <w:spacing w:line="320" w:lineRule="exact"/>
        <w:jc w:val="left"/>
        <w:rPr>
          <w:rFonts w:hint="eastAsia" w:ascii="宋体" w:hAnsi="宋体"/>
          <w:color w:val="auto"/>
          <w:szCs w:val="21"/>
          <w:highlight w:val="none"/>
        </w:rPr>
      </w:pPr>
    </w:p>
    <w:p w14:paraId="4285F83A">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48BD717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79ED27">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51C4729D">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3B5B702">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7786CBF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0AF674F0">
      <w:pPr>
        <w:spacing w:line="360" w:lineRule="auto"/>
        <w:jc w:val="left"/>
        <w:rPr>
          <w:rFonts w:hint="eastAsia" w:ascii="宋体" w:hAnsi="宋体"/>
          <w:color w:val="auto"/>
          <w:sz w:val="24"/>
          <w:highlight w:val="none"/>
        </w:rPr>
      </w:pPr>
    </w:p>
    <w:p w14:paraId="0CB3239C">
      <w:pPr>
        <w:spacing w:line="360" w:lineRule="auto"/>
        <w:jc w:val="left"/>
        <w:rPr>
          <w:rFonts w:hint="eastAsia" w:ascii="宋体" w:hAnsi="宋体"/>
          <w:color w:val="auto"/>
          <w:sz w:val="24"/>
          <w:highlight w:val="none"/>
        </w:rPr>
      </w:pPr>
    </w:p>
    <w:p w14:paraId="7B383E6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4A0324FE">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3961FF60">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3D11ADB3">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3B25A2D4">
      <w:pPr>
        <w:spacing w:line="360" w:lineRule="auto"/>
        <w:jc w:val="left"/>
        <w:rPr>
          <w:rFonts w:hint="eastAsia" w:ascii="宋体" w:hAnsi="宋体"/>
          <w:color w:val="auto"/>
          <w:sz w:val="24"/>
          <w:highlight w:val="none"/>
        </w:rPr>
      </w:pPr>
    </w:p>
    <w:p w14:paraId="40991312">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545C9659">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248D6D70">
      <w:pPr>
        <w:spacing w:line="320" w:lineRule="exact"/>
        <w:jc w:val="left"/>
        <w:rPr>
          <w:rFonts w:hint="eastAsia" w:ascii="宋体" w:hAnsi="宋体"/>
          <w:color w:val="auto"/>
          <w:szCs w:val="21"/>
          <w:highlight w:val="none"/>
        </w:rPr>
      </w:pPr>
    </w:p>
    <w:p w14:paraId="319D74C9">
      <w:pPr>
        <w:spacing w:line="320" w:lineRule="exact"/>
        <w:jc w:val="left"/>
        <w:rPr>
          <w:rFonts w:hint="eastAsia" w:ascii="宋体" w:hAnsi="宋体"/>
          <w:color w:val="auto"/>
          <w:szCs w:val="21"/>
          <w:highlight w:val="none"/>
        </w:rPr>
      </w:pPr>
    </w:p>
    <w:p w14:paraId="3A0834A7">
      <w:pPr>
        <w:spacing w:line="320" w:lineRule="exact"/>
        <w:jc w:val="left"/>
        <w:rPr>
          <w:rFonts w:hint="eastAsia" w:ascii="宋体" w:hAnsi="宋体"/>
          <w:color w:val="auto"/>
          <w:szCs w:val="21"/>
          <w:highlight w:val="none"/>
        </w:rPr>
      </w:pPr>
    </w:p>
    <w:p w14:paraId="2486C30C">
      <w:pPr>
        <w:spacing w:line="320" w:lineRule="exact"/>
        <w:jc w:val="left"/>
        <w:rPr>
          <w:rFonts w:hint="eastAsia" w:ascii="宋体" w:hAnsi="宋体"/>
          <w:color w:val="auto"/>
          <w:szCs w:val="21"/>
          <w:highlight w:val="none"/>
        </w:rPr>
      </w:pPr>
    </w:p>
    <w:p w14:paraId="3E441771">
      <w:pPr>
        <w:pStyle w:val="43"/>
        <w:rPr>
          <w:rFonts w:hint="eastAsia"/>
          <w:color w:val="auto"/>
          <w:highlight w:val="none"/>
        </w:rPr>
      </w:pPr>
    </w:p>
    <w:p w14:paraId="629012E7">
      <w:pPr>
        <w:spacing w:line="320" w:lineRule="exact"/>
        <w:jc w:val="left"/>
        <w:rPr>
          <w:rFonts w:hint="eastAsia" w:ascii="宋体" w:hAnsi="宋体"/>
          <w:color w:val="auto"/>
          <w:szCs w:val="21"/>
          <w:highlight w:val="none"/>
        </w:rPr>
      </w:pPr>
    </w:p>
    <w:p w14:paraId="1D445C63">
      <w:pPr>
        <w:spacing w:line="320" w:lineRule="exact"/>
        <w:jc w:val="left"/>
        <w:rPr>
          <w:rFonts w:hint="eastAsia" w:ascii="宋体" w:hAnsi="宋体"/>
          <w:color w:val="auto"/>
          <w:szCs w:val="21"/>
          <w:highlight w:val="none"/>
        </w:rPr>
      </w:pPr>
    </w:p>
    <w:p w14:paraId="0946893F">
      <w:pPr>
        <w:spacing w:line="320" w:lineRule="exact"/>
        <w:jc w:val="left"/>
        <w:rPr>
          <w:rFonts w:hint="eastAsia" w:ascii="宋体" w:hAnsi="宋体"/>
          <w:color w:val="auto"/>
          <w:szCs w:val="21"/>
          <w:highlight w:val="none"/>
        </w:rPr>
      </w:pPr>
    </w:p>
    <w:p w14:paraId="5D65EAB8">
      <w:pPr>
        <w:spacing w:line="320" w:lineRule="exact"/>
        <w:jc w:val="left"/>
        <w:rPr>
          <w:rFonts w:hint="eastAsia" w:ascii="宋体" w:hAnsi="宋体"/>
          <w:color w:val="auto"/>
          <w:szCs w:val="21"/>
          <w:highlight w:val="none"/>
        </w:rPr>
      </w:pPr>
    </w:p>
    <w:p w14:paraId="04748A67">
      <w:pPr>
        <w:spacing w:line="320" w:lineRule="exact"/>
        <w:jc w:val="left"/>
        <w:rPr>
          <w:rFonts w:hint="eastAsia" w:ascii="宋体" w:hAnsi="宋体"/>
          <w:color w:val="auto"/>
          <w:szCs w:val="21"/>
          <w:highlight w:val="none"/>
        </w:rPr>
      </w:pPr>
    </w:p>
    <w:p w14:paraId="460FAF51">
      <w:pPr>
        <w:spacing w:line="320" w:lineRule="exact"/>
        <w:jc w:val="left"/>
        <w:rPr>
          <w:rFonts w:hint="eastAsia" w:ascii="宋体" w:hAnsi="宋体"/>
          <w:color w:val="auto"/>
          <w:szCs w:val="21"/>
          <w:highlight w:val="none"/>
        </w:rPr>
      </w:pPr>
    </w:p>
    <w:p w14:paraId="1F4C001D">
      <w:pPr>
        <w:spacing w:line="320" w:lineRule="exact"/>
        <w:jc w:val="left"/>
        <w:rPr>
          <w:rFonts w:hint="eastAsia" w:ascii="宋体" w:hAnsi="宋体"/>
          <w:color w:val="auto"/>
          <w:szCs w:val="21"/>
          <w:highlight w:val="none"/>
        </w:rPr>
      </w:pPr>
    </w:p>
    <w:p w14:paraId="26C117BB">
      <w:pPr>
        <w:spacing w:line="320" w:lineRule="exact"/>
        <w:jc w:val="left"/>
        <w:rPr>
          <w:rFonts w:hint="eastAsia" w:ascii="宋体" w:hAnsi="宋体"/>
          <w:color w:val="auto"/>
          <w:szCs w:val="21"/>
          <w:highlight w:val="none"/>
        </w:rPr>
      </w:pPr>
    </w:p>
    <w:p w14:paraId="74C4340F">
      <w:pPr>
        <w:spacing w:line="320" w:lineRule="exact"/>
        <w:jc w:val="left"/>
        <w:rPr>
          <w:rFonts w:hint="eastAsia" w:ascii="宋体" w:hAnsi="宋体"/>
          <w:color w:val="auto"/>
          <w:szCs w:val="21"/>
          <w:highlight w:val="none"/>
        </w:rPr>
      </w:pPr>
    </w:p>
    <w:p w14:paraId="443DCB43">
      <w:pPr>
        <w:spacing w:before="120" w:after="50" w:line="320" w:lineRule="exact"/>
        <w:ind w:right="482" w:firstLine="210"/>
        <w:contextualSpacing/>
        <w:jc w:val="center"/>
        <w:rPr>
          <w:rFonts w:hint="eastAsia" w:ascii="宋体" w:hAnsi="宋体"/>
          <w:color w:val="auto"/>
          <w:szCs w:val="21"/>
          <w:highlight w:val="none"/>
        </w:rPr>
      </w:pPr>
    </w:p>
    <w:p w14:paraId="2CD6024B">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4035CE9">
      <w:pPr>
        <w:spacing w:before="120" w:after="50" w:line="360" w:lineRule="auto"/>
        <w:jc w:val="center"/>
        <w:rPr>
          <w:rFonts w:hint="eastAsia" w:ascii="宋体" w:hAnsi="宋体"/>
          <w:b/>
          <w:color w:val="auto"/>
          <w:sz w:val="24"/>
          <w:highlight w:val="none"/>
        </w:rPr>
      </w:pPr>
    </w:p>
    <w:p w14:paraId="13FC6FD4">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2110F81">
      <w:pPr>
        <w:spacing w:line="360" w:lineRule="auto"/>
        <w:contextualSpacing/>
        <w:jc w:val="center"/>
        <w:rPr>
          <w:rFonts w:hint="eastAsia" w:ascii="宋体" w:hAnsi="宋体"/>
          <w:b/>
          <w:color w:val="auto"/>
          <w:sz w:val="24"/>
          <w:highlight w:val="none"/>
        </w:rPr>
      </w:pPr>
    </w:p>
    <w:tbl>
      <w:tblPr>
        <w:tblStyle w:val="34"/>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31A781CE">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C6BFE4">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2BA11D">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39ED02">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38F6FF">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277ED9D">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71CB6427">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F762EB">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0533D7">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5FC270">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86E3A0">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9BEB87">
            <w:pPr>
              <w:widowControl/>
              <w:spacing w:line="360" w:lineRule="auto"/>
              <w:contextualSpacing/>
              <w:jc w:val="center"/>
              <w:rPr>
                <w:rFonts w:hint="eastAsia" w:ascii="宋体" w:hAnsi="宋体" w:cs="宋体"/>
                <w:color w:val="auto"/>
                <w:sz w:val="24"/>
                <w:highlight w:val="none"/>
              </w:rPr>
            </w:pPr>
          </w:p>
        </w:tc>
      </w:tr>
      <w:tr w14:paraId="4DD02AC6">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8622ED">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CF5371">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AB9DFF">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192C16">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E2B55E">
            <w:pPr>
              <w:widowControl/>
              <w:spacing w:line="360" w:lineRule="auto"/>
              <w:contextualSpacing/>
              <w:jc w:val="center"/>
              <w:rPr>
                <w:rFonts w:hint="eastAsia" w:ascii="宋体" w:hAnsi="宋体" w:cs="宋体"/>
                <w:color w:val="auto"/>
                <w:sz w:val="24"/>
                <w:highlight w:val="none"/>
              </w:rPr>
            </w:pPr>
          </w:p>
        </w:tc>
      </w:tr>
      <w:tr w14:paraId="640CA0A3">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06452E">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6E9A12">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55630A">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D0606E">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239152">
            <w:pPr>
              <w:widowControl/>
              <w:spacing w:line="360" w:lineRule="auto"/>
              <w:contextualSpacing/>
              <w:jc w:val="center"/>
              <w:rPr>
                <w:rFonts w:hint="eastAsia" w:ascii="宋体" w:hAnsi="宋体" w:cs="宋体"/>
                <w:color w:val="auto"/>
                <w:sz w:val="24"/>
                <w:highlight w:val="none"/>
              </w:rPr>
            </w:pPr>
          </w:p>
        </w:tc>
      </w:tr>
      <w:tr w14:paraId="589B724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A5D845">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D9A94C">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2725A1">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33FDCAD">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858BA5">
            <w:pPr>
              <w:widowControl/>
              <w:spacing w:line="360" w:lineRule="auto"/>
              <w:contextualSpacing/>
              <w:jc w:val="center"/>
              <w:rPr>
                <w:rFonts w:hint="eastAsia" w:ascii="宋体" w:hAnsi="宋体" w:cs="宋体"/>
                <w:color w:val="auto"/>
                <w:sz w:val="24"/>
                <w:highlight w:val="none"/>
              </w:rPr>
            </w:pPr>
          </w:p>
        </w:tc>
      </w:tr>
    </w:tbl>
    <w:p w14:paraId="1806BC4C">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7A83C5B0">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A8836F4">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E8F8446">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4B9FD661">
      <w:pPr>
        <w:spacing w:line="360" w:lineRule="auto"/>
        <w:ind w:firstLine="420"/>
        <w:contextualSpacing/>
        <w:jc w:val="left"/>
        <w:rPr>
          <w:rFonts w:ascii="宋体" w:hAnsi="宋体" w:cs="宋体"/>
          <w:color w:val="auto"/>
          <w:szCs w:val="21"/>
          <w:highlight w:val="none"/>
        </w:rPr>
      </w:pPr>
    </w:p>
    <w:p w14:paraId="0E4D2B85">
      <w:pPr>
        <w:spacing w:line="360" w:lineRule="auto"/>
        <w:ind w:firstLine="560"/>
        <w:contextualSpacing/>
        <w:jc w:val="left"/>
        <w:rPr>
          <w:rFonts w:hint="eastAsia" w:ascii="宋体" w:hAnsi="宋体" w:cs="宋体"/>
          <w:color w:val="auto"/>
          <w:sz w:val="28"/>
          <w:szCs w:val="28"/>
          <w:highlight w:val="none"/>
        </w:rPr>
      </w:pPr>
    </w:p>
    <w:p w14:paraId="1B9FA9E7">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6A4F20E">
      <w:pPr>
        <w:spacing w:line="360" w:lineRule="auto"/>
        <w:ind w:right="480" w:firstLine="30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D995271">
      <w:pPr>
        <w:spacing w:line="360" w:lineRule="auto"/>
        <w:ind w:firstLine="48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D4A1812">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149D5DC5">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90268CF">
      <w:pPr>
        <w:spacing w:line="360" w:lineRule="auto"/>
        <w:jc w:val="center"/>
        <w:rPr>
          <w:rFonts w:hint="eastAsia" w:ascii="宋体" w:hAnsi="宋体"/>
          <w:b/>
          <w:color w:val="auto"/>
          <w:sz w:val="24"/>
          <w:highlight w:val="none"/>
        </w:rPr>
      </w:pPr>
    </w:p>
    <w:tbl>
      <w:tblPr>
        <w:tblStyle w:val="34"/>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15E11247">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C2E372">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D2C8FF">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BB3F5D">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12FE15">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相互关系</w:t>
            </w:r>
          </w:p>
        </w:tc>
      </w:tr>
      <w:tr w14:paraId="7F9EEE4C">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22A34B">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8CDB3C">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A5EEA8">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F8A738">
            <w:pPr>
              <w:widowControl/>
              <w:spacing w:line="360" w:lineRule="auto"/>
              <w:contextualSpacing/>
              <w:jc w:val="center"/>
              <w:rPr>
                <w:rFonts w:ascii="宋体" w:hAnsi="宋体" w:cs="宋体"/>
                <w:color w:val="auto"/>
                <w:sz w:val="24"/>
                <w:highlight w:val="none"/>
              </w:rPr>
            </w:pPr>
          </w:p>
        </w:tc>
      </w:tr>
      <w:tr w14:paraId="673309B3">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A54D35">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9F207D">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307CD1">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B699D9">
            <w:pPr>
              <w:widowControl/>
              <w:spacing w:line="360" w:lineRule="auto"/>
              <w:contextualSpacing/>
              <w:jc w:val="center"/>
              <w:rPr>
                <w:rFonts w:ascii="宋体" w:hAnsi="宋体" w:cs="宋体"/>
                <w:color w:val="auto"/>
                <w:sz w:val="24"/>
                <w:highlight w:val="none"/>
              </w:rPr>
            </w:pPr>
          </w:p>
        </w:tc>
      </w:tr>
      <w:tr w14:paraId="0BB94F6B">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278BA0">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3A4B13">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0BE462">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AF0090">
            <w:pPr>
              <w:widowControl/>
              <w:spacing w:line="360" w:lineRule="auto"/>
              <w:contextualSpacing/>
              <w:jc w:val="center"/>
              <w:rPr>
                <w:rFonts w:ascii="宋体" w:hAnsi="宋体" w:cs="宋体"/>
                <w:color w:val="auto"/>
                <w:sz w:val="24"/>
                <w:highlight w:val="none"/>
              </w:rPr>
            </w:pPr>
          </w:p>
        </w:tc>
      </w:tr>
      <w:tr w14:paraId="1C07DDF8">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6E385D">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BED79D">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425A47">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AC2BD8">
            <w:pPr>
              <w:widowControl/>
              <w:spacing w:line="360" w:lineRule="auto"/>
              <w:contextualSpacing/>
              <w:jc w:val="center"/>
              <w:rPr>
                <w:rFonts w:ascii="宋体" w:hAnsi="宋体" w:cs="宋体"/>
                <w:color w:val="auto"/>
                <w:sz w:val="24"/>
                <w:highlight w:val="none"/>
              </w:rPr>
            </w:pPr>
          </w:p>
        </w:tc>
      </w:tr>
    </w:tbl>
    <w:p w14:paraId="47D90DB4">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2C6A7F0">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FAB414B">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6311491">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1905E3E6">
      <w:pPr>
        <w:spacing w:line="360" w:lineRule="auto"/>
        <w:contextualSpacing/>
        <w:jc w:val="left"/>
        <w:rPr>
          <w:rFonts w:hint="eastAsia" w:ascii="宋体" w:hAnsi="宋体"/>
          <w:color w:val="auto"/>
          <w:sz w:val="28"/>
          <w:szCs w:val="28"/>
          <w:highlight w:val="none"/>
        </w:rPr>
      </w:pPr>
    </w:p>
    <w:p w14:paraId="2627B033">
      <w:pPr>
        <w:spacing w:line="360" w:lineRule="auto"/>
        <w:contextualSpacing/>
        <w:jc w:val="left"/>
        <w:rPr>
          <w:rFonts w:hint="eastAsia" w:ascii="宋体" w:hAnsi="宋体"/>
          <w:color w:val="auto"/>
          <w:sz w:val="28"/>
          <w:szCs w:val="28"/>
          <w:highlight w:val="none"/>
        </w:rPr>
      </w:pPr>
    </w:p>
    <w:p w14:paraId="53591AB2">
      <w:pPr>
        <w:spacing w:line="360" w:lineRule="auto"/>
        <w:contextualSpacing/>
        <w:jc w:val="left"/>
        <w:rPr>
          <w:rFonts w:hint="eastAsia"/>
          <w:color w:val="auto"/>
          <w:sz w:val="28"/>
          <w:szCs w:val="28"/>
          <w:highlight w:val="none"/>
        </w:rPr>
      </w:pPr>
    </w:p>
    <w:p w14:paraId="568AA427">
      <w:pPr>
        <w:spacing w:line="360" w:lineRule="auto"/>
        <w:contextualSpacing/>
        <w:jc w:val="left"/>
        <w:rPr>
          <w:rFonts w:hint="eastAsia"/>
          <w:color w:val="auto"/>
          <w:sz w:val="28"/>
          <w:szCs w:val="28"/>
          <w:highlight w:val="none"/>
        </w:rPr>
      </w:pPr>
    </w:p>
    <w:p w14:paraId="2CEE9C0E">
      <w:pPr>
        <w:spacing w:line="360" w:lineRule="auto"/>
        <w:contextualSpacing/>
        <w:jc w:val="left"/>
        <w:rPr>
          <w:rFonts w:hint="eastAsia"/>
          <w:color w:val="auto"/>
          <w:sz w:val="28"/>
          <w:szCs w:val="28"/>
          <w:highlight w:val="none"/>
        </w:rPr>
      </w:pPr>
    </w:p>
    <w:p w14:paraId="08518375">
      <w:pPr>
        <w:spacing w:line="360" w:lineRule="auto"/>
        <w:contextualSpacing/>
        <w:jc w:val="left"/>
        <w:rPr>
          <w:rFonts w:hint="eastAsia" w:ascii="宋体" w:hAnsi="宋体"/>
          <w:color w:val="auto"/>
          <w:sz w:val="28"/>
          <w:szCs w:val="28"/>
          <w:highlight w:val="none"/>
        </w:rPr>
      </w:pPr>
    </w:p>
    <w:p w14:paraId="7B1703C6">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BBCAC2E">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7C76A43">
      <w:pPr>
        <w:spacing w:line="360" w:lineRule="auto"/>
        <w:ind w:firstLine="48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296ECA6F">
      <w:pPr>
        <w:spacing w:line="320" w:lineRule="exact"/>
        <w:jc w:val="center"/>
        <w:rPr>
          <w:rFonts w:hint="eastAsia" w:ascii="宋体" w:hAnsi="宋体"/>
          <w:color w:val="auto"/>
          <w:sz w:val="28"/>
          <w:szCs w:val="28"/>
          <w:highlight w:val="none"/>
        </w:rPr>
      </w:pPr>
    </w:p>
    <w:p w14:paraId="16490810">
      <w:pPr>
        <w:spacing w:line="320" w:lineRule="exact"/>
        <w:jc w:val="center"/>
        <w:rPr>
          <w:rFonts w:hint="eastAsia" w:ascii="宋体" w:hAnsi="宋体"/>
          <w:color w:val="auto"/>
          <w:sz w:val="28"/>
          <w:szCs w:val="28"/>
          <w:highlight w:val="none"/>
        </w:rPr>
      </w:pPr>
    </w:p>
    <w:p w14:paraId="3314AB70">
      <w:pPr>
        <w:spacing w:line="320" w:lineRule="exact"/>
        <w:jc w:val="center"/>
        <w:rPr>
          <w:rFonts w:hint="eastAsia" w:ascii="宋体" w:hAnsi="宋体"/>
          <w:color w:val="auto"/>
          <w:sz w:val="28"/>
          <w:szCs w:val="28"/>
          <w:highlight w:val="none"/>
        </w:rPr>
      </w:pPr>
    </w:p>
    <w:p w14:paraId="0D971CE3">
      <w:pPr>
        <w:pStyle w:val="44"/>
        <w:rPr>
          <w:rFonts w:hint="eastAsia"/>
          <w:color w:val="auto"/>
          <w:highlight w:val="none"/>
        </w:rPr>
      </w:pPr>
    </w:p>
    <w:p w14:paraId="4B3C6401">
      <w:pPr>
        <w:pStyle w:val="45"/>
        <w:rPr>
          <w:rFonts w:hint="eastAsia"/>
          <w:color w:val="auto"/>
          <w:highlight w:val="none"/>
        </w:rPr>
      </w:pPr>
    </w:p>
    <w:p w14:paraId="5429D6D4">
      <w:pPr>
        <w:rPr>
          <w:rFonts w:hint="eastAsia"/>
          <w:color w:val="auto"/>
          <w:highlight w:val="none"/>
        </w:rPr>
      </w:pPr>
    </w:p>
    <w:p w14:paraId="62C31324">
      <w:pPr>
        <w:pStyle w:val="43"/>
        <w:rPr>
          <w:rFonts w:hint="eastAsia"/>
          <w:color w:val="auto"/>
          <w:highlight w:val="none"/>
        </w:rPr>
      </w:pPr>
    </w:p>
    <w:p w14:paraId="769AF3E8">
      <w:pPr>
        <w:rPr>
          <w:rFonts w:hint="eastAsia"/>
          <w:color w:val="auto"/>
          <w:highlight w:val="none"/>
        </w:rPr>
      </w:pPr>
    </w:p>
    <w:p w14:paraId="063D96D1">
      <w:pPr>
        <w:spacing w:line="320" w:lineRule="exact"/>
        <w:jc w:val="both"/>
        <w:rPr>
          <w:rFonts w:hint="eastAsia" w:ascii="宋体" w:hAnsi="宋体"/>
          <w:color w:val="auto"/>
          <w:sz w:val="28"/>
          <w:szCs w:val="28"/>
          <w:highlight w:val="none"/>
        </w:rPr>
      </w:pPr>
    </w:p>
    <w:p w14:paraId="68514A64">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竞标声明</w:t>
      </w:r>
    </w:p>
    <w:p w14:paraId="10317F4E">
      <w:pPr>
        <w:spacing w:line="320" w:lineRule="exact"/>
        <w:jc w:val="center"/>
        <w:rPr>
          <w:rFonts w:hint="eastAsia" w:ascii="宋体" w:hAnsi="宋体"/>
          <w:color w:val="auto"/>
          <w:sz w:val="24"/>
          <w:szCs w:val="20"/>
          <w:highlight w:val="none"/>
        </w:rPr>
      </w:pPr>
    </w:p>
    <w:p w14:paraId="112AD04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7FFC8D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2DB3F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6BAA18F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526380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52C2C9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14F8DC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230136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3FF57C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57586F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E6CA84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273242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E9812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182B7B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54512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2ACD80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417071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D6BE87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9DC43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1147D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29F4C0D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14053E">
      <w:pPr>
        <w:pStyle w:val="230"/>
        <w:numPr>
          <w:ilvl w:val="0"/>
          <w:numId w:val="2"/>
        </w:numPr>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p>
    <w:p w14:paraId="572ED261">
      <w:pPr>
        <w:pStyle w:val="230"/>
        <w:numPr>
          <w:ilvl w:val="0"/>
          <w:numId w:val="0"/>
        </w:numPr>
        <w:spacing w:line="360" w:lineRule="auto"/>
        <w:ind w:firstLine="480"/>
        <w:contextualSpacing/>
        <w:rPr>
          <w:rFonts w:hint="default" w:hAnsi="宋体" w:eastAsia="宋体" w:cs="宋体"/>
          <w:color w:val="auto"/>
          <w:sz w:val="24"/>
          <w:szCs w:val="24"/>
          <w:highlight w:val="none"/>
          <w:u w:val="single"/>
          <w:lang w:val="en-US" w:eastAsia="zh-CN"/>
        </w:rPr>
      </w:pPr>
      <w:r>
        <w:rPr>
          <w:rFonts w:hint="eastAsia" w:hAnsi="宋体" w:cs="宋体"/>
          <w:color w:val="auto"/>
          <w:sz w:val="24"/>
          <w:szCs w:val="24"/>
          <w:highlight w:val="none"/>
          <w:u w:val="none"/>
        </w:rPr>
        <w:t>邮政编码</w:t>
      </w:r>
      <w:r>
        <w:rPr>
          <w:rFonts w:hint="eastAsia" w:hAnsi="宋体" w:cs="宋体"/>
          <w:color w:val="auto"/>
          <w:sz w:val="24"/>
          <w:szCs w:val="24"/>
          <w:highlight w:val="none"/>
        </w:rPr>
        <w:t>：</w:t>
      </w:r>
      <w:r>
        <w:rPr>
          <w:rFonts w:hint="eastAsia" w:hAnsi="宋体" w:cs="宋体"/>
          <w:color w:val="auto"/>
          <w:sz w:val="24"/>
          <w:szCs w:val="24"/>
          <w:highlight w:val="none"/>
          <w:u w:val="single"/>
          <w:lang w:val="en-US" w:eastAsia="zh-CN"/>
        </w:rPr>
        <w:t xml:space="preserve">         </w:t>
      </w:r>
    </w:p>
    <w:p w14:paraId="6203281A">
      <w:pPr>
        <w:pStyle w:val="230"/>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F7FD38D">
      <w:pPr>
        <w:pStyle w:val="226"/>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570BD960">
      <w:pPr>
        <w:pStyle w:val="226"/>
        <w:tabs>
          <w:tab w:val="left" w:pos="939"/>
        </w:tabs>
        <w:spacing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11CE31D">
      <w:pPr>
        <w:pStyle w:val="226"/>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0B25331D">
      <w:pPr>
        <w:spacing w:line="360" w:lineRule="auto"/>
        <w:contextualSpacing/>
        <w:jc w:val="left"/>
        <w:rPr>
          <w:rFonts w:hint="eastAsia" w:ascii="宋体" w:hAnsi="宋体" w:cs="宋体"/>
          <w:color w:val="auto"/>
          <w:szCs w:val="21"/>
          <w:highlight w:val="none"/>
        </w:rPr>
      </w:pPr>
    </w:p>
    <w:p w14:paraId="7A43FBA6">
      <w:pPr>
        <w:spacing w:line="360" w:lineRule="auto"/>
        <w:ind w:firstLine="1575"/>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05D3355F">
      <w:pPr>
        <w:spacing w:line="360" w:lineRule="auto"/>
        <w:ind w:firstLine="378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654907CE">
      <w:pPr>
        <w:pStyle w:val="226"/>
        <w:tabs>
          <w:tab w:val="left" w:pos="939"/>
        </w:tabs>
        <w:spacing w:line="360" w:lineRule="auto"/>
        <w:ind w:left="0" w:firstLine="42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50CB3642">
      <w:pPr>
        <w:pStyle w:val="195"/>
        <w:spacing w:line="520" w:lineRule="exact"/>
        <w:ind w:firstLine="0"/>
        <w:jc w:val="center"/>
        <w:rPr>
          <w:rFonts w:hint="eastAsia"/>
          <w:color w:val="auto"/>
          <w:sz w:val="24"/>
          <w:highlight w:val="none"/>
        </w:rPr>
      </w:pPr>
    </w:p>
    <w:p w14:paraId="3F2DB142">
      <w:pPr>
        <w:pStyle w:val="195"/>
        <w:spacing w:line="520" w:lineRule="exact"/>
        <w:ind w:firstLine="0"/>
        <w:jc w:val="center"/>
        <w:rPr>
          <w:rFonts w:hint="eastAsia"/>
          <w:color w:val="auto"/>
          <w:sz w:val="24"/>
          <w:highlight w:val="none"/>
        </w:rPr>
      </w:pPr>
    </w:p>
    <w:p w14:paraId="7FF10513">
      <w:pPr>
        <w:pStyle w:val="195"/>
        <w:spacing w:line="520" w:lineRule="exact"/>
        <w:ind w:firstLine="0"/>
        <w:jc w:val="center"/>
        <w:rPr>
          <w:rFonts w:hint="eastAsia"/>
          <w:color w:val="auto"/>
          <w:sz w:val="24"/>
          <w:highlight w:val="none"/>
        </w:rPr>
      </w:pPr>
    </w:p>
    <w:p w14:paraId="6F2D0DB8">
      <w:pPr>
        <w:pStyle w:val="195"/>
        <w:spacing w:line="520" w:lineRule="exact"/>
        <w:ind w:firstLine="0"/>
        <w:jc w:val="center"/>
        <w:rPr>
          <w:rFonts w:hint="eastAsia"/>
          <w:color w:val="auto"/>
          <w:sz w:val="24"/>
          <w:highlight w:val="none"/>
        </w:rPr>
      </w:pPr>
    </w:p>
    <w:p w14:paraId="508509BE">
      <w:pPr>
        <w:pStyle w:val="195"/>
        <w:spacing w:line="520" w:lineRule="exact"/>
        <w:ind w:firstLine="0"/>
        <w:jc w:val="center"/>
        <w:rPr>
          <w:rFonts w:hint="eastAsia"/>
          <w:color w:val="auto"/>
          <w:sz w:val="24"/>
          <w:highlight w:val="none"/>
        </w:rPr>
      </w:pPr>
    </w:p>
    <w:p w14:paraId="12E1C404">
      <w:pPr>
        <w:pStyle w:val="195"/>
        <w:spacing w:line="520" w:lineRule="exact"/>
        <w:ind w:firstLine="0"/>
        <w:jc w:val="center"/>
        <w:rPr>
          <w:rFonts w:hint="eastAsia"/>
          <w:color w:val="auto"/>
          <w:sz w:val="24"/>
          <w:highlight w:val="none"/>
        </w:rPr>
      </w:pPr>
    </w:p>
    <w:p w14:paraId="3B3B3304">
      <w:pPr>
        <w:pStyle w:val="195"/>
        <w:spacing w:line="520" w:lineRule="exact"/>
        <w:ind w:firstLine="0"/>
        <w:jc w:val="center"/>
        <w:rPr>
          <w:rFonts w:hint="eastAsia"/>
          <w:color w:val="auto"/>
          <w:sz w:val="24"/>
          <w:highlight w:val="none"/>
        </w:rPr>
      </w:pPr>
    </w:p>
    <w:p w14:paraId="44F4BA9D">
      <w:pPr>
        <w:pStyle w:val="195"/>
        <w:spacing w:line="520" w:lineRule="exact"/>
        <w:ind w:firstLine="0"/>
        <w:jc w:val="center"/>
        <w:rPr>
          <w:rFonts w:hint="eastAsia"/>
          <w:color w:val="auto"/>
          <w:sz w:val="24"/>
          <w:highlight w:val="none"/>
        </w:rPr>
      </w:pPr>
    </w:p>
    <w:p w14:paraId="28A18AAE">
      <w:pPr>
        <w:pStyle w:val="195"/>
        <w:spacing w:line="520" w:lineRule="exact"/>
        <w:ind w:firstLine="0"/>
        <w:jc w:val="center"/>
        <w:rPr>
          <w:rFonts w:hint="eastAsia"/>
          <w:color w:val="auto"/>
          <w:sz w:val="24"/>
          <w:highlight w:val="none"/>
        </w:rPr>
      </w:pPr>
    </w:p>
    <w:p w14:paraId="57A648F2">
      <w:pPr>
        <w:pStyle w:val="195"/>
        <w:spacing w:line="520" w:lineRule="exact"/>
        <w:ind w:firstLine="0"/>
        <w:jc w:val="both"/>
        <w:rPr>
          <w:rFonts w:hint="eastAsia"/>
          <w:color w:val="auto"/>
          <w:sz w:val="24"/>
          <w:highlight w:val="none"/>
        </w:rPr>
      </w:pPr>
    </w:p>
    <w:p w14:paraId="0C960BEB">
      <w:pPr>
        <w:pStyle w:val="195"/>
        <w:spacing w:line="520" w:lineRule="exact"/>
        <w:ind w:firstLine="0"/>
        <w:jc w:val="both"/>
        <w:rPr>
          <w:rFonts w:hint="eastAsia"/>
          <w:color w:val="auto"/>
          <w:sz w:val="24"/>
          <w:highlight w:val="none"/>
        </w:rPr>
      </w:pPr>
    </w:p>
    <w:p w14:paraId="6E93DB80">
      <w:pPr>
        <w:pStyle w:val="195"/>
        <w:spacing w:line="520" w:lineRule="exact"/>
        <w:ind w:firstLine="0"/>
        <w:jc w:val="both"/>
        <w:rPr>
          <w:rFonts w:hint="eastAsia"/>
          <w:color w:val="auto"/>
          <w:sz w:val="24"/>
          <w:highlight w:val="none"/>
        </w:rPr>
      </w:pPr>
    </w:p>
    <w:p w14:paraId="3A40DE27">
      <w:pPr>
        <w:pStyle w:val="195"/>
        <w:spacing w:line="520" w:lineRule="exact"/>
        <w:ind w:firstLine="0"/>
        <w:jc w:val="both"/>
        <w:rPr>
          <w:rFonts w:hint="eastAsia"/>
          <w:color w:val="auto"/>
          <w:sz w:val="24"/>
          <w:highlight w:val="none"/>
        </w:rPr>
      </w:pPr>
    </w:p>
    <w:p w14:paraId="2236F05A">
      <w:pPr>
        <w:pStyle w:val="195"/>
        <w:spacing w:line="520" w:lineRule="exact"/>
        <w:ind w:firstLine="0"/>
        <w:jc w:val="both"/>
        <w:rPr>
          <w:rFonts w:hint="eastAsia"/>
          <w:color w:val="auto"/>
          <w:sz w:val="24"/>
          <w:highlight w:val="none"/>
        </w:rPr>
      </w:pPr>
    </w:p>
    <w:p w14:paraId="5E33D94E">
      <w:pPr>
        <w:jc w:val="center"/>
        <w:rPr>
          <w:rFonts w:hint="eastAsia" w:ascii="宋体" w:hAnsi="宋体" w:cs="方正小标宋简体"/>
          <w:b/>
          <w:color w:val="auto"/>
          <w:sz w:val="32"/>
          <w:szCs w:val="32"/>
          <w:highlight w:val="none"/>
        </w:rPr>
      </w:pPr>
      <w:bookmarkStart w:id="104" w:name="_Toc71365926"/>
    </w:p>
    <w:p w14:paraId="79359761">
      <w:pPr>
        <w:spacing w:line="500" w:lineRule="exact"/>
        <w:jc w:val="center"/>
        <w:rPr>
          <w:rFonts w:cs="宋体"/>
          <w:b/>
          <w:bCs/>
          <w:color w:val="auto"/>
          <w:sz w:val="28"/>
          <w:szCs w:val="28"/>
          <w:highlight w:val="none"/>
        </w:rPr>
      </w:pPr>
      <w:r>
        <w:rPr>
          <w:rFonts w:hint="eastAsia" w:cs="宋体"/>
          <w:b/>
          <w:bCs/>
          <w:color w:val="auto"/>
          <w:sz w:val="28"/>
          <w:szCs w:val="28"/>
          <w:highlight w:val="none"/>
        </w:rPr>
        <w:t>供应商关于拟派项目经理的承诺书</w:t>
      </w:r>
    </w:p>
    <w:p w14:paraId="7532C802">
      <w:pPr>
        <w:spacing w:line="520" w:lineRule="exact"/>
        <w:ind w:left="-10" w:firstLine="520"/>
        <w:jc w:val="left"/>
        <w:rPr>
          <w:rFonts w:cs="宋体"/>
          <w:bCs/>
          <w:color w:val="auto"/>
          <w:sz w:val="24"/>
          <w:highlight w:val="none"/>
        </w:rPr>
      </w:pPr>
    </w:p>
    <w:p w14:paraId="27117FCF">
      <w:pPr>
        <w:spacing w:line="520" w:lineRule="exact"/>
        <w:ind w:left="-10" w:firstLine="520"/>
        <w:jc w:val="left"/>
        <w:rPr>
          <w:rFonts w:ascii="宋体" w:hAnsi="宋体" w:eastAsia="宋体" w:cs="宋体"/>
          <w:bCs/>
          <w:color w:val="auto"/>
          <w:sz w:val="24"/>
          <w:highlight w:val="none"/>
        </w:rPr>
      </w:pPr>
      <w:r>
        <w:rPr>
          <w:rFonts w:hint="eastAsia" w:cs="宋体"/>
          <w:bCs/>
          <w:color w:val="auto"/>
          <w:sz w:val="24"/>
          <w:highlight w:val="none"/>
        </w:rPr>
        <w:t>我公司郑重承诺：在参加本次</w:t>
      </w:r>
      <w:r>
        <w:rPr>
          <w:rFonts w:cs="宋体"/>
          <w:bCs/>
          <w:color w:val="auto"/>
          <w:sz w:val="24"/>
          <w:highlight w:val="none"/>
          <w:u w:val="single"/>
        </w:rPr>
        <w:t xml:space="preserve">                   </w:t>
      </w:r>
      <w:r>
        <w:rPr>
          <w:rFonts w:hint="eastAsia" w:cs="宋体"/>
          <w:bCs/>
          <w:color w:val="auto"/>
          <w:sz w:val="24"/>
          <w:highlight w:val="none"/>
        </w:rPr>
        <w:t>工程（项目编号：</w:t>
      </w:r>
      <w:r>
        <w:rPr>
          <w:rFonts w:cs="宋体"/>
          <w:bCs/>
          <w:color w:val="auto"/>
          <w:sz w:val="24"/>
          <w:highlight w:val="none"/>
          <w:u w:val="single"/>
        </w:rPr>
        <w:t xml:space="preserve">           </w:t>
      </w:r>
      <w:r>
        <w:rPr>
          <w:rFonts w:hint="eastAsia" w:cs="宋体"/>
          <w:bCs/>
          <w:color w:val="auto"/>
          <w:sz w:val="24"/>
          <w:highlight w:val="none"/>
        </w:rPr>
        <w:t>）竞争性磋商项目中，拟投入本项目项目经理</w:t>
      </w:r>
      <w:r>
        <w:rPr>
          <w:rFonts w:hint="eastAsia" w:cs="宋体"/>
          <w:bCs/>
          <w:color w:val="auto"/>
          <w:sz w:val="24"/>
          <w:highlight w:val="none"/>
          <w:u w:val="single"/>
        </w:rPr>
        <w:t xml:space="preserve">      （姓名），（身份证号码：           ）</w:t>
      </w:r>
      <w:r>
        <w:rPr>
          <w:rFonts w:hint="eastAsia" w:cs="宋体"/>
          <w:bCs/>
          <w:color w:val="auto"/>
          <w:sz w:val="24"/>
          <w:highlight w:val="none"/>
        </w:rPr>
        <w:t>不存在其他在建、已中标（或成交）未开工或已列为其他项目中标（或成交）候选人第一名的建造师（</w:t>
      </w:r>
      <w:r>
        <w:rPr>
          <w:rFonts w:hint="eastAsia" w:ascii="宋体" w:hAnsi="宋体" w:eastAsia="宋体" w:cs="宋体"/>
          <w:bCs/>
          <w:color w:val="auto"/>
          <w:sz w:val="24"/>
          <w:highlight w:val="none"/>
        </w:rPr>
        <w:t>符合《广西壮族自治区建筑市场诚信卡管理暂行办法》第十六条第一款及桂建管﹝2016﹞70号、桂建管〔2020〕11号文除外）。</w:t>
      </w:r>
    </w:p>
    <w:p w14:paraId="69187113">
      <w:pPr>
        <w:spacing w:line="520" w:lineRule="exact"/>
        <w:ind w:left="-10" w:firstLine="52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本单位对上述承诺的真实性负责。如有虚假，将依法承担相应责任。</w:t>
      </w:r>
    </w:p>
    <w:p w14:paraId="49BA5E42">
      <w:pPr>
        <w:spacing w:line="520" w:lineRule="exact"/>
        <w:ind w:left="-10" w:firstLine="455"/>
        <w:jc w:val="left"/>
        <w:rPr>
          <w:color w:val="auto"/>
          <w:szCs w:val="21"/>
          <w:highlight w:val="none"/>
        </w:rPr>
      </w:pPr>
    </w:p>
    <w:p w14:paraId="066B5AEF">
      <w:pPr>
        <w:spacing w:line="520" w:lineRule="exact"/>
        <w:jc w:val="left"/>
        <w:rPr>
          <w:color w:val="auto"/>
          <w:highlight w:val="none"/>
        </w:rPr>
      </w:pPr>
    </w:p>
    <w:p w14:paraId="7E29D4EE">
      <w:pPr>
        <w:spacing w:line="480" w:lineRule="auto"/>
        <w:ind w:firstLine="2520"/>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1ED3ED77">
      <w:pPr>
        <w:spacing w:line="480" w:lineRule="auto"/>
        <w:ind w:firstLine="2520"/>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4DF1E561">
      <w:pPr>
        <w:spacing w:line="360" w:lineRule="auto"/>
        <w:ind w:firstLine="2730"/>
        <w:rPr>
          <w:color w:val="auto"/>
          <w:sz w:val="24"/>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480187F5">
      <w:pPr>
        <w:jc w:val="center"/>
        <w:rPr>
          <w:rFonts w:hint="eastAsia" w:ascii="宋体" w:hAnsi="宋体" w:cs="方正小标宋简体"/>
          <w:b/>
          <w:color w:val="auto"/>
          <w:sz w:val="32"/>
          <w:szCs w:val="32"/>
          <w:highlight w:val="none"/>
        </w:rPr>
      </w:pPr>
    </w:p>
    <w:p w14:paraId="24A4383B">
      <w:pPr>
        <w:jc w:val="center"/>
        <w:rPr>
          <w:rFonts w:hint="eastAsia" w:ascii="宋体" w:hAnsi="宋体" w:cs="方正小标宋简体"/>
          <w:b/>
          <w:color w:val="auto"/>
          <w:sz w:val="32"/>
          <w:szCs w:val="32"/>
          <w:highlight w:val="none"/>
        </w:rPr>
      </w:pPr>
    </w:p>
    <w:p w14:paraId="5266F8B5">
      <w:pPr>
        <w:jc w:val="center"/>
        <w:rPr>
          <w:rFonts w:hint="eastAsia" w:ascii="宋体" w:hAnsi="宋体" w:cs="方正小标宋简体"/>
          <w:b/>
          <w:color w:val="auto"/>
          <w:sz w:val="32"/>
          <w:szCs w:val="32"/>
          <w:highlight w:val="none"/>
        </w:rPr>
      </w:pPr>
    </w:p>
    <w:p w14:paraId="42FD5421">
      <w:pPr>
        <w:jc w:val="center"/>
        <w:rPr>
          <w:rFonts w:hint="eastAsia" w:ascii="宋体" w:hAnsi="宋体" w:cs="方正小标宋简体"/>
          <w:b/>
          <w:color w:val="auto"/>
          <w:sz w:val="32"/>
          <w:szCs w:val="32"/>
          <w:highlight w:val="none"/>
        </w:rPr>
      </w:pPr>
    </w:p>
    <w:p w14:paraId="3FBC3829">
      <w:pPr>
        <w:jc w:val="center"/>
        <w:rPr>
          <w:rFonts w:hint="eastAsia" w:ascii="宋体" w:hAnsi="宋体" w:cs="方正小标宋简体"/>
          <w:b/>
          <w:color w:val="auto"/>
          <w:sz w:val="32"/>
          <w:szCs w:val="32"/>
          <w:highlight w:val="none"/>
        </w:rPr>
      </w:pPr>
    </w:p>
    <w:p w14:paraId="0810FE50">
      <w:pPr>
        <w:jc w:val="center"/>
        <w:rPr>
          <w:rFonts w:hint="eastAsia" w:ascii="宋体" w:hAnsi="宋体" w:cs="方正小标宋简体"/>
          <w:b/>
          <w:color w:val="auto"/>
          <w:sz w:val="32"/>
          <w:szCs w:val="32"/>
          <w:highlight w:val="none"/>
        </w:rPr>
      </w:pPr>
    </w:p>
    <w:p w14:paraId="03BBBBC8">
      <w:pPr>
        <w:jc w:val="center"/>
        <w:rPr>
          <w:rFonts w:hint="eastAsia" w:ascii="宋体" w:hAnsi="宋体" w:cs="方正小标宋简体"/>
          <w:b/>
          <w:color w:val="auto"/>
          <w:sz w:val="32"/>
          <w:szCs w:val="32"/>
          <w:highlight w:val="none"/>
        </w:rPr>
      </w:pPr>
    </w:p>
    <w:p w14:paraId="0391E847">
      <w:pPr>
        <w:jc w:val="center"/>
        <w:rPr>
          <w:rFonts w:hint="eastAsia" w:ascii="宋体" w:hAnsi="宋体" w:cs="方正小标宋简体"/>
          <w:b/>
          <w:color w:val="auto"/>
          <w:sz w:val="32"/>
          <w:szCs w:val="32"/>
          <w:highlight w:val="none"/>
        </w:rPr>
      </w:pPr>
    </w:p>
    <w:p w14:paraId="46D88E04">
      <w:pPr>
        <w:jc w:val="center"/>
        <w:rPr>
          <w:rFonts w:hint="eastAsia" w:ascii="宋体" w:hAnsi="宋体" w:cs="方正小标宋简体"/>
          <w:b/>
          <w:color w:val="auto"/>
          <w:sz w:val="32"/>
          <w:szCs w:val="32"/>
          <w:highlight w:val="none"/>
        </w:rPr>
      </w:pPr>
    </w:p>
    <w:p w14:paraId="61721915">
      <w:pPr>
        <w:jc w:val="center"/>
        <w:rPr>
          <w:rFonts w:hint="eastAsia" w:ascii="宋体" w:hAnsi="宋体" w:cs="方正小标宋简体"/>
          <w:b/>
          <w:color w:val="auto"/>
          <w:sz w:val="32"/>
          <w:szCs w:val="32"/>
          <w:highlight w:val="none"/>
        </w:rPr>
      </w:pPr>
    </w:p>
    <w:p w14:paraId="56F7A2EC">
      <w:pPr>
        <w:jc w:val="center"/>
        <w:rPr>
          <w:rFonts w:hint="eastAsia" w:ascii="宋体" w:hAnsi="宋体" w:cs="方正小标宋简体"/>
          <w:b/>
          <w:color w:val="auto"/>
          <w:sz w:val="32"/>
          <w:szCs w:val="32"/>
          <w:highlight w:val="none"/>
        </w:rPr>
      </w:pPr>
    </w:p>
    <w:p w14:paraId="5FD0C7CD">
      <w:pPr>
        <w:jc w:val="both"/>
        <w:rPr>
          <w:rFonts w:hint="eastAsia" w:ascii="宋体" w:hAnsi="宋体" w:cs="方正小标宋简体"/>
          <w:b/>
          <w:color w:val="auto"/>
          <w:sz w:val="32"/>
          <w:szCs w:val="32"/>
          <w:highlight w:val="none"/>
        </w:rPr>
      </w:pPr>
    </w:p>
    <w:p w14:paraId="7613FDB6">
      <w:pPr>
        <w:jc w:val="cente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中小企业声明函（工程）</w:t>
      </w:r>
      <w:bookmarkEnd w:id="104"/>
    </w:p>
    <w:p w14:paraId="75BBF48B">
      <w:pPr>
        <w:pStyle w:val="44"/>
        <w:spacing w:line="500" w:lineRule="exact"/>
        <w:ind w:right="142" w:firstLine="705"/>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17220EAD">
      <w:pPr>
        <w:tabs>
          <w:tab w:val="left" w:pos="1384"/>
          <w:tab w:val="left" w:pos="4562"/>
          <w:tab w:val="left" w:pos="6803"/>
        </w:tabs>
        <w:spacing w:before="13" w:line="500" w:lineRule="exact"/>
        <w:ind w:right="142" w:firstLine="77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CCF0810">
      <w:pPr>
        <w:tabs>
          <w:tab w:val="left" w:pos="1065"/>
          <w:tab w:val="left" w:pos="4262"/>
          <w:tab w:val="left" w:pos="6477"/>
        </w:tabs>
        <w:spacing w:before="20" w:line="500" w:lineRule="exact"/>
        <w:ind w:right="84" w:firstLine="77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44029DD">
      <w:pPr>
        <w:pStyle w:val="44"/>
        <w:spacing w:before="34" w:line="500" w:lineRule="exact"/>
        <w:ind w:right="142" w:firstLine="705"/>
        <w:rPr>
          <w:rFonts w:ascii="宋体" w:hAnsi="宋体"/>
          <w:color w:val="auto"/>
          <w:sz w:val="24"/>
          <w:highlight w:val="none"/>
        </w:rPr>
      </w:pPr>
      <w:r>
        <w:rPr>
          <w:rFonts w:ascii="宋体" w:hAnsi="宋体"/>
          <w:color w:val="auto"/>
          <w:sz w:val="24"/>
          <w:highlight w:val="none"/>
        </w:rPr>
        <w:t xml:space="preserve">…… </w:t>
      </w:r>
    </w:p>
    <w:p w14:paraId="76388377">
      <w:pPr>
        <w:pStyle w:val="44"/>
        <w:spacing w:before="34" w:line="500" w:lineRule="exact"/>
        <w:ind w:right="142" w:firstLine="705"/>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88EE397">
      <w:pPr>
        <w:pStyle w:val="44"/>
        <w:spacing w:before="25" w:line="500" w:lineRule="exact"/>
        <w:ind w:right="142" w:firstLine="705"/>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4D0757E">
      <w:pPr>
        <w:pStyle w:val="44"/>
        <w:spacing w:before="56" w:line="500" w:lineRule="exact"/>
        <w:ind w:right="650" w:firstLine="5625"/>
        <w:rPr>
          <w:rFonts w:ascii="宋体" w:hAnsi="宋体"/>
          <w:color w:val="auto"/>
          <w:sz w:val="24"/>
          <w:highlight w:val="none"/>
        </w:rPr>
      </w:pPr>
      <w:r>
        <w:rPr>
          <w:rFonts w:ascii="宋体" w:hAnsi="宋体"/>
          <w:color w:val="auto"/>
          <w:sz w:val="24"/>
          <w:highlight w:val="none"/>
        </w:rPr>
        <w:t xml:space="preserve">企业名称（章）： </w:t>
      </w:r>
    </w:p>
    <w:p w14:paraId="5FA81603">
      <w:pPr>
        <w:pStyle w:val="44"/>
        <w:spacing w:before="56" w:line="500" w:lineRule="exact"/>
        <w:ind w:right="1808" w:firstLine="5625"/>
        <w:rPr>
          <w:rFonts w:ascii="宋体" w:hAnsi="宋体"/>
          <w:color w:val="auto"/>
          <w:sz w:val="24"/>
          <w:highlight w:val="none"/>
        </w:rPr>
      </w:pPr>
      <w:r>
        <w:rPr>
          <w:rFonts w:ascii="宋体" w:hAnsi="宋体"/>
          <w:color w:val="auto"/>
          <w:sz w:val="24"/>
          <w:highlight w:val="none"/>
        </w:rPr>
        <w:t>日 期：</w:t>
      </w:r>
    </w:p>
    <w:p w14:paraId="22401983">
      <w:pPr>
        <w:spacing w:line="520" w:lineRule="exact"/>
        <w:ind w:firstLine="42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7B650E22">
      <w:pPr>
        <w:spacing w:line="520" w:lineRule="exact"/>
        <w:ind w:firstLine="42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D516F4">
      <w:pPr>
        <w:spacing w:line="520" w:lineRule="exact"/>
        <w:jc w:val="center"/>
        <w:rPr>
          <w:rFonts w:hint="eastAsia" w:ascii="宋体" w:hAnsi="宋体" w:cs="仿宋_GB2312"/>
          <w:b/>
          <w:color w:val="auto"/>
          <w:sz w:val="32"/>
          <w:szCs w:val="32"/>
          <w:highlight w:val="none"/>
        </w:rPr>
      </w:pPr>
      <w:r>
        <w:rPr>
          <w:rFonts w:ascii="宋体" w:hAnsi="宋体"/>
          <w:color w:val="auto"/>
          <w:sz w:val="24"/>
          <w:highlight w:val="none"/>
        </w:rPr>
        <w:br w:type="page" w:clear="all"/>
      </w:r>
      <w:r>
        <w:rPr>
          <w:rFonts w:hint="eastAsia" w:ascii="宋体" w:hAnsi="宋体" w:cs="方正小标宋简体"/>
          <w:b/>
          <w:color w:val="auto"/>
          <w:sz w:val="32"/>
          <w:szCs w:val="32"/>
          <w:highlight w:val="none"/>
        </w:rPr>
        <w:t>残疾人福利性单位声明函</w:t>
      </w:r>
    </w:p>
    <w:p w14:paraId="0B063A2F">
      <w:pPr>
        <w:spacing w:line="360" w:lineRule="auto"/>
        <w:contextualSpacing/>
        <w:rPr>
          <w:rFonts w:hint="eastAsia" w:ascii="仿宋_GB2312" w:hAnsi="仿宋_GB2312" w:eastAsia="仿宋_GB2312" w:cs="仿宋_GB2312"/>
          <w:color w:val="auto"/>
          <w:sz w:val="32"/>
          <w:szCs w:val="32"/>
          <w:highlight w:val="none"/>
        </w:rPr>
      </w:pPr>
    </w:p>
    <w:p w14:paraId="54F118B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B458CA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C043D5E">
      <w:pPr>
        <w:spacing w:line="360" w:lineRule="auto"/>
        <w:contextualSpacing/>
        <w:rPr>
          <w:rFonts w:hint="eastAsia" w:ascii="宋体" w:hAnsi="宋体" w:cs="仿宋_GB2312"/>
          <w:color w:val="auto"/>
          <w:sz w:val="24"/>
          <w:highlight w:val="none"/>
        </w:rPr>
      </w:pPr>
    </w:p>
    <w:p w14:paraId="447B98A4">
      <w:pPr>
        <w:spacing w:line="360" w:lineRule="auto"/>
        <w:contextualSpacing/>
        <w:rPr>
          <w:rFonts w:hint="eastAsia" w:ascii="宋体" w:hAnsi="宋体" w:cs="仿宋_GB2312"/>
          <w:color w:val="auto"/>
          <w:sz w:val="24"/>
          <w:highlight w:val="none"/>
        </w:rPr>
      </w:pPr>
    </w:p>
    <w:p w14:paraId="0A3A7767">
      <w:pPr>
        <w:spacing w:line="360" w:lineRule="auto"/>
        <w:contextualSpacing/>
        <w:rPr>
          <w:rFonts w:hint="eastAsia" w:ascii="宋体" w:hAnsi="宋体" w:cs="仿宋_GB2312"/>
          <w:color w:val="auto"/>
          <w:sz w:val="24"/>
          <w:highlight w:val="none"/>
        </w:rPr>
      </w:pPr>
    </w:p>
    <w:p w14:paraId="755B4E63">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71286263">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1011B6AB">
      <w:pPr>
        <w:spacing w:line="360" w:lineRule="auto"/>
        <w:contextualSpacing/>
        <w:rPr>
          <w:rFonts w:hint="eastAsia" w:ascii="宋体" w:hAnsi="宋体" w:cs="仿宋_GB2312"/>
          <w:color w:val="auto"/>
          <w:sz w:val="24"/>
          <w:highlight w:val="none"/>
        </w:rPr>
      </w:pPr>
    </w:p>
    <w:p w14:paraId="539FC818">
      <w:pPr>
        <w:spacing w:line="360" w:lineRule="auto"/>
        <w:contextualSpacing/>
        <w:rPr>
          <w:rFonts w:hint="eastAsia" w:ascii="宋体" w:hAnsi="宋体" w:cs="仿宋_GB2312"/>
          <w:color w:val="auto"/>
          <w:sz w:val="24"/>
          <w:highlight w:val="none"/>
        </w:rPr>
      </w:pPr>
    </w:p>
    <w:p w14:paraId="0198A1D8">
      <w:pPr>
        <w:spacing w:line="360" w:lineRule="auto"/>
        <w:contextualSpacing/>
        <w:rPr>
          <w:rFonts w:hint="eastAsia" w:ascii="宋体" w:hAnsi="宋体" w:cs="仿宋_GB2312"/>
          <w:color w:val="auto"/>
          <w:sz w:val="24"/>
          <w:highlight w:val="none"/>
        </w:rPr>
      </w:pPr>
    </w:p>
    <w:p w14:paraId="4240B01D">
      <w:pPr>
        <w:spacing w:line="360" w:lineRule="auto"/>
        <w:ind w:firstLine="420"/>
        <w:contextualSpacing/>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BCE9422">
      <w:pPr>
        <w:pStyle w:val="195"/>
        <w:spacing w:line="520" w:lineRule="exact"/>
        <w:ind w:firstLine="0"/>
        <w:jc w:val="center"/>
        <w:rPr>
          <w:rFonts w:ascii="宋体" w:hAnsi="宋体"/>
          <w:b/>
          <w:bCs/>
          <w:color w:val="auto"/>
          <w:sz w:val="32"/>
          <w:szCs w:val="32"/>
          <w:highlight w:val="none"/>
        </w:rPr>
      </w:pPr>
      <w:r>
        <w:rPr>
          <w:rFonts w:hint="eastAsia"/>
          <w:color w:val="auto"/>
          <w:sz w:val="24"/>
          <w:highlight w:val="none"/>
        </w:rPr>
        <w:br w:type="page" w:clear="all"/>
      </w:r>
    </w:p>
    <w:p w14:paraId="4A4F7BB1">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E237989">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6046BA5A">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8BEBB13">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5768065">
      <w:pPr>
        <w:spacing w:before="120" w:after="50"/>
        <w:rPr>
          <w:rFonts w:hint="eastAsia" w:ascii="宋体" w:hAnsi="宋体"/>
          <w:color w:val="auto"/>
          <w:sz w:val="24"/>
          <w:szCs w:val="20"/>
          <w:highlight w:val="none"/>
        </w:rPr>
      </w:pPr>
    </w:p>
    <w:p w14:paraId="33E618E3">
      <w:pPr>
        <w:spacing w:before="120" w:after="50"/>
        <w:rPr>
          <w:rFonts w:hint="eastAsia" w:ascii="宋体" w:hAnsi="宋体"/>
          <w:color w:val="auto"/>
          <w:sz w:val="24"/>
          <w:szCs w:val="20"/>
          <w:highlight w:val="none"/>
        </w:rPr>
      </w:pPr>
    </w:p>
    <w:p w14:paraId="42A9AC1C">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DB2D852">
      <w:pPr>
        <w:spacing w:before="120" w:after="50"/>
        <w:rPr>
          <w:rFonts w:hint="eastAsia" w:ascii="宋体" w:hAnsi="宋体"/>
          <w:bCs/>
          <w:color w:val="auto"/>
          <w:sz w:val="24"/>
          <w:szCs w:val="20"/>
          <w:highlight w:val="none"/>
        </w:rPr>
      </w:pPr>
    </w:p>
    <w:p w14:paraId="459D73CF">
      <w:pPr>
        <w:spacing w:before="120" w:after="50"/>
        <w:rPr>
          <w:rFonts w:hint="eastAsia" w:ascii="宋体" w:hAnsi="宋体"/>
          <w:bCs/>
          <w:color w:val="auto"/>
          <w:sz w:val="24"/>
          <w:szCs w:val="20"/>
          <w:highlight w:val="none"/>
        </w:rPr>
      </w:pPr>
    </w:p>
    <w:p w14:paraId="1A104B53">
      <w:pPr>
        <w:spacing w:before="120" w:after="50"/>
        <w:rPr>
          <w:rFonts w:hint="eastAsia" w:ascii="宋体" w:hAnsi="宋体"/>
          <w:bCs/>
          <w:color w:val="auto"/>
          <w:sz w:val="24"/>
          <w:szCs w:val="20"/>
          <w:highlight w:val="none"/>
        </w:rPr>
      </w:pPr>
    </w:p>
    <w:p w14:paraId="7703736A">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4096CEC">
      <w:pPr>
        <w:spacing w:before="120" w:after="50"/>
        <w:ind w:firstLine="720"/>
        <w:rPr>
          <w:rFonts w:hint="eastAsia" w:ascii="宋体" w:hAnsi="宋体" w:cs="仿宋_GB2312"/>
          <w:bCs/>
          <w:color w:val="auto"/>
          <w:sz w:val="32"/>
          <w:szCs w:val="32"/>
          <w:highlight w:val="none"/>
        </w:rPr>
      </w:pPr>
    </w:p>
    <w:p w14:paraId="2E397D92">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C9EE24">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885AFC5">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7F1F1F9">
      <w:pPr>
        <w:spacing w:before="120" w:after="50"/>
        <w:ind w:firstLine="720"/>
        <w:rPr>
          <w:rFonts w:hint="eastAsia" w:ascii="宋体" w:hAnsi="宋体" w:cs="仿宋_GB2312"/>
          <w:bCs/>
          <w:color w:val="auto"/>
          <w:sz w:val="32"/>
          <w:szCs w:val="32"/>
          <w:highlight w:val="none"/>
        </w:rPr>
      </w:pPr>
    </w:p>
    <w:p w14:paraId="16B1E053">
      <w:pPr>
        <w:pStyle w:val="195"/>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FA30628">
      <w:pPr>
        <w:pStyle w:val="195"/>
        <w:spacing w:before="50" w:after="50"/>
        <w:ind w:left="0" w:leftChars="0" w:firstLine="0" w:firstLineChars="0"/>
        <w:rPr>
          <w:rFonts w:hint="eastAsia" w:ascii="宋体" w:hAnsi="宋体" w:cs="仿宋_GB2312"/>
          <w:bCs/>
          <w:color w:val="auto"/>
          <w:sz w:val="32"/>
          <w:szCs w:val="32"/>
          <w:highlight w:val="none"/>
        </w:rPr>
      </w:pPr>
    </w:p>
    <w:p w14:paraId="6EC4EA30">
      <w:pPr>
        <w:pStyle w:val="195"/>
        <w:spacing w:before="50" w:after="50"/>
        <w:ind w:firstLine="0"/>
        <w:rPr>
          <w:rFonts w:hint="eastAsia" w:ascii="宋体" w:hAnsi="宋体" w:cs="仿宋_GB2312"/>
          <w:bCs/>
          <w:color w:val="auto"/>
          <w:sz w:val="32"/>
          <w:szCs w:val="32"/>
          <w:highlight w:val="none"/>
        </w:rPr>
      </w:pPr>
    </w:p>
    <w:p w14:paraId="6BA5A35D">
      <w:pPr>
        <w:pStyle w:val="195"/>
        <w:spacing w:before="50" w:after="50"/>
        <w:ind w:firstLine="1280"/>
        <w:rPr>
          <w:rFonts w:hint="eastAsia" w:ascii="宋体" w:hAnsi="宋体" w:cs="仿宋_GB2312"/>
          <w:bCs/>
          <w:color w:val="auto"/>
          <w:sz w:val="32"/>
          <w:szCs w:val="32"/>
          <w:highlight w:val="none"/>
        </w:rPr>
      </w:pPr>
    </w:p>
    <w:p w14:paraId="70586D61">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A09BB">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6050342E">
      <w:pPr>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8E9362E">
      <w:pPr>
        <w:spacing w:line="520" w:lineRule="exact"/>
        <w:jc w:val="center"/>
        <w:rPr>
          <w:rFonts w:hint="eastAsia" w:ascii="宋体" w:hAnsi="宋体" w:cs="方正小标宋简体"/>
          <w:b/>
          <w:bCs/>
          <w:color w:val="auto"/>
          <w:sz w:val="32"/>
          <w:szCs w:val="32"/>
          <w:highlight w:val="none"/>
        </w:rPr>
      </w:pPr>
      <w:r>
        <w:rPr>
          <w:rFonts w:ascii="宋体" w:hAnsi="宋体"/>
          <w:b/>
          <w:bCs/>
          <w:color w:val="auto"/>
          <w:sz w:val="32"/>
          <w:szCs w:val="32"/>
          <w:highlight w:val="none"/>
        </w:rPr>
        <w:br w:type="page" w:clear="all"/>
      </w:r>
      <w:r>
        <w:rPr>
          <w:rFonts w:hint="eastAsia" w:ascii="宋体" w:hAnsi="宋体" w:cs="方正小标宋简体"/>
          <w:b/>
          <w:bCs/>
          <w:color w:val="auto"/>
          <w:sz w:val="32"/>
          <w:szCs w:val="32"/>
          <w:highlight w:val="none"/>
        </w:rPr>
        <w:t>竞标函及竞标函附录</w:t>
      </w:r>
    </w:p>
    <w:p w14:paraId="1407ACAB">
      <w:pPr>
        <w:spacing w:line="520" w:lineRule="exact"/>
        <w:jc w:val="center"/>
        <w:rPr>
          <w:rFonts w:hint="eastAsia" w:ascii="宋体" w:hAnsi="宋体" w:cs="方正小标宋简体"/>
          <w:b/>
          <w:bCs/>
          <w:color w:val="auto"/>
          <w:sz w:val="32"/>
          <w:szCs w:val="32"/>
          <w:highlight w:val="none"/>
        </w:rPr>
      </w:pPr>
    </w:p>
    <w:p w14:paraId="237F32F5">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12A15237">
      <w:pPr>
        <w:spacing w:line="520" w:lineRule="exact"/>
        <w:jc w:val="center"/>
        <w:rPr>
          <w:rFonts w:hint="eastAsia" w:ascii="宋体" w:hAnsi="宋体" w:cs="方正小标宋简体"/>
          <w:b/>
          <w:bCs/>
          <w:color w:val="auto"/>
          <w:sz w:val="32"/>
          <w:szCs w:val="32"/>
          <w:highlight w:val="none"/>
        </w:rPr>
      </w:pPr>
    </w:p>
    <w:p w14:paraId="148041E2">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57DFC3A7">
      <w:pPr>
        <w:pStyle w:val="364"/>
        <w:numPr>
          <w:ilvl w:val="0"/>
          <w:numId w:val="3"/>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05" w:name="bookmark2065"/>
      <w:bookmarkEnd w:id="105"/>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rPr>
        <w:t xml:space="preserve">          </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lang w:val="en-US" w:bidi="en-US"/>
        </w:rPr>
        <w:t>。</w:t>
      </w:r>
    </w:p>
    <w:p w14:paraId="519BA3EB">
      <w:pPr>
        <w:pStyle w:val="364"/>
        <w:numPr>
          <w:ilvl w:val="0"/>
          <w:numId w:val="3"/>
        </w:numPr>
        <w:tabs>
          <w:tab w:val="left" w:pos="762"/>
        </w:tabs>
        <w:ind w:firstLine="420"/>
        <w:rPr>
          <w:rFonts w:hint="eastAsia" w:ascii="Times New Roman" w:hAnsi="Times New Roman" w:cs="Times New Roman"/>
          <w:color w:val="auto"/>
          <w:szCs w:val="21"/>
          <w:highlight w:val="none"/>
        </w:rPr>
      </w:pPr>
      <w:bookmarkStart w:id="106" w:name="bookmark2068"/>
      <w:bookmarkEnd w:id="106"/>
      <w:bookmarkStart w:id="107" w:name="bookmark2067"/>
      <w:bookmarkEnd w:id="107"/>
      <w:bookmarkStart w:id="108" w:name="bookmark2066"/>
      <w:bookmarkEnd w:id="108"/>
      <w:r>
        <w:rPr>
          <w:rFonts w:hint="eastAsia"/>
          <w:color w:val="auto"/>
          <w:highlight w:val="none"/>
        </w:rPr>
        <w:t>我方承认竞标函附录是我方竞标函的组成部分。</w:t>
      </w:r>
    </w:p>
    <w:p w14:paraId="2817E0A0">
      <w:pPr>
        <w:pStyle w:val="364"/>
        <w:numPr>
          <w:ilvl w:val="0"/>
          <w:numId w:val="3"/>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5978339D">
      <w:pPr>
        <w:pStyle w:val="364"/>
        <w:tabs>
          <w:tab w:val="left" w:pos="903"/>
        </w:tabs>
        <w:ind w:firstLine="420"/>
        <w:rPr>
          <w:rFonts w:ascii="Times New Roman" w:hAnsi="Times New Roman" w:cs="Times New Roman"/>
          <w:color w:val="auto"/>
          <w:szCs w:val="21"/>
          <w:highlight w:val="none"/>
        </w:rPr>
      </w:pPr>
      <w:bookmarkStart w:id="109" w:name="bookmark2069"/>
      <w:r>
        <w:rPr>
          <w:rFonts w:ascii="Times New Roman" w:hAnsi="Times New Roman" w:cs="Times New Roman"/>
          <w:color w:val="auto"/>
          <w:szCs w:val="21"/>
          <w:highlight w:val="none"/>
        </w:rPr>
        <w:t>（</w:t>
      </w:r>
      <w:bookmarkEnd w:id="109"/>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0F707B1C">
      <w:pPr>
        <w:pStyle w:val="364"/>
        <w:tabs>
          <w:tab w:val="left" w:pos="903"/>
        </w:tabs>
        <w:ind w:firstLine="420"/>
        <w:rPr>
          <w:rFonts w:ascii="Times New Roman" w:hAnsi="Times New Roman" w:cs="Times New Roman"/>
          <w:color w:val="auto"/>
          <w:szCs w:val="21"/>
          <w:highlight w:val="none"/>
        </w:rPr>
      </w:pPr>
      <w:bookmarkStart w:id="110" w:name="bookmark2070"/>
      <w:r>
        <w:rPr>
          <w:rFonts w:ascii="Times New Roman" w:hAnsi="Times New Roman" w:cs="Times New Roman"/>
          <w:color w:val="auto"/>
          <w:szCs w:val="21"/>
          <w:highlight w:val="none"/>
        </w:rPr>
        <w:t>（</w:t>
      </w:r>
      <w:bookmarkEnd w:id="110"/>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6324D8ED">
      <w:pPr>
        <w:pStyle w:val="364"/>
        <w:tabs>
          <w:tab w:val="left" w:pos="903"/>
        </w:tabs>
        <w:ind w:firstLine="420"/>
        <w:rPr>
          <w:rFonts w:ascii="Times New Roman" w:hAnsi="Times New Roman" w:cs="Times New Roman"/>
          <w:color w:val="auto"/>
          <w:szCs w:val="21"/>
          <w:highlight w:val="none"/>
        </w:rPr>
      </w:pPr>
      <w:bookmarkStart w:id="111" w:name="bookmark2071"/>
      <w:r>
        <w:rPr>
          <w:rFonts w:ascii="Times New Roman" w:hAnsi="Times New Roman" w:cs="Times New Roman"/>
          <w:color w:val="auto"/>
          <w:szCs w:val="21"/>
          <w:highlight w:val="none"/>
        </w:rPr>
        <w:t>（</w:t>
      </w:r>
      <w:bookmarkEnd w:id="111"/>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6A154359">
      <w:pPr>
        <w:pStyle w:val="364"/>
        <w:tabs>
          <w:tab w:val="left" w:pos="903"/>
        </w:tabs>
        <w:ind w:firstLine="420"/>
        <w:rPr>
          <w:rFonts w:hint="eastAsia" w:ascii="Times New Roman" w:hAnsi="Times New Roman" w:cs="Times New Roman"/>
          <w:color w:val="auto"/>
          <w:szCs w:val="21"/>
          <w:highlight w:val="none"/>
        </w:rPr>
      </w:pPr>
      <w:bookmarkStart w:id="112" w:name="bookmark2072"/>
      <w:r>
        <w:rPr>
          <w:rFonts w:ascii="Times New Roman" w:hAnsi="Times New Roman" w:cs="Times New Roman"/>
          <w:color w:val="auto"/>
          <w:szCs w:val="21"/>
          <w:highlight w:val="none"/>
        </w:rPr>
        <w:t>（</w:t>
      </w:r>
      <w:bookmarkEnd w:id="112"/>
      <w:r>
        <w:rPr>
          <w:rFonts w:ascii="Times New Roman" w:hAnsi="Times New Roman" w:cs="Times New Roman"/>
          <w:color w:val="auto"/>
          <w:szCs w:val="21"/>
          <w:highlight w:val="none"/>
        </w:rPr>
        <w:t>4）我方承诺在合同约定的期限内完成并移交全部合同工程。</w:t>
      </w:r>
    </w:p>
    <w:p w14:paraId="3FC4372C">
      <w:pPr>
        <w:pStyle w:val="364"/>
        <w:tabs>
          <w:tab w:val="left" w:pos="903"/>
        </w:tabs>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w:t>
      </w:r>
      <w:r>
        <w:rPr>
          <w:rFonts w:hint="eastAsia" w:ascii="Times New Roman" w:hAnsi="Times New Roman" w:cs="Times New Roman"/>
          <w:color w:val="auto"/>
          <w:szCs w:val="21"/>
          <w:highlight w:val="none"/>
        </w:rPr>
        <w:t>项目</w:t>
      </w:r>
      <w:r>
        <w:rPr>
          <w:rFonts w:ascii="Times New Roman" w:hAnsi="Times New Roman" w:cs="Times New Roman"/>
          <w:color w:val="auto"/>
          <w:szCs w:val="21"/>
          <w:highlight w:val="none"/>
        </w:rPr>
        <w:t>的其他管理和技术人员及主要机械设备和试验检测设备，经你方审批后作为派驻本</w:t>
      </w:r>
      <w:r>
        <w:rPr>
          <w:rFonts w:hint="eastAsia" w:ascii="Times New Roman" w:hAnsi="Times New Roman" w:cs="Times New Roman"/>
          <w:color w:val="auto"/>
          <w:szCs w:val="21"/>
          <w:highlight w:val="none"/>
        </w:rPr>
        <w:t>项目</w:t>
      </w:r>
      <w:r>
        <w:rPr>
          <w:rFonts w:ascii="Times New Roman" w:hAnsi="Times New Roman" w:cs="Times New Roman"/>
          <w:color w:val="auto"/>
          <w:szCs w:val="21"/>
          <w:highlight w:val="none"/>
        </w:rPr>
        <w:t>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lang w:eastAsia="zh-CN"/>
        </w:rPr>
        <w:t>成交</w:t>
      </w:r>
      <w:r>
        <w:rPr>
          <w:color w:val="auto"/>
          <w:highlight w:val="none"/>
        </w:rPr>
        <w:t>资格。</w:t>
      </w:r>
    </w:p>
    <w:p w14:paraId="0DCBAAAC">
      <w:pPr>
        <w:pStyle w:val="364"/>
        <w:numPr>
          <w:ilvl w:val="0"/>
          <w:numId w:val="3"/>
        </w:numPr>
        <w:tabs>
          <w:tab w:val="left" w:pos="762"/>
        </w:tabs>
        <w:ind w:firstLine="440"/>
        <w:rPr>
          <w:rFonts w:ascii="Times New Roman" w:hAnsi="Times New Roman" w:cs="Times New Roman"/>
          <w:color w:val="auto"/>
          <w:szCs w:val="21"/>
          <w:highlight w:val="none"/>
        </w:rPr>
      </w:pPr>
      <w:bookmarkStart w:id="113" w:name="bookmark2073"/>
      <w:bookmarkEnd w:id="113"/>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BC4B180">
      <w:pPr>
        <w:spacing w:line="360" w:lineRule="auto"/>
        <w:ind w:firstLine="420"/>
        <w:rPr>
          <w:rFonts w:hint="eastAsia"/>
          <w:color w:val="auto"/>
          <w:szCs w:val="21"/>
          <w:highlight w:val="none"/>
        </w:rPr>
      </w:pPr>
      <w:bookmarkStart w:id="114" w:name="bookmark2074"/>
      <w:bookmarkEnd w:id="114"/>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62713EA5">
      <w:pPr>
        <w:spacing w:line="360" w:lineRule="auto"/>
        <w:jc w:val="center"/>
        <w:rPr>
          <w:rFonts w:hint="eastAsia" w:ascii="宋体" w:hAnsi="宋体" w:cs="方正小标宋简体"/>
          <w:b/>
          <w:bCs/>
          <w:color w:val="auto"/>
          <w:sz w:val="32"/>
          <w:szCs w:val="32"/>
          <w:highlight w:val="none"/>
        </w:rPr>
      </w:pPr>
    </w:p>
    <w:p w14:paraId="64FCA4DD">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0D89B71">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F4D8805">
      <w:pPr>
        <w:pStyle w:val="230"/>
        <w:jc w:val="center"/>
        <w:outlineLvl w:val="1"/>
        <w:rPr>
          <w:rFonts w:hAnsi="宋体"/>
          <w:b/>
          <w:color w:val="auto"/>
          <w:sz w:val="24"/>
          <w:szCs w:val="24"/>
          <w:highlight w:val="none"/>
        </w:rPr>
      </w:pPr>
      <w:r>
        <w:rPr>
          <w:rFonts w:hint="eastAsia" w:hAnsi="宋体" w:cs="仿宋_GB2312"/>
          <w:color w:val="auto"/>
          <w:sz w:val="24"/>
          <w:highlight w:val="none"/>
        </w:rPr>
        <w:t>日期：   年   月   日</w:t>
      </w:r>
      <w:r>
        <w:rPr>
          <w:rFonts w:hAnsi="宋体" w:cs="方正小标宋简体"/>
          <w:b/>
          <w:bCs/>
          <w:color w:val="auto"/>
          <w:sz w:val="32"/>
          <w:szCs w:val="32"/>
          <w:highlight w:val="none"/>
        </w:rPr>
        <w:br w:type="page" w:clear="all"/>
      </w:r>
      <w:r>
        <w:rPr>
          <w:rFonts w:hint="eastAsia" w:hAnsi="宋体" w:cs="方正小标宋简体"/>
          <w:b/>
          <w:bCs/>
          <w:color w:val="auto"/>
          <w:sz w:val="32"/>
          <w:szCs w:val="32"/>
          <w:highlight w:val="none"/>
        </w:rPr>
        <w:t>（二）竞标函附录</w:t>
      </w:r>
    </w:p>
    <w:p w14:paraId="6E26F4F1">
      <w:pPr>
        <w:jc w:val="center"/>
        <w:rPr>
          <w:rFonts w:hint="eastAsia" w:hAnsi="宋体"/>
          <w:b/>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6AB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BD6E6B7">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noWrap w:val="0"/>
            <w:vAlign w:val="center"/>
          </w:tcPr>
          <w:p w14:paraId="7109AF36">
            <w:pPr>
              <w:jc w:val="center"/>
              <w:rPr>
                <w:color w:val="auto"/>
                <w:highlight w:val="none"/>
              </w:rPr>
            </w:pPr>
            <w:r>
              <w:rPr>
                <w:rFonts w:hint="eastAsia" w:cs="宋体"/>
                <w:color w:val="auto"/>
                <w:highlight w:val="none"/>
              </w:rPr>
              <w:t>条款内容</w:t>
            </w:r>
          </w:p>
        </w:tc>
        <w:tc>
          <w:tcPr>
            <w:tcW w:w="2126" w:type="dxa"/>
            <w:noWrap w:val="0"/>
            <w:vAlign w:val="center"/>
          </w:tcPr>
          <w:p w14:paraId="5F6AEE46">
            <w:pPr>
              <w:jc w:val="center"/>
              <w:rPr>
                <w:color w:val="auto"/>
                <w:highlight w:val="none"/>
              </w:rPr>
            </w:pPr>
            <w:r>
              <w:rPr>
                <w:rFonts w:hint="eastAsia" w:cs="宋体"/>
                <w:color w:val="auto"/>
                <w:highlight w:val="none"/>
              </w:rPr>
              <w:t>合同条款号</w:t>
            </w:r>
          </w:p>
        </w:tc>
        <w:tc>
          <w:tcPr>
            <w:tcW w:w="1984" w:type="dxa"/>
            <w:noWrap w:val="0"/>
            <w:vAlign w:val="center"/>
          </w:tcPr>
          <w:p w14:paraId="7D5DA920">
            <w:pPr>
              <w:jc w:val="center"/>
              <w:rPr>
                <w:color w:val="auto"/>
                <w:highlight w:val="none"/>
              </w:rPr>
            </w:pPr>
            <w:r>
              <w:rPr>
                <w:rFonts w:hint="eastAsia" w:cs="宋体"/>
                <w:color w:val="auto"/>
                <w:highlight w:val="none"/>
              </w:rPr>
              <w:t>约定内容</w:t>
            </w:r>
          </w:p>
        </w:tc>
        <w:tc>
          <w:tcPr>
            <w:tcW w:w="1843" w:type="dxa"/>
            <w:noWrap w:val="0"/>
            <w:vAlign w:val="center"/>
          </w:tcPr>
          <w:p w14:paraId="73AA5FC4">
            <w:pPr>
              <w:jc w:val="center"/>
              <w:rPr>
                <w:color w:val="auto"/>
                <w:highlight w:val="none"/>
              </w:rPr>
            </w:pPr>
            <w:r>
              <w:rPr>
                <w:rFonts w:hint="eastAsia" w:cs="宋体"/>
                <w:color w:val="auto"/>
                <w:highlight w:val="none"/>
              </w:rPr>
              <w:t>供应商响应情况</w:t>
            </w:r>
          </w:p>
        </w:tc>
      </w:tr>
      <w:tr w14:paraId="72AC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210B5CC">
            <w:pPr>
              <w:jc w:val="center"/>
              <w:rPr>
                <w:color w:val="auto"/>
                <w:highlight w:val="none"/>
              </w:rPr>
            </w:pPr>
            <w:r>
              <w:rPr>
                <w:color w:val="auto"/>
                <w:highlight w:val="none"/>
              </w:rPr>
              <w:t>1</w:t>
            </w:r>
          </w:p>
        </w:tc>
        <w:tc>
          <w:tcPr>
            <w:tcW w:w="1985" w:type="dxa"/>
            <w:noWrap w:val="0"/>
            <w:vAlign w:val="center"/>
          </w:tcPr>
          <w:p w14:paraId="1469C4AE">
            <w:pPr>
              <w:rPr>
                <w:color w:val="auto"/>
                <w:highlight w:val="none"/>
              </w:rPr>
            </w:pPr>
            <w:r>
              <w:rPr>
                <w:rFonts w:hint="eastAsia" w:cs="宋体"/>
                <w:color w:val="auto"/>
                <w:highlight w:val="none"/>
              </w:rPr>
              <w:t>项目经理</w:t>
            </w:r>
          </w:p>
        </w:tc>
        <w:tc>
          <w:tcPr>
            <w:tcW w:w="2126" w:type="dxa"/>
            <w:noWrap w:val="0"/>
            <w:tcMar>
              <w:left w:w="170" w:type="dxa"/>
            </w:tcMar>
            <w:vAlign w:val="center"/>
          </w:tcPr>
          <w:p w14:paraId="3EA62E80">
            <w:pPr>
              <w:jc w:val="center"/>
              <w:rPr>
                <w:color w:val="auto"/>
                <w:highlight w:val="none"/>
              </w:rPr>
            </w:pPr>
            <w:r>
              <w:rPr>
                <w:rFonts w:hint="eastAsia" w:cs="宋体"/>
                <w:color w:val="auto"/>
                <w:highlight w:val="none"/>
              </w:rPr>
              <w:t>专用条款</w:t>
            </w:r>
          </w:p>
        </w:tc>
        <w:tc>
          <w:tcPr>
            <w:tcW w:w="1984" w:type="dxa"/>
            <w:noWrap w:val="0"/>
            <w:vAlign w:val="center"/>
          </w:tcPr>
          <w:p w14:paraId="029B3D78">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noWrap w:val="0"/>
            <w:vAlign w:val="center"/>
          </w:tcPr>
          <w:p w14:paraId="190FAFD6">
            <w:pPr>
              <w:jc w:val="center"/>
              <w:rPr>
                <w:color w:val="auto"/>
                <w:highlight w:val="none"/>
              </w:rPr>
            </w:pPr>
          </w:p>
        </w:tc>
      </w:tr>
      <w:tr w14:paraId="64C2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5F819D9">
            <w:pPr>
              <w:jc w:val="center"/>
              <w:rPr>
                <w:color w:val="auto"/>
                <w:highlight w:val="none"/>
              </w:rPr>
            </w:pPr>
            <w:r>
              <w:rPr>
                <w:color w:val="auto"/>
                <w:highlight w:val="none"/>
              </w:rPr>
              <w:t>2</w:t>
            </w:r>
          </w:p>
        </w:tc>
        <w:tc>
          <w:tcPr>
            <w:tcW w:w="1985" w:type="dxa"/>
            <w:noWrap w:val="0"/>
            <w:vAlign w:val="center"/>
          </w:tcPr>
          <w:p w14:paraId="1E782DD6">
            <w:pPr>
              <w:rPr>
                <w:color w:val="auto"/>
                <w:highlight w:val="none"/>
              </w:rPr>
            </w:pPr>
            <w:r>
              <w:rPr>
                <w:rFonts w:hint="eastAsia" w:cs="宋体"/>
                <w:color w:val="auto"/>
                <w:highlight w:val="none"/>
              </w:rPr>
              <w:t>竞标有效期</w:t>
            </w:r>
          </w:p>
        </w:tc>
        <w:tc>
          <w:tcPr>
            <w:tcW w:w="2126" w:type="dxa"/>
            <w:noWrap w:val="0"/>
            <w:tcMar>
              <w:left w:w="170" w:type="dxa"/>
            </w:tcMar>
            <w:vAlign w:val="center"/>
          </w:tcPr>
          <w:p w14:paraId="4B76B0C6">
            <w:pPr>
              <w:rPr>
                <w:color w:val="auto"/>
                <w:highlight w:val="none"/>
              </w:rPr>
            </w:pPr>
          </w:p>
        </w:tc>
        <w:tc>
          <w:tcPr>
            <w:tcW w:w="1984" w:type="dxa"/>
            <w:noWrap w:val="0"/>
            <w:vAlign w:val="center"/>
          </w:tcPr>
          <w:p w14:paraId="3DE11615">
            <w:pPr>
              <w:jc w:val="center"/>
              <w:rPr>
                <w:color w:val="auto"/>
                <w:highlight w:val="none"/>
                <w:u w:val="single"/>
              </w:rPr>
            </w:pPr>
          </w:p>
        </w:tc>
        <w:tc>
          <w:tcPr>
            <w:tcW w:w="1843" w:type="dxa"/>
            <w:noWrap w:val="0"/>
            <w:vAlign w:val="center"/>
          </w:tcPr>
          <w:p w14:paraId="1457B1E9">
            <w:pPr>
              <w:jc w:val="center"/>
              <w:rPr>
                <w:color w:val="auto"/>
                <w:highlight w:val="none"/>
              </w:rPr>
            </w:pPr>
          </w:p>
        </w:tc>
      </w:tr>
      <w:tr w14:paraId="090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D882C39">
            <w:pPr>
              <w:jc w:val="center"/>
              <w:rPr>
                <w:color w:val="auto"/>
                <w:highlight w:val="none"/>
              </w:rPr>
            </w:pPr>
            <w:r>
              <w:rPr>
                <w:color w:val="auto"/>
                <w:highlight w:val="none"/>
              </w:rPr>
              <w:t>3</w:t>
            </w:r>
          </w:p>
        </w:tc>
        <w:tc>
          <w:tcPr>
            <w:tcW w:w="1985" w:type="dxa"/>
            <w:noWrap w:val="0"/>
            <w:vAlign w:val="center"/>
          </w:tcPr>
          <w:p w14:paraId="671F0419">
            <w:pPr>
              <w:rPr>
                <w:color w:val="auto"/>
                <w:highlight w:val="none"/>
              </w:rPr>
            </w:pPr>
            <w:r>
              <w:rPr>
                <w:rFonts w:hint="eastAsia" w:cs="宋体"/>
                <w:color w:val="auto"/>
                <w:highlight w:val="none"/>
              </w:rPr>
              <w:t>工期</w:t>
            </w:r>
          </w:p>
        </w:tc>
        <w:tc>
          <w:tcPr>
            <w:tcW w:w="2126" w:type="dxa"/>
            <w:noWrap w:val="0"/>
            <w:tcMar>
              <w:left w:w="170" w:type="dxa"/>
            </w:tcMar>
            <w:vAlign w:val="center"/>
          </w:tcPr>
          <w:p w14:paraId="3780321B">
            <w:pPr>
              <w:jc w:val="center"/>
              <w:rPr>
                <w:color w:val="auto"/>
                <w:highlight w:val="none"/>
              </w:rPr>
            </w:pPr>
            <w:r>
              <w:rPr>
                <w:rFonts w:hint="eastAsia" w:cs="宋体"/>
                <w:color w:val="auto"/>
                <w:highlight w:val="none"/>
              </w:rPr>
              <w:t>专用条款</w:t>
            </w:r>
          </w:p>
        </w:tc>
        <w:tc>
          <w:tcPr>
            <w:tcW w:w="1984" w:type="dxa"/>
            <w:noWrap w:val="0"/>
            <w:vAlign w:val="center"/>
          </w:tcPr>
          <w:p w14:paraId="364F9ED0">
            <w:pPr>
              <w:jc w:val="center"/>
              <w:rPr>
                <w:color w:val="auto"/>
                <w:highlight w:val="none"/>
              </w:rPr>
            </w:pPr>
            <w:r>
              <w:rPr>
                <w:color w:val="auto"/>
                <w:highlight w:val="none"/>
                <w:u w:val="single"/>
              </w:rPr>
              <w:t xml:space="preserve">          </w:t>
            </w:r>
            <w:r>
              <w:rPr>
                <w:rFonts w:hint="eastAsia" w:cs="宋体"/>
                <w:color w:val="auto"/>
                <w:highlight w:val="none"/>
              </w:rPr>
              <w:t>日历天</w:t>
            </w:r>
          </w:p>
        </w:tc>
        <w:tc>
          <w:tcPr>
            <w:tcW w:w="1843" w:type="dxa"/>
            <w:noWrap w:val="0"/>
            <w:vAlign w:val="center"/>
          </w:tcPr>
          <w:p w14:paraId="08645037">
            <w:pPr>
              <w:jc w:val="center"/>
              <w:rPr>
                <w:color w:val="auto"/>
                <w:highlight w:val="none"/>
              </w:rPr>
            </w:pPr>
          </w:p>
        </w:tc>
      </w:tr>
      <w:tr w14:paraId="0BBD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E0CC798">
            <w:pPr>
              <w:jc w:val="center"/>
              <w:rPr>
                <w:color w:val="auto"/>
                <w:highlight w:val="none"/>
              </w:rPr>
            </w:pPr>
            <w:r>
              <w:rPr>
                <w:color w:val="auto"/>
                <w:highlight w:val="none"/>
              </w:rPr>
              <w:t>4</w:t>
            </w:r>
          </w:p>
        </w:tc>
        <w:tc>
          <w:tcPr>
            <w:tcW w:w="1985" w:type="dxa"/>
            <w:noWrap w:val="0"/>
            <w:vAlign w:val="center"/>
          </w:tcPr>
          <w:p w14:paraId="66DDC8D7">
            <w:pPr>
              <w:rPr>
                <w:color w:val="auto"/>
                <w:highlight w:val="none"/>
              </w:rPr>
            </w:pPr>
            <w:r>
              <w:rPr>
                <w:rFonts w:hint="eastAsia" w:cs="宋体"/>
                <w:color w:val="auto"/>
                <w:highlight w:val="none"/>
              </w:rPr>
              <w:t>缺陷责任期</w:t>
            </w:r>
          </w:p>
        </w:tc>
        <w:tc>
          <w:tcPr>
            <w:tcW w:w="2126" w:type="dxa"/>
            <w:noWrap w:val="0"/>
            <w:tcMar>
              <w:left w:w="170" w:type="dxa"/>
            </w:tcMar>
            <w:vAlign w:val="center"/>
          </w:tcPr>
          <w:p w14:paraId="549A81E4">
            <w:pPr>
              <w:jc w:val="center"/>
              <w:rPr>
                <w:color w:val="auto"/>
                <w:highlight w:val="none"/>
              </w:rPr>
            </w:pPr>
            <w:r>
              <w:rPr>
                <w:rFonts w:hint="eastAsia" w:cs="宋体"/>
                <w:color w:val="auto"/>
                <w:highlight w:val="none"/>
              </w:rPr>
              <w:t>专用条款</w:t>
            </w:r>
          </w:p>
        </w:tc>
        <w:tc>
          <w:tcPr>
            <w:tcW w:w="1984" w:type="dxa"/>
            <w:noWrap w:val="0"/>
            <w:vAlign w:val="center"/>
          </w:tcPr>
          <w:p w14:paraId="6E5C453B">
            <w:pPr>
              <w:jc w:val="center"/>
              <w:rPr>
                <w:color w:val="auto"/>
                <w:highlight w:val="none"/>
              </w:rPr>
            </w:pPr>
          </w:p>
        </w:tc>
        <w:tc>
          <w:tcPr>
            <w:tcW w:w="1843" w:type="dxa"/>
            <w:noWrap w:val="0"/>
            <w:vAlign w:val="center"/>
          </w:tcPr>
          <w:p w14:paraId="504CA4FD">
            <w:pPr>
              <w:jc w:val="center"/>
              <w:rPr>
                <w:color w:val="auto"/>
                <w:highlight w:val="none"/>
              </w:rPr>
            </w:pPr>
          </w:p>
        </w:tc>
      </w:tr>
      <w:tr w14:paraId="3505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87991BB">
            <w:pPr>
              <w:jc w:val="center"/>
              <w:rPr>
                <w:color w:val="auto"/>
                <w:highlight w:val="none"/>
              </w:rPr>
            </w:pPr>
            <w:r>
              <w:rPr>
                <w:color w:val="auto"/>
                <w:highlight w:val="none"/>
              </w:rPr>
              <w:t>5</w:t>
            </w:r>
          </w:p>
        </w:tc>
        <w:tc>
          <w:tcPr>
            <w:tcW w:w="1985" w:type="dxa"/>
            <w:noWrap w:val="0"/>
            <w:vAlign w:val="center"/>
          </w:tcPr>
          <w:p w14:paraId="20D73CE9">
            <w:pPr>
              <w:rPr>
                <w:color w:val="auto"/>
                <w:highlight w:val="none"/>
              </w:rPr>
            </w:pPr>
            <w:r>
              <w:rPr>
                <w:rFonts w:hint="eastAsia" w:cs="宋体"/>
                <w:color w:val="auto"/>
                <w:highlight w:val="none"/>
              </w:rPr>
              <w:t>发包人支付担保</w:t>
            </w:r>
          </w:p>
        </w:tc>
        <w:tc>
          <w:tcPr>
            <w:tcW w:w="2126" w:type="dxa"/>
            <w:noWrap w:val="0"/>
            <w:tcMar>
              <w:left w:w="170" w:type="dxa"/>
            </w:tcMar>
            <w:vAlign w:val="center"/>
          </w:tcPr>
          <w:p w14:paraId="4532C139">
            <w:pPr>
              <w:jc w:val="center"/>
              <w:rPr>
                <w:color w:val="auto"/>
                <w:highlight w:val="none"/>
              </w:rPr>
            </w:pPr>
            <w:r>
              <w:rPr>
                <w:rFonts w:hint="eastAsia" w:cs="宋体"/>
                <w:color w:val="auto"/>
                <w:highlight w:val="none"/>
              </w:rPr>
              <w:t>专用条款</w:t>
            </w:r>
          </w:p>
        </w:tc>
        <w:tc>
          <w:tcPr>
            <w:tcW w:w="1984" w:type="dxa"/>
            <w:noWrap w:val="0"/>
            <w:vAlign w:val="center"/>
          </w:tcPr>
          <w:p w14:paraId="748D946D">
            <w:pPr>
              <w:jc w:val="center"/>
              <w:rPr>
                <w:color w:val="auto"/>
                <w:highlight w:val="none"/>
              </w:rPr>
            </w:pPr>
          </w:p>
        </w:tc>
        <w:tc>
          <w:tcPr>
            <w:tcW w:w="1843" w:type="dxa"/>
            <w:noWrap w:val="0"/>
            <w:vAlign w:val="center"/>
          </w:tcPr>
          <w:p w14:paraId="7A13AB86">
            <w:pPr>
              <w:jc w:val="center"/>
              <w:rPr>
                <w:color w:val="auto"/>
                <w:highlight w:val="none"/>
              </w:rPr>
            </w:pPr>
          </w:p>
        </w:tc>
      </w:tr>
      <w:tr w14:paraId="4204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4900878">
            <w:pPr>
              <w:jc w:val="center"/>
              <w:rPr>
                <w:color w:val="auto"/>
                <w:highlight w:val="none"/>
              </w:rPr>
            </w:pPr>
            <w:r>
              <w:rPr>
                <w:color w:val="auto"/>
                <w:highlight w:val="none"/>
              </w:rPr>
              <w:t>6</w:t>
            </w:r>
          </w:p>
        </w:tc>
        <w:tc>
          <w:tcPr>
            <w:tcW w:w="1985" w:type="dxa"/>
            <w:noWrap w:val="0"/>
            <w:vAlign w:val="center"/>
          </w:tcPr>
          <w:p w14:paraId="403E0ECD">
            <w:pPr>
              <w:rPr>
                <w:color w:val="auto"/>
                <w:highlight w:val="none"/>
              </w:rPr>
            </w:pPr>
            <w:r>
              <w:rPr>
                <w:rFonts w:hint="eastAsia" w:cs="宋体"/>
                <w:color w:val="auto"/>
                <w:highlight w:val="none"/>
              </w:rPr>
              <w:t>承包人履约担保金额</w:t>
            </w:r>
          </w:p>
        </w:tc>
        <w:tc>
          <w:tcPr>
            <w:tcW w:w="2126" w:type="dxa"/>
            <w:noWrap w:val="0"/>
            <w:tcMar>
              <w:left w:w="170" w:type="dxa"/>
            </w:tcMar>
            <w:vAlign w:val="center"/>
          </w:tcPr>
          <w:p w14:paraId="3EE5962F">
            <w:pPr>
              <w:jc w:val="center"/>
              <w:rPr>
                <w:color w:val="auto"/>
                <w:highlight w:val="none"/>
              </w:rPr>
            </w:pPr>
            <w:r>
              <w:rPr>
                <w:rFonts w:hint="eastAsia" w:cs="宋体"/>
                <w:color w:val="auto"/>
                <w:highlight w:val="none"/>
              </w:rPr>
              <w:t>专用条款</w:t>
            </w:r>
          </w:p>
        </w:tc>
        <w:tc>
          <w:tcPr>
            <w:tcW w:w="1984" w:type="dxa"/>
            <w:noWrap w:val="0"/>
            <w:vAlign w:val="center"/>
          </w:tcPr>
          <w:p w14:paraId="3E9247BE">
            <w:pPr>
              <w:jc w:val="center"/>
              <w:rPr>
                <w:color w:val="auto"/>
                <w:highlight w:val="none"/>
              </w:rPr>
            </w:pPr>
          </w:p>
        </w:tc>
        <w:tc>
          <w:tcPr>
            <w:tcW w:w="1843" w:type="dxa"/>
            <w:noWrap w:val="0"/>
            <w:vAlign w:val="center"/>
          </w:tcPr>
          <w:p w14:paraId="2F178E6C">
            <w:pPr>
              <w:jc w:val="center"/>
              <w:rPr>
                <w:color w:val="auto"/>
                <w:highlight w:val="none"/>
              </w:rPr>
            </w:pPr>
          </w:p>
        </w:tc>
      </w:tr>
      <w:tr w14:paraId="7AF8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CF1EA02">
            <w:pPr>
              <w:jc w:val="center"/>
              <w:rPr>
                <w:color w:val="auto"/>
                <w:highlight w:val="none"/>
              </w:rPr>
            </w:pPr>
            <w:r>
              <w:rPr>
                <w:color w:val="auto"/>
                <w:highlight w:val="none"/>
              </w:rPr>
              <w:t>7</w:t>
            </w:r>
          </w:p>
        </w:tc>
        <w:tc>
          <w:tcPr>
            <w:tcW w:w="1985" w:type="dxa"/>
            <w:noWrap w:val="0"/>
            <w:vAlign w:val="center"/>
          </w:tcPr>
          <w:p w14:paraId="75A06B2E">
            <w:pPr>
              <w:rPr>
                <w:color w:val="auto"/>
                <w:highlight w:val="none"/>
              </w:rPr>
            </w:pPr>
            <w:r>
              <w:rPr>
                <w:rFonts w:hint="eastAsia" w:cs="宋体"/>
                <w:color w:val="auto"/>
                <w:highlight w:val="none"/>
              </w:rPr>
              <w:t>分包</w:t>
            </w:r>
          </w:p>
        </w:tc>
        <w:tc>
          <w:tcPr>
            <w:tcW w:w="2126" w:type="dxa"/>
            <w:noWrap w:val="0"/>
            <w:tcMar>
              <w:left w:w="170" w:type="dxa"/>
            </w:tcMar>
            <w:vAlign w:val="center"/>
          </w:tcPr>
          <w:p w14:paraId="1499B478">
            <w:pPr>
              <w:jc w:val="center"/>
              <w:rPr>
                <w:color w:val="auto"/>
                <w:highlight w:val="none"/>
              </w:rPr>
            </w:pPr>
            <w:r>
              <w:rPr>
                <w:rFonts w:hint="eastAsia" w:cs="宋体"/>
                <w:color w:val="auto"/>
                <w:highlight w:val="none"/>
              </w:rPr>
              <w:t>专用条款</w:t>
            </w:r>
          </w:p>
        </w:tc>
        <w:tc>
          <w:tcPr>
            <w:tcW w:w="1984" w:type="dxa"/>
            <w:noWrap w:val="0"/>
            <w:vAlign w:val="center"/>
          </w:tcPr>
          <w:p w14:paraId="390E2A82">
            <w:pPr>
              <w:jc w:val="center"/>
              <w:rPr>
                <w:color w:val="auto"/>
                <w:highlight w:val="none"/>
              </w:rPr>
            </w:pPr>
            <w:r>
              <w:rPr>
                <w:rFonts w:hint="eastAsia" w:cs="宋体"/>
                <w:color w:val="auto"/>
                <w:highlight w:val="none"/>
              </w:rPr>
              <w:t>见分包项目情况表</w:t>
            </w:r>
          </w:p>
        </w:tc>
        <w:tc>
          <w:tcPr>
            <w:tcW w:w="1843" w:type="dxa"/>
            <w:noWrap w:val="0"/>
            <w:vAlign w:val="center"/>
          </w:tcPr>
          <w:p w14:paraId="0BF55558">
            <w:pPr>
              <w:jc w:val="center"/>
              <w:rPr>
                <w:color w:val="auto"/>
                <w:highlight w:val="none"/>
              </w:rPr>
            </w:pPr>
          </w:p>
        </w:tc>
      </w:tr>
      <w:tr w14:paraId="3801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CD845BD">
            <w:pPr>
              <w:jc w:val="center"/>
              <w:rPr>
                <w:color w:val="auto"/>
                <w:highlight w:val="none"/>
              </w:rPr>
            </w:pPr>
            <w:r>
              <w:rPr>
                <w:color w:val="auto"/>
                <w:highlight w:val="none"/>
              </w:rPr>
              <w:t>8</w:t>
            </w:r>
          </w:p>
        </w:tc>
        <w:tc>
          <w:tcPr>
            <w:tcW w:w="1985" w:type="dxa"/>
            <w:noWrap w:val="0"/>
            <w:vAlign w:val="center"/>
          </w:tcPr>
          <w:p w14:paraId="53CFD6F4">
            <w:pPr>
              <w:rPr>
                <w:color w:val="auto"/>
                <w:highlight w:val="none"/>
              </w:rPr>
            </w:pPr>
            <w:r>
              <w:rPr>
                <w:rFonts w:hint="eastAsia" w:cs="宋体"/>
                <w:color w:val="auto"/>
                <w:highlight w:val="none"/>
              </w:rPr>
              <w:t>逾期竣工违约金</w:t>
            </w:r>
          </w:p>
        </w:tc>
        <w:tc>
          <w:tcPr>
            <w:tcW w:w="2126" w:type="dxa"/>
            <w:noWrap w:val="0"/>
            <w:tcMar>
              <w:left w:w="170" w:type="dxa"/>
            </w:tcMar>
            <w:vAlign w:val="center"/>
          </w:tcPr>
          <w:p w14:paraId="156B2CF9">
            <w:pPr>
              <w:jc w:val="center"/>
              <w:rPr>
                <w:color w:val="auto"/>
                <w:highlight w:val="none"/>
              </w:rPr>
            </w:pPr>
            <w:r>
              <w:rPr>
                <w:rFonts w:hint="eastAsia" w:cs="宋体"/>
                <w:color w:val="auto"/>
                <w:highlight w:val="none"/>
              </w:rPr>
              <w:t>专用条款</w:t>
            </w:r>
          </w:p>
        </w:tc>
        <w:tc>
          <w:tcPr>
            <w:tcW w:w="1984" w:type="dxa"/>
            <w:noWrap w:val="0"/>
            <w:vAlign w:val="center"/>
          </w:tcPr>
          <w:p w14:paraId="40A84994">
            <w:pPr>
              <w:rPr>
                <w:color w:val="auto"/>
                <w:highlight w:val="none"/>
              </w:rPr>
            </w:pPr>
          </w:p>
        </w:tc>
        <w:tc>
          <w:tcPr>
            <w:tcW w:w="1843" w:type="dxa"/>
            <w:noWrap w:val="0"/>
            <w:vAlign w:val="center"/>
          </w:tcPr>
          <w:p w14:paraId="0E68BF7C">
            <w:pPr>
              <w:jc w:val="center"/>
              <w:rPr>
                <w:color w:val="auto"/>
                <w:highlight w:val="none"/>
              </w:rPr>
            </w:pPr>
          </w:p>
        </w:tc>
      </w:tr>
      <w:tr w14:paraId="66B9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ADB8439">
            <w:pPr>
              <w:jc w:val="center"/>
              <w:rPr>
                <w:color w:val="auto"/>
                <w:highlight w:val="none"/>
              </w:rPr>
            </w:pPr>
            <w:r>
              <w:rPr>
                <w:color w:val="auto"/>
                <w:highlight w:val="none"/>
              </w:rPr>
              <w:t>9</w:t>
            </w:r>
          </w:p>
        </w:tc>
        <w:tc>
          <w:tcPr>
            <w:tcW w:w="1985" w:type="dxa"/>
            <w:noWrap w:val="0"/>
            <w:vAlign w:val="center"/>
          </w:tcPr>
          <w:p w14:paraId="6C33372D">
            <w:pPr>
              <w:rPr>
                <w:color w:val="auto"/>
                <w:highlight w:val="none"/>
              </w:rPr>
            </w:pPr>
            <w:r>
              <w:rPr>
                <w:rFonts w:hint="eastAsia" w:cs="宋体"/>
                <w:color w:val="auto"/>
                <w:highlight w:val="none"/>
              </w:rPr>
              <w:t>逾期竣工违约金最高限额</w:t>
            </w:r>
          </w:p>
        </w:tc>
        <w:tc>
          <w:tcPr>
            <w:tcW w:w="2126" w:type="dxa"/>
            <w:noWrap w:val="0"/>
            <w:tcMar>
              <w:left w:w="170" w:type="dxa"/>
            </w:tcMar>
            <w:vAlign w:val="center"/>
          </w:tcPr>
          <w:p w14:paraId="033AC456">
            <w:pPr>
              <w:jc w:val="center"/>
              <w:rPr>
                <w:color w:val="auto"/>
                <w:highlight w:val="none"/>
              </w:rPr>
            </w:pPr>
            <w:r>
              <w:rPr>
                <w:rFonts w:hint="eastAsia" w:cs="宋体"/>
                <w:color w:val="auto"/>
                <w:highlight w:val="none"/>
              </w:rPr>
              <w:t>专用条款</w:t>
            </w:r>
          </w:p>
        </w:tc>
        <w:tc>
          <w:tcPr>
            <w:tcW w:w="1984" w:type="dxa"/>
            <w:noWrap w:val="0"/>
            <w:vAlign w:val="center"/>
          </w:tcPr>
          <w:p w14:paraId="46845F0C">
            <w:pPr>
              <w:rPr>
                <w:color w:val="auto"/>
                <w:highlight w:val="none"/>
              </w:rPr>
            </w:pPr>
          </w:p>
        </w:tc>
        <w:tc>
          <w:tcPr>
            <w:tcW w:w="1843" w:type="dxa"/>
            <w:noWrap w:val="0"/>
            <w:vAlign w:val="center"/>
          </w:tcPr>
          <w:p w14:paraId="6D43F68B">
            <w:pPr>
              <w:jc w:val="center"/>
              <w:rPr>
                <w:color w:val="auto"/>
                <w:highlight w:val="none"/>
              </w:rPr>
            </w:pPr>
          </w:p>
        </w:tc>
      </w:tr>
      <w:tr w14:paraId="41A0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463CF27">
            <w:pPr>
              <w:jc w:val="center"/>
              <w:rPr>
                <w:color w:val="auto"/>
                <w:highlight w:val="none"/>
              </w:rPr>
            </w:pPr>
            <w:r>
              <w:rPr>
                <w:color w:val="auto"/>
                <w:highlight w:val="none"/>
              </w:rPr>
              <w:t>10</w:t>
            </w:r>
          </w:p>
        </w:tc>
        <w:tc>
          <w:tcPr>
            <w:tcW w:w="1985" w:type="dxa"/>
            <w:noWrap w:val="0"/>
            <w:vAlign w:val="center"/>
          </w:tcPr>
          <w:p w14:paraId="60C0161E">
            <w:pPr>
              <w:rPr>
                <w:color w:val="auto"/>
                <w:highlight w:val="none"/>
              </w:rPr>
            </w:pPr>
            <w:r>
              <w:rPr>
                <w:rFonts w:hint="eastAsia" w:cs="宋体"/>
                <w:color w:val="auto"/>
                <w:highlight w:val="none"/>
              </w:rPr>
              <w:t>质量标准</w:t>
            </w:r>
          </w:p>
        </w:tc>
        <w:tc>
          <w:tcPr>
            <w:tcW w:w="2126" w:type="dxa"/>
            <w:noWrap w:val="0"/>
            <w:tcMar>
              <w:left w:w="170" w:type="dxa"/>
            </w:tcMar>
            <w:vAlign w:val="center"/>
          </w:tcPr>
          <w:p w14:paraId="62C55A76">
            <w:pPr>
              <w:jc w:val="center"/>
              <w:rPr>
                <w:color w:val="auto"/>
                <w:highlight w:val="none"/>
              </w:rPr>
            </w:pPr>
            <w:r>
              <w:rPr>
                <w:rFonts w:hint="eastAsia" w:cs="宋体"/>
                <w:color w:val="auto"/>
                <w:highlight w:val="none"/>
              </w:rPr>
              <w:t>专用条款</w:t>
            </w:r>
          </w:p>
        </w:tc>
        <w:tc>
          <w:tcPr>
            <w:tcW w:w="1984" w:type="dxa"/>
            <w:noWrap w:val="0"/>
            <w:vAlign w:val="center"/>
          </w:tcPr>
          <w:p w14:paraId="1F3911E4">
            <w:pPr>
              <w:jc w:val="center"/>
              <w:rPr>
                <w:color w:val="auto"/>
                <w:highlight w:val="none"/>
              </w:rPr>
            </w:pPr>
          </w:p>
        </w:tc>
        <w:tc>
          <w:tcPr>
            <w:tcW w:w="1843" w:type="dxa"/>
            <w:noWrap w:val="0"/>
            <w:vAlign w:val="center"/>
          </w:tcPr>
          <w:p w14:paraId="67728A4C">
            <w:pPr>
              <w:jc w:val="center"/>
              <w:rPr>
                <w:color w:val="auto"/>
                <w:highlight w:val="none"/>
              </w:rPr>
            </w:pPr>
          </w:p>
        </w:tc>
      </w:tr>
      <w:tr w14:paraId="20B0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4E3985">
            <w:pPr>
              <w:jc w:val="center"/>
              <w:rPr>
                <w:color w:val="auto"/>
                <w:highlight w:val="none"/>
              </w:rPr>
            </w:pPr>
            <w:r>
              <w:rPr>
                <w:color w:val="auto"/>
                <w:highlight w:val="none"/>
              </w:rPr>
              <w:t>11</w:t>
            </w:r>
          </w:p>
        </w:tc>
        <w:tc>
          <w:tcPr>
            <w:tcW w:w="1985" w:type="dxa"/>
            <w:noWrap w:val="0"/>
            <w:vAlign w:val="center"/>
          </w:tcPr>
          <w:p w14:paraId="195DDD86">
            <w:pPr>
              <w:rPr>
                <w:color w:val="auto"/>
                <w:highlight w:val="none"/>
              </w:rPr>
            </w:pPr>
            <w:r>
              <w:rPr>
                <w:rFonts w:hint="eastAsia" w:cs="宋体"/>
                <w:color w:val="auto"/>
                <w:highlight w:val="none"/>
              </w:rPr>
              <w:t>预付款额度</w:t>
            </w:r>
          </w:p>
        </w:tc>
        <w:tc>
          <w:tcPr>
            <w:tcW w:w="2126" w:type="dxa"/>
            <w:noWrap w:val="0"/>
            <w:tcMar>
              <w:left w:w="170" w:type="dxa"/>
            </w:tcMar>
            <w:vAlign w:val="center"/>
          </w:tcPr>
          <w:p w14:paraId="094A9158">
            <w:pPr>
              <w:jc w:val="center"/>
              <w:rPr>
                <w:color w:val="auto"/>
                <w:highlight w:val="none"/>
              </w:rPr>
            </w:pPr>
            <w:r>
              <w:rPr>
                <w:rFonts w:hint="eastAsia" w:cs="宋体"/>
                <w:color w:val="auto"/>
                <w:highlight w:val="none"/>
              </w:rPr>
              <w:t>专用条款</w:t>
            </w:r>
          </w:p>
        </w:tc>
        <w:tc>
          <w:tcPr>
            <w:tcW w:w="1984" w:type="dxa"/>
            <w:noWrap w:val="0"/>
            <w:vAlign w:val="center"/>
          </w:tcPr>
          <w:p w14:paraId="35B19ED0">
            <w:pPr>
              <w:jc w:val="center"/>
              <w:rPr>
                <w:color w:val="auto"/>
                <w:highlight w:val="none"/>
              </w:rPr>
            </w:pPr>
          </w:p>
        </w:tc>
        <w:tc>
          <w:tcPr>
            <w:tcW w:w="1843" w:type="dxa"/>
            <w:noWrap w:val="0"/>
            <w:vAlign w:val="center"/>
          </w:tcPr>
          <w:p w14:paraId="7D9B2C9E">
            <w:pPr>
              <w:jc w:val="center"/>
              <w:rPr>
                <w:color w:val="auto"/>
                <w:highlight w:val="none"/>
              </w:rPr>
            </w:pPr>
          </w:p>
        </w:tc>
      </w:tr>
      <w:tr w14:paraId="39CC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28B668">
            <w:pPr>
              <w:jc w:val="center"/>
              <w:rPr>
                <w:color w:val="auto"/>
                <w:highlight w:val="none"/>
              </w:rPr>
            </w:pPr>
            <w:r>
              <w:rPr>
                <w:color w:val="auto"/>
                <w:highlight w:val="none"/>
              </w:rPr>
              <w:t>12</w:t>
            </w:r>
          </w:p>
        </w:tc>
        <w:tc>
          <w:tcPr>
            <w:tcW w:w="1985" w:type="dxa"/>
            <w:noWrap w:val="0"/>
            <w:vAlign w:val="center"/>
          </w:tcPr>
          <w:p w14:paraId="2EE29D72">
            <w:pPr>
              <w:rPr>
                <w:color w:val="auto"/>
                <w:highlight w:val="none"/>
              </w:rPr>
            </w:pPr>
            <w:r>
              <w:rPr>
                <w:rFonts w:hint="eastAsia" w:cs="宋体"/>
                <w:color w:val="auto"/>
                <w:highlight w:val="none"/>
              </w:rPr>
              <w:t>预付款保函金额</w:t>
            </w:r>
          </w:p>
        </w:tc>
        <w:tc>
          <w:tcPr>
            <w:tcW w:w="2126" w:type="dxa"/>
            <w:noWrap w:val="0"/>
            <w:tcMar>
              <w:left w:w="170" w:type="dxa"/>
            </w:tcMar>
            <w:vAlign w:val="center"/>
          </w:tcPr>
          <w:p w14:paraId="6E86F93B">
            <w:pPr>
              <w:jc w:val="center"/>
              <w:rPr>
                <w:color w:val="auto"/>
                <w:highlight w:val="none"/>
              </w:rPr>
            </w:pPr>
            <w:r>
              <w:rPr>
                <w:rFonts w:hint="eastAsia" w:cs="宋体"/>
                <w:color w:val="auto"/>
                <w:highlight w:val="none"/>
              </w:rPr>
              <w:t>专用条款</w:t>
            </w:r>
          </w:p>
        </w:tc>
        <w:tc>
          <w:tcPr>
            <w:tcW w:w="1984" w:type="dxa"/>
            <w:noWrap w:val="0"/>
            <w:vAlign w:val="center"/>
          </w:tcPr>
          <w:p w14:paraId="06521401">
            <w:pPr>
              <w:jc w:val="center"/>
              <w:rPr>
                <w:color w:val="auto"/>
                <w:highlight w:val="none"/>
              </w:rPr>
            </w:pPr>
          </w:p>
        </w:tc>
        <w:tc>
          <w:tcPr>
            <w:tcW w:w="1843" w:type="dxa"/>
            <w:noWrap w:val="0"/>
            <w:vAlign w:val="center"/>
          </w:tcPr>
          <w:p w14:paraId="2EBEE691">
            <w:pPr>
              <w:jc w:val="center"/>
              <w:rPr>
                <w:color w:val="auto"/>
                <w:highlight w:val="none"/>
              </w:rPr>
            </w:pPr>
          </w:p>
        </w:tc>
      </w:tr>
      <w:tr w14:paraId="7586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31E83F8">
            <w:pPr>
              <w:jc w:val="center"/>
              <w:rPr>
                <w:color w:val="auto"/>
                <w:highlight w:val="none"/>
              </w:rPr>
            </w:pPr>
            <w:r>
              <w:rPr>
                <w:color w:val="auto"/>
                <w:highlight w:val="none"/>
              </w:rPr>
              <w:t>13</w:t>
            </w:r>
          </w:p>
        </w:tc>
        <w:tc>
          <w:tcPr>
            <w:tcW w:w="1985" w:type="dxa"/>
            <w:noWrap w:val="0"/>
            <w:vAlign w:val="center"/>
          </w:tcPr>
          <w:p w14:paraId="4B8D2EAF">
            <w:pPr>
              <w:rPr>
                <w:color w:val="auto"/>
                <w:highlight w:val="none"/>
              </w:rPr>
            </w:pPr>
            <w:r>
              <w:rPr>
                <w:rFonts w:hint="eastAsia" w:cs="宋体"/>
                <w:color w:val="auto"/>
                <w:highlight w:val="none"/>
              </w:rPr>
              <w:t>质量保证金额度</w:t>
            </w:r>
          </w:p>
        </w:tc>
        <w:tc>
          <w:tcPr>
            <w:tcW w:w="2126" w:type="dxa"/>
            <w:noWrap w:val="0"/>
            <w:tcMar>
              <w:left w:w="170" w:type="dxa"/>
            </w:tcMar>
            <w:vAlign w:val="center"/>
          </w:tcPr>
          <w:p w14:paraId="0BF5EDB7">
            <w:pPr>
              <w:jc w:val="center"/>
              <w:rPr>
                <w:color w:val="auto"/>
                <w:highlight w:val="none"/>
              </w:rPr>
            </w:pPr>
            <w:r>
              <w:rPr>
                <w:rFonts w:hint="eastAsia" w:cs="宋体"/>
                <w:color w:val="auto"/>
                <w:highlight w:val="none"/>
              </w:rPr>
              <w:t>专用条款</w:t>
            </w:r>
          </w:p>
        </w:tc>
        <w:tc>
          <w:tcPr>
            <w:tcW w:w="1984" w:type="dxa"/>
            <w:noWrap w:val="0"/>
            <w:vAlign w:val="center"/>
          </w:tcPr>
          <w:p w14:paraId="5072F0A0">
            <w:pPr>
              <w:jc w:val="center"/>
              <w:rPr>
                <w:color w:val="auto"/>
                <w:highlight w:val="none"/>
              </w:rPr>
            </w:pPr>
            <w:r>
              <w:rPr>
                <w:rFonts w:hint="eastAsia" w:cs="宋体"/>
                <w:color w:val="auto"/>
                <w:highlight w:val="none"/>
              </w:rPr>
              <w:t>结算价的</w:t>
            </w:r>
            <w:r>
              <w:rPr>
                <w:color w:val="auto"/>
                <w:highlight w:val="none"/>
                <w:u w:val="single"/>
              </w:rPr>
              <w:t xml:space="preserve">     </w:t>
            </w:r>
            <w:r>
              <w:rPr>
                <w:color w:val="auto"/>
                <w:highlight w:val="none"/>
              </w:rPr>
              <w:t xml:space="preserve">% </w:t>
            </w:r>
            <w:r>
              <w:rPr>
                <w:color w:val="auto"/>
                <w:highlight w:val="none"/>
                <w:u w:val="single"/>
              </w:rPr>
              <w:t xml:space="preserve"> </w:t>
            </w:r>
          </w:p>
        </w:tc>
        <w:tc>
          <w:tcPr>
            <w:tcW w:w="1843" w:type="dxa"/>
            <w:noWrap w:val="0"/>
            <w:vAlign w:val="center"/>
          </w:tcPr>
          <w:p w14:paraId="669E4B91">
            <w:pPr>
              <w:jc w:val="center"/>
              <w:rPr>
                <w:color w:val="auto"/>
                <w:highlight w:val="none"/>
              </w:rPr>
            </w:pPr>
          </w:p>
        </w:tc>
      </w:tr>
      <w:tr w14:paraId="460B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AF5ED93">
            <w:pPr>
              <w:jc w:val="center"/>
              <w:rPr>
                <w:color w:val="auto"/>
                <w:highlight w:val="none"/>
              </w:rPr>
            </w:pPr>
            <w:r>
              <w:rPr>
                <w:color w:val="auto"/>
                <w:highlight w:val="none"/>
              </w:rPr>
              <w:t>……</w:t>
            </w:r>
          </w:p>
        </w:tc>
        <w:tc>
          <w:tcPr>
            <w:tcW w:w="1985" w:type="dxa"/>
            <w:noWrap w:val="0"/>
            <w:vAlign w:val="center"/>
          </w:tcPr>
          <w:p w14:paraId="22565763">
            <w:pPr>
              <w:jc w:val="center"/>
              <w:rPr>
                <w:color w:val="auto"/>
                <w:highlight w:val="none"/>
              </w:rPr>
            </w:pPr>
            <w:r>
              <w:rPr>
                <w:color w:val="auto"/>
                <w:highlight w:val="none"/>
              </w:rPr>
              <w:t>……</w:t>
            </w:r>
          </w:p>
        </w:tc>
        <w:tc>
          <w:tcPr>
            <w:tcW w:w="2126" w:type="dxa"/>
            <w:noWrap w:val="0"/>
            <w:tcMar>
              <w:left w:w="170" w:type="dxa"/>
            </w:tcMar>
            <w:vAlign w:val="center"/>
          </w:tcPr>
          <w:p w14:paraId="2DFC6486">
            <w:pPr>
              <w:rPr>
                <w:color w:val="auto"/>
                <w:highlight w:val="none"/>
              </w:rPr>
            </w:pPr>
          </w:p>
        </w:tc>
        <w:tc>
          <w:tcPr>
            <w:tcW w:w="1984" w:type="dxa"/>
            <w:noWrap w:val="0"/>
            <w:vAlign w:val="center"/>
          </w:tcPr>
          <w:p w14:paraId="50884622">
            <w:pPr>
              <w:jc w:val="center"/>
              <w:rPr>
                <w:color w:val="auto"/>
                <w:highlight w:val="none"/>
              </w:rPr>
            </w:pPr>
          </w:p>
        </w:tc>
        <w:tc>
          <w:tcPr>
            <w:tcW w:w="1843" w:type="dxa"/>
            <w:noWrap w:val="0"/>
            <w:vAlign w:val="center"/>
          </w:tcPr>
          <w:p w14:paraId="26120A56">
            <w:pPr>
              <w:jc w:val="center"/>
              <w:rPr>
                <w:color w:val="auto"/>
                <w:highlight w:val="none"/>
              </w:rPr>
            </w:pPr>
          </w:p>
        </w:tc>
      </w:tr>
      <w:tr w14:paraId="130A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ECF9F92">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65A27DEE">
      <w:pPr>
        <w:spacing w:after="120"/>
        <w:rPr>
          <w:rFonts w:hint="eastAsia"/>
          <w:b/>
          <w:bCs/>
          <w:color w:val="auto"/>
          <w:highlight w:val="none"/>
        </w:rPr>
      </w:pPr>
    </w:p>
    <w:p w14:paraId="7487AD45">
      <w:pPr>
        <w:spacing w:line="480" w:lineRule="auto"/>
        <w:ind w:firstLine="210"/>
        <w:rPr>
          <w:rFonts w:hint="eastAsia"/>
          <w:color w:val="auto"/>
          <w:highlight w:val="none"/>
        </w:rPr>
      </w:pPr>
      <w:r>
        <w:rPr>
          <w:rFonts w:hint="eastAsia"/>
          <w:color w:val="auto"/>
          <w:highlight w:val="none"/>
        </w:rPr>
        <w:t xml:space="preserve">法定代表人或者委托代理人（签字或者电子签名）：                    </w:t>
      </w:r>
    </w:p>
    <w:p w14:paraId="244614F2">
      <w:pPr>
        <w:spacing w:line="480" w:lineRule="auto"/>
        <w:ind w:firstLine="210"/>
        <w:rPr>
          <w:rFonts w:hint="eastAsia"/>
          <w:color w:val="auto"/>
          <w:highlight w:val="none"/>
        </w:rPr>
      </w:pPr>
      <w:r>
        <w:rPr>
          <w:rFonts w:hint="eastAsia"/>
          <w:color w:val="auto"/>
          <w:highlight w:val="none"/>
        </w:rPr>
        <w:t xml:space="preserve">供应商（电子签章）：      </w:t>
      </w:r>
    </w:p>
    <w:p w14:paraId="4F469021">
      <w:pPr>
        <w:spacing w:line="480" w:lineRule="auto"/>
        <w:ind w:firstLine="210"/>
        <w:rPr>
          <w:rFonts w:hint="eastAsia"/>
          <w:b/>
          <w:color w:val="auto"/>
          <w:highlight w:val="none"/>
        </w:rPr>
      </w:pPr>
      <w:r>
        <w:rPr>
          <w:rFonts w:hint="eastAsia"/>
          <w:color w:val="auto"/>
          <w:highlight w:val="none"/>
        </w:rPr>
        <w:t>日期：   年   月   日</w:t>
      </w:r>
    </w:p>
    <w:p w14:paraId="601D8304">
      <w:pPr>
        <w:jc w:val="center"/>
        <w:rPr>
          <w:rFonts w:hint="eastAsia" w:ascii="宋体" w:hAnsi="宋体"/>
          <w:b/>
          <w:color w:val="auto"/>
          <w:sz w:val="24"/>
          <w:highlight w:val="none"/>
        </w:rPr>
      </w:pPr>
    </w:p>
    <w:p w14:paraId="505E45ED">
      <w:pPr>
        <w:jc w:val="center"/>
        <w:rPr>
          <w:rFonts w:hint="eastAsia" w:ascii="宋体" w:hAnsi="宋体"/>
          <w:b/>
          <w:color w:val="auto"/>
          <w:sz w:val="24"/>
          <w:highlight w:val="none"/>
        </w:rPr>
      </w:pPr>
    </w:p>
    <w:p w14:paraId="0AC77B5A">
      <w:pPr>
        <w:jc w:val="center"/>
        <w:rPr>
          <w:rFonts w:hint="eastAsia" w:ascii="宋体" w:hAnsi="宋体"/>
          <w:b/>
          <w:color w:val="auto"/>
          <w:sz w:val="24"/>
          <w:highlight w:val="none"/>
        </w:rPr>
      </w:pPr>
    </w:p>
    <w:p w14:paraId="77124431">
      <w:pPr>
        <w:jc w:val="both"/>
        <w:rPr>
          <w:rFonts w:hint="eastAsia" w:ascii="宋体" w:hAnsi="宋体"/>
          <w:b/>
          <w:color w:val="auto"/>
          <w:sz w:val="24"/>
          <w:highlight w:val="none"/>
        </w:rPr>
      </w:pPr>
    </w:p>
    <w:p w14:paraId="7D3CFE4D">
      <w:pPr>
        <w:jc w:val="both"/>
        <w:rPr>
          <w:rFonts w:hint="eastAsia" w:ascii="宋体" w:hAnsi="宋体"/>
          <w:b/>
          <w:color w:val="auto"/>
          <w:sz w:val="24"/>
          <w:highlight w:val="none"/>
        </w:rPr>
      </w:pPr>
    </w:p>
    <w:p w14:paraId="1BDFAB0A">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s="方正小标宋简体"/>
          <w:b/>
          <w:bCs/>
          <w:color w:val="auto"/>
          <w:sz w:val="32"/>
          <w:szCs w:val="32"/>
          <w:highlight w:val="none"/>
        </w:rPr>
        <w:t>竞标报价表</w:t>
      </w:r>
    </w:p>
    <w:p w14:paraId="068972B6">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5B49DB1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4F70AC8">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53089AC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FB457D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F00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097AFC7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DCDCE2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965391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562BB38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BF55D5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7099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48454953">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52DB34">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0E921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noWrap w:val="0"/>
            <w:vAlign w:val="top"/>
          </w:tcPr>
          <w:p w14:paraId="1EAD0862">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8793E98">
            <w:pPr>
              <w:spacing w:line="360" w:lineRule="auto"/>
              <w:contextualSpacing/>
              <w:rPr>
                <w:rFonts w:ascii="宋体" w:hAnsi="宋体" w:cs="仿宋_GB2312"/>
                <w:color w:val="auto"/>
                <w:sz w:val="24"/>
                <w:highlight w:val="none"/>
              </w:rPr>
            </w:pPr>
          </w:p>
        </w:tc>
      </w:tr>
      <w:tr w14:paraId="7C21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4E22AC4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43AF419B">
      <w:pPr>
        <w:spacing w:line="360" w:lineRule="auto"/>
        <w:contextualSpacing/>
        <w:jc w:val="left"/>
        <w:rPr>
          <w:rFonts w:ascii="宋体" w:hAnsi="宋体" w:cs="仿宋_GB2312"/>
          <w:color w:val="auto"/>
          <w:sz w:val="24"/>
          <w:highlight w:val="none"/>
        </w:rPr>
      </w:pPr>
    </w:p>
    <w:p w14:paraId="1E780E9E">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C1CF5E4">
      <w:pPr>
        <w:spacing w:line="360" w:lineRule="auto"/>
        <w:ind w:firstLine="48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4B3B7DF">
      <w:pPr>
        <w:spacing w:line="360" w:lineRule="auto"/>
        <w:ind w:firstLine="48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A13C94B">
      <w:pPr>
        <w:spacing w:line="360" w:lineRule="auto"/>
        <w:ind w:firstLine="48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433E43A3">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996AB27">
      <w:pPr>
        <w:spacing w:line="360" w:lineRule="auto"/>
        <w:ind w:firstLine="48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BC00081">
      <w:pPr>
        <w:spacing w:line="360" w:lineRule="auto"/>
        <w:ind w:right="-817"/>
        <w:contextualSpacing/>
        <w:rPr>
          <w:rFonts w:hint="eastAsia" w:ascii="宋体" w:hAnsi="宋体" w:cs="仿宋_GB2312"/>
          <w:color w:val="auto"/>
          <w:sz w:val="24"/>
          <w:highlight w:val="none"/>
        </w:rPr>
      </w:pPr>
    </w:p>
    <w:p w14:paraId="72BDD163">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73697B1">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2D96BE8">
      <w:pPr>
        <w:spacing w:line="360" w:lineRule="auto"/>
        <w:ind w:right="-817"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5F1DFB2">
      <w:pPr>
        <w:spacing w:line="360" w:lineRule="auto"/>
        <w:contextualSpacing/>
        <w:jc w:val="center"/>
        <w:rPr>
          <w:rFonts w:hint="eastAsia" w:ascii="宋体" w:hAnsi="宋体" w:cs="仿宋_GB2312"/>
          <w:b/>
          <w:color w:val="auto"/>
          <w:sz w:val="32"/>
          <w:szCs w:val="32"/>
          <w:highlight w:val="none"/>
        </w:rPr>
      </w:pPr>
      <w:r>
        <w:rPr>
          <w:rFonts w:ascii="宋体" w:hAnsi="宋体"/>
          <w:b/>
          <w:bCs/>
          <w:color w:val="auto"/>
          <w:sz w:val="32"/>
          <w:szCs w:val="32"/>
          <w:highlight w:val="none"/>
        </w:rPr>
        <w:br w:type="page" w:clear="all"/>
      </w:r>
      <w:r>
        <w:rPr>
          <w:rFonts w:hint="eastAsia" w:ascii="宋体" w:hAnsi="宋体" w:cs="宋体"/>
          <w:b/>
          <w:color w:val="auto"/>
          <w:sz w:val="32"/>
          <w:szCs w:val="32"/>
          <w:highlight w:val="none"/>
        </w:rPr>
        <w:t>已标价工程量清单</w:t>
      </w:r>
    </w:p>
    <w:p w14:paraId="44029138">
      <w:pPr>
        <w:spacing w:line="360" w:lineRule="auto"/>
        <w:ind w:firstLine="42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s="宋体"/>
          <w:color w:val="auto"/>
          <w:highlight w:val="none"/>
        </w:rPr>
        <w:t>已标价工程量清单应按第五章</w:t>
      </w:r>
      <w:r>
        <w:rPr>
          <w:rFonts w:hint="eastAsia" w:ascii="宋体" w:hAnsi="宋体" w:eastAsia="宋体"/>
          <w:color w:val="auto"/>
          <w:highlight w:val="none"/>
        </w:rPr>
        <w:t>“工程量清单及图纸”</w:t>
      </w:r>
      <w:r>
        <w:rPr>
          <w:rFonts w:hint="eastAsia" w:ascii="宋体" w:hAnsi="宋体" w:eastAsia="宋体" w:cs="宋体"/>
          <w:color w:val="auto"/>
          <w:highlight w:val="none"/>
        </w:rPr>
        <w:t>中的相关表格及竞标报价说明填写。构成合同文件的已标价工程量清单包括第五章</w:t>
      </w:r>
      <w:r>
        <w:rPr>
          <w:rFonts w:hint="eastAsia" w:ascii="宋体" w:hAnsi="宋体" w:eastAsia="宋体"/>
          <w:color w:val="auto"/>
          <w:highlight w:val="none"/>
        </w:rPr>
        <w:t>“工程量清单及图纸”</w:t>
      </w:r>
      <w:r>
        <w:rPr>
          <w:rFonts w:hint="eastAsia" w:ascii="宋体" w:hAnsi="宋体" w:eastAsia="宋体" w:cs="宋体"/>
          <w:color w:val="auto"/>
          <w:highlight w:val="none"/>
        </w:rPr>
        <w:t>有关工程量清单、竞标报价以及其他说明的内容。</w:t>
      </w:r>
    </w:p>
    <w:p w14:paraId="59934AFF">
      <w:pPr>
        <w:spacing w:line="360" w:lineRule="auto"/>
        <w:ind w:firstLine="42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s="宋体"/>
          <w:color w:val="auto"/>
          <w:highlight w:val="none"/>
        </w:rPr>
        <w:t>一般计税法建设工程已标价工程量清单表格按《关于建筑业实施营业税改征增值税后广西壮族自治区建设工程计价依据调整的通知》（桂建标〔</w:t>
      </w:r>
      <w:r>
        <w:rPr>
          <w:rFonts w:ascii="宋体" w:hAnsi="宋体" w:eastAsia="宋体"/>
          <w:color w:val="auto"/>
          <w:highlight w:val="none"/>
        </w:rPr>
        <w:t>2016</w:t>
      </w:r>
      <w:r>
        <w:rPr>
          <w:rFonts w:hint="eastAsia" w:ascii="宋体" w:hAnsi="宋体" w:eastAsia="宋体" w:cs="宋体"/>
          <w:color w:val="auto"/>
          <w:highlight w:val="none"/>
        </w:rPr>
        <w:t>〕</w:t>
      </w:r>
      <w:r>
        <w:rPr>
          <w:rFonts w:ascii="宋体" w:hAnsi="宋体" w:eastAsia="宋体"/>
          <w:color w:val="auto"/>
          <w:highlight w:val="none"/>
        </w:rPr>
        <w:t>17</w:t>
      </w:r>
      <w:r>
        <w:rPr>
          <w:rFonts w:hint="eastAsia" w:ascii="宋体" w:hAnsi="宋体" w:eastAsia="宋体" w:cs="宋体"/>
          <w:color w:val="auto"/>
          <w:highlight w:val="none"/>
        </w:rPr>
        <w:t>号）附件“增值税一般计税方法工程计价表”要求提供，简易计税法表格按《</w:t>
      </w:r>
      <w:r>
        <w:rPr>
          <w:rFonts w:ascii="宋体" w:hAnsi="宋体" w:eastAsia="宋体"/>
          <w:color w:val="auto"/>
          <w:highlight w:val="none"/>
        </w:rPr>
        <w:t>&lt;</w:t>
      </w:r>
      <w:r>
        <w:rPr>
          <w:rFonts w:hint="eastAsia" w:ascii="宋体" w:hAnsi="宋体" w:eastAsia="宋体" w:cs="宋体"/>
          <w:color w:val="auto"/>
          <w:highlight w:val="none"/>
        </w:rPr>
        <w:t>建设工程工程量清单计价规范</w:t>
      </w:r>
      <w:r>
        <w:rPr>
          <w:rFonts w:ascii="宋体" w:hAnsi="宋体" w:eastAsia="宋体"/>
          <w:color w:val="auto"/>
          <w:highlight w:val="none"/>
        </w:rPr>
        <w:t>&gt;</w:t>
      </w:r>
      <w:r>
        <w:rPr>
          <w:rFonts w:hint="eastAsia" w:ascii="宋体" w:hAnsi="宋体" w:eastAsia="宋体" w:cs="宋体"/>
          <w:color w:val="auto"/>
          <w:highlight w:val="none"/>
        </w:rPr>
        <w:t>（</w:t>
      </w:r>
      <w:r>
        <w:rPr>
          <w:rFonts w:ascii="宋体" w:hAnsi="宋体" w:eastAsia="宋体"/>
          <w:color w:val="auto"/>
          <w:highlight w:val="none"/>
        </w:rPr>
        <w:t>GB5050-2013</w:t>
      </w:r>
      <w:r>
        <w:rPr>
          <w:rFonts w:hint="eastAsia" w:ascii="宋体" w:hAnsi="宋体" w:eastAsia="宋体" w:cs="宋体"/>
          <w:color w:val="auto"/>
          <w:highlight w:val="none"/>
        </w:rPr>
        <w:t>）广西壮族自治区实施细则》要求的表格提供，但规费和税费按照《关于建筑业实施营业税改征增值税后广西壮族自治区建设工程计价依据调整的通知》（桂建标〔</w:t>
      </w:r>
      <w:r>
        <w:rPr>
          <w:rFonts w:ascii="宋体" w:hAnsi="宋体" w:eastAsia="宋体"/>
          <w:color w:val="auto"/>
          <w:highlight w:val="none"/>
        </w:rPr>
        <w:t>2016</w:t>
      </w:r>
      <w:r>
        <w:rPr>
          <w:rFonts w:hint="eastAsia" w:ascii="宋体" w:hAnsi="宋体" w:eastAsia="宋体" w:cs="宋体"/>
          <w:color w:val="auto"/>
          <w:highlight w:val="none"/>
        </w:rPr>
        <w:t>〕</w:t>
      </w:r>
      <w:r>
        <w:rPr>
          <w:rFonts w:ascii="宋体" w:hAnsi="宋体" w:eastAsia="宋体"/>
          <w:color w:val="auto"/>
          <w:highlight w:val="none"/>
        </w:rPr>
        <w:t>17</w:t>
      </w:r>
      <w:r>
        <w:rPr>
          <w:rFonts w:hint="eastAsia" w:ascii="宋体" w:hAnsi="宋体" w:eastAsia="宋体" w:cs="宋体"/>
          <w:color w:val="auto"/>
          <w:highlight w:val="none"/>
        </w:rPr>
        <w:t>号）、《自治区住房城乡建设厅关于调整建设工程计价增值税税率的通知》（桂建标〔2018〕14号）、《自治区住房城乡建设厅关于调整建设工程计价增值税税率的通知》（桂建标〔2019〕12号）调整，具体内容包括：</w:t>
      </w:r>
    </w:p>
    <w:p w14:paraId="736EF8F3">
      <w:pPr>
        <w:spacing w:line="360" w:lineRule="auto"/>
        <w:ind w:firstLine="630"/>
        <w:rPr>
          <w:rFonts w:ascii="宋体" w:hAnsi="宋体" w:eastAsia="宋体"/>
          <w:color w:val="auto"/>
          <w:highlight w:val="none"/>
        </w:rPr>
      </w:pPr>
      <w:r>
        <w:rPr>
          <w:rFonts w:ascii="宋体" w:hAnsi="宋体" w:eastAsia="宋体"/>
          <w:color w:val="auto"/>
          <w:highlight w:val="none"/>
        </w:rPr>
        <w:t xml:space="preserve">1.1 </w:t>
      </w:r>
      <w:r>
        <w:rPr>
          <w:rFonts w:hint="eastAsia" w:ascii="宋体" w:hAnsi="宋体" w:eastAsia="宋体" w:cs="宋体"/>
          <w:color w:val="auto"/>
          <w:highlight w:val="none"/>
        </w:rPr>
        <w:t>投标总价（封</w:t>
      </w:r>
      <w:r>
        <w:rPr>
          <w:rFonts w:ascii="宋体" w:hAnsi="宋体" w:eastAsia="宋体"/>
          <w:color w:val="auto"/>
          <w:highlight w:val="none"/>
        </w:rPr>
        <w:t>-3</w:t>
      </w:r>
      <w:r>
        <w:rPr>
          <w:rFonts w:hint="eastAsia" w:ascii="宋体" w:hAnsi="宋体" w:eastAsia="宋体" w:cs="宋体"/>
          <w:color w:val="auto"/>
          <w:highlight w:val="none"/>
        </w:rPr>
        <w:t>）</w:t>
      </w:r>
    </w:p>
    <w:p w14:paraId="40AD44BB">
      <w:pPr>
        <w:spacing w:line="360" w:lineRule="auto"/>
        <w:ind w:firstLine="630"/>
        <w:rPr>
          <w:rFonts w:ascii="宋体" w:hAnsi="宋体" w:eastAsia="宋体"/>
          <w:color w:val="auto"/>
          <w:highlight w:val="none"/>
        </w:rPr>
      </w:pPr>
      <w:r>
        <w:rPr>
          <w:rFonts w:ascii="宋体" w:hAnsi="宋体" w:eastAsia="宋体"/>
          <w:color w:val="auto"/>
          <w:highlight w:val="none"/>
        </w:rPr>
        <w:t xml:space="preserve">1.2 </w:t>
      </w:r>
      <w:r>
        <w:rPr>
          <w:rFonts w:hint="eastAsia" w:ascii="宋体" w:hAnsi="宋体" w:eastAsia="宋体" w:cs="宋体"/>
          <w:color w:val="auto"/>
          <w:highlight w:val="none"/>
        </w:rPr>
        <w:t>投标总价（扉</w:t>
      </w:r>
      <w:r>
        <w:rPr>
          <w:rFonts w:ascii="宋体" w:hAnsi="宋体" w:eastAsia="宋体"/>
          <w:color w:val="auto"/>
          <w:highlight w:val="none"/>
        </w:rPr>
        <w:t>-3</w:t>
      </w:r>
      <w:r>
        <w:rPr>
          <w:rFonts w:hint="eastAsia" w:ascii="宋体" w:hAnsi="宋体" w:eastAsia="宋体" w:cs="宋体"/>
          <w:color w:val="auto"/>
          <w:highlight w:val="none"/>
        </w:rPr>
        <w:t>）</w:t>
      </w:r>
    </w:p>
    <w:p w14:paraId="38377D73">
      <w:pPr>
        <w:spacing w:line="360" w:lineRule="auto"/>
        <w:ind w:firstLine="630"/>
        <w:rPr>
          <w:rFonts w:ascii="宋体" w:hAnsi="宋体" w:eastAsia="宋体"/>
          <w:color w:val="auto"/>
          <w:highlight w:val="none"/>
        </w:rPr>
      </w:pPr>
      <w:r>
        <w:rPr>
          <w:rFonts w:ascii="宋体" w:hAnsi="宋体" w:eastAsia="宋体"/>
          <w:color w:val="auto"/>
          <w:highlight w:val="none"/>
        </w:rPr>
        <w:t xml:space="preserve">1.3 </w:t>
      </w:r>
      <w:r>
        <w:rPr>
          <w:rFonts w:hint="eastAsia" w:ascii="宋体" w:hAnsi="宋体" w:eastAsia="宋体" w:cs="宋体"/>
          <w:color w:val="auto"/>
          <w:highlight w:val="none"/>
        </w:rPr>
        <w:t>总说明（表</w:t>
      </w:r>
      <w:r>
        <w:rPr>
          <w:rFonts w:ascii="宋体" w:hAnsi="宋体" w:eastAsia="宋体"/>
          <w:color w:val="auto"/>
          <w:highlight w:val="none"/>
        </w:rPr>
        <w:t>-01</w:t>
      </w:r>
      <w:r>
        <w:rPr>
          <w:rFonts w:hint="eastAsia" w:ascii="宋体" w:hAnsi="宋体" w:eastAsia="宋体" w:cs="宋体"/>
          <w:color w:val="auto"/>
          <w:highlight w:val="none"/>
        </w:rPr>
        <w:t>）</w:t>
      </w:r>
    </w:p>
    <w:p w14:paraId="6628F00D">
      <w:pPr>
        <w:spacing w:line="360" w:lineRule="auto"/>
        <w:ind w:firstLine="630"/>
        <w:rPr>
          <w:rFonts w:ascii="宋体" w:hAnsi="宋体" w:eastAsia="宋体"/>
          <w:color w:val="auto"/>
          <w:highlight w:val="none"/>
        </w:rPr>
      </w:pPr>
      <w:r>
        <w:rPr>
          <w:rFonts w:ascii="宋体" w:hAnsi="宋体" w:eastAsia="宋体"/>
          <w:color w:val="auto"/>
          <w:highlight w:val="none"/>
        </w:rPr>
        <w:t xml:space="preserve">1.4 </w:t>
      </w:r>
      <w:r>
        <w:rPr>
          <w:rFonts w:hint="eastAsia" w:ascii="宋体" w:hAnsi="宋体" w:eastAsia="宋体" w:cs="宋体"/>
          <w:color w:val="auto"/>
          <w:highlight w:val="none"/>
        </w:rPr>
        <w:t>建设项目投标报价汇总表（表</w:t>
      </w:r>
      <w:r>
        <w:rPr>
          <w:rFonts w:ascii="宋体" w:hAnsi="宋体" w:eastAsia="宋体"/>
          <w:color w:val="auto"/>
          <w:highlight w:val="none"/>
        </w:rPr>
        <w:t>-02</w:t>
      </w:r>
      <w:r>
        <w:rPr>
          <w:rFonts w:hint="eastAsia" w:ascii="宋体" w:hAnsi="宋体" w:eastAsia="宋体" w:cs="宋体"/>
          <w:color w:val="auto"/>
          <w:highlight w:val="none"/>
        </w:rPr>
        <w:t>）</w:t>
      </w:r>
    </w:p>
    <w:p w14:paraId="5DE62A66">
      <w:pPr>
        <w:spacing w:line="360" w:lineRule="auto"/>
        <w:ind w:firstLine="630"/>
        <w:rPr>
          <w:rFonts w:ascii="宋体" w:hAnsi="宋体" w:eastAsia="宋体"/>
          <w:color w:val="auto"/>
          <w:highlight w:val="none"/>
        </w:rPr>
      </w:pPr>
      <w:r>
        <w:rPr>
          <w:rFonts w:ascii="宋体" w:hAnsi="宋体" w:eastAsia="宋体"/>
          <w:color w:val="auto"/>
          <w:highlight w:val="none"/>
        </w:rPr>
        <w:t xml:space="preserve">1.5 </w:t>
      </w:r>
      <w:r>
        <w:rPr>
          <w:rFonts w:hint="eastAsia" w:ascii="宋体" w:hAnsi="宋体" w:eastAsia="宋体" w:cs="宋体"/>
          <w:color w:val="auto"/>
          <w:highlight w:val="none"/>
        </w:rPr>
        <w:t>单项工程投标报价汇总表（表</w:t>
      </w:r>
      <w:r>
        <w:rPr>
          <w:rFonts w:ascii="宋体" w:hAnsi="宋体" w:eastAsia="宋体"/>
          <w:color w:val="auto"/>
          <w:highlight w:val="none"/>
        </w:rPr>
        <w:t>-03</w:t>
      </w:r>
      <w:r>
        <w:rPr>
          <w:rFonts w:hint="eastAsia" w:ascii="宋体" w:hAnsi="宋体" w:eastAsia="宋体" w:cs="宋体"/>
          <w:color w:val="auto"/>
          <w:highlight w:val="none"/>
        </w:rPr>
        <w:t>）</w:t>
      </w:r>
    </w:p>
    <w:p w14:paraId="2AEF9EB2">
      <w:pPr>
        <w:spacing w:line="360" w:lineRule="auto"/>
        <w:ind w:firstLine="630"/>
        <w:rPr>
          <w:rFonts w:ascii="宋体" w:hAnsi="宋体" w:eastAsia="宋体"/>
          <w:color w:val="auto"/>
          <w:highlight w:val="none"/>
        </w:rPr>
      </w:pPr>
      <w:r>
        <w:rPr>
          <w:rFonts w:ascii="宋体" w:hAnsi="宋体" w:eastAsia="宋体"/>
          <w:color w:val="auto"/>
          <w:highlight w:val="none"/>
        </w:rPr>
        <w:t xml:space="preserve">1.6 </w:t>
      </w:r>
      <w:r>
        <w:rPr>
          <w:rFonts w:hint="eastAsia" w:ascii="宋体" w:hAnsi="宋体" w:eastAsia="宋体" w:cs="宋体"/>
          <w:color w:val="auto"/>
          <w:highlight w:val="none"/>
        </w:rPr>
        <w:t>单位工程投标报价汇总表（表</w:t>
      </w:r>
      <w:r>
        <w:rPr>
          <w:rFonts w:ascii="宋体" w:hAnsi="宋体" w:eastAsia="宋体"/>
          <w:color w:val="auto"/>
          <w:highlight w:val="none"/>
        </w:rPr>
        <w:t>-04</w:t>
      </w:r>
      <w:r>
        <w:rPr>
          <w:rFonts w:hint="eastAsia" w:ascii="宋体" w:hAnsi="宋体" w:eastAsia="宋体" w:cs="宋体"/>
          <w:color w:val="auto"/>
          <w:highlight w:val="none"/>
        </w:rPr>
        <w:t>）</w:t>
      </w:r>
    </w:p>
    <w:p w14:paraId="45EEF577">
      <w:pPr>
        <w:spacing w:line="360" w:lineRule="auto"/>
        <w:ind w:firstLine="630"/>
        <w:rPr>
          <w:rFonts w:ascii="宋体" w:hAnsi="宋体" w:eastAsia="宋体"/>
          <w:color w:val="auto"/>
          <w:highlight w:val="none"/>
        </w:rPr>
      </w:pPr>
      <w:r>
        <w:rPr>
          <w:rFonts w:ascii="宋体" w:hAnsi="宋体" w:eastAsia="宋体"/>
          <w:color w:val="auto"/>
          <w:highlight w:val="none"/>
        </w:rPr>
        <w:t xml:space="preserve">1.7 </w:t>
      </w:r>
      <w:r>
        <w:rPr>
          <w:rFonts w:hint="eastAsia" w:ascii="宋体" w:hAnsi="宋体" w:eastAsia="宋体" w:cs="宋体"/>
          <w:color w:val="auto"/>
          <w:highlight w:val="none"/>
        </w:rPr>
        <w:t>分部分项工程和单价措施项目清单与计价表（表</w:t>
      </w:r>
      <w:r>
        <w:rPr>
          <w:rFonts w:ascii="宋体" w:hAnsi="宋体" w:eastAsia="宋体"/>
          <w:color w:val="auto"/>
          <w:highlight w:val="none"/>
        </w:rPr>
        <w:t>-08</w:t>
      </w:r>
      <w:r>
        <w:rPr>
          <w:rFonts w:hint="eastAsia" w:ascii="宋体" w:hAnsi="宋体" w:eastAsia="宋体" w:cs="宋体"/>
          <w:color w:val="auto"/>
          <w:highlight w:val="none"/>
        </w:rPr>
        <w:t>）</w:t>
      </w:r>
    </w:p>
    <w:p w14:paraId="4C9157DA">
      <w:pPr>
        <w:spacing w:line="360" w:lineRule="auto"/>
        <w:ind w:firstLine="630"/>
        <w:rPr>
          <w:rFonts w:ascii="宋体" w:hAnsi="宋体" w:eastAsia="宋体"/>
          <w:color w:val="auto"/>
          <w:highlight w:val="none"/>
        </w:rPr>
      </w:pPr>
      <w:r>
        <w:rPr>
          <w:rFonts w:ascii="宋体" w:hAnsi="宋体" w:eastAsia="宋体"/>
          <w:color w:val="auto"/>
          <w:highlight w:val="none"/>
        </w:rPr>
        <w:t xml:space="preserve">1.8 </w:t>
      </w:r>
      <w:r>
        <w:rPr>
          <w:rFonts w:hint="eastAsia" w:ascii="宋体" w:hAnsi="宋体" w:eastAsia="宋体" w:cs="宋体"/>
          <w:color w:val="auto"/>
          <w:highlight w:val="none"/>
        </w:rPr>
        <w:t>工程量清单综合单价分析表（表</w:t>
      </w:r>
      <w:r>
        <w:rPr>
          <w:rFonts w:ascii="宋体" w:hAnsi="宋体" w:eastAsia="宋体"/>
          <w:color w:val="auto"/>
          <w:highlight w:val="none"/>
        </w:rPr>
        <w:t>-09</w:t>
      </w:r>
      <w:r>
        <w:rPr>
          <w:rFonts w:hint="eastAsia" w:ascii="宋体" w:hAnsi="宋体" w:eastAsia="宋体" w:cs="宋体"/>
          <w:color w:val="auto"/>
          <w:highlight w:val="none"/>
        </w:rPr>
        <w:t>）</w:t>
      </w:r>
    </w:p>
    <w:p w14:paraId="421B231E">
      <w:pPr>
        <w:spacing w:line="360" w:lineRule="auto"/>
        <w:ind w:firstLine="630"/>
        <w:rPr>
          <w:rFonts w:ascii="宋体" w:hAnsi="宋体" w:eastAsia="宋体"/>
          <w:color w:val="auto"/>
          <w:highlight w:val="none"/>
        </w:rPr>
      </w:pPr>
      <w:r>
        <w:rPr>
          <w:rFonts w:ascii="宋体" w:hAnsi="宋体" w:eastAsia="宋体"/>
          <w:color w:val="auto"/>
          <w:highlight w:val="none"/>
        </w:rPr>
        <w:t xml:space="preserve">1.9 </w:t>
      </w:r>
      <w:r>
        <w:rPr>
          <w:rFonts w:hint="eastAsia" w:ascii="宋体" w:hAnsi="宋体" w:eastAsia="宋体" w:cs="宋体"/>
          <w:color w:val="auto"/>
          <w:highlight w:val="none"/>
        </w:rPr>
        <w:t>主要清单项目工料机分析表（表</w:t>
      </w:r>
      <w:r>
        <w:rPr>
          <w:rFonts w:ascii="宋体" w:hAnsi="宋体" w:eastAsia="宋体"/>
          <w:color w:val="auto"/>
          <w:highlight w:val="none"/>
        </w:rPr>
        <w:t>-10</w:t>
      </w:r>
      <w:r>
        <w:rPr>
          <w:rFonts w:hint="eastAsia" w:ascii="宋体" w:hAnsi="宋体" w:eastAsia="宋体" w:cs="宋体"/>
          <w:color w:val="auto"/>
          <w:highlight w:val="none"/>
        </w:rPr>
        <w:t>）【备注：可按要求有选择</w:t>
      </w:r>
      <w:r>
        <w:rPr>
          <w:rFonts w:hint="eastAsia" w:ascii="宋体" w:hAnsi="宋体" w:eastAsia="宋体" w:cs="宋体"/>
          <w:color w:val="auto"/>
          <w:highlight w:val="none"/>
          <w:lang w:eastAsia="zh-CN"/>
        </w:rPr>
        <w:t>地</w:t>
      </w:r>
      <w:r>
        <w:rPr>
          <w:rFonts w:hint="eastAsia" w:ascii="宋体" w:hAnsi="宋体" w:eastAsia="宋体" w:cs="宋体"/>
          <w:color w:val="auto"/>
          <w:highlight w:val="none"/>
        </w:rPr>
        <w:t>提供】</w:t>
      </w:r>
    </w:p>
    <w:p w14:paraId="586FEA33">
      <w:pPr>
        <w:spacing w:line="360" w:lineRule="auto"/>
        <w:ind w:firstLine="630"/>
        <w:rPr>
          <w:rFonts w:ascii="宋体" w:hAnsi="宋体" w:eastAsia="宋体"/>
          <w:color w:val="auto"/>
          <w:highlight w:val="none"/>
        </w:rPr>
      </w:pPr>
      <w:r>
        <w:rPr>
          <w:rFonts w:ascii="宋体" w:hAnsi="宋体" w:eastAsia="宋体"/>
          <w:color w:val="auto"/>
          <w:highlight w:val="none"/>
        </w:rPr>
        <w:t xml:space="preserve">1.10 </w:t>
      </w:r>
      <w:r>
        <w:rPr>
          <w:rFonts w:hint="eastAsia" w:ascii="宋体" w:hAnsi="宋体" w:eastAsia="宋体" w:cs="宋体"/>
          <w:color w:val="auto"/>
          <w:highlight w:val="none"/>
        </w:rPr>
        <w:t>总价措施项目清单与计价表（表</w:t>
      </w:r>
      <w:r>
        <w:rPr>
          <w:rFonts w:ascii="宋体" w:hAnsi="宋体" w:eastAsia="宋体"/>
          <w:color w:val="auto"/>
          <w:highlight w:val="none"/>
        </w:rPr>
        <w:t>-11</w:t>
      </w:r>
      <w:r>
        <w:rPr>
          <w:rFonts w:hint="eastAsia" w:ascii="宋体" w:hAnsi="宋体" w:eastAsia="宋体" w:cs="宋体"/>
          <w:color w:val="auto"/>
          <w:highlight w:val="none"/>
        </w:rPr>
        <w:t>）</w:t>
      </w:r>
    </w:p>
    <w:p w14:paraId="6FF19BA6">
      <w:pPr>
        <w:spacing w:line="360" w:lineRule="auto"/>
        <w:ind w:firstLine="630"/>
        <w:rPr>
          <w:rFonts w:ascii="宋体" w:hAnsi="宋体" w:eastAsia="宋体"/>
          <w:color w:val="auto"/>
          <w:highlight w:val="none"/>
        </w:rPr>
      </w:pPr>
      <w:r>
        <w:rPr>
          <w:rFonts w:ascii="宋体" w:hAnsi="宋体" w:eastAsia="宋体"/>
          <w:color w:val="auto"/>
          <w:highlight w:val="none"/>
        </w:rPr>
        <w:t xml:space="preserve">1.11 </w:t>
      </w:r>
      <w:r>
        <w:rPr>
          <w:rFonts w:hint="eastAsia" w:ascii="宋体" w:hAnsi="宋体" w:eastAsia="宋体" w:cs="宋体"/>
          <w:color w:val="auto"/>
          <w:highlight w:val="none"/>
        </w:rPr>
        <w:t>其他项目清单与计价汇总表（表</w:t>
      </w:r>
      <w:r>
        <w:rPr>
          <w:rFonts w:ascii="宋体" w:hAnsi="宋体" w:eastAsia="宋体"/>
          <w:color w:val="auto"/>
          <w:highlight w:val="none"/>
        </w:rPr>
        <w:t>-12</w:t>
      </w:r>
      <w:r>
        <w:rPr>
          <w:rFonts w:hint="eastAsia" w:ascii="宋体" w:hAnsi="宋体" w:eastAsia="宋体" w:cs="宋体"/>
          <w:color w:val="auto"/>
          <w:highlight w:val="none"/>
        </w:rPr>
        <w:t>）</w:t>
      </w:r>
    </w:p>
    <w:p w14:paraId="5331FB90">
      <w:pPr>
        <w:spacing w:line="360" w:lineRule="auto"/>
        <w:ind w:firstLine="630"/>
        <w:rPr>
          <w:rFonts w:ascii="宋体" w:hAnsi="宋体" w:eastAsia="宋体"/>
          <w:color w:val="auto"/>
          <w:highlight w:val="none"/>
        </w:rPr>
      </w:pPr>
      <w:r>
        <w:rPr>
          <w:rFonts w:ascii="宋体" w:hAnsi="宋体" w:eastAsia="宋体"/>
          <w:color w:val="auto"/>
          <w:highlight w:val="none"/>
        </w:rPr>
        <w:t xml:space="preserve">1.12 </w:t>
      </w:r>
      <w:r>
        <w:rPr>
          <w:rFonts w:hint="eastAsia" w:ascii="宋体" w:hAnsi="宋体" w:eastAsia="宋体" w:cs="宋体"/>
          <w:color w:val="auto"/>
          <w:highlight w:val="none"/>
        </w:rPr>
        <w:t>暂列金额明细表（表</w:t>
      </w:r>
      <w:r>
        <w:rPr>
          <w:rFonts w:ascii="宋体" w:hAnsi="宋体" w:eastAsia="宋体"/>
          <w:color w:val="auto"/>
          <w:highlight w:val="none"/>
        </w:rPr>
        <w:t>12-1</w:t>
      </w:r>
      <w:r>
        <w:rPr>
          <w:rFonts w:hint="eastAsia" w:ascii="宋体" w:hAnsi="宋体" w:eastAsia="宋体" w:cs="宋体"/>
          <w:color w:val="auto"/>
          <w:highlight w:val="none"/>
        </w:rPr>
        <w:t>）</w:t>
      </w:r>
    </w:p>
    <w:p w14:paraId="4E872715">
      <w:pPr>
        <w:spacing w:line="360" w:lineRule="auto"/>
        <w:ind w:firstLine="630"/>
        <w:rPr>
          <w:rFonts w:ascii="宋体" w:hAnsi="宋体" w:eastAsia="宋体"/>
          <w:color w:val="auto"/>
          <w:highlight w:val="none"/>
        </w:rPr>
      </w:pPr>
      <w:r>
        <w:rPr>
          <w:rFonts w:ascii="宋体" w:hAnsi="宋体" w:eastAsia="宋体"/>
          <w:color w:val="auto"/>
          <w:highlight w:val="none"/>
        </w:rPr>
        <w:t xml:space="preserve">1.13 </w:t>
      </w:r>
      <w:r>
        <w:rPr>
          <w:rFonts w:hint="eastAsia" w:ascii="宋体" w:hAnsi="宋体" w:eastAsia="宋体" w:cs="宋体"/>
          <w:color w:val="auto"/>
          <w:highlight w:val="none"/>
        </w:rPr>
        <w:t>材料（工程设备）暂估单价及调整表（表</w:t>
      </w:r>
      <w:r>
        <w:rPr>
          <w:rFonts w:ascii="宋体" w:hAnsi="宋体" w:eastAsia="宋体"/>
          <w:color w:val="auto"/>
          <w:highlight w:val="none"/>
        </w:rPr>
        <w:t>12-2</w:t>
      </w:r>
      <w:r>
        <w:rPr>
          <w:rFonts w:hint="eastAsia" w:ascii="宋体" w:hAnsi="宋体" w:eastAsia="宋体" w:cs="宋体"/>
          <w:color w:val="auto"/>
          <w:highlight w:val="none"/>
        </w:rPr>
        <w:t>）</w:t>
      </w:r>
    </w:p>
    <w:p w14:paraId="5A3DE7F3">
      <w:pPr>
        <w:spacing w:line="360" w:lineRule="auto"/>
        <w:ind w:firstLine="630"/>
        <w:rPr>
          <w:rFonts w:ascii="宋体" w:hAnsi="宋体" w:eastAsia="宋体"/>
          <w:color w:val="auto"/>
          <w:highlight w:val="none"/>
        </w:rPr>
      </w:pPr>
      <w:r>
        <w:rPr>
          <w:rFonts w:ascii="宋体" w:hAnsi="宋体" w:eastAsia="宋体"/>
          <w:color w:val="auto"/>
          <w:highlight w:val="none"/>
        </w:rPr>
        <w:t xml:space="preserve">1.14 </w:t>
      </w:r>
      <w:r>
        <w:rPr>
          <w:rFonts w:hint="eastAsia" w:ascii="宋体" w:hAnsi="宋体" w:eastAsia="宋体" w:cs="宋体"/>
          <w:color w:val="auto"/>
          <w:highlight w:val="none"/>
        </w:rPr>
        <w:t>专业工程暂估价及结算价表（表</w:t>
      </w:r>
      <w:r>
        <w:rPr>
          <w:rFonts w:ascii="宋体" w:hAnsi="宋体" w:eastAsia="宋体"/>
          <w:color w:val="auto"/>
          <w:highlight w:val="none"/>
        </w:rPr>
        <w:t>12-3</w:t>
      </w:r>
      <w:r>
        <w:rPr>
          <w:rFonts w:hint="eastAsia" w:ascii="宋体" w:hAnsi="宋体" w:eastAsia="宋体" w:cs="宋体"/>
          <w:color w:val="auto"/>
          <w:highlight w:val="none"/>
        </w:rPr>
        <w:t>）</w:t>
      </w:r>
    </w:p>
    <w:p w14:paraId="0CBE810B">
      <w:pPr>
        <w:spacing w:line="360" w:lineRule="auto"/>
        <w:ind w:firstLine="630"/>
        <w:rPr>
          <w:rFonts w:ascii="宋体" w:hAnsi="宋体" w:eastAsia="宋体"/>
          <w:color w:val="auto"/>
          <w:highlight w:val="none"/>
        </w:rPr>
      </w:pPr>
      <w:r>
        <w:rPr>
          <w:rFonts w:ascii="宋体" w:hAnsi="宋体" w:eastAsia="宋体"/>
          <w:color w:val="auto"/>
          <w:highlight w:val="none"/>
        </w:rPr>
        <w:t>1.15</w:t>
      </w:r>
      <w:r>
        <w:rPr>
          <w:rFonts w:hint="eastAsia" w:ascii="宋体" w:hAnsi="宋体" w:eastAsia="宋体" w:cs="宋体"/>
          <w:color w:val="auto"/>
          <w:highlight w:val="none"/>
        </w:rPr>
        <w:t>计日工表（表</w:t>
      </w:r>
      <w:r>
        <w:rPr>
          <w:rFonts w:ascii="宋体" w:hAnsi="宋体" w:eastAsia="宋体"/>
          <w:color w:val="auto"/>
          <w:highlight w:val="none"/>
        </w:rPr>
        <w:t>12-4</w:t>
      </w:r>
      <w:r>
        <w:rPr>
          <w:rFonts w:hint="eastAsia" w:ascii="宋体" w:hAnsi="宋体" w:eastAsia="宋体" w:cs="宋体"/>
          <w:color w:val="auto"/>
          <w:highlight w:val="none"/>
        </w:rPr>
        <w:t>）</w:t>
      </w:r>
    </w:p>
    <w:p w14:paraId="37A6EED3">
      <w:pPr>
        <w:spacing w:line="360" w:lineRule="auto"/>
        <w:ind w:firstLine="630"/>
        <w:rPr>
          <w:rFonts w:ascii="宋体" w:hAnsi="宋体" w:eastAsia="宋体"/>
          <w:color w:val="auto"/>
          <w:highlight w:val="none"/>
        </w:rPr>
      </w:pPr>
      <w:r>
        <w:rPr>
          <w:rFonts w:ascii="宋体" w:hAnsi="宋体" w:eastAsia="宋体"/>
          <w:color w:val="auto"/>
          <w:highlight w:val="none"/>
        </w:rPr>
        <w:t xml:space="preserve">1.16 </w:t>
      </w:r>
      <w:r>
        <w:rPr>
          <w:rFonts w:hint="eastAsia" w:ascii="宋体" w:hAnsi="宋体" w:eastAsia="宋体" w:cs="宋体"/>
          <w:color w:val="auto"/>
          <w:highlight w:val="none"/>
        </w:rPr>
        <w:t>总承包服务费计价表（表</w:t>
      </w:r>
      <w:r>
        <w:rPr>
          <w:rFonts w:ascii="宋体" w:hAnsi="宋体" w:eastAsia="宋体"/>
          <w:color w:val="auto"/>
          <w:highlight w:val="none"/>
        </w:rPr>
        <w:t>12-5</w:t>
      </w:r>
      <w:r>
        <w:rPr>
          <w:rFonts w:hint="eastAsia" w:ascii="宋体" w:hAnsi="宋体" w:eastAsia="宋体" w:cs="宋体"/>
          <w:color w:val="auto"/>
          <w:highlight w:val="none"/>
        </w:rPr>
        <w:t>）</w:t>
      </w:r>
    </w:p>
    <w:p w14:paraId="592DE4F1">
      <w:pPr>
        <w:spacing w:line="360" w:lineRule="auto"/>
        <w:ind w:firstLine="630"/>
        <w:rPr>
          <w:rFonts w:ascii="宋体" w:hAnsi="宋体" w:eastAsia="宋体"/>
          <w:color w:val="auto"/>
          <w:highlight w:val="none"/>
        </w:rPr>
      </w:pPr>
      <w:r>
        <w:rPr>
          <w:rFonts w:ascii="宋体" w:hAnsi="宋体" w:eastAsia="宋体"/>
          <w:color w:val="auto"/>
          <w:highlight w:val="none"/>
        </w:rPr>
        <w:t xml:space="preserve">1.17 </w:t>
      </w:r>
      <w:r>
        <w:rPr>
          <w:rFonts w:hint="eastAsia" w:ascii="宋体" w:hAnsi="宋体" w:eastAsia="宋体" w:cs="宋体"/>
          <w:color w:val="auto"/>
          <w:highlight w:val="none"/>
        </w:rPr>
        <w:t>税前项目清单与计价表（表</w:t>
      </w:r>
      <w:r>
        <w:rPr>
          <w:rFonts w:ascii="宋体" w:hAnsi="宋体" w:eastAsia="宋体"/>
          <w:color w:val="auto"/>
          <w:highlight w:val="none"/>
        </w:rPr>
        <w:t>-14</w:t>
      </w:r>
      <w:r>
        <w:rPr>
          <w:rFonts w:hint="eastAsia" w:ascii="宋体" w:hAnsi="宋体" w:eastAsia="宋体" w:cs="宋体"/>
          <w:color w:val="auto"/>
          <w:highlight w:val="none"/>
        </w:rPr>
        <w:t>）</w:t>
      </w:r>
    </w:p>
    <w:p w14:paraId="26170F0C">
      <w:pPr>
        <w:spacing w:line="360" w:lineRule="auto"/>
        <w:ind w:firstLine="630"/>
        <w:rPr>
          <w:rFonts w:ascii="宋体" w:hAnsi="宋体" w:eastAsia="宋体"/>
          <w:color w:val="auto"/>
          <w:highlight w:val="none"/>
        </w:rPr>
      </w:pPr>
      <w:r>
        <w:rPr>
          <w:rFonts w:ascii="宋体" w:hAnsi="宋体" w:eastAsia="宋体"/>
          <w:color w:val="auto"/>
          <w:highlight w:val="none"/>
        </w:rPr>
        <w:t xml:space="preserve">1.18 </w:t>
      </w:r>
      <w:r>
        <w:rPr>
          <w:rFonts w:hint="eastAsia" w:ascii="宋体" w:hAnsi="宋体" w:eastAsia="宋体" w:cs="宋体"/>
          <w:color w:val="auto"/>
          <w:highlight w:val="none"/>
        </w:rPr>
        <w:t>规费、增值税计价表（表</w:t>
      </w:r>
      <w:r>
        <w:rPr>
          <w:rFonts w:ascii="宋体" w:hAnsi="宋体" w:eastAsia="宋体"/>
          <w:color w:val="auto"/>
          <w:highlight w:val="none"/>
        </w:rPr>
        <w:t>-15</w:t>
      </w:r>
      <w:r>
        <w:rPr>
          <w:rFonts w:hint="eastAsia" w:ascii="宋体" w:hAnsi="宋体" w:eastAsia="宋体" w:cs="宋体"/>
          <w:color w:val="auto"/>
          <w:highlight w:val="none"/>
        </w:rPr>
        <w:t>）</w:t>
      </w:r>
    </w:p>
    <w:p w14:paraId="54FD6925">
      <w:pPr>
        <w:spacing w:line="360" w:lineRule="auto"/>
        <w:ind w:firstLine="630"/>
        <w:rPr>
          <w:rFonts w:ascii="宋体" w:hAnsi="宋体" w:eastAsia="宋体"/>
          <w:color w:val="auto"/>
          <w:highlight w:val="none"/>
        </w:rPr>
      </w:pPr>
      <w:r>
        <w:rPr>
          <w:rFonts w:ascii="宋体" w:hAnsi="宋体" w:eastAsia="宋体"/>
          <w:color w:val="auto"/>
          <w:highlight w:val="none"/>
        </w:rPr>
        <w:t xml:space="preserve">1.19 </w:t>
      </w:r>
      <w:r>
        <w:rPr>
          <w:rFonts w:hint="eastAsia" w:ascii="宋体" w:hAnsi="宋体" w:eastAsia="宋体" w:cs="宋体"/>
          <w:color w:val="auto"/>
          <w:highlight w:val="none"/>
        </w:rPr>
        <w:t>发包人提供主要材料和工程设备一览表（表</w:t>
      </w:r>
      <w:r>
        <w:rPr>
          <w:rFonts w:ascii="宋体" w:hAnsi="宋体" w:eastAsia="宋体"/>
          <w:color w:val="auto"/>
          <w:highlight w:val="none"/>
        </w:rPr>
        <w:t>-21</w:t>
      </w:r>
      <w:r>
        <w:rPr>
          <w:rFonts w:hint="eastAsia" w:ascii="宋体" w:hAnsi="宋体" w:eastAsia="宋体" w:cs="宋体"/>
          <w:color w:val="auto"/>
          <w:highlight w:val="none"/>
        </w:rPr>
        <w:t>）</w:t>
      </w:r>
    </w:p>
    <w:p w14:paraId="10288D03">
      <w:pPr>
        <w:spacing w:line="360" w:lineRule="auto"/>
        <w:ind w:firstLine="630"/>
        <w:rPr>
          <w:rFonts w:ascii="宋体" w:hAnsi="宋体" w:eastAsia="宋体"/>
          <w:color w:val="auto"/>
          <w:highlight w:val="none"/>
        </w:rPr>
      </w:pPr>
      <w:r>
        <w:rPr>
          <w:rFonts w:ascii="宋体" w:hAnsi="宋体" w:eastAsia="宋体"/>
          <w:color w:val="auto"/>
          <w:highlight w:val="none"/>
        </w:rPr>
        <w:t xml:space="preserve">1.20 </w:t>
      </w:r>
      <w:r>
        <w:rPr>
          <w:rFonts w:hint="eastAsia" w:ascii="宋体" w:hAnsi="宋体" w:eastAsia="宋体" w:cs="宋体"/>
          <w:color w:val="auto"/>
          <w:highlight w:val="none"/>
        </w:rPr>
        <w:t>允许调整主要材料和工程设备一览表（适用于造价信息差额调整法）（表</w:t>
      </w:r>
      <w:r>
        <w:rPr>
          <w:rFonts w:ascii="宋体" w:hAnsi="宋体" w:eastAsia="宋体"/>
          <w:color w:val="auto"/>
          <w:highlight w:val="none"/>
        </w:rPr>
        <w:t>-22</w:t>
      </w:r>
      <w:r>
        <w:rPr>
          <w:rFonts w:hint="eastAsia" w:ascii="宋体" w:hAnsi="宋体" w:eastAsia="宋体" w:cs="宋体"/>
          <w:color w:val="auto"/>
          <w:highlight w:val="none"/>
        </w:rPr>
        <w:t>）</w:t>
      </w:r>
    </w:p>
    <w:p w14:paraId="16787297">
      <w:pPr>
        <w:spacing w:line="360" w:lineRule="auto"/>
        <w:ind w:firstLine="630"/>
        <w:rPr>
          <w:rFonts w:ascii="宋体" w:hAnsi="宋体" w:eastAsia="宋体"/>
          <w:color w:val="auto"/>
          <w:highlight w:val="none"/>
        </w:rPr>
      </w:pPr>
      <w:r>
        <w:rPr>
          <w:rFonts w:ascii="宋体" w:hAnsi="宋体" w:eastAsia="宋体"/>
          <w:color w:val="auto"/>
          <w:highlight w:val="none"/>
        </w:rPr>
        <w:t xml:space="preserve">1.21 </w:t>
      </w:r>
      <w:r>
        <w:rPr>
          <w:rFonts w:hint="eastAsia" w:ascii="宋体" w:hAnsi="宋体" w:eastAsia="宋体" w:cs="宋体"/>
          <w:color w:val="auto"/>
          <w:highlight w:val="none"/>
        </w:rPr>
        <w:t>允许调整主要材料和工程设备一览表（适用于价格指数差额调整法）（表</w:t>
      </w:r>
      <w:r>
        <w:rPr>
          <w:rFonts w:ascii="宋体" w:hAnsi="宋体" w:eastAsia="宋体"/>
          <w:color w:val="auto"/>
          <w:highlight w:val="none"/>
        </w:rPr>
        <w:t>-23</w:t>
      </w:r>
      <w:r>
        <w:rPr>
          <w:rFonts w:hint="eastAsia" w:ascii="宋体" w:hAnsi="宋体" w:eastAsia="宋体" w:cs="宋体"/>
          <w:color w:val="auto"/>
          <w:highlight w:val="none"/>
        </w:rPr>
        <w:t>）</w:t>
      </w:r>
    </w:p>
    <w:p w14:paraId="2FD39E26">
      <w:pPr>
        <w:spacing w:line="360" w:lineRule="auto"/>
        <w:ind w:firstLine="630"/>
        <w:rPr>
          <w:rFonts w:ascii="宋体" w:hAnsi="宋体" w:eastAsia="宋体"/>
          <w:color w:val="auto"/>
          <w:highlight w:val="none"/>
        </w:rPr>
      </w:pPr>
      <w:r>
        <w:rPr>
          <w:rFonts w:hint="eastAsia" w:ascii="宋体" w:hAnsi="宋体" w:eastAsia="宋体"/>
          <w:color w:val="auto"/>
          <w:highlight w:val="none"/>
        </w:rPr>
        <w:t>1.22</w:t>
      </w:r>
      <w:r>
        <w:rPr>
          <w:rFonts w:hint="eastAsia" w:ascii="宋体" w:hAnsi="宋体" w:eastAsia="宋体" w:cs="宋体"/>
          <w:color w:val="auto"/>
          <w:highlight w:val="none"/>
        </w:rPr>
        <w:t>本工程</w:t>
      </w:r>
      <w:r>
        <w:rPr>
          <w:rFonts w:ascii="宋体" w:hAnsi="宋体" w:eastAsia="宋体" w:cs="宋体"/>
          <w:color w:val="auto"/>
          <w:highlight w:val="none"/>
        </w:rPr>
        <w:t>材料和工程设备</w:t>
      </w:r>
      <w:r>
        <w:rPr>
          <w:rFonts w:hint="eastAsia" w:ascii="宋体" w:hAnsi="宋体" w:eastAsia="宋体" w:cs="宋体"/>
          <w:color w:val="auto"/>
          <w:highlight w:val="none"/>
        </w:rPr>
        <w:t>一览表（表-24）</w:t>
      </w:r>
    </w:p>
    <w:p w14:paraId="38A27944">
      <w:pPr>
        <w:spacing w:line="360" w:lineRule="auto"/>
        <w:rPr>
          <w:rFonts w:ascii="宋体" w:hAnsi="宋体" w:eastAsia="宋体"/>
          <w:color w:val="auto"/>
          <w:highlight w:val="none"/>
        </w:rPr>
      </w:pPr>
      <w:r>
        <w:rPr>
          <w:rFonts w:hint="eastAsia" w:ascii="宋体" w:hAnsi="宋体" w:eastAsia="宋体" w:cs="宋体"/>
          <w:color w:val="auto"/>
          <w:highlight w:val="none"/>
        </w:rPr>
        <w:t>备注：</w:t>
      </w:r>
    </w:p>
    <w:p w14:paraId="49BA6C43">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1</w:t>
      </w:r>
      <w:r>
        <w:rPr>
          <w:rFonts w:hint="eastAsia" w:ascii="宋体" w:hAnsi="宋体" w:eastAsia="宋体" w:cs="宋体"/>
          <w:color w:val="auto"/>
          <w:highlight w:val="none"/>
        </w:rPr>
        <w:t>）供应商在上传电子响应文件时应上传纸质投标总价封面的原件扫描件。投标总价封面必须经供应商盖章，并由法定代表人（或其授权人）签字（或盖章），同时由编制人签字盖专用章。</w:t>
      </w:r>
    </w:p>
    <w:p w14:paraId="03E57125">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2</w:t>
      </w:r>
      <w:r>
        <w:rPr>
          <w:rFonts w:hint="eastAsia" w:ascii="宋体" w:hAnsi="宋体" w:eastAsia="宋体" w:cs="宋体"/>
          <w:color w:val="auto"/>
          <w:highlight w:val="none"/>
        </w:rPr>
        <w:t>）</w:t>
      </w:r>
      <w:r>
        <w:rPr>
          <w:rFonts w:ascii="宋体" w:hAnsi="宋体" w:eastAsia="宋体"/>
          <w:color w:val="auto"/>
          <w:highlight w:val="none"/>
        </w:rPr>
        <w:t>1.8</w:t>
      </w:r>
      <w:r>
        <w:rPr>
          <w:rFonts w:hint="eastAsia" w:ascii="宋体" w:hAnsi="宋体" w:eastAsia="宋体" w:cs="宋体"/>
          <w:color w:val="auto"/>
          <w:highlight w:val="none"/>
        </w:rPr>
        <w:t>工程量清单综合单价分析表和</w:t>
      </w:r>
      <w:r>
        <w:rPr>
          <w:rFonts w:ascii="宋体" w:hAnsi="宋体" w:eastAsia="宋体"/>
          <w:color w:val="auto"/>
          <w:highlight w:val="none"/>
        </w:rPr>
        <w:t>1.9</w:t>
      </w:r>
      <w:r>
        <w:rPr>
          <w:rFonts w:hint="eastAsia" w:ascii="宋体" w:hAnsi="宋体" w:eastAsia="宋体" w:cs="宋体"/>
          <w:color w:val="auto"/>
          <w:highlight w:val="none"/>
        </w:rPr>
        <w:t>主要清单项目工料机分析表要求附上。</w:t>
      </w:r>
    </w:p>
    <w:p w14:paraId="2FCDF730">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w:t>
      </w:r>
      <w:r>
        <w:rPr>
          <w:rFonts w:ascii="宋体" w:hAnsi="宋体" w:eastAsia="宋体"/>
          <w:color w:val="auto"/>
          <w:highlight w:val="none"/>
        </w:rPr>
        <w:t>3</w:t>
      </w:r>
      <w:r>
        <w:rPr>
          <w:rFonts w:hint="eastAsia" w:ascii="宋体" w:hAnsi="宋体" w:eastAsia="宋体" w:cs="宋体"/>
          <w:color w:val="auto"/>
          <w:highlight w:val="none"/>
        </w:rPr>
        <w:t>）已标价工程量清单表格要严格按照招标工程量清单给出的表格要求和内容填报。如本工程在合同中约定采用造价信息价差调整法，1.</w:t>
      </w:r>
      <w:r>
        <w:rPr>
          <w:rFonts w:ascii="宋体" w:hAnsi="宋体" w:eastAsia="宋体"/>
          <w:color w:val="auto"/>
          <w:highlight w:val="none"/>
        </w:rPr>
        <w:t xml:space="preserve">18 </w:t>
      </w:r>
      <w:r>
        <w:rPr>
          <w:rFonts w:hint="eastAsia" w:ascii="宋体" w:hAnsi="宋体" w:eastAsia="宋体" w:cs="宋体"/>
          <w:color w:val="auto"/>
          <w:highlight w:val="none"/>
        </w:rPr>
        <w:t>允许调整主要材料和工程设备一览表（适用于造价信息差额调整法）（表</w:t>
      </w:r>
      <w:r>
        <w:rPr>
          <w:rFonts w:ascii="宋体" w:hAnsi="宋体" w:eastAsia="宋体"/>
          <w:color w:val="auto"/>
          <w:highlight w:val="none"/>
        </w:rPr>
        <w:t>-22</w:t>
      </w:r>
      <w:r>
        <w:rPr>
          <w:rFonts w:hint="eastAsia" w:ascii="宋体" w:hAnsi="宋体" w:eastAsia="宋体" w:cs="宋体"/>
          <w:color w:val="auto"/>
          <w:highlight w:val="none"/>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6A9CCF74">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①建设项目投标报价汇总表（表</w:t>
      </w:r>
      <w:r>
        <w:rPr>
          <w:rFonts w:ascii="宋体" w:hAnsi="宋体" w:eastAsia="宋体"/>
          <w:color w:val="auto"/>
          <w:highlight w:val="none"/>
        </w:rPr>
        <w:t>-02</w:t>
      </w:r>
      <w:r>
        <w:rPr>
          <w:rFonts w:hint="eastAsia" w:ascii="宋体" w:hAnsi="宋体" w:eastAsia="宋体" w:cs="宋体"/>
          <w:color w:val="auto"/>
          <w:highlight w:val="none"/>
        </w:rPr>
        <w:t>）</w:t>
      </w:r>
    </w:p>
    <w:p w14:paraId="15DF23B3">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②暂列金额明细表（表</w:t>
      </w:r>
      <w:r>
        <w:rPr>
          <w:rFonts w:ascii="宋体" w:hAnsi="宋体" w:eastAsia="宋体"/>
          <w:color w:val="auto"/>
          <w:highlight w:val="none"/>
        </w:rPr>
        <w:t>12-1</w:t>
      </w:r>
      <w:r>
        <w:rPr>
          <w:rFonts w:hint="eastAsia" w:ascii="宋体" w:hAnsi="宋体" w:eastAsia="宋体" w:cs="宋体"/>
          <w:color w:val="auto"/>
          <w:highlight w:val="none"/>
        </w:rPr>
        <w:t>）</w:t>
      </w:r>
    </w:p>
    <w:p w14:paraId="1600016A">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③材料（工程设备）暂估单位及调整表（表</w:t>
      </w:r>
      <w:r>
        <w:rPr>
          <w:rFonts w:ascii="宋体" w:hAnsi="宋体" w:eastAsia="宋体"/>
          <w:color w:val="auto"/>
          <w:highlight w:val="none"/>
        </w:rPr>
        <w:t>12-2</w:t>
      </w:r>
      <w:r>
        <w:rPr>
          <w:rFonts w:hint="eastAsia" w:ascii="宋体" w:hAnsi="宋体" w:eastAsia="宋体" w:cs="宋体"/>
          <w:color w:val="auto"/>
          <w:highlight w:val="none"/>
        </w:rPr>
        <w:t>）</w:t>
      </w:r>
    </w:p>
    <w:p w14:paraId="0DC00EF1">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④专业工程暂估价及结算价表（表</w:t>
      </w:r>
      <w:r>
        <w:rPr>
          <w:rFonts w:ascii="宋体" w:hAnsi="宋体" w:eastAsia="宋体"/>
          <w:color w:val="auto"/>
          <w:highlight w:val="none"/>
        </w:rPr>
        <w:t>12-3</w:t>
      </w:r>
      <w:r>
        <w:rPr>
          <w:rFonts w:hint="eastAsia" w:ascii="宋体" w:hAnsi="宋体" w:eastAsia="宋体" w:cs="宋体"/>
          <w:color w:val="auto"/>
          <w:highlight w:val="none"/>
        </w:rPr>
        <w:t>）</w:t>
      </w:r>
    </w:p>
    <w:p w14:paraId="77E412C0">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⑤计日工表（表</w:t>
      </w:r>
      <w:r>
        <w:rPr>
          <w:rFonts w:ascii="宋体" w:hAnsi="宋体" w:eastAsia="宋体"/>
          <w:color w:val="auto"/>
          <w:highlight w:val="none"/>
        </w:rPr>
        <w:t>12-4</w:t>
      </w:r>
      <w:r>
        <w:rPr>
          <w:rFonts w:hint="eastAsia" w:ascii="宋体" w:hAnsi="宋体" w:eastAsia="宋体" w:cs="宋体"/>
          <w:color w:val="auto"/>
          <w:highlight w:val="none"/>
        </w:rPr>
        <w:t>）</w:t>
      </w:r>
    </w:p>
    <w:p w14:paraId="275391CC">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⑥总承包服务费计价表（表</w:t>
      </w:r>
      <w:r>
        <w:rPr>
          <w:rFonts w:ascii="宋体" w:hAnsi="宋体" w:eastAsia="宋体"/>
          <w:color w:val="auto"/>
          <w:highlight w:val="none"/>
        </w:rPr>
        <w:t>12-5</w:t>
      </w:r>
      <w:r>
        <w:rPr>
          <w:rFonts w:hint="eastAsia" w:ascii="宋体" w:hAnsi="宋体" w:eastAsia="宋体" w:cs="宋体"/>
          <w:color w:val="auto"/>
          <w:highlight w:val="none"/>
        </w:rPr>
        <w:t>）</w:t>
      </w:r>
    </w:p>
    <w:p w14:paraId="23377F2F">
      <w:pPr>
        <w:spacing w:line="360" w:lineRule="auto"/>
        <w:ind w:firstLine="420"/>
        <w:rPr>
          <w:rFonts w:ascii="宋体" w:hAnsi="宋体" w:eastAsia="宋体"/>
          <w:color w:val="auto"/>
          <w:highlight w:val="none"/>
        </w:rPr>
      </w:pPr>
      <w:r>
        <w:rPr>
          <w:rFonts w:hint="eastAsia" w:ascii="宋体" w:hAnsi="宋体" w:eastAsia="宋体" w:cs="宋体"/>
          <w:color w:val="auto"/>
          <w:highlight w:val="none"/>
        </w:rPr>
        <w:t>⑦税前项目清单与计价表（表</w:t>
      </w:r>
      <w:r>
        <w:rPr>
          <w:rFonts w:ascii="宋体" w:hAnsi="宋体" w:eastAsia="宋体"/>
          <w:color w:val="auto"/>
          <w:highlight w:val="none"/>
        </w:rPr>
        <w:t>-14</w:t>
      </w:r>
      <w:r>
        <w:rPr>
          <w:rFonts w:hint="eastAsia" w:ascii="宋体" w:hAnsi="宋体" w:eastAsia="宋体" w:cs="宋体"/>
          <w:color w:val="auto"/>
          <w:highlight w:val="none"/>
        </w:rPr>
        <w:t>）</w:t>
      </w:r>
    </w:p>
    <w:p w14:paraId="1E328A9B">
      <w:pPr>
        <w:spacing w:line="360" w:lineRule="auto"/>
        <w:ind w:firstLine="420"/>
        <w:rPr>
          <w:rFonts w:ascii="宋体" w:hAnsi="宋体" w:eastAsia="宋体" w:cs="宋体"/>
          <w:color w:val="auto"/>
          <w:highlight w:val="none"/>
        </w:rPr>
      </w:pPr>
      <w:r>
        <w:rPr>
          <w:rFonts w:hint="eastAsia" w:ascii="宋体" w:hAnsi="宋体" w:eastAsia="宋体"/>
          <w:color w:val="auto"/>
          <w:highlight w:val="none"/>
        </w:rPr>
        <w:fldChar w:fldCharType="begin"/>
      </w:r>
      <w:r>
        <w:rPr>
          <w:rFonts w:ascii="宋体" w:hAnsi="宋体" w:eastAsia="宋体"/>
          <w:color w:val="auto"/>
          <w:highlight w:val="none"/>
        </w:rPr>
        <w:instrText xml:space="preserve"> = 8 \* GB3 </w:instrText>
      </w:r>
      <w:r>
        <w:rPr>
          <w:rFonts w:hint="eastAsia" w:ascii="宋体" w:hAnsi="宋体" w:eastAsia="宋体"/>
          <w:color w:val="auto"/>
          <w:highlight w:val="none"/>
        </w:rPr>
        <w:fldChar w:fldCharType="separate"/>
      </w:r>
      <w:r>
        <w:rPr>
          <w:rFonts w:hint="eastAsia" w:ascii="宋体" w:hAnsi="宋体" w:eastAsia="宋体"/>
          <w:color w:val="auto"/>
          <w:highlight w:val="none"/>
        </w:rPr>
        <w:t>⑧</w:t>
      </w:r>
      <w:r>
        <w:rPr>
          <w:rFonts w:hint="eastAsia" w:ascii="宋体" w:hAnsi="宋体" w:eastAsia="宋体"/>
          <w:color w:val="auto"/>
          <w:highlight w:val="none"/>
        </w:rPr>
        <w:fldChar w:fldCharType="end"/>
      </w:r>
      <w:r>
        <w:rPr>
          <w:rFonts w:hint="eastAsia" w:ascii="宋体" w:hAnsi="宋体" w:eastAsia="宋体" w:cs="宋体"/>
          <w:color w:val="auto"/>
          <w:highlight w:val="none"/>
        </w:rPr>
        <w:t>允许调整主要材料和工程设备一览表（适用于价格指数差额调整法）（表</w:t>
      </w:r>
      <w:r>
        <w:rPr>
          <w:rFonts w:ascii="宋体" w:hAnsi="宋体" w:eastAsia="宋体"/>
          <w:color w:val="auto"/>
          <w:highlight w:val="none"/>
        </w:rPr>
        <w:t>-23</w:t>
      </w:r>
      <w:r>
        <w:rPr>
          <w:rFonts w:hint="eastAsia" w:ascii="宋体" w:hAnsi="宋体" w:eastAsia="宋体" w:cs="宋体"/>
          <w:color w:val="auto"/>
          <w:highlight w:val="none"/>
        </w:rPr>
        <w:t>）</w:t>
      </w:r>
    </w:p>
    <w:p w14:paraId="6102C977">
      <w:pPr>
        <w:spacing w:line="360" w:lineRule="auto"/>
        <w:ind w:firstLine="420"/>
        <w:contextualSpacing/>
        <w:jc w:val="left"/>
        <w:rPr>
          <w:rFonts w:ascii="宋体" w:hAnsi="宋体" w:eastAsia="宋体" w:cs="宋体"/>
          <w:color w:val="auto"/>
          <w:highlight w:val="none"/>
        </w:rPr>
      </w:pPr>
      <w:r>
        <w:rPr>
          <w:rFonts w:hint="eastAsia" w:ascii="宋体" w:hAnsi="宋体" w:eastAsia="宋体" w:cs="宋体"/>
          <w:color w:val="auto"/>
          <w:highlight w:val="none"/>
        </w:rPr>
        <w:t>注：因2021年《广西壮族自治区园林绿化及仿古建筑工程费用定额》采用全费用综合单价形式，故园林绿化及仿古建筑工程的已标价工程量清单</w:t>
      </w:r>
      <w:r>
        <w:rPr>
          <w:rFonts w:hint="eastAsia" w:ascii="宋体" w:hAnsi="宋体" w:eastAsia="宋体" w:cs="黑体"/>
          <w:color w:val="auto"/>
          <w:highlight w:val="none"/>
        </w:rPr>
        <w:t>采用</w:t>
      </w:r>
      <w:r>
        <w:rPr>
          <w:rFonts w:hint="eastAsia" w:ascii="宋体" w:hAnsi="宋体" w:eastAsia="宋体" w:cs="宋体"/>
          <w:color w:val="auto"/>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6BA1028">
      <w:pPr>
        <w:spacing w:line="360" w:lineRule="auto"/>
        <w:ind w:firstLine="420"/>
        <w:contextualSpacing/>
        <w:jc w:val="left"/>
        <w:rPr>
          <w:rFonts w:hint="eastAsia"/>
          <w:color w:val="auto"/>
          <w:highlight w:val="none"/>
        </w:rPr>
      </w:pPr>
    </w:p>
    <w:p w14:paraId="7FC6AE24">
      <w:pPr>
        <w:pStyle w:val="43"/>
        <w:rPr>
          <w:rFonts w:hint="eastAsia"/>
          <w:color w:val="auto"/>
          <w:highlight w:val="none"/>
        </w:rPr>
      </w:pPr>
    </w:p>
    <w:p w14:paraId="54592775">
      <w:pPr>
        <w:rPr>
          <w:rFonts w:hint="eastAsia"/>
          <w:color w:val="auto"/>
          <w:highlight w:val="none"/>
        </w:rPr>
      </w:pPr>
    </w:p>
    <w:p w14:paraId="38385F8D">
      <w:pPr>
        <w:pStyle w:val="43"/>
        <w:rPr>
          <w:rFonts w:hint="eastAsia"/>
          <w:color w:val="auto"/>
          <w:highlight w:val="none"/>
        </w:rPr>
      </w:pPr>
    </w:p>
    <w:p w14:paraId="3E2DACB5">
      <w:pPr>
        <w:rPr>
          <w:rFonts w:hint="eastAsia"/>
          <w:color w:val="auto"/>
          <w:highlight w:val="none"/>
        </w:rPr>
      </w:pPr>
    </w:p>
    <w:p w14:paraId="240570B4">
      <w:pPr>
        <w:pStyle w:val="43"/>
        <w:rPr>
          <w:rFonts w:hint="eastAsia"/>
          <w:color w:val="auto"/>
          <w:highlight w:val="none"/>
        </w:rPr>
      </w:pPr>
    </w:p>
    <w:p w14:paraId="2530722A">
      <w:pPr>
        <w:rPr>
          <w:rFonts w:hint="eastAsia"/>
          <w:color w:val="auto"/>
          <w:highlight w:val="none"/>
        </w:rPr>
      </w:pPr>
    </w:p>
    <w:p w14:paraId="445C62DE">
      <w:pPr>
        <w:spacing w:line="360" w:lineRule="auto"/>
        <w:jc w:val="left"/>
        <w:rPr>
          <w:rFonts w:hint="eastAsia" w:ascii="宋体" w:hAnsi="宋体"/>
          <w:b/>
          <w:bCs/>
          <w:color w:val="auto"/>
          <w:sz w:val="32"/>
          <w:szCs w:val="32"/>
          <w:highlight w:val="none"/>
        </w:rPr>
      </w:pPr>
    </w:p>
    <w:p w14:paraId="28FE350B">
      <w:pPr>
        <w:spacing w:line="360" w:lineRule="auto"/>
        <w:ind w:firstLine="643"/>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6923050">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0734B1E">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88500AF">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1D2FC98">
      <w:pPr>
        <w:spacing w:before="120" w:after="50"/>
        <w:rPr>
          <w:rFonts w:hint="eastAsia" w:ascii="宋体" w:hAnsi="宋体"/>
          <w:color w:val="auto"/>
          <w:sz w:val="24"/>
          <w:szCs w:val="20"/>
          <w:highlight w:val="none"/>
        </w:rPr>
      </w:pPr>
    </w:p>
    <w:p w14:paraId="1B257546">
      <w:pPr>
        <w:spacing w:before="120" w:after="50"/>
        <w:rPr>
          <w:rFonts w:hint="eastAsia" w:ascii="宋体" w:hAnsi="宋体"/>
          <w:color w:val="auto"/>
          <w:sz w:val="24"/>
          <w:szCs w:val="20"/>
          <w:highlight w:val="none"/>
        </w:rPr>
      </w:pPr>
    </w:p>
    <w:p w14:paraId="6BAB56A6">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B1A840F">
      <w:pPr>
        <w:spacing w:before="120" w:after="50"/>
        <w:rPr>
          <w:rFonts w:hint="eastAsia" w:ascii="宋体" w:hAnsi="宋体"/>
          <w:bCs/>
          <w:color w:val="auto"/>
          <w:sz w:val="24"/>
          <w:szCs w:val="20"/>
          <w:highlight w:val="none"/>
        </w:rPr>
      </w:pPr>
    </w:p>
    <w:p w14:paraId="050F480F">
      <w:pPr>
        <w:spacing w:before="120" w:after="50"/>
        <w:rPr>
          <w:rFonts w:hint="eastAsia" w:ascii="宋体" w:hAnsi="宋体"/>
          <w:bCs/>
          <w:color w:val="auto"/>
          <w:sz w:val="24"/>
          <w:szCs w:val="20"/>
          <w:highlight w:val="none"/>
        </w:rPr>
      </w:pPr>
    </w:p>
    <w:p w14:paraId="21970252">
      <w:pPr>
        <w:spacing w:before="120" w:after="50"/>
        <w:rPr>
          <w:rFonts w:hint="eastAsia" w:ascii="宋体" w:hAnsi="宋体"/>
          <w:bCs/>
          <w:color w:val="auto"/>
          <w:sz w:val="24"/>
          <w:szCs w:val="20"/>
          <w:highlight w:val="none"/>
        </w:rPr>
      </w:pPr>
    </w:p>
    <w:p w14:paraId="5AAB0D3F">
      <w:pPr>
        <w:spacing w:before="120" w:after="50"/>
        <w:rPr>
          <w:rFonts w:hint="eastAsia" w:ascii="宋体" w:hAnsi="宋体"/>
          <w:bCs/>
          <w:color w:val="auto"/>
          <w:sz w:val="24"/>
          <w:szCs w:val="20"/>
          <w:highlight w:val="none"/>
        </w:rPr>
      </w:pPr>
    </w:p>
    <w:p w14:paraId="1B9F9315">
      <w:pPr>
        <w:spacing w:before="120" w:after="50"/>
        <w:rPr>
          <w:rFonts w:hint="eastAsia" w:ascii="宋体" w:hAnsi="宋体"/>
          <w:bCs/>
          <w:color w:val="auto"/>
          <w:sz w:val="24"/>
          <w:szCs w:val="20"/>
          <w:highlight w:val="none"/>
        </w:rPr>
      </w:pPr>
    </w:p>
    <w:p w14:paraId="22125155">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5214647">
      <w:pPr>
        <w:spacing w:before="120" w:after="50"/>
        <w:ind w:firstLine="720"/>
        <w:rPr>
          <w:rFonts w:hint="eastAsia" w:ascii="宋体" w:hAnsi="宋体" w:cs="仿宋_GB2312"/>
          <w:bCs/>
          <w:color w:val="auto"/>
          <w:sz w:val="32"/>
          <w:szCs w:val="32"/>
          <w:highlight w:val="none"/>
        </w:rPr>
      </w:pPr>
    </w:p>
    <w:p w14:paraId="2B5E77BD">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16F7B73">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F2650E2">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4DD6CD">
      <w:pPr>
        <w:spacing w:before="120" w:after="50"/>
        <w:ind w:firstLine="720"/>
        <w:rPr>
          <w:rFonts w:hint="eastAsia" w:ascii="宋体" w:hAnsi="宋体" w:cs="仿宋_GB2312"/>
          <w:bCs/>
          <w:color w:val="auto"/>
          <w:sz w:val="32"/>
          <w:szCs w:val="32"/>
          <w:highlight w:val="none"/>
        </w:rPr>
      </w:pPr>
    </w:p>
    <w:p w14:paraId="1B301AF3">
      <w:pPr>
        <w:pStyle w:val="195"/>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EBB6EC">
      <w:pPr>
        <w:pStyle w:val="195"/>
        <w:spacing w:before="50" w:after="50"/>
        <w:ind w:firstLine="0"/>
        <w:rPr>
          <w:rFonts w:hint="eastAsia" w:ascii="宋体" w:hAnsi="宋体" w:cs="仿宋_GB2312"/>
          <w:bCs/>
          <w:color w:val="auto"/>
          <w:sz w:val="32"/>
          <w:szCs w:val="32"/>
          <w:highlight w:val="none"/>
        </w:rPr>
      </w:pPr>
    </w:p>
    <w:p w14:paraId="7BCAEB80">
      <w:pPr>
        <w:pStyle w:val="195"/>
        <w:spacing w:before="50" w:after="50"/>
        <w:ind w:firstLine="1280"/>
        <w:rPr>
          <w:rFonts w:hint="eastAsia" w:ascii="宋体" w:hAnsi="宋体" w:cs="仿宋_GB2312"/>
          <w:bCs/>
          <w:color w:val="auto"/>
          <w:sz w:val="32"/>
          <w:szCs w:val="32"/>
          <w:highlight w:val="none"/>
        </w:rPr>
      </w:pPr>
    </w:p>
    <w:p w14:paraId="540EC258">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8BEECED">
      <w:pPr>
        <w:spacing w:before="120" w:after="50" w:line="360" w:lineRule="auto"/>
        <w:ind w:right="480" w:firstLine="240"/>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2E24BA7E">
      <w:pPr>
        <w:spacing w:before="120"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1513E32">
      <w:pPr>
        <w:spacing w:line="400" w:lineRule="exact"/>
        <w:rPr>
          <w:rFonts w:hint="eastAsia" w:ascii="仿宋_GB2312" w:hAnsi="仿宋_GB2312" w:eastAsia="仿宋_GB2312" w:cs="仿宋_GB2312"/>
          <w:color w:val="auto"/>
          <w:sz w:val="32"/>
          <w:szCs w:val="32"/>
          <w:highlight w:val="none"/>
        </w:rPr>
      </w:pPr>
    </w:p>
    <w:p w14:paraId="14F33A61">
      <w:pPr>
        <w:spacing w:line="520" w:lineRule="exact"/>
        <w:jc w:val="center"/>
        <w:rPr>
          <w:rFonts w:hint="eastAsia" w:ascii="宋体" w:hAnsi="宋体" w:cs="仿宋_GB2312"/>
          <w:b/>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宋体" w:hAnsi="宋体" w:cs="方正小标宋简体"/>
          <w:b/>
          <w:color w:val="auto"/>
          <w:sz w:val="32"/>
          <w:szCs w:val="32"/>
          <w:highlight w:val="none"/>
        </w:rPr>
        <w:t>无串通竞标行为的承诺函</w:t>
      </w:r>
    </w:p>
    <w:p w14:paraId="61EE7DB6">
      <w:pPr>
        <w:spacing w:line="360" w:lineRule="auto"/>
        <w:ind w:firstLine="640"/>
        <w:contextualSpacing/>
        <w:rPr>
          <w:rFonts w:hint="eastAsia" w:ascii="仿宋_GB2312" w:hAnsi="仿宋_GB2312" w:eastAsia="仿宋_GB2312" w:cs="仿宋_GB2312"/>
          <w:color w:val="auto"/>
          <w:sz w:val="32"/>
          <w:szCs w:val="32"/>
          <w:highlight w:val="none"/>
        </w:rPr>
      </w:pPr>
    </w:p>
    <w:p w14:paraId="460CD2DD">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6B8A86E">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或不同供应商报名的IP地址一致的； </w:t>
      </w:r>
    </w:p>
    <w:p w14:paraId="79D7A25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26921F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0274CD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892093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0CD11DD">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148D40F">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D37B91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950048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C6FFE9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3F4457F">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57DB5D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06C0F6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7DC28B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6323454">
      <w:pPr>
        <w:spacing w:line="360" w:lineRule="auto"/>
        <w:ind w:firstLine="480"/>
        <w:contextualSpacing/>
        <w:rPr>
          <w:rFonts w:hint="eastAsia" w:ascii="宋体" w:hAnsi="宋体" w:cs="仿宋_GB2312"/>
          <w:color w:val="auto"/>
          <w:sz w:val="24"/>
          <w:highlight w:val="none"/>
        </w:rPr>
      </w:pPr>
    </w:p>
    <w:p w14:paraId="0E50F630">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AFB8319">
      <w:pPr>
        <w:spacing w:line="360" w:lineRule="auto"/>
        <w:contextualSpacing/>
        <w:rPr>
          <w:rFonts w:hint="eastAsia" w:ascii="宋体" w:hAnsi="宋体" w:cs="仿宋_GB2312"/>
          <w:color w:val="auto"/>
          <w:sz w:val="24"/>
          <w:highlight w:val="none"/>
        </w:rPr>
      </w:pPr>
    </w:p>
    <w:p w14:paraId="439E431E">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D3E7EEE">
      <w:pPr>
        <w:spacing w:line="360" w:lineRule="auto"/>
        <w:ind w:firstLine="48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E0867E0">
      <w:pPr>
        <w:spacing w:line="520" w:lineRule="exact"/>
        <w:jc w:val="center"/>
        <w:rPr>
          <w:rFonts w:hint="eastAsia" w:ascii="宋体" w:hAnsi="宋体" w:cs="仿宋_GB2312"/>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clear="all"/>
      </w:r>
      <w:r>
        <w:rPr>
          <w:rFonts w:hint="eastAsia" w:ascii="宋体" w:hAnsi="宋体" w:cs="方正小标宋简体"/>
          <w:b/>
          <w:bCs/>
          <w:color w:val="auto"/>
          <w:sz w:val="32"/>
          <w:szCs w:val="32"/>
          <w:highlight w:val="none"/>
        </w:rPr>
        <w:t>法定代表人证明书</w:t>
      </w:r>
    </w:p>
    <w:p w14:paraId="22C22528">
      <w:pPr>
        <w:spacing w:line="360" w:lineRule="auto"/>
        <w:ind w:left="540"/>
        <w:contextualSpacing/>
        <w:rPr>
          <w:rFonts w:hint="eastAsia" w:ascii="仿宋_GB2312" w:hAnsi="仿宋_GB2312" w:eastAsia="仿宋_GB2312" w:cs="仿宋_GB2312"/>
          <w:color w:val="auto"/>
          <w:sz w:val="32"/>
          <w:szCs w:val="32"/>
          <w:highlight w:val="none"/>
        </w:rPr>
      </w:pPr>
    </w:p>
    <w:p w14:paraId="7EE326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8DFEDD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E40AD9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F5B809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653A5C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C1A89D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394398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FD794F2">
      <w:pPr>
        <w:spacing w:line="360" w:lineRule="auto"/>
        <w:ind w:left="540"/>
        <w:contextualSpacing/>
        <w:rPr>
          <w:rFonts w:hint="eastAsia" w:ascii="宋体" w:hAnsi="宋体" w:cs="仿宋_GB2312"/>
          <w:color w:val="auto"/>
          <w:sz w:val="24"/>
          <w:highlight w:val="none"/>
        </w:rPr>
      </w:pPr>
    </w:p>
    <w:p w14:paraId="73E31C7F">
      <w:pPr>
        <w:spacing w:line="360" w:lineRule="auto"/>
        <w:ind w:left="540"/>
        <w:contextualSpacing/>
        <w:rPr>
          <w:rFonts w:hint="eastAsia" w:ascii="宋体" w:hAnsi="宋体" w:cs="仿宋_GB2312"/>
          <w:color w:val="auto"/>
          <w:sz w:val="24"/>
          <w:highlight w:val="none"/>
        </w:rPr>
      </w:pPr>
    </w:p>
    <w:p w14:paraId="69994FFA">
      <w:pPr>
        <w:spacing w:line="360" w:lineRule="auto"/>
        <w:ind w:left="540"/>
        <w:contextualSpacing/>
        <w:rPr>
          <w:rFonts w:hint="eastAsia" w:ascii="宋体" w:hAnsi="宋体" w:cs="仿宋_GB2312"/>
          <w:color w:val="auto"/>
          <w:sz w:val="24"/>
          <w:highlight w:val="none"/>
        </w:rPr>
      </w:pPr>
    </w:p>
    <w:p w14:paraId="2D3DC19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val="en-US" w:eastAsia="zh-CN"/>
        </w:rPr>
        <w:t>或扫描件</w:t>
      </w:r>
    </w:p>
    <w:p w14:paraId="09D96090">
      <w:pPr>
        <w:spacing w:line="360" w:lineRule="auto"/>
        <w:ind w:left="540"/>
        <w:contextualSpacing/>
        <w:rPr>
          <w:rFonts w:hint="eastAsia" w:ascii="宋体" w:hAnsi="宋体" w:cs="仿宋_GB2312"/>
          <w:color w:val="auto"/>
          <w:sz w:val="24"/>
          <w:highlight w:val="none"/>
        </w:rPr>
      </w:pPr>
    </w:p>
    <w:p w14:paraId="300DF068">
      <w:pPr>
        <w:spacing w:line="360" w:lineRule="auto"/>
        <w:ind w:left="540" w:firstLine="30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1C5C1354">
      <w:pPr>
        <w:spacing w:line="360" w:lineRule="auto"/>
        <w:ind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CD621F9">
      <w:pPr>
        <w:spacing w:line="360" w:lineRule="auto"/>
        <w:contextualSpacing/>
        <w:jc w:val="center"/>
        <w:rPr>
          <w:rFonts w:hint="eastAsia" w:ascii="宋体" w:hAnsi="宋体" w:cs="仿宋_GB2312"/>
          <w:b/>
          <w:color w:val="auto"/>
          <w:sz w:val="24"/>
          <w:highlight w:val="none"/>
        </w:rPr>
      </w:pPr>
    </w:p>
    <w:p w14:paraId="066ACE1B">
      <w:pPr>
        <w:spacing w:line="360" w:lineRule="auto"/>
        <w:contextualSpacing/>
        <w:jc w:val="left"/>
        <w:rPr>
          <w:rFonts w:hint="eastAsia" w:ascii="宋体" w:hAnsi="宋体" w:cs="仿宋_GB2312"/>
          <w:color w:val="auto"/>
          <w:sz w:val="24"/>
          <w:highlight w:val="none"/>
        </w:rPr>
      </w:pPr>
    </w:p>
    <w:p w14:paraId="2EAE7520">
      <w:pPr>
        <w:spacing w:line="300" w:lineRule="auto"/>
        <w:jc w:val="left"/>
        <w:rPr>
          <w:rFonts w:hint="eastAsia" w:ascii="宋体" w:hAnsi="宋体"/>
          <w:b/>
          <w:color w:val="auto"/>
          <w:szCs w:val="21"/>
          <w:highlight w:val="none"/>
        </w:rPr>
      </w:pPr>
    </w:p>
    <w:p w14:paraId="59BD28C9">
      <w:pPr>
        <w:spacing w:line="500" w:lineRule="exact"/>
        <w:jc w:val="center"/>
        <w:rPr>
          <w:rFonts w:hint="eastAsia" w:ascii="宋体" w:hAnsi="宋体" w:cs="方正小标宋简体"/>
          <w:b/>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ascii="方正小标宋简体" w:hAnsi="方正小标宋简体" w:eastAsia="方正小标宋简体" w:cs="方正小标宋简体"/>
          <w:color w:val="auto"/>
          <w:sz w:val="44"/>
          <w:szCs w:val="44"/>
          <w:highlight w:val="none"/>
        </w:rPr>
        <w:t xml:space="preserve"> </w:t>
      </w:r>
      <w:bookmarkStart w:id="115" w:name="_Hlk65853643"/>
      <w:r>
        <w:rPr>
          <w:rFonts w:hint="eastAsia" w:ascii="宋体" w:hAnsi="宋体" w:cs="方正小标宋简体"/>
          <w:b/>
          <w:color w:val="auto"/>
          <w:sz w:val="32"/>
          <w:szCs w:val="32"/>
          <w:highlight w:val="none"/>
        </w:rPr>
        <w:t>授权委托书</w:t>
      </w:r>
    </w:p>
    <w:p w14:paraId="74F540C0">
      <w:pPr>
        <w:spacing w:line="520" w:lineRule="exact"/>
        <w:jc w:val="center"/>
        <w:rPr>
          <w:rFonts w:hint="eastAsia" w:ascii="宋体" w:hAnsi="宋体" w:cs="方正小标宋简体"/>
          <w:b/>
          <w:color w:val="auto"/>
          <w:sz w:val="24"/>
          <w:highlight w:val="none"/>
        </w:rPr>
      </w:pPr>
      <w:r>
        <w:rPr>
          <w:rFonts w:hint="eastAsia" w:ascii="宋体" w:hAnsi="宋体" w:cs="方正小标宋简体"/>
          <w:b/>
          <w:color w:val="auto"/>
          <w:sz w:val="24"/>
          <w:highlight w:val="none"/>
        </w:rPr>
        <w:t>（如有委托时）</w:t>
      </w:r>
    </w:p>
    <w:p w14:paraId="5A1A9BC2">
      <w:pPr>
        <w:spacing w:line="520" w:lineRule="exact"/>
        <w:rPr>
          <w:rFonts w:hint="eastAsia" w:ascii="仿宋_GB2312" w:hAnsi="仿宋_GB2312" w:eastAsia="仿宋_GB2312" w:cs="仿宋_GB2312"/>
          <w:color w:val="auto"/>
          <w:sz w:val="32"/>
          <w:szCs w:val="32"/>
          <w:highlight w:val="none"/>
        </w:rPr>
      </w:pPr>
    </w:p>
    <w:p w14:paraId="1DCCB9B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2B03381">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C54DEC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6F1E87E8">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78AB045">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37F1DF">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val="en-US" w:eastAsia="zh-CN"/>
        </w:rPr>
        <w:t>或扫描件</w:t>
      </w:r>
    </w:p>
    <w:p w14:paraId="7B80DE4C">
      <w:pPr>
        <w:spacing w:line="360" w:lineRule="auto"/>
        <w:rPr>
          <w:rFonts w:hint="eastAsia" w:ascii="宋体" w:hAnsi="宋体" w:cs="仿宋_GB2312"/>
          <w:color w:val="auto"/>
          <w:sz w:val="24"/>
          <w:highlight w:val="none"/>
        </w:rPr>
      </w:pPr>
    </w:p>
    <w:p w14:paraId="027D674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3FAC87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F0BEBB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97145E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A56BDB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614BB72">
      <w:pPr>
        <w:spacing w:line="360" w:lineRule="auto"/>
        <w:rPr>
          <w:rFonts w:hint="eastAsia" w:ascii="宋体" w:hAnsi="宋体" w:cs="仿宋_GB2312"/>
          <w:color w:val="auto"/>
          <w:sz w:val="24"/>
          <w:highlight w:val="none"/>
        </w:rPr>
      </w:pPr>
    </w:p>
    <w:p w14:paraId="3D06C6D6">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6EBB0595">
      <w:pPr>
        <w:spacing w:line="360" w:lineRule="auto"/>
        <w:ind w:firstLine="420"/>
        <w:jc w:val="left"/>
        <w:rPr>
          <w:rFonts w:hint="eastAsia" w:ascii="仿宋_GB2312" w:hAnsi="仿宋_GB2312" w:eastAsia="仿宋_GB2312" w:cs="仿宋_GB2312"/>
          <w:color w:val="auto"/>
          <w:szCs w:val="21"/>
          <w:highlight w:val="none"/>
        </w:rPr>
      </w:pPr>
    </w:p>
    <w:p w14:paraId="327DB0E7">
      <w:pPr>
        <w:spacing w:line="500" w:lineRule="exact"/>
        <w:jc w:val="center"/>
        <w:rPr>
          <w:rFonts w:ascii="宋体" w:hAnsi="宋体" w:cs="方正小标宋简体"/>
          <w:b/>
          <w:color w:val="auto"/>
          <w:sz w:val="32"/>
          <w:szCs w:val="32"/>
          <w:highlight w:val="none"/>
        </w:rPr>
      </w:pPr>
      <w:r>
        <w:rPr>
          <w:rFonts w:ascii="仿宋_GB2312" w:hAnsi="仿宋_GB2312" w:eastAsia="仿宋_GB2312" w:cs="仿宋_GB2312"/>
          <w:color w:val="auto"/>
          <w:szCs w:val="21"/>
          <w:highlight w:val="none"/>
        </w:rPr>
        <w:br w:type="page" w:clear="all"/>
      </w:r>
      <w:bookmarkEnd w:id="115"/>
    </w:p>
    <w:p w14:paraId="65EDD4F3">
      <w:pPr>
        <w:spacing w:line="360" w:lineRule="auto"/>
        <w:jc w:val="cente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2FB48056">
      <w:pPr>
        <w:spacing w:line="360" w:lineRule="auto"/>
        <w:jc w:val="center"/>
        <w:rPr>
          <w:rFonts w:hint="eastAsia" w:ascii="宋体" w:hAnsi="宋体" w:cs="宋体"/>
          <w:color w:val="auto"/>
          <w:szCs w:val="21"/>
          <w:highlight w:val="none"/>
        </w:rPr>
      </w:pPr>
    </w:p>
    <w:p w14:paraId="43996C3E">
      <w:pPr>
        <w:spacing w:line="360" w:lineRule="auto"/>
        <w:ind w:firstLine="48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430575A1">
      <w:pPr>
        <w:spacing w:line="360" w:lineRule="auto"/>
        <w:ind w:firstLine="480"/>
        <w:jc w:val="center"/>
        <w:rPr>
          <w:rFonts w:hint="eastAsia"/>
          <w:color w:val="auto"/>
          <w:sz w:val="24"/>
          <w:highlight w:val="none"/>
        </w:rPr>
      </w:pPr>
    </w:p>
    <w:p w14:paraId="1CB400AA">
      <w:pPr>
        <w:spacing w:line="360" w:lineRule="auto"/>
        <w:contextualSpacing/>
        <w:rPr>
          <w:rFonts w:hint="eastAsia" w:ascii="宋体" w:hAnsi="宋体" w:cs="仿宋_GB2312"/>
          <w:color w:val="auto"/>
          <w:sz w:val="24"/>
          <w:highlight w:val="none"/>
        </w:rPr>
      </w:pPr>
    </w:p>
    <w:p w14:paraId="1AAA2C2B">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43AB3B">
      <w:pPr>
        <w:spacing w:line="360" w:lineRule="auto"/>
        <w:ind w:firstLine="480"/>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57E03F4">
      <w:pPr>
        <w:pStyle w:val="43"/>
        <w:rPr>
          <w:rFonts w:hint="eastAsia" w:ascii="宋体" w:hAnsi="宋体" w:cs="仿宋_GB2312"/>
          <w:color w:val="auto"/>
          <w:sz w:val="24"/>
          <w:highlight w:val="none"/>
        </w:rPr>
      </w:pPr>
    </w:p>
    <w:p w14:paraId="0395838C">
      <w:pPr>
        <w:rPr>
          <w:rFonts w:hint="eastAsia" w:ascii="宋体" w:hAnsi="宋体" w:cs="仿宋_GB2312"/>
          <w:color w:val="auto"/>
          <w:sz w:val="24"/>
          <w:highlight w:val="none"/>
        </w:rPr>
      </w:pPr>
    </w:p>
    <w:p w14:paraId="1E9E1635">
      <w:pPr>
        <w:spacing w:line="500" w:lineRule="exact"/>
        <w:jc w:val="center"/>
        <w:rPr>
          <w:rFonts w:hint="eastAsia" w:cs="宋体"/>
          <w:b/>
          <w:bCs/>
          <w:color w:val="auto"/>
          <w:sz w:val="28"/>
          <w:szCs w:val="28"/>
          <w:highlight w:val="none"/>
        </w:rPr>
      </w:pPr>
    </w:p>
    <w:p w14:paraId="04DCCC4C">
      <w:pPr>
        <w:spacing w:line="500" w:lineRule="exact"/>
        <w:jc w:val="center"/>
        <w:rPr>
          <w:rFonts w:hint="eastAsia" w:cs="宋体"/>
          <w:b/>
          <w:bCs/>
          <w:color w:val="auto"/>
          <w:sz w:val="28"/>
          <w:szCs w:val="28"/>
          <w:highlight w:val="none"/>
        </w:rPr>
      </w:pPr>
    </w:p>
    <w:p w14:paraId="2249AD5B">
      <w:pPr>
        <w:spacing w:line="500" w:lineRule="exact"/>
        <w:jc w:val="center"/>
        <w:rPr>
          <w:rFonts w:hint="eastAsia" w:cs="宋体"/>
          <w:b/>
          <w:bCs/>
          <w:color w:val="auto"/>
          <w:sz w:val="28"/>
          <w:szCs w:val="28"/>
          <w:highlight w:val="none"/>
        </w:rPr>
      </w:pPr>
    </w:p>
    <w:p w14:paraId="53E3C1C1">
      <w:pPr>
        <w:spacing w:line="500" w:lineRule="exact"/>
        <w:jc w:val="center"/>
        <w:rPr>
          <w:rFonts w:hint="eastAsia" w:cs="宋体"/>
          <w:b/>
          <w:bCs/>
          <w:color w:val="auto"/>
          <w:sz w:val="28"/>
          <w:szCs w:val="28"/>
          <w:highlight w:val="none"/>
        </w:rPr>
      </w:pPr>
    </w:p>
    <w:p w14:paraId="04732B75">
      <w:pPr>
        <w:spacing w:line="500" w:lineRule="exact"/>
        <w:jc w:val="center"/>
        <w:rPr>
          <w:rFonts w:hint="eastAsia" w:cs="宋体"/>
          <w:b/>
          <w:bCs/>
          <w:color w:val="auto"/>
          <w:sz w:val="28"/>
          <w:szCs w:val="28"/>
          <w:highlight w:val="none"/>
        </w:rPr>
      </w:pPr>
    </w:p>
    <w:p w14:paraId="011BFE16">
      <w:pPr>
        <w:spacing w:line="500" w:lineRule="exact"/>
        <w:jc w:val="center"/>
        <w:rPr>
          <w:rFonts w:hint="eastAsia" w:cs="宋体"/>
          <w:b/>
          <w:bCs/>
          <w:color w:val="auto"/>
          <w:sz w:val="28"/>
          <w:szCs w:val="28"/>
          <w:highlight w:val="none"/>
        </w:rPr>
      </w:pPr>
    </w:p>
    <w:p w14:paraId="6993EF76">
      <w:pPr>
        <w:spacing w:line="500" w:lineRule="exact"/>
        <w:jc w:val="center"/>
        <w:rPr>
          <w:rFonts w:hint="eastAsia" w:cs="宋体"/>
          <w:b/>
          <w:bCs/>
          <w:color w:val="auto"/>
          <w:sz w:val="28"/>
          <w:szCs w:val="28"/>
          <w:highlight w:val="none"/>
        </w:rPr>
      </w:pPr>
    </w:p>
    <w:p w14:paraId="4725A0C8">
      <w:pPr>
        <w:spacing w:line="500" w:lineRule="exact"/>
        <w:jc w:val="center"/>
        <w:rPr>
          <w:rFonts w:hint="eastAsia" w:cs="宋体"/>
          <w:b/>
          <w:bCs/>
          <w:color w:val="auto"/>
          <w:sz w:val="28"/>
          <w:szCs w:val="28"/>
          <w:highlight w:val="none"/>
        </w:rPr>
      </w:pPr>
    </w:p>
    <w:p w14:paraId="627DC952">
      <w:pPr>
        <w:spacing w:line="500" w:lineRule="exact"/>
        <w:jc w:val="center"/>
        <w:rPr>
          <w:rFonts w:hint="eastAsia" w:cs="宋体"/>
          <w:b/>
          <w:bCs/>
          <w:color w:val="auto"/>
          <w:sz w:val="28"/>
          <w:szCs w:val="28"/>
          <w:highlight w:val="none"/>
        </w:rPr>
      </w:pPr>
    </w:p>
    <w:p w14:paraId="58E71202">
      <w:pPr>
        <w:spacing w:line="500" w:lineRule="exact"/>
        <w:jc w:val="center"/>
        <w:rPr>
          <w:rFonts w:hint="eastAsia" w:cs="宋体"/>
          <w:b/>
          <w:bCs/>
          <w:color w:val="auto"/>
          <w:sz w:val="28"/>
          <w:szCs w:val="28"/>
          <w:highlight w:val="none"/>
        </w:rPr>
      </w:pPr>
    </w:p>
    <w:p w14:paraId="2B02778D">
      <w:pPr>
        <w:spacing w:line="500" w:lineRule="exact"/>
        <w:jc w:val="center"/>
        <w:rPr>
          <w:rFonts w:hint="eastAsia" w:cs="宋体"/>
          <w:b/>
          <w:bCs/>
          <w:color w:val="auto"/>
          <w:sz w:val="28"/>
          <w:szCs w:val="28"/>
          <w:highlight w:val="none"/>
        </w:rPr>
      </w:pPr>
    </w:p>
    <w:p w14:paraId="7AE5C8AE">
      <w:pPr>
        <w:spacing w:line="500" w:lineRule="exact"/>
        <w:jc w:val="center"/>
        <w:rPr>
          <w:rFonts w:hint="eastAsia" w:cs="宋体"/>
          <w:b/>
          <w:bCs/>
          <w:color w:val="auto"/>
          <w:sz w:val="28"/>
          <w:szCs w:val="28"/>
          <w:highlight w:val="none"/>
        </w:rPr>
      </w:pPr>
    </w:p>
    <w:p w14:paraId="10AC6570">
      <w:pPr>
        <w:spacing w:line="500" w:lineRule="exact"/>
        <w:jc w:val="center"/>
        <w:rPr>
          <w:rFonts w:hint="eastAsia" w:cs="宋体"/>
          <w:b/>
          <w:bCs/>
          <w:color w:val="auto"/>
          <w:sz w:val="28"/>
          <w:szCs w:val="28"/>
          <w:highlight w:val="none"/>
        </w:rPr>
      </w:pPr>
    </w:p>
    <w:p w14:paraId="292B742D">
      <w:pPr>
        <w:pStyle w:val="43"/>
        <w:rPr>
          <w:rFonts w:hint="eastAsia" w:cs="宋体"/>
          <w:b/>
          <w:bCs/>
          <w:color w:val="auto"/>
          <w:sz w:val="28"/>
          <w:szCs w:val="28"/>
          <w:highlight w:val="none"/>
        </w:rPr>
      </w:pPr>
    </w:p>
    <w:p w14:paraId="1C2EBE06">
      <w:pPr>
        <w:rPr>
          <w:rFonts w:hint="eastAsia"/>
          <w:color w:val="auto"/>
          <w:highlight w:val="none"/>
        </w:rPr>
      </w:pPr>
    </w:p>
    <w:p w14:paraId="2D6F585A">
      <w:pPr>
        <w:spacing w:line="500" w:lineRule="exact"/>
        <w:jc w:val="center"/>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建设工程项目管理承诺书</w:t>
      </w:r>
    </w:p>
    <w:p w14:paraId="4921860E">
      <w:pPr>
        <w:spacing w:line="480" w:lineRule="auto"/>
        <w:jc w:val="left"/>
        <w:rPr>
          <w:rFonts w:hint="eastAsia" w:cs="宋体"/>
          <w:color w:val="auto"/>
          <w:szCs w:val="21"/>
          <w:highlight w:val="none"/>
        </w:rPr>
      </w:pPr>
    </w:p>
    <w:p w14:paraId="2EB68EB5">
      <w:pPr>
        <w:spacing w:line="480" w:lineRule="auto"/>
        <w:jc w:val="left"/>
        <w:rPr>
          <w:rFonts w:hint="eastAsia"/>
          <w:color w:val="auto"/>
          <w:szCs w:val="21"/>
          <w:highlight w:val="none"/>
        </w:rPr>
      </w:pPr>
      <w:r>
        <w:rPr>
          <w:rFonts w:hint="eastAsia" w:cs="宋体"/>
          <w:color w:val="auto"/>
          <w:szCs w:val="21"/>
          <w:highlight w:val="none"/>
        </w:rPr>
        <w:t>致</w:t>
      </w:r>
      <w:r>
        <w:rPr>
          <w:color w:val="auto"/>
          <w:szCs w:val="21"/>
          <w:highlight w:val="none"/>
          <w:u w:val="single"/>
        </w:rPr>
        <w:t xml:space="preserve">                        </w:t>
      </w:r>
      <w:r>
        <w:rPr>
          <w:rFonts w:hint="eastAsia" w:cs="宋体"/>
          <w:color w:val="auto"/>
          <w:szCs w:val="21"/>
          <w:highlight w:val="none"/>
        </w:rPr>
        <w:t>（采购人名称）：</w:t>
      </w:r>
    </w:p>
    <w:p w14:paraId="2456120A">
      <w:pPr>
        <w:spacing w:line="520" w:lineRule="exact"/>
        <w:ind w:left="-10" w:firstLine="455"/>
        <w:jc w:val="left"/>
        <w:rPr>
          <w:color w:val="auto"/>
          <w:szCs w:val="21"/>
          <w:highlight w:val="none"/>
        </w:rPr>
      </w:pPr>
      <w:r>
        <w:rPr>
          <w:rFonts w:hint="eastAsia" w:cs="宋体"/>
          <w:color w:val="auto"/>
          <w:szCs w:val="21"/>
          <w:highlight w:val="none"/>
        </w:rPr>
        <w:t>作为参与</w:t>
      </w:r>
      <w:r>
        <w:rPr>
          <w:color w:val="auto"/>
          <w:szCs w:val="21"/>
          <w:highlight w:val="none"/>
          <w:u w:val="single"/>
        </w:rPr>
        <w:t xml:space="preserve">                  </w:t>
      </w:r>
      <w:r>
        <w:rPr>
          <w:rFonts w:hint="eastAsia" w:cs="宋体"/>
          <w:color w:val="auto"/>
          <w:szCs w:val="21"/>
          <w:highlight w:val="none"/>
        </w:rPr>
        <w:t>（工程名称）项目的</w:t>
      </w:r>
      <w:r>
        <w:rPr>
          <w:rFonts w:hint="eastAsia" w:cs="宋体"/>
          <w:color w:val="auto"/>
          <w:szCs w:val="21"/>
          <w:highlight w:val="none"/>
          <w:lang w:eastAsia="zh-CN"/>
        </w:rPr>
        <w:t>竞标</w:t>
      </w:r>
      <w:r>
        <w:rPr>
          <w:rFonts w:hint="eastAsia" w:cs="宋体"/>
          <w:color w:val="auto"/>
          <w:szCs w:val="21"/>
          <w:highlight w:val="none"/>
        </w:rPr>
        <w:t>方，根据国家、自治区相关文件规定，我方在此向采购人承诺：</w:t>
      </w:r>
    </w:p>
    <w:p w14:paraId="22315091">
      <w:pPr>
        <w:spacing w:line="520" w:lineRule="exact"/>
        <w:ind w:left="-10" w:firstLine="455"/>
        <w:jc w:val="left"/>
        <w:rPr>
          <w:color w:val="auto"/>
          <w:szCs w:val="21"/>
          <w:highlight w:val="none"/>
        </w:rPr>
      </w:pPr>
      <w:r>
        <w:rPr>
          <w:color w:val="auto"/>
          <w:szCs w:val="21"/>
          <w:highlight w:val="none"/>
        </w:rPr>
        <w:t>1</w:t>
      </w:r>
      <w:r>
        <w:rPr>
          <w:rFonts w:hint="eastAsia"/>
          <w:color w:val="auto"/>
          <w:szCs w:val="21"/>
          <w:highlight w:val="none"/>
        </w:rPr>
        <w:t>、一旦成交，我方保证按照政府相关部门的规定，</w:t>
      </w:r>
      <w:r>
        <w:rPr>
          <w:rFonts w:hint="eastAsia" w:ascii="宋体" w:hAnsi="宋体"/>
          <w:color w:val="auto"/>
          <w:szCs w:val="21"/>
          <w:highlight w:val="none"/>
        </w:rPr>
        <w:t>在成交后7个工作日内，按照《保障农民工工资支付条例》规定及广西壮族自治区有关规定开设农民工工资专用账户，并按</w:t>
      </w:r>
      <w:r>
        <w:rPr>
          <w:rFonts w:hint="eastAsia" w:ascii="宋体" w:hAnsi="宋体"/>
          <w:color w:val="auto"/>
          <w:szCs w:val="21"/>
          <w:highlight w:val="none"/>
          <w:u w:val="single"/>
        </w:rPr>
        <w:t>要求</w:t>
      </w:r>
      <w:r>
        <w:rPr>
          <w:rFonts w:hint="eastAsia" w:ascii="宋体" w:hAnsi="宋体"/>
          <w:color w:val="auto"/>
          <w:szCs w:val="21"/>
          <w:highlight w:val="none"/>
        </w:rPr>
        <w:t>比例将农民工工资保证金存入账户</w:t>
      </w:r>
      <w:r>
        <w:rPr>
          <w:rFonts w:hint="eastAsia"/>
          <w:color w:val="auto"/>
          <w:szCs w:val="21"/>
          <w:highlight w:val="none"/>
        </w:rPr>
        <w:t>，专项用于支付本工程提供劳动的农民工被拖欠的工资。按照与农民工依法约定的工资支付周期和具体支付日期支付工资，保证每月至少向农民工足额支付一次工资。</w:t>
      </w:r>
    </w:p>
    <w:p w14:paraId="38E6FDBD">
      <w:pPr>
        <w:spacing w:line="520" w:lineRule="exact"/>
        <w:ind w:left="-10" w:firstLine="455"/>
        <w:jc w:val="left"/>
        <w:rPr>
          <w:color w:val="auto"/>
          <w:szCs w:val="21"/>
          <w:highlight w:val="none"/>
        </w:rPr>
      </w:pPr>
      <w:r>
        <w:rPr>
          <w:color w:val="auto"/>
          <w:szCs w:val="21"/>
          <w:highlight w:val="none"/>
        </w:rPr>
        <w:t>2</w:t>
      </w:r>
      <w:r>
        <w:rPr>
          <w:rFonts w:hint="eastAsia"/>
          <w:color w:val="auto"/>
          <w:szCs w:val="21"/>
          <w:highlight w:val="none"/>
        </w:rPr>
        <w:t>、一旦成交，我方保证在施工过程中，严格执行《广西壮族自治区建筑工程安全文明施工费使用管理细则》（桂建质〔</w:t>
      </w:r>
      <w:r>
        <w:rPr>
          <w:color w:val="auto"/>
          <w:szCs w:val="21"/>
          <w:highlight w:val="none"/>
        </w:rPr>
        <w:t>2015</w:t>
      </w:r>
      <w:r>
        <w:rPr>
          <w:rFonts w:hint="eastAsia"/>
          <w:color w:val="auto"/>
          <w:szCs w:val="21"/>
          <w:highlight w:val="none"/>
        </w:rPr>
        <w:t>〕</w:t>
      </w:r>
      <w:r>
        <w:rPr>
          <w:color w:val="auto"/>
          <w:szCs w:val="21"/>
          <w:highlight w:val="none"/>
        </w:rPr>
        <w:t>16</w:t>
      </w:r>
      <w:r>
        <w:rPr>
          <w:rFonts w:hint="eastAsia"/>
          <w:color w:val="auto"/>
          <w:szCs w:val="21"/>
          <w:highlight w:val="none"/>
        </w:rPr>
        <w:t>号）的有关规定，确保建设工程各项安全防护、文明施工措施落实到位。如我方在该项目的承包中出现未按桂建质〔</w:t>
      </w:r>
      <w:r>
        <w:rPr>
          <w:color w:val="auto"/>
          <w:szCs w:val="21"/>
          <w:highlight w:val="none"/>
        </w:rPr>
        <w:t>2015</w:t>
      </w:r>
      <w:r>
        <w:rPr>
          <w:rFonts w:hint="eastAsia"/>
          <w:color w:val="auto"/>
          <w:szCs w:val="21"/>
          <w:highlight w:val="none"/>
        </w:rPr>
        <w:t>〕</w:t>
      </w:r>
      <w:r>
        <w:rPr>
          <w:color w:val="auto"/>
          <w:szCs w:val="21"/>
          <w:highlight w:val="none"/>
        </w:rPr>
        <w:t>16</w:t>
      </w:r>
      <w:r>
        <w:rPr>
          <w:rFonts w:hint="eastAsia"/>
          <w:color w:val="auto"/>
          <w:szCs w:val="21"/>
          <w:highlight w:val="none"/>
        </w:rPr>
        <w:t>号文附件一规定执行的情形，我方愿意按照相关规定接受建设单位及有关主管部门的处罚。</w:t>
      </w:r>
    </w:p>
    <w:p w14:paraId="35C22F96">
      <w:pPr>
        <w:spacing w:line="520" w:lineRule="exact"/>
        <w:ind w:left="-2" w:firstLine="449"/>
        <w:jc w:val="left"/>
        <w:rPr>
          <w:color w:val="auto"/>
          <w:szCs w:val="21"/>
          <w:highlight w:val="none"/>
        </w:rPr>
      </w:pPr>
      <w:r>
        <w:rPr>
          <w:color w:val="auto"/>
          <w:szCs w:val="21"/>
          <w:highlight w:val="none"/>
        </w:rPr>
        <w:t>3</w:t>
      </w:r>
      <w:r>
        <w:rPr>
          <w:rFonts w:hint="eastAsia"/>
          <w:color w:val="auto"/>
          <w:szCs w:val="21"/>
          <w:highlight w:val="none"/>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07E4818E">
      <w:pPr>
        <w:spacing w:line="520" w:lineRule="exact"/>
        <w:ind w:left="-10" w:firstLine="455"/>
        <w:jc w:val="left"/>
        <w:rPr>
          <w:color w:val="auto"/>
          <w:szCs w:val="21"/>
          <w:highlight w:val="none"/>
        </w:rPr>
      </w:pPr>
      <w:r>
        <w:rPr>
          <w:color w:val="auto"/>
          <w:szCs w:val="21"/>
          <w:highlight w:val="none"/>
        </w:rPr>
        <w:t>4</w:t>
      </w:r>
      <w:r>
        <w:rPr>
          <w:rFonts w:hint="eastAsia"/>
          <w:color w:val="auto"/>
          <w:szCs w:val="21"/>
          <w:highlight w:val="none"/>
        </w:rPr>
        <w:t>、一旦成交，我方保证在施工过程中，严格执行《关于禁止使用不符合规范要求的竹脚手架的通知》（桂建管字〔</w:t>
      </w:r>
      <w:r>
        <w:rPr>
          <w:color w:val="auto"/>
          <w:szCs w:val="21"/>
          <w:highlight w:val="none"/>
        </w:rPr>
        <w:t>2003</w:t>
      </w:r>
      <w:r>
        <w:rPr>
          <w:rFonts w:hint="eastAsia"/>
          <w:color w:val="auto"/>
          <w:szCs w:val="21"/>
          <w:highlight w:val="none"/>
        </w:rPr>
        <w:t>〕</w:t>
      </w:r>
      <w:r>
        <w:rPr>
          <w:color w:val="auto"/>
          <w:szCs w:val="21"/>
          <w:highlight w:val="none"/>
        </w:rPr>
        <w:t>40</w:t>
      </w:r>
      <w:r>
        <w:rPr>
          <w:rFonts w:hint="eastAsia"/>
          <w:color w:val="auto"/>
          <w:szCs w:val="21"/>
          <w:highlight w:val="none"/>
        </w:rPr>
        <w:t>号）的有关规定，不使用竹脚手架。如我方在该项目的承包中出现未按规定执行的情形，我方愿意按照相关规定接受建设单位及有关主管部门的处罚。</w:t>
      </w:r>
    </w:p>
    <w:p w14:paraId="5C5AB1DF">
      <w:pPr>
        <w:spacing w:line="520" w:lineRule="exact"/>
        <w:ind w:left="-10" w:firstLine="455"/>
        <w:jc w:val="left"/>
        <w:rPr>
          <w:color w:val="auto"/>
          <w:szCs w:val="21"/>
          <w:highlight w:val="none"/>
        </w:rPr>
      </w:pPr>
      <w:r>
        <w:rPr>
          <w:color w:val="auto"/>
          <w:szCs w:val="21"/>
          <w:highlight w:val="none"/>
        </w:rPr>
        <w:t>5</w:t>
      </w:r>
      <w:r>
        <w:rPr>
          <w:rFonts w:hint="eastAsia"/>
          <w:color w:val="auto"/>
          <w:szCs w:val="21"/>
          <w:highlight w:val="none"/>
        </w:rPr>
        <w:t>、一旦成交，我方保证严格执行《危险性较大的分部分项工程安全管理规定》（建办质〔</w:t>
      </w:r>
      <w:r>
        <w:rPr>
          <w:color w:val="auto"/>
          <w:szCs w:val="21"/>
          <w:highlight w:val="none"/>
        </w:rPr>
        <w:t>2018</w:t>
      </w:r>
      <w:r>
        <w:rPr>
          <w:rFonts w:hint="eastAsia"/>
          <w:color w:val="auto"/>
          <w:szCs w:val="21"/>
          <w:highlight w:val="none"/>
        </w:rPr>
        <w:t>〕</w:t>
      </w:r>
      <w:r>
        <w:rPr>
          <w:color w:val="auto"/>
          <w:szCs w:val="21"/>
          <w:highlight w:val="none"/>
        </w:rPr>
        <w:t>31</w:t>
      </w:r>
      <w:r>
        <w:rPr>
          <w:rFonts w:hint="eastAsia"/>
          <w:color w:val="auto"/>
          <w:szCs w:val="21"/>
          <w:highlight w:val="none"/>
        </w:rPr>
        <w:t>号）的规定，强化对深基坑、高切坡、高大模板、人工挖孔桩、起重吊装、临时活动板房等重大危险源的专项施工方案的编制、论证、审批、实施、检测的风险管理。</w:t>
      </w:r>
    </w:p>
    <w:p w14:paraId="02B956EF">
      <w:pPr>
        <w:pStyle w:val="406"/>
        <w:spacing w:line="360" w:lineRule="auto"/>
        <w:ind w:firstLine="4410"/>
        <w:jc w:val="left"/>
        <w:rPr>
          <w:rFonts w:hint="eastAsia" w:ascii="Times New Roman" w:hAnsi="Times New Roman" w:cs="宋体"/>
          <w:color w:val="auto"/>
          <w:szCs w:val="21"/>
          <w:highlight w:val="none"/>
          <w:lang w:eastAsia="zh-CN"/>
        </w:rPr>
      </w:pPr>
    </w:p>
    <w:p w14:paraId="0711E4C6">
      <w:pPr>
        <w:spacing w:line="360" w:lineRule="auto"/>
        <w:ind w:right="480"/>
        <w:contextualSpacing/>
        <w:jc w:val="center"/>
        <w:rPr>
          <w:rFonts w:hint="eastAsia" w:ascii="宋体" w:hAnsi="宋体" w:cs="宋体"/>
          <w:color w:val="auto"/>
          <w:sz w:val="24"/>
          <w:highlight w:val="none"/>
          <w:u w:val="single"/>
        </w:rPr>
      </w:pPr>
      <w:r>
        <w:rPr>
          <w:rFonts w:hint="eastAsia" w:ascii="Times New Roman" w:hAnsi="Times New Roman" w:eastAsia="宋体" w:cs="Times New Roman"/>
          <w:color w:val="auto"/>
          <w:sz w:val="21"/>
          <w:szCs w:val="21"/>
          <w:highlight w:val="none"/>
          <w:lang w:val="en-US" w:eastAsia="zh-CN" w:bidi="ar-SA"/>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549D2E0">
      <w:pPr>
        <w:spacing w:line="360" w:lineRule="auto"/>
        <w:ind w:right="480" w:firstLine="2625"/>
        <w:contextualSpacing/>
        <w:rPr>
          <w:rFonts w:hint="eastAsia" w:ascii="宋体" w:hAnsi="宋体" w:cs="宋体"/>
          <w:color w:val="auto"/>
          <w:sz w:val="24"/>
          <w:highlight w:val="none"/>
          <w:u w:val="single"/>
        </w:rPr>
      </w:pPr>
      <w:r>
        <w:rPr>
          <w:rFonts w:hint="eastAsia" w:ascii="Times New Roman" w:hAnsi="Times New Roman" w:eastAsia="宋体" w:cs="Times New Roman"/>
          <w:color w:val="auto"/>
          <w:sz w:val="21"/>
          <w:szCs w:val="21"/>
          <w:highlight w:val="none"/>
          <w:lang w:val="en-US" w:eastAsia="zh-CN" w:bidi="ar-SA"/>
        </w:rPr>
        <w:t xml:space="preserve">供应商（单位公章）： </w:t>
      </w:r>
      <w:r>
        <w:rPr>
          <w:rFonts w:hint="eastAsia" w:ascii="宋体" w:hAnsi="宋体" w:cs="宋体"/>
          <w:color w:val="auto"/>
          <w:sz w:val="24"/>
          <w:highlight w:val="none"/>
          <w:u w:val="single"/>
        </w:rPr>
        <w:t xml:space="preserve">                              </w:t>
      </w:r>
    </w:p>
    <w:p w14:paraId="1F5B9B84">
      <w:pPr>
        <w:spacing w:line="360" w:lineRule="auto"/>
        <w:ind w:firstLine="480"/>
        <w:contextualSpacing/>
        <w:jc w:val="center"/>
        <w:rPr>
          <w:rFonts w:hint="eastAsia" w:ascii="Times New Roman" w:hAnsi="Times New Roman" w:eastAsia="宋体" w:cs="Times New Roman"/>
          <w:color w:val="auto"/>
          <w:sz w:val="21"/>
          <w:szCs w:val="21"/>
          <w:highlight w:val="none"/>
          <w:lang w:val="en-US" w:eastAsia="zh-CN" w:bidi="ar-SA"/>
        </w:rPr>
      </w:pPr>
      <w:r>
        <w:rPr>
          <w:rFonts w:hint="eastAsia" w:ascii="宋体" w:hAnsi="宋体" w:cs="宋体"/>
          <w:color w:val="auto"/>
          <w:sz w:val="24"/>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bidi="ar-SA"/>
        </w:rPr>
        <w:t>年    月    日</w:t>
      </w:r>
    </w:p>
    <w:p w14:paraId="4463DF00">
      <w:pPr>
        <w:pStyle w:val="183"/>
        <w:rPr>
          <w:rFonts w:hint="eastAsia" w:ascii="宋体" w:hAnsi="宋体" w:cs="方正小标宋简体"/>
          <w:b/>
          <w:bCs/>
          <w:color w:val="auto"/>
          <w:sz w:val="32"/>
          <w:szCs w:val="32"/>
          <w:highlight w:val="none"/>
        </w:rPr>
      </w:pPr>
    </w:p>
    <w:p w14:paraId="3E9BACD6">
      <w:pPr>
        <w:pStyle w:val="183"/>
        <w:rPr>
          <w:rFonts w:hint="eastAsia" w:ascii="宋体" w:hAnsi="宋体" w:cs="方正小标宋简体"/>
          <w:b/>
          <w:bCs/>
          <w:color w:val="auto"/>
          <w:sz w:val="32"/>
          <w:szCs w:val="32"/>
          <w:highlight w:val="none"/>
        </w:rPr>
      </w:pPr>
    </w:p>
    <w:p w14:paraId="1D96EC3C">
      <w:pPr>
        <w:pStyle w:val="183"/>
        <w:rPr>
          <w:rFonts w:hint="eastAsia" w:ascii="宋体" w:hAnsi="宋体" w:cs="方正小标宋简体"/>
          <w:b/>
          <w:bCs/>
          <w:color w:val="auto"/>
          <w:sz w:val="32"/>
          <w:szCs w:val="32"/>
          <w:highlight w:val="none"/>
        </w:rPr>
      </w:pPr>
    </w:p>
    <w:p w14:paraId="6114E761">
      <w:pPr>
        <w:pStyle w:val="406"/>
        <w:spacing w:line="360" w:lineRule="auto"/>
        <w:jc w:val="center"/>
        <w:rPr>
          <w:rFonts w:hint="eastAsia" w:ascii="Times New Roman" w:hAnsi="Times New Roman" w:cs="宋体"/>
          <w:b/>
          <w:bCs/>
          <w:color w:val="auto"/>
          <w:sz w:val="28"/>
          <w:szCs w:val="28"/>
          <w:highlight w:val="none"/>
        </w:rPr>
      </w:pPr>
    </w:p>
    <w:p w14:paraId="12793A28">
      <w:pPr>
        <w:pStyle w:val="406"/>
        <w:spacing w:line="360" w:lineRule="auto"/>
        <w:jc w:val="center"/>
        <w:rPr>
          <w:rFonts w:ascii="Times New Roman" w:hAnsi="Times New Roman"/>
          <w:color w:val="auto"/>
          <w:szCs w:val="21"/>
          <w:highlight w:val="none"/>
        </w:rPr>
      </w:pPr>
      <w:r>
        <w:rPr>
          <w:rFonts w:hint="eastAsia" w:ascii="Times New Roman" w:hAnsi="Times New Roman" w:cs="宋体"/>
          <w:b/>
          <w:bCs/>
          <w:color w:val="auto"/>
          <w:sz w:val="28"/>
          <w:szCs w:val="28"/>
          <w:highlight w:val="none"/>
        </w:rPr>
        <w:t>广西壮族自治区建筑工程安全文明施工措施项目清单内容</w:t>
      </w:r>
    </w:p>
    <w:p w14:paraId="69ACFD8F">
      <w:pPr>
        <w:pStyle w:val="406"/>
        <w:spacing w:line="360" w:lineRule="auto"/>
        <w:ind w:firstLine="600"/>
        <w:jc w:val="center"/>
        <w:rPr>
          <w:rFonts w:ascii="Times New Roman" w:hAnsi="Times New Roman"/>
          <w:color w:val="auto"/>
          <w:sz w:val="24"/>
          <w:szCs w:val="24"/>
          <w:highlight w:val="none"/>
        </w:rPr>
      </w:pPr>
      <w:r>
        <w:rPr>
          <w:rFonts w:hint="eastAsia" w:ascii="Times New Roman" w:hAnsi="Times New Roman" w:cs="宋体"/>
          <w:color w:val="auto"/>
          <w:sz w:val="24"/>
          <w:szCs w:val="24"/>
          <w:highlight w:val="none"/>
        </w:rPr>
        <w:t>（桂建质〔</w:t>
      </w:r>
      <w:r>
        <w:rPr>
          <w:rFonts w:ascii="Times New Roman" w:hAnsi="Times New Roman"/>
          <w:color w:val="auto"/>
          <w:sz w:val="24"/>
          <w:szCs w:val="24"/>
          <w:highlight w:val="none"/>
        </w:rPr>
        <w:t>2015</w:t>
      </w:r>
      <w:r>
        <w:rPr>
          <w:rFonts w:hint="eastAsia" w:ascii="Times New Roman" w:hAnsi="Times New Roman" w:cs="宋体"/>
          <w:color w:val="auto"/>
          <w:sz w:val="24"/>
          <w:szCs w:val="24"/>
          <w:highlight w:val="none"/>
        </w:rPr>
        <w:t>〕</w:t>
      </w:r>
      <w:r>
        <w:rPr>
          <w:rFonts w:ascii="Times New Roman" w:hAnsi="Times New Roman"/>
          <w:color w:val="auto"/>
          <w:sz w:val="24"/>
          <w:szCs w:val="24"/>
          <w:highlight w:val="none"/>
        </w:rPr>
        <w:t>16</w:t>
      </w:r>
      <w:r>
        <w:rPr>
          <w:rFonts w:hint="eastAsia" w:ascii="Times New Roman" w:hAnsi="Times New Roman" w:cs="宋体"/>
          <w:color w:val="auto"/>
          <w:sz w:val="24"/>
          <w:szCs w:val="24"/>
          <w:highlight w:val="none"/>
        </w:rPr>
        <w:t>号文附件一）</w:t>
      </w:r>
    </w:p>
    <w:p w14:paraId="492265EB">
      <w:pPr>
        <w:pStyle w:val="406"/>
        <w:spacing w:line="240" w:lineRule="atLeast"/>
        <w:jc w:val="center"/>
        <w:rPr>
          <w:rFonts w:hint="eastAsia" w:ascii="宋体" w:hAnsi="宋体" w:cs="宋体"/>
          <w:b/>
          <w:bCs/>
          <w:color w:val="auto"/>
          <w:sz w:val="24"/>
          <w:szCs w:val="24"/>
          <w:highlight w:val="none"/>
        </w:rPr>
      </w:pPr>
    </w:p>
    <w:p w14:paraId="45596180">
      <w:pPr>
        <w:pStyle w:val="406"/>
        <w:spacing w:line="240" w:lineRule="atLeast"/>
        <w:jc w:val="center"/>
        <w:rPr>
          <w:rFonts w:ascii="Times New Roman" w:hAnsi="Times New Roman"/>
          <w:b/>
          <w:bCs/>
          <w:color w:val="auto"/>
          <w:sz w:val="24"/>
          <w:szCs w:val="24"/>
          <w:highlight w:val="none"/>
        </w:rPr>
      </w:pPr>
      <w:r>
        <w:rPr>
          <w:rFonts w:hint="eastAsia" w:ascii="宋体" w:hAnsi="宋体" w:cs="宋体"/>
          <w:b/>
          <w:bCs/>
          <w:color w:val="auto"/>
          <w:sz w:val="24"/>
          <w:szCs w:val="24"/>
          <w:highlight w:val="none"/>
        </w:rPr>
        <w:t>广西壮族自治区</w:t>
      </w:r>
      <w:r>
        <w:rPr>
          <w:rFonts w:hint="eastAsia" w:ascii="Times New Roman" w:hAnsi="Times New Roman" w:cs="宋体"/>
          <w:b/>
          <w:bCs/>
          <w:color w:val="auto"/>
          <w:sz w:val="24"/>
          <w:szCs w:val="24"/>
          <w:highlight w:val="none"/>
        </w:rPr>
        <w:t>建设工程安全文明施工措施项目清单内容</w:t>
      </w:r>
    </w:p>
    <w:p w14:paraId="59431016">
      <w:pPr>
        <w:pStyle w:val="406"/>
        <w:spacing w:line="240" w:lineRule="atLeast"/>
        <w:ind w:firstLine="546"/>
        <w:jc w:val="center"/>
        <w:rPr>
          <w:rFonts w:ascii="Times New Roman" w:hAnsi="Times New Roman"/>
          <w:b/>
          <w:bCs/>
          <w:color w:val="auto"/>
          <w:sz w:val="24"/>
          <w:szCs w:val="24"/>
          <w:highlight w:val="none"/>
        </w:rPr>
      </w:pPr>
    </w:p>
    <w:tbl>
      <w:tblPr>
        <w:tblStyle w:val="34"/>
        <w:tblW w:w="94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36D20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noWrap w:val="0"/>
            <w:vAlign w:val="center"/>
          </w:tcPr>
          <w:p w14:paraId="622929A3">
            <w:pPr>
              <w:pStyle w:val="406"/>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类别</w:t>
            </w:r>
          </w:p>
        </w:tc>
        <w:tc>
          <w:tcPr>
            <w:tcW w:w="2070" w:type="dxa"/>
            <w:gridSpan w:val="2"/>
            <w:tcBorders>
              <w:top w:val="single" w:color="auto" w:sz="12" w:space="0"/>
            </w:tcBorders>
            <w:noWrap w:val="0"/>
            <w:vAlign w:val="center"/>
          </w:tcPr>
          <w:p w14:paraId="7D1CAEA3">
            <w:pPr>
              <w:pStyle w:val="406"/>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项目名称</w:t>
            </w:r>
          </w:p>
        </w:tc>
        <w:tc>
          <w:tcPr>
            <w:tcW w:w="6645" w:type="dxa"/>
            <w:tcBorders>
              <w:top w:val="single" w:color="auto" w:sz="12" w:space="0"/>
            </w:tcBorders>
            <w:noWrap w:val="0"/>
            <w:vAlign w:val="center"/>
          </w:tcPr>
          <w:p w14:paraId="593EB27D">
            <w:pPr>
              <w:pStyle w:val="406"/>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主要内容和要求</w:t>
            </w:r>
          </w:p>
        </w:tc>
      </w:tr>
      <w:tr w14:paraId="3D1D9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5B46FCB8">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文明</w:t>
            </w:r>
          </w:p>
          <w:p w14:paraId="79BBB536">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施工</w:t>
            </w:r>
          </w:p>
          <w:p w14:paraId="02262760">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与</w:t>
            </w:r>
          </w:p>
          <w:p w14:paraId="5BF45474">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环境</w:t>
            </w:r>
          </w:p>
          <w:p w14:paraId="7B22301C">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保护</w:t>
            </w:r>
          </w:p>
        </w:tc>
        <w:tc>
          <w:tcPr>
            <w:tcW w:w="2070" w:type="dxa"/>
            <w:gridSpan w:val="2"/>
            <w:noWrap w:val="0"/>
            <w:vAlign w:val="center"/>
          </w:tcPr>
          <w:p w14:paraId="76738914">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安全警示</w:t>
            </w:r>
          </w:p>
          <w:p w14:paraId="3384546D">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标志牌</w:t>
            </w:r>
          </w:p>
        </w:tc>
        <w:tc>
          <w:tcPr>
            <w:tcW w:w="6645" w:type="dxa"/>
            <w:noWrap w:val="0"/>
            <w:vAlign w:val="center"/>
          </w:tcPr>
          <w:p w14:paraId="39AA75B3">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在易发伤亡事故（或危险）处设置明显的、符合国家标准要求的安全警示标志牌。</w:t>
            </w:r>
          </w:p>
        </w:tc>
      </w:tr>
      <w:tr w14:paraId="53D77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AFB4307">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35952BF9">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现场围挡</w:t>
            </w:r>
          </w:p>
        </w:tc>
        <w:tc>
          <w:tcPr>
            <w:tcW w:w="6645" w:type="dxa"/>
            <w:noWrap w:val="0"/>
            <w:vAlign w:val="center"/>
          </w:tcPr>
          <w:p w14:paraId="16D24638">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现场采用封闭围挡，高度不小于</w:t>
            </w:r>
            <w:r>
              <w:rPr>
                <w:rFonts w:ascii="方正仿宋_GBK" w:hAnsi="Times New Roman" w:eastAsia="方正仿宋_GBK" w:cs="方正仿宋_GBK"/>
                <w:color w:val="auto"/>
                <w:szCs w:val="21"/>
                <w:highlight w:val="none"/>
              </w:rPr>
              <w:t>1.8m</w:t>
            </w:r>
            <w:r>
              <w:rPr>
                <w:rFonts w:hint="eastAsia" w:ascii="方正仿宋_GBK" w:hAnsi="Times New Roman" w:eastAsia="方正仿宋_GBK" w:cs="方正仿宋_GBK"/>
                <w:color w:val="auto"/>
                <w:szCs w:val="21"/>
                <w:highlight w:val="none"/>
              </w:rPr>
              <w:t>。</w:t>
            </w:r>
          </w:p>
          <w:p w14:paraId="781E34F6">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围挡材料可用彩色、定型钢板，砌块等墙体。</w:t>
            </w:r>
          </w:p>
        </w:tc>
      </w:tr>
      <w:tr w14:paraId="0325D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23AA99C">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06B08E05">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七牌二图</w:t>
            </w:r>
          </w:p>
        </w:tc>
        <w:tc>
          <w:tcPr>
            <w:tcW w:w="6645" w:type="dxa"/>
            <w:noWrap w:val="0"/>
            <w:vAlign w:val="center"/>
          </w:tcPr>
          <w:p w14:paraId="32C246AF">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在进门处悬挂工程概况、现场出入制度、管理人员名单及监督电话、安全生产规定、文明施工、消防保卫、节能公示等七牌以及施工现场总平面图、工程效果图。</w:t>
            </w:r>
          </w:p>
        </w:tc>
      </w:tr>
      <w:tr w14:paraId="0A1FE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noWrap w:val="0"/>
            <w:vAlign w:val="center"/>
          </w:tcPr>
          <w:p w14:paraId="72F6DB3C">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7C361AD0">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企业标志</w:t>
            </w:r>
          </w:p>
        </w:tc>
        <w:tc>
          <w:tcPr>
            <w:tcW w:w="6645" w:type="dxa"/>
            <w:noWrap w:val="0"/>
            <w:vAlign w:val="center"/>
          </w:tcPr>
          <w:p w14:paraId="22A1FA95">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现场出入的大门应设有本企业标志或企业标识。</w:t>
            </w:r>
          </w:p>
        </w:tc>
      </w:tr>
      <w:tr w14:paraId="129C5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46D6E60">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6F6839FE">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场容场貌</w:t>
            </w:r>
          </w:p>
        </w:tc>
        <w:tc>
          <w:tcPr>
            <w:tcW w:w="6645" w:type="dxa"/>
            <w:noWrap w:val="0"/>
            <w:vAlign w:val="center"/>
          </w:tcPr>
          <w:p w14:paraId="35800392">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道路畅通。</w:t>
            </w:r>
          </w:p>
          <w:p w14:paraId="36338C62">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排水设施齐全畅通。</w:t>
            </w:r>
          </w:p>
          <w:p w14:paraId="4D5C43BD">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3. </w:t>
            </w:r>
            <w:r>
              <w:rPr>
                <w:rFonts w:hint="eastAsia" w:ascii="方正仿宋_GBK" w:hAnsi="Times New Roman" w:eastAsia="方正仿宋_GBK" w:cs="方正仿宋_GBK"/>
                <w:color w:val="auto"/>
                <w:szCs w:val="21"/>
                <w:highlight w:val="none"/>
              </w:rPr>
              <w:t>工地地面硬化处理（办公区、生活区、现场道路、材料堆放、混凝土搅拌、砂浆搅拌、钢筋加工等场地和外脚手架基础等）。</w:t>
            </w:r>
          </w:p>
        </w:tc>
      </w:tr>
      <w:tr w14:paraId="185A9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7AB5A82">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6DF67FB5">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材料堆放</w:t>
            </w:r>
          </w:p>
        </w:tc>
        <w:tc>
          <w:tcPr>
            <w:tcW w:w="6645" w:type="dxa"/>
            <w:noWrap w:val="0"/>
            <w:vAlign w:val="center"/>
          </w:tcPr>
          <w:p w14:paraId="0AE5E6C6">
            <w:pPr>
              <w:pStyle w:val="406"/>
              <w:numPr>
                <w:ilvl w:val="0"/>
                <w:numId w:val="4"/>
              </w:numPr>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材料、构件、料具等堆放时，应有名称、品种、规格等标牌。</w:t>
            </w:r>
          </w:p>
          <w:p w14:paraId="55A890AA">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水泥和其它易飞扬细颗粒建筑材料应封闭存放或采取覆盖等措施。</w:t>
            </w:r>
          </w:p>
          <w:p w14:paraId="5E0331DA">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3. </w:t>
            </w:r>
            <w:r>
              <w:rPr>
                <w:rFonts w:hint="eastAsia" w:ascii="方正仿宋_GBK" w:hAnsi="Times New Roman" w:eastAsia="方正仿宋_GBK" w:cs="方正仿宋_GBK"/>
                <w:color w:val="auto"/>
                <w:szCs w:val="21"/>
                <w:highlight w:val="none"/>
              </w:rPr>
              <w:t>易燃、易爆和有毒有害物品分类存放。</w:t>
            </w:r>
          </w:p>
        </w:tc>
      </w:tr>
      <w:tr w14:paraId="4980C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54E51717">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6C444BA1">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现场防火</w:t>
            </w:r>
          </w:p>
        </w:tc>
        <w:tc>
          <w:tcPr>
            <w:tcW w:w="6645" w:type="dxa"/>
            <w:noWrap w:val="0"/>
            <w:vAlign w:val="center"/>
          </w:tcPr>
          <w:p w14:paraId="0C1F95BC">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消防器材配置合理，符合消防要求。</w:t>
            </w:r>
          </w:p>
        </w:tc>
      </w:tr>
      <w:tr w14:paraId="580E2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8A8E9E4">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0091EE4A">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垃圾清运</w:t>
            </w:r>
          </w:p>
        </w:tc>
        <w:tc>
          <w:tcPr>
            <w:tcW w:w="6645" w:type="dxa"/>
            <w:noWrap w:val="0"/>
            <w:vAlign w:val="center"/>
          </w:tcPr>
          <w:p w14:paraId="0D5295B7">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施工现场应设置密闭式垃圾站，施工垃圾、生活垃圾应分类存放。</w:t>
            </w:r>
          </w:p>
          <w:p w14:paraId="0FB41D43">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施工垃圾必须采用相应容器或管道运输。</w:t>
            </w:r>
          </w:p>
        </w:tc>
      </w:tr>
      <w:tr w14:paraId="66420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5383D13">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0B9E8FB2">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宣传栏、环保及不扰民措施</w:t>
            </w:r>
          </w:p>
        </w:tc>
        <w:tc>
          <w:tcPr>
            <w:tcW w:w="6645" w:type="dxa"/>
            <w:noWrap w:val="0"/>
            <w:vAlign w:val="center"/>
          </w:tcPr>
          <w:p w14:paraId="2D9515C3">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宣传栏、安全宣传标语等，洗车（防止污染市区道路）、粉尘、噪声控制和排污（污水、废气）措施等。</w:t>
            </w:r>
          </w:p>
        </w:tc>
      </w:tr>
      <w:tr w14:paraId="35C09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4934A4E7">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临时设施</w:t>
            </w:r>
          </w:p>
        </w:tc>
        <w:tc>
          <w:tcPr>
            <w:tcW w:w="2070" w:type="dxa"/>
            <w:gridSpan w:val="2"/>
            <w:noWrap w:val="0"/>
            <w:vAlign w:val="center"/>
          </w:tcPr>
          <w:p w14:paraId="76F52D12">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现场办公</w:t>
            </w:r>
          </w:p>
          <w:p w14:paraId="66024EDC">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生活设施</w:t>
            </w:r>
          </w:p>
        </w:tc>
        <w:tc>
          <w:tcPr>
            <w:tcW w:w="6645" w:type="dxa"/>
            <w:noWrap w:val="0"/>
            <w:vAlign w:val="center"/>
          </w:tcPr>
          <w:p w14:paraId="75BB727F">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施工现场办公、生活区与作业区分开设置，保持安全距离。</w:t>
            </w:r>
          </w:p>
          <w:p w14:paraId="19899A0F">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工地办公室、现场宿舍、食堂、厕所、饮水、沐浴、休息场所等符合卫生、消防安全要求。</w:t>
            </w:r>
          </w:p>
        </w:tc>
      </w:tr>
      <w:tr w14:paraId="6352F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38" w:type="dxa"/>
            <w:vMerge w:val="continue"/>
            <w:noWrap w:val="0"/>
            <w:vAlign w:val="center"/>
          </w:tcPr>
          <w:p w14:paraId="0A61CAB3">
            <w:pPr>
              <w:pStyle w:val="406"/>
              <w:spacing w:line="300" w:lineRule="exact"/>
              <w:jc w:val="center"/>
              <w:rPr>
                <w:rFonts w:ascii="方正仿宋_GBK" w:hAnsi="Times New Roman" w:eastAsia="方正仿宋_GBK"/>
                <w:color w:val="auto"/>
                <w:szCs w:val="21"/>
                <w:highlight w:val="none"/>
              </w:rPr>
            </w:pPr>
          </w:p>
        </w:tc>
        <w:tc>
          <w:tcPr>
            <w:tcW w:w="525" w:type="dxa"/>
            <w:vMerge w:val="restart"/>
            <w:noWrap w:val="0"/>
            <w:vAlign w:val="center"/>
          </w:tcPr>
          <w:p w14:paraId="26CCD163">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施工现场</w:t>
            </w:r>
          </w:p>
          <w:p w14:paraId="253AC6BC">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临时用电</w:t>
            </w:r>
          </w:p>
        </w:tc>
        <w:tc>
          <w:tcPr>
            <w:tcW w:w="1545" w:type="dxa"/>
            <w:noWrap w:val="0"/>
            <w:vAlign w:val="center"/>
          </w:tcPr>
          <w:p w14:paraId="3F2A9C93">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配电线路</w:t>
            </w:r>
          </w:p>
        </w:tc>
        <w:tc>
          <w:tcPr>
            <w:tcW w:w="6645" w:type="dxa"/>
            <w:noWrap w:val="0"/>
            <w:vAlign w:val="center"/>
          </w:tcPr>
          <w:p w14:paraId="61EA8B9A">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按照</w:t>
            </w:r>
            <w:r>
              <w:rPr>
                <w:rFonts w:ascii="方正仿宋_GBK" w:hAnsi="Times New Roman" w:eastAsia="方正仿宋_GBK" w:cs="方正仿宋_GBK"/>
                <w:color w:val="auto"/>
                <w:szCs w:val="21"/>
                <w:highlight w:val="none"/>
              </w:rPr>
              <w:t>TN-S</w:t>
            </w:r>
            <w:r>
              <w:rPr>
                <w:rFonts w:hint="eastAsia" w:ascii="方正仿宋_GBK" w:hAnsi="Times New Roman" w:eastAsia="方正仿宋_GBK" w:cs="方正仿宋_GBK"/>
                <w:color w:val="auto"/>
                <w:szCs w:val="21"/>
                <w:highlight w:val="none"/>
              </w:rPr>
              <w:t>系统要求配备五芯电缆、四芯电缆和三芯电缆。</w:t>
            </w:r>
          </w:p>
          <w:p w14:paraId="3AE4A25C">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按要求架设临时用电线路的电杆、横担、瓷夹、瓷瓶等，或电缆埋地的地沟。</w:t>
            </w:r>
          </w:p>
          <w:p w14:paraId="17D37C35">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3. </w:t>
            </w:r>
            <w:r>
              <w:rPr>
                <w:rFonts w:hint="eastAsia" w:ascii="方正仿宋_GBK" w:hAnsi="Times New Roman" w:eastAsia="方正仿宋_GBK" w:cs="方正仿宋_GBK"/>
                <w:color w:val="auto"/>
                <w:szCs w:val="21"/>
                <w:highlight w:val="none"/>
              </w:rPr>
              <w:t>对靠近施工现场的外电线路，设置木质、塑料等绝缘体的防护设施。</w:t>
            </w:r>
          </w:p>
        </w:tc>
      </w:tr>
      <w:tr w14:paraId="2FA7B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BFBC48F">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31C8D9E8">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0A005E04">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配电箱</w:t>
            </w:r>
          </w:p>
          <w:p w14:paraId="60037B97">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开关箱</w:t>
            </w:r>
          </w:p>
        </w:tc>
        <w:tc>
          <w:tcPr>
            <w:tcW w:w="6645" w:type="dxa"/>
            <w:noWrap w:val="0"/>
            <w:vAlign w:val="center"/>
          </w:tcPr>
          <w:p w14:paraId="7F463478">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按三级配电要求，配备总配电箱、分配电箱、开关箱三类（铁质）标准电箱，开关箱应符合“一机、一箱、一闸、一漏”，三类电箱中的各类电器应是合格品。</w:t>
            </w:r>
          </w:p>
          <w:p w14:paraId="3EBFC336">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按两级保护的要求，选取符合容量要求和质量合格的总配电箱和开关箱中的漏电保护器。</w:t>
            </w:r>
          </w:p>
          <w:p w14:paraId="3243B8CE">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3. </w:t>
            </w:r>
            <w:r>
              <w:rPr>
                <w:rFonts w:hint="eastAsia" w:ascii="方正仿宋_GBK" w:hAnsi="Times New Roman" w:eastAsia="方正仿宋_GBK" w:cs="方正仿宋_GBK"/>
                <w:color w:val="auto"/>
                <w:szCs w:val="21"/>
                <w:highlight w:val="none"/>
              </w:rPr>
              <w:t>对大型、落地式分配电箱、开关箱设置防护棚和通透式围挡。</w:t>
            </w:r>
          </w:p>
        </w:tc>
      </w:tr>
      <w:tr w14:paraId="5EA41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noWrap w:val="0"/>
            <w:vAlign w:val="center"/>
          </w:tcPr>
          <w:p w14:paraId="0A34E932">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27D83850">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4F306961">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接地装置</w:t>
            </w:r>
          </w:p>
        </w:tc>
        <w:tc>
          <w:tcPr>
            <w:tcW w:w="6645" w:type="dxa"/>
            <w:noWrap w:val="0"/>
            <w:vAlign w:val="center"/>
          </w:tcPr>
          <w:p w14:paraId="2021FBBB">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施工现场应设置不少于三处的重复接地装置。</w:t>
            </w:r>
          </w:p>
        </w:tc>
      </w:tr>
      <w:tr w14:paraId="34DD4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noWrap w:val="0"/>
            <w:vAlign w:val="center"/>
          </w:tcPr>
          <w:p w14:paraId="724E910B">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77494EAD">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2B099F85">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现场变配电装置</w:t>
            </w:r>
          </w:p>
        </w:tc>
        <w:tc>
          <w:tcPr>
            <w:tcW w:w="6645" w:type="dxa"/>
            <w:noWrap w:val="0"/>
            <w:vAlign w:val="center"/>
          </w:tcPr>
          <w:p w14:paraId="733B407B">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总配电房建筑材料必须达到消防防火要求，室内做硬地坪、电缆沟。</w:t>
            </w:r>
          </w:p>
        </w:tc>
      </w:tr>
      <w:tr w14:paraId="43E1D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noWrap w:val="0"/>
            <w:vAlign w:val="center"/>
          </w:tcPr>
          <w:p w14:paraId="12D84568">
            <w:pPr>
              <w:pStyle w:val="406"/>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类别</w:t>
            </w:r>
          </w:p>
        </w:tc>
        <w:tc>
          <w:tcPr>
            <w:tcW w:w="2070" w:type="dxa"/>
            <w:gridSpan w:val="2"/>
            <w:noWrap w:val="0"/>
            <w:vAlign w:val="center"/>
          </w:tcPr>
          <w:p w14:paraId="5811C5EB">
            <w:pPr>
              <w:pStyle w:val="406"/>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项目名称</w:t>
            </w:r>
          </w:p>
        </w:tc>
        <w:tc>
          <w:tcPr>
            <w:tcW w:w="6645" w:type="dxa"/>
            <w:noWrap w:val="0"/>
            <w:vAlign w:val="center"/>
          </w:tcPr>
          <w:p w14:paraId="421D8F16">
            <w:pPr>
              <w:pStyle w:val="406"/>
              <w:spacing w:line="300" w:lineRule="exact"/>
              <w:jc w:val="center"/>
              <w:rPr>
                <w:rFonts w:ascii="方正仿宋_GBK" w:hAnsi="Times New Roman" w:eastAsia="方正仿宋_GBK"/>
                <w:b/>
                <w:bCs/>
                <w:color w:val="auto"/>
                <w:szCs w:val="21"/>
                <w:highlight w:val="none"/>
              </w:rPr>
            </w:pPr>
            <w:r>
              <w:rPr>
                <w:rFonts w:hint="eastAsia" w:ascii="方正仿宋_GBK" w:hAnsi="Times New Roman" w:eastAsia="方正仿宋_GBK" w:cs="方正仿宋_GBK"/>
                <w:b/>
                <w:bCs/>
                <w:color w:val="auto"/>
                <w:szCs w:val="21"/>
                <w:highlight w:val="none"/>
              </w:rPr>
              <w:t>主要内容和要求</w:t>
            </w:r>
          </w:p>
        </w:tc>
      </w:tr>
      <w:tr w14:paraId="23A5D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675D549E">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安全施工</w:t>
            </w:r>
          </w:p>
        </w:tc>
        <w:tc>
          <w:tcPr>
            <w:tcW w:w="525" w:type="dxa"/>
            <w:vMerge w:val="restart"/>
            <w:noWrap w:val="0"/>
            <w:vAlign w:val="center"/>
          </w:tcPr>
          <w:p w14:paraId="6225054A">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高处作业防护</w:t>
            </w:r>
          </w:p>
        </w:tc>
        <w:tc>
          <w:tcPr>
            <w:tcW w:w="1545" w:type="dxa"/>
            <w:noWrap w:val="0"/>
            <w:vAlign w:val="center"/>
          </w:tcPr>
          <w:p w14:paraId="5015369C">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楼层、屋面、阳台等临边</w:t>
            </w:r>
          </w:p>
        </w:tc>
        <w:tc>
          <w:tcPr>
            <w:tcW w:w="6645" w:type="dxa"/>
            <w:noWrap w:val="0"/>
            <w:vAlign w:val="center"/>
          </w:tcPr>
          <w:p w14:paraId="0F43E348">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设两道防护栏杆和</w:t>
            </w:r>
            <w:r>
              <w:rPr>
                <w:rFonts w:ascii="方正仿宋_GBK" w:hAnsi="Times New Roman" w:eastAsia="方正仿宋_GBK" w:cs="方正仿宋_GBK"/>
                <w:color w:val="auto"/>
                <w:szCs w:val="21"/>
                <w:highlight w:val="none"/>
              </w:rPr>
              <w:t>18cm</w:t>
            </w:r>
            <w:r>
              <w:rPr>
                <w:rFonts w:hint="eastAsia" w:ascii="方正仿宋_GBK" w:hAnsi="Times New Roman" w:eastAsia="方正仿宋_GBK" w:cs="方正仿宋_GBK"/>
                <w:color w:val="auto"/>
                <w:szCs w:val="21"/>
                <w:highlight w:val="none"/>
              </w:rPr>
              <w:t>高的踢脚板，用密目式安全立网全封闭。</w:t>
            </w:r>
          </w:p>
        </w:tc>
      </w:tr>
      <w:tr w14:paraId="219D3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5ADFFFE">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53187BF5">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3BD3AC4F">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通道口</w:t>
            </w:r>
          </w:p>
        </w:tc>
        <w:tc>
          <w:tcPr>
            <w:tcW w:w="6645" w:type="dxa"/>
            <w:noWrap w:val="0"/>
            <w:vAlign w:val="center"/>
          </w:tcPr>
          <w:p w14:paraId="7EB18524">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设防护棚，防护棚应为不小于</w:t>
            </w:r>
            <w:r>
              <w:rPr>
                <w:rFonts w:ascii="方正仿宋_GBK" w:hAnsi="Times New Roman" w:eastAsia="方正仿宋_GBK" w:cs="方正仿宋_GBK"/>
                <w:color w:val="auto"/>
                <w:szCs w:val="21"/>
                <w:highlight w:val="none"/>
              </w:rPr>
              <w:t>5cm</w:t>
            </w:r>
            <w:r>
              <w:rPr>
                <w:rFonts w:hint="eastAsia" w:ascii="方正仿宋_GBK" w:hAnsi="Times New Roman" w:eastAsia="方正仿宋_GBK" w:cs="方正仿宋_GBK"/>
                <w:color w:val="auto"/>
                <w:szCs w:val="21"/>
                <w:highlight w:val="none"/>
              </w:rPr>
              <w:t>厚的木板或两道相距</w:t>
            </w:r>
            <w:r>
              <w:rPr>
                <w:rFonts w:ascii="方正仿宋_GBK" w:hAnsi="Times New Roman" w:eastAsia="方正仿宋_GBK" w:cs="方正仿宋_GBK"/>
                <w:color w:val="auto"/>
                <w:szCs w:val="21"/>
                <w:highlight w:val="none"/>
              </w:rPr>
              <w:t>50cm</w:t>
            </w:r>
            <w:r>
              <w:rPr>
                <w:rFonts w:hint="eastAsia" w:ascii="方正仿宋_GBK" w:hAnsi="Times New Roman" w:eastAsia="方正仿宋_GBK" w:cs="方正仿宋_GBK"/>
                <w:color w:val="auto"/>
                <w:szCs w:val="21"/>
                <w:highlight w:val="none"/>
              </w:rPr>
              <w:t>的竹笆。两侧应沿栏杆架用密目式安全网封闭。</w:t>
            </w:r>
          </w:p>
        </w:tc>
      </w:tr>
      <w:tr w14:paraId="2A803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31DFD18">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356E2B36">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2745B2B9">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预留洞口</w:t>
            </w:r>
          </w:p>
        </w:tc>
        <w:tc>
          <w:tcPr>
            <w:tcW w:w="6645" w:type="dxa"/>
            <w:noWrap w:val="0"/>
            <w:vAlign w:val="center"/>
          </w:tcPr>
          <w:p w14:paraId="3950A58E">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用硬质材料全封闭，短边超过</w:t>
            </w:r>
            <w:r>
              <w:rPr>
                <w:rFonts w:ascii="方正仿宋_GBK" w:hAnsi="Times New Roman" w:eastAsia="方正仿宋_GBK" w:cs="方正仿宋_GBK"/>
                <w:color w:val="auto"/>
                <w:szCs w:val="21"/>
                <w:highlight w:val="none"/>
              </w:rPr>
              <w:t>1.5m</w:t>
            </w:r>
            <w:r>
              <w:rPr>
                <w:rFonts w:hint="eastAsia" w:ascii="方正仿宋_GBK" w:hAnsi="Times New Roman" w:eastAsia="方正仿宋_GBK" w:cs="方正仿宋_GBK"/>
                <w:color w:val="auto"/>
                <w:szCs w:val="21"/>
                <w:highlight w:val="none"/>
              </w:rPr>
              <w:t>长的洞口，除封闭外四周还应设有防护栏杆。</w:t>
            </w:r>
          </w:p>
        </w:tc>
      </w:tr>
      <w:tr w14:paraId="45082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noWrap w:val="0"/>
            <w:vAlign w:val="center"/>
          </w:tcPr>
          <w:p w14:paraId="22E2A9DA">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60D6DFE2">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71CAEF7A">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电梯井口</w:t>
            </w:r>
          </w:p>
        </w:tc>
        <w:tc>
          <w:tcPr>
            <w:tcW w:w="6645" w:type="dxa"/>
            <w:noWrap w:val="0"/>
            <w:vAlign w:val="center"/>
          </w:tcPr>
          <w:p w14:paraId="626674FC">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设置定型化、工具化的防护门，在电梯井内每隔</w:t>
            </w:r>
            <w:r>
              <w:rPr>
                <w:rFonts w:ascii="方正仿宋_GBK" w:hAnsi="Times New Roman" w:eastAsia="方正仿宋_GBK" w:cs="方正仿宋_GBK"/>
                <w:color w:val="auto"/>
                <w:szCs w:val="21"/>
                <w:highlight w:val="none"/>
              </w:rPr>
              <w:t>2</w:t>
            </w:r>
            <w:r>
              <w:rPr>
                <w:rFonts w:hint="eastAsia" w:ascii="方正仿宋_GBK" w:hAnsi="Times New Roman" w:eastAsia="方正仿宋_GBK" w:cs="方正仿宋_GBK"/>
                <w:color w:val="auto"/>
                <w:szCs w:val="21"/>
                <w:highlight w:val="none"/>
              </w:rPr>
              <w:t>层（不大于</w:t>
            </w:r>
            <w:r>
              <w:rPr>
                <w:rFonts w:ascii="方正仿宋_GBK" w:hAnsi="Times New Roman" w:eastAsia="方正仿宋_GBK" w:cs="方正仿宋_GBK"/>
                <w:color w:val="auto"/>
                <w:szCs w:val="21"/>
                <w:highlight w:val="none"/>
              </w:rPr>
              <w:t>10m</w:t>
            </w:r>
            <w:r>
              <w:rPr>
                <w:rFonts w:hint="eastAsia" w:ascii="方正仿宋_GBK" w:hAnsi="Times New Roman" w:eastAsia="方正仿宋_GBK" w:cs="方正仿宋_GBK"/>
                <w:color w:val="auto"/>
                <w:szCs w:val="21"/>
                <w:highlight w:val="none"/>
              </w:rPr>
              <w:t>）设置一道水平防护。</w:t>
            </w:r>
          </w:p>
        </w:tc>
      </w:tr>
      <w:tr w14:paraId="072DE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D9857A3">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5A1BCAA9">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5187C1BE">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楼梯边</w:t>
            </w:r>
          </w:p>
        </w:tc>
        <w:tc>
          <w:tcPr>
            <w:tcW w:w="6645" w:type="dxa"/>
            <w:noWrap w:val="0"/>
            <w:vAlign w:val="center"/>
          </w:tcPr>
          <w:p w14:paraId="31BAB4E9">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w:t>
            </w:r>
            <w:r>
              <w:rPr>
                <w:rFonts w:ascii="方正仿宋_GBK" w:hAnsi="Times New Roman" w:eastAsia="方正仿宋_GBK" w:cs="方正仿宋_GBK"/>
                <w:color w:val="auto"/>
                <w:szCs w:val="21"/>
                <w:highlight w:val="none"/>
              </w:rPr>
              <w:t>1.2m</w:t>
            </w:r>
            <w:r>
              <w:rPr>
                <w:rFonts w:hint="eastAsia" w:ascii="方正仿宋_GBK" w:hAnsi="Times New Roman" w:eastAsia="方正仿宋_GBK" w:cs="方正仿宋_GBK"/>
                <w:color w:val="auto"/>
                <w:szCs w:val="21"/>
                <w:highlight w:val="none"/>
              </w:rPr>
              <w:t>高的定型化、工具化的防护栏，</w:t>
            </w:r>
            <w:r>
              <w:rPr>
                <w:rFonts w:ascii="方正仿宋_GBK" w:hAnsi="Times New Roman" w:eastAsia="方正仿宋_GBK" w:cs="方正仿宋_GBK"/>
                <w:color w:val="auto"/>
                <w:szCs w:val="21"/>
                <w:highlight w:val="none"/>
              </w:rPr>
              <w:t>18cm</w:t>
            </w:r>
            <w:r>
              <w:rPr>
                <w:rFonts w:hint="eastAsia" w:ascii="方正仿宋_GBK" w:hAnsi="Times New Roman" w:eastAsia="方正仿宋_GBK" w:cs="方正仿宋_GBK"/>
                <w:color w:val="auto"/>
                <w:szCs w:val="21"/>
                <w:highlight w:val="none"/>
              </w:rPr>
              <w:t>高的踢脚板。</w:t>
            </w:r>
          </w:p>
        </w:tc>
      </w:tr>
      <w:tr w14:paraId="2F21D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DE37519">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2B93FB18">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60A41469">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垂直方向交叉作业</w:t>
            </w:r>
          </w:p>
        </w:tc>
        <w:tc>
          <w:tcPr>
            <w:tcW w:w="6645" w:type="dxa"/>
            <w:noWrap w:val="0"/>
            <w:vAlign w:val="center"/>
          </w:tcPr>
          <w:p w14:paraId="71220372">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设置防护隔离棚或其它设施。</w:t>
            </w:r>
          </w:p>
        </w:tc>
      </w:tr>
      <w:tr w14:paraId="5F20A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A98D819">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043E461D">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41B29765">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高处作业</w:t>
            </w:r>
          </w:p>
        </w:tc>
        <w:tc>
          <w:tcPr>
            <w:tcW w:w="6645" w:type="dxa"/>
            <w:noWrap w:val="0"/>
            <w:vAlign w:val="center"/>
          </w:tcPr>
          <w:p w14:paraId="74830CE1">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有悬挂安全带的悬索或其它设施，有操作平台，有上下的梯子或其它形式的通道。</w:t>
            </w:r>
          </w:p>
        </w:tc>
      </w:tr>
      <w:tr w14:paraId="5D274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A8C1165">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6611BC7C">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03F9ED0A">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基坑、物料平台</w:t>
            </w:r>
          </w:p>
        </w:tc>
        <w:tc>
          <w:tcPr>
            <w:tcW w:w="6645" w:type="dxa"/>
            <w:noWrap w:val="0"/>
            <w:vAlign w:val="center"/>
          </w:tcPr>
          <w:p w14:paraId="25670972">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w:t>
            </w:r>
            <w:r>
              <w:rPr>
                <w:rFonts w:ascii="方正仿宋_GBK" w:hAnsi="Times New Roman" w:eastAsia="方正仿宋_GBK" w:cs="方正仿宋_GBK"/>
                <w:color w:val="auto"/>
                <w:szCs w:val="21"/>
                <w:highlight w:val="none"/>
              </w:rPr>
              <w:t>1.2m</w:t>
            </w:r>
            <w:r>
              <w:rPr>
                <w:rFonts w:hint="eastAsia" w:ascii="方正仿宋_GBK" w:hAnsi="Times New Roman" w:eastAsia="方正仿宋_GBK" w:cs="方正仿宋_GBK"/>
                <w:color w:val="auto"/>
                <w:szCs w:val="21"/>
                <w:highlight w:val="none"/>
              </w:rPr>
              <w:t>高标准化的防护栏，用密目式安全立网封闭，悬挂标识。</w:t>
            </w:r>
          </w:p>
        </w:tc>
      </w:tr>
      <w:tr w14:paraId="037D0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178AD68">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00C0047F">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安全防护用品</w:t>
            </w:r>
          </w:p>
        </w:tc>
        <w:tc>
          <w:tcPr>
            <w:tcW w:w="6645" w:type="dxa"/>
            <w:noWrap w:val="0"/>
            <w:vAlign w:val="center"/>
          </w:tcPr>
          <w:p w14:paraId="1B7E9497">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安全帽、安全带、特种作业人员（电工、焊工、架子工等）防护服装、用品等。</w:t>
            </w:r>
          </w:p>
        </w:tc>
      </w:tr>
      <w:tr w14:paraId="49DC0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noWrap w:val="0"/>
            <w:vAlign w:val="center"/>
          </w:tcPr>
          <w:p w14:paraId="26B69B9F">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其它</w:t>
            </w:r>
          </w:p>
        </w:tc>
        <w:tc>
          <w:tcPr>
            <w:tcW w:w="525" w:type="dxa"/>
            <w:vMerge w:val="restart"/>
            <w:noWrap w:val="0"/>
            <w:vAlign w:val="center"/>
          </w:tcPr>
          <w:p w14:paraId="1C789746">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机械设备防护</w:t>
            </w:r>
          </w:p>
        </w:tc>
        <w:tc>
          <w:tcPr>
            <w:tcW w:w="1545" w:type="dxa"/>
            <w:noWrap w:val="0"/>
            <w:vAlign w:val="center"/>
          </w:tcPr>
          <w:p w14:paraId="1CC811DF">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中小型机械</w:t>
            </w:r>
          </w:p>
        </w:tc>
        <w:tc>
          <w:tcPr>
            <w:tcW w:w="6645" w:type="dxa"/>
            <w:noWrap w:val="0"/>
            <w:vAlign w:val="center"/>
          </w:tcPr>
          <w:p w14:paraId="0EDA751C">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设防护棚（同通道口防护并有防雨措施）。</w:t>
            </w:r>
          </w:p>
        </w:tc>
      </w:tr>
      <w:tr w14:paraId="2E8B3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3C3D7CC">
            <w:pPr>
              <w:pStyle w:val="406"/>
              <w:spacing w:line="300" w:lineRule="exact"/>
              <w:jc w:val="center"/>
              <w:rPr>
                <w:rFonts w:ascii="方正仿宋_GBK" w:hAnsi="Times New Roman" w:eastAsia="方正仿宋_GBK"/>
                <w:color w:val="auto"/>
                <w:szCs w:val="21"/>
                <w:highlight w:val="none"/>
              </w:rPr>
            </w:pPr>
          </w:p>
        </w:tc>
        <w:tc>
          <w:tcPr>
            <w:tcW w:w="525" w:type="dxa"/>
            <w:vMerge w:val="continue"/>
            <w:noWrap w:val="0"/>
            <w:vAlign w:val="center"/>
          </w:tcPr>
          <w:p w14:paraId="7402F978">
            <w:pPr>
              <w:pStyle w:val="406"/>
              <w:spacing w:line="300" w:lineRule="exact"/>
              <w:jc w:val="center"/>
              <w:rPr>
                <w:rFonts w:ascii="方正仿宋_GBK" w:hAnsi="Times New Roman" w:eastAsia="方正仿宋_GBK"/>
                <w:color w:val="auto"/>
                <w:szCs w:val="21"/>
                <w:highlight w:val="none"/>
              </w:rPr>
            </w:pPr>
          </w:p>
        </w:tc>
        <w:tc>
          <w:tcPr>
            <w:tcW w:w="1545" w:type="dxa"/>
            <w:noWrap w:val="0"/>
            <w:vAlign w:val="center"/>
          </w:tcPr>
          <w:p w14:paraId="7C59892D">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垂直运输设备</w:t>
            </w:r>
          </w:p>
        </w:tc>
        <w:tc>
          <w:tcPr>
            <w:tcW w:w="6645" w:type="dxa"/>
            <w:noWrap w:val="0"/>
            <w:vAlign w:val="center"/>
          </w:tcPr>
          <w:p w14:paraId="3E2AFBC8">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1. </w:t>
            </w:r>
            <w:r>
              <w:rPr>
                <w:rFonts w:hint="eastAsia" w:ascii="方正仿宋_GBK" w:hAnsi="Times New Roman" w:eastAsia="方正仿宋_GBK" w:cs="方正仿宋_GBK"/>
                <w:color w:val="auto"/>
                <w:szCs w:val="21"/>
                <w:highlight w:val="none"/>
              </w:rPr>
              <w:t>垂直运输设备检测、检验、日常维护、保养等。</w:t>
            </w:r>
          </w:p>
          <w:p w14:paraId="4DE66DF0">
            <w:pPr>
              <w:pStyle w:val="406"/>
              <w:spacing w:line="300" w:lineRule="exact"/>
              <w:rPr>
                <w:rFonts w:ascii="方正仿宋_GBK" w:hAnsi="Times New Roman" w:eastAsia="方正仿宋_GBK"/>
                <w:color w:val="auto"/>
                <w:szCs w:val="21"/>
                <w:highlight w:val="none"/>
              </w:rPr>
            </w:pPr>
            <w:r>
              <w:rPr>
                <w:rFonts w:ascii="方正仿宋_GBK" w:hAnsi="Times New Roman" w:eastAsia="方正仿宋_GBK" w:cs="方正仿宋_GBK"/>
                <w:color w:val="auto"/>
                <w:szCs w:val="21"/>
                <w:highlight w:val="none"/>
              </w:rPr>
              <w:t xml:space="preserve">2. </w:t>
            </w:r>
            <w:r>
              <w:rPr>
                <w:rFonts w:hint="eastAsia" w:ascii="方正仿宋_GBK" w:hAnsi="Times New Roman" w:eastAsia="方正仿宋_GBK" w:cs="方正仿宋_GBK"/>
                <w:color w:val="auto"/>
                <w:szCs w:val="21"/>
                <w:highlight w:val="none"/>
              </w:rPr>
              <w:t>物料提升机、施工电梯等物料平台搭设、外侧用密目式安全立网全封闭，有安全通道、安全防护门、防护棚等。</w:t>
            </w:r>
          </w:p>
        </w:tc>
      </w:tr>
      <w:tr w14:paraId="13630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67FA90ED">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48FBA26A">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专家论证审查</w:t>
            </w:r>
          </w:p>
        </w:tc>
        <w:tc>
          <w:tcPr>
            <w:tcW w:w="6645" w:type="dxa"/>
            <w:noWrap w:val="0"/>
            <w:vAlign w:val="center"/>
          </w:tcPr>
          <w:p w14:paraId="737AE67D">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超过一定规模的危险性较大分部分项工程专家论证审查。</w:t>
            </w:r>
          </w:p>
        </w:tc>
      </w:tr>
      <w:tr w14:paraId="4440F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625B4038">
            <w:pPr>
              <w:pStyle w:val="406"/>
              <w:spacing w:line="300" w:lineRule="exact"/>
              <w:jc w:val="center"/>
              <w:rPr>
                <w:rFonts w:ascii="方正仿宋_GBK" w:hAnsi="Times New Roman" w:eastAsia="方正仿宋_GBK"/>
                <w:color w:val="auto"/>
                <w:szCs w:val="21"/>
                <w:highlight w:val="none"/>
              </w:rPr>
            </w:pPr>
          </w:p>
        </w:tc>
        <w:tc>
          <w:tcPr>
            <w:tcW w:w="2070" w:type="dxa"/>
            <w:gridSpan w:val="2"/>
            <w:noWrap w:val="0"/>
            <w:vAlign w:val="center"/>
          </w:tcPr>
          <w:p w14:paraId="3B820539">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应急救援预案</w:t>
            </w:r>
          </w:p>
        </w:tc>
        <w:tc>
          <w:tcPr>
            <w:tcW w:w="6645" w:type="dxa"/>
            <w:noWrap w:val="0"/>
            <w:vAlign w:val="center"/>
          </w:tcPr>
          <w:p w14:paraId="69AE3801">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救援器材准备及演练等。</w:t>
            </w:r>
          </w:p>
        </w:tc>
      </w:tr>
      <w:tr w14:paraId="79839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noWrap w:val="0"/>
            <w:vAlign w:val="center"/>
          </w:tcPr>
          <w:p w14:paraId="203EDF27">
            <w:pPr>
              <w:pStyle w:val="406"/>
              <w:spacing w:line="300" w:lineRule="exact"/>
              <w:jc w:val="center"/>
              <w:rPr>
                <w:rFonts w:ascii="方正仿宋_GBK" w:hAnsi="Times New Roman" w:eastAsia="方正仿宋_GBK"/>
                <w:color w:val="auto"/>
                <w:szCs w:val="21"/>
                <w:highlight w:val="none"/>
              </w:rPr>
            </w:pPr>
          </w:p>
        </w:tc>
        <w:tc>
          <w:tcPr>
            <w:tcW w:w="2070" w:type="dxa"/>
            <w:gridSpan w:val="2"/>
            <w:tcBorders>
              <w:bottom w:val="single" w:color="auto" w:sz="12" w:space="0"/>
            </w:tcBorders>
            <w:noWrap w:val="0"/>
            <w:vAlign w:val="center"/>
          </w:tcPr>
          <w:p w14:paraId="32AAB64E">
            <w:pPr>
              <w:pStyle w:val="406"/>
              <w:spacing w:line="300" w:lineRule="exact"/>
              <w:jc w:val="center"/>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非正常情况施工</w:t>
            </w:r>
          </w:p>
        </w:tc>
        <w:tc>
          <w:tcPr>
            <w:tcW w:w="6645" w:type="dxa"/>
            <w:tcBorders>
              <w:bottom w:val="single" w:color="auto" w:sz="12" w:space="0"/>
            </w:tcBorders>
            <w:noWrap w:val="0"/>
            <w:vAlign w:val="center"/>
          </w:tcPr>
          <w:p w14:paraId="29C73501">
            <w:pPr>
              <w:pStyle w:val="406"/>
              <w:spacing w:line="300" w:lineRule="exact"/>
              <w:rPr>
                <w:rFonts w:ascii="方正仿宋_GBK" w:hAnsi="Times New Roman" w:eastAsia="方正仿宋_GBK"/>
                <w:color w:val="auto"/>
                <w:szCs w:val="21"/>
                <w:highlight w:val="none"/>
              </w:rPr>
            </w:pPr>
            <w:r>
              <w:rPr>
                <w:rFonts w:hint="eastAsia" w:ascii="方正仿宋_GBK" w:hAnsi="Times New Roman" w:eastAsia="方正仿宋_GBK" w:cs="方正仿宋_GBK"/>
                <w:color w:val="auto"/>
                <w:szCs w:val="21"/>
                <w:highlight w:val="none"/>
              </w:rPr>
              <w:t>其它特殊情况下的防护费用，如：城市主干道、人流密集、河边等处施工及文物、古建筑、古树保护等。</w:t>
            </w:r>
          </w:p>
        </w:tc>
      </w:tr>
    </w:tbl>
    <w:p w14:paraId="5AF24DF1">
      <w:pPr>
        <w:pStyle w:val="406"/>
        <w:spacing w:line="240" w:lineRule="atLeast"/>
        <w:ind w:firstLine="546"/>
        <w:jc w:val="center"/>
        <w:rPr>
          <w:rFonts w:ascii="Times New Roman" w:hAnsi="Times New Roman"/>
          <w:b/>
          <w:bCs/>
          <w:color w:val="auto"/>
          <w:sz w:val="24"/>
          <w:szCs w:val="24"/>
          <w:highlight w:val="none"/>
        </w:rPr>
      </w:pPr>
    </w:p>
    <w:p w14:paraId="50763906">
      <w:pPr>
        <w:pStyle w:val="406"/>
        <w:spacing w:before="120"/>
        <w:ind w:firstLine="420"/>
        <w:rPr>
          <w:rFonts w:ascii="Times New Roman" w:hAnsi="Times New Roman" w:cs="宋体"/>
          <w:color w:val="auto"/>
          <w:szCs w:val="21"/>
          <w:highlight w:val="none"/>
        </w:rPr>
      </w:pPr>
      <w:r>
        <w:rPr>
          <w:rFonts w:hint="eastAsia" w:ascii="Times New Roman" w:hAnsi="Times New Roman"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6EC9A29F">
      <w:pPr>
        <w:pStyle w:val="43"/>
        <w:rPr>
          <w:rFonts w:hint="eastAsia"/>
          <w:color w:val="auto"/>
          <w:highlight w:val="none"/>
        </w:rPr>
      </w:pPr>
    </w:p>
    <w:p w14:paraId="4A934A48">
      <w:pPr>
        <w:rPr>
          <w:rFonts w:hint="eastAsia"/>
          <w:color w:val="auto"/>
          <w:highlight w:val="none"/>
        </w:rPr>
      </w:pPr>
    </w:p>
    <w:p w14:paraId="66D9E6DF">
      <w:pPr>
        <w:pStyle w:val="43"/>
        <w:rPr>
          <w:rFonts w:hint="eastAsia"/>
          <w:color w:val="auto"/>
          <w:highlight w:val="none"/>
        </w:rPr>
      </w:pPr>
    </w:p>
    <w:p w14:paraId="0FD50129">
      <w:pPr>
        <w:rPr>
          <w:rFonts w:hint="eastAsia"/>
          <w:color w:val="auto"/>
          <w:highlight w:val="none"/>
        </w:rPr>
      </w:pPr>
    </w:p>
    <w:p w14:paraId="4CA5F095">
      <w:pPr>
        <w:pStyle w:val="43"/>
        <w:rPr>
          <w:rFonts w:hint="eastAsia"/>
          <w:color w:val="auto"/>
          <w:highlight w:val="none"/>
        </w:rPr>
      </w:pPr>
    </w:p>
    <w:p w14:paraId="01CF02EF">
      <w:pPr>
        <w:rPr>
          <w:rFonts w:hint="eastAsia"/>
          <w:color w:val="auto"/>
          <w:highlight w:val="none"/>
        </w:rPr>
      </w:pPr>
    </w:p>
    <w:p w14:paraId="14381AEF">
      <w:pPr>
        <w:spacing w:line="360" w:lineRule="auto"/>
        <w:jc w:val="both"/>
        <w:rPr>
          <w:rFonts w:hint="eastAsia" w:ascii="宋体" w:hAnsi="宋体" w:cs="仿宋_GB2312"/>
          <w:color w:val="auto"/>
          <w:sz w:val="24"/>
          <w:highlight w:val="none"/>
        </w:rPr>
      </w:pPr>
    </w:p>
    <w:p w14:paraId="253B9B0A">
      <w:pPr>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技术要求偏离表格式</w:t>
      </w:r>
    </w:p>
    <w:p w14:paraId="4320EC09">
      <w:pPr>
        <w:spacing w:line="520" w:lineRule="exact"/>
        <w:rPr>
          <w:rFonts w:hint="eastAsia" w:ascii="仿宋_GB2312" w:hAnsi="仿宋_GB2312" w:eastAsia="仿宋_GB2312" w:cs="仿宋_GB2312"/>
          <w:color w:val="auto"/>
          <w:sz w:val="32"/>
          <w:szCs w:val="32"/>
          <w:highlight w:val="none"/>
        </w:rPr>
      </w:pPr>
    </w:p>
    <w:p w14:paraId="388054D7">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039840A">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7"/>
        <w:gridCol w:w="987"/>
        <w:gridCol w:w="3271"/>
        <w:gridCol w:w="2943"/>
        <w:gridCol w:w="1604"/>
      </w:tblGrid>
      <w:tr w14:paraId="15AF10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AEE6FC">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序号</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55C01FB5">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名称</w:t>
            </w:r>
          </w:p>
        </w:tc>
        <w:tc>
          <w:tcPr>
            <w:tcW w:w="3271" w:type="dxa"/>
            <w:tcBorders>
              <w:top w:val="single" w:color="auto" w:sz="4" w:space="0"/>
              <w:left w:val="single" w:color="auto" w:sz="4" w:space="0"/>
              <w:bottom w:val="single" w:color="auto" w:sz="4" w:space="0"/>
              <w:right w:val="single" w:color="auto" w:sz="4" w:space="0"/>
            </w:tcBorders>
            <w:noWrap w:val="0"/>
            <w:vAlign w:val="center"/>
          </w:tcPr>
          <w:p w14:paraId="1ABC0901">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磋商文件要求</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69FEE8A">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竞标响应</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99CB1C2">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偏离说明</w:t>
            </w:r>
          </w:p>
        </w:tc>
      </w:tr>
      <w:tr w14:paraId="7EB745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B4ABF05">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5076E4A0">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2492161A">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16E121BF">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388A5D7">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r>
      <w:tr w14:paraId="017AD8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6D8ED09">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2</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C2C3504">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6E5846C3">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4E22AAF9">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660232C">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r>
      <w:tr w14:paraId="118EB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1418D42">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3</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6B7CA8D">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5C8C6BDB">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BAA2F21">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32299358">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r>
      <w:tr w14:paraId="4BF30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398C1E7">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4</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0EC3A87">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174475B5">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2531F5B5">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4D1916F9">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r>
      <w:tr w14:paraId="07425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4C6FA1F">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5</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027090B">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30F6C7A8">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6ABEBA1">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5DE3E88">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r>
      <w:tr w14:paraId="58C9E8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7293E49">
            <w:pPr>
              <w:pStyle w:val="224"/>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2E29969">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1E2EF852">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49C759D9">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DBE41F5">
            <w:pPr>
              <w:pStyle w:val="224"/>
              <w:spacing w:line="360" w:lineRule="auto"/>
              <w:ind w:firstLine="0"/>
              <w:jc w:val="center"/>
              <w:rPr>
                <w:rFonts w:hint="eastAsia" w:ascii="宋体" w:hAnsi="宋体" w:eastAsia="宋体" w:cs="仿宋_GB2312"/>
                <w:color w:val="auto"/>
                <w:sz w:val="24"/>
                <w:szCs w:val="24"/>
                <w:highlight w:val="none"/>
                <w:lang w:val="en-US" w:eastAsia="zh-CN"/>
              </w:rPr>
            </w:pPr>
          </w:p>
        </w:tc>
      </w:tr>
    </w:tbl>
    <w:p w14:paraId="57BD263D">
      <w:pPr>
        <w:pStyle w:val="224"/>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77B3CDB">
      <w:pPr>
        <w:pStyle w:val="224"/>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采购需求”中的技术要求逐条实质性响应，并作出偏离说明。</w:t>
      </w:r>
    </w:p>
    <w:p w14:paraId="0318CFA5">
      <w:pPr>
        <w:pStyle w:val="224"/>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2.供应商应根据竞标项目的技术要求，对照磋商文件要求，在“偏离说明”中注明“正偏离”、“负偏离”或者“无偏离”。既不属于“正偏离”也不属于“负偏离”即为“无偏离”。</w:t>
      </w:r>
    </w:p>
    <w:p w14:paraId="613B3943">
      <w:pPr>
        <w:pStyle w:val="224"/>
        <w:spacing w:line="360" w:lineRule="auto"/>
        <w:ind w:firstLine="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3.供应商认为其竞标响应有正偏离的，请在项目需求偏离表中列明。</w:t>
      </w:r>
    </w:p>
    <w:p w14:paraId="32536DAF">
      <w:pPr>
        <w:pStyle w:val="224"/>
        <w:spacing w:line="360" w:lineRule="auto"/>
        <w:ind w:firstLine="0"/>
        <w:contextualSpacing/>
        <w:rPr>
          <w:rFonts w:hint="eastAsia" w:ascii="宋体" w:hAnsi="宋体" w:eastAsia="宋体" w:cs="仿宋_GB2312"/>
          <w:color w:val="auto"/>
          <w:sz w:val="24"/>
          <w:szCs w:val="24"/>
          <w:highlight w:val="none"/>
        </w:rPr>
      </w:pPr>
    </w:p>
    <w:p w14:paraId="799BE844">
      <w:pPr>
        <w:pStyle w:val="224"/>
        <w:spacing w:line="360" w:lineRule="auto"/>
        <w:ind w:firstLine="0"/>
        <w:contextualSpacing/>
        <w:rPr>
          <w:rFonts w:hint="eastAsia" w:ascii="宋体" w:hAnsi="宋体" w:eastAsia="宋体" w:cs="仿宋_GB2312"/>
          <w:color w:val="auto"/>
          <w:sz w:val="24"/>
          <w:szCs w:val="24"/>
          <w:highlight w:val="none"/>
        </w:rPr>
      </w:pPr>
    </w:p>
    <w:p w14:paraId="075B023B">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A378C90">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8417E6">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CE0B38B">
      <w:pPr>
        <w:spacing w:line="360" w:lineRule="auto"/>
        <w:ind w:right="-817" w:firstLine="2880"/>
        <w:contextualSpacing/>
        <w:rPr>
          <w:rFonts w:hint="eastAsia" w:ascii="宋体" w:hAnsi="宋体" w:cs="仿宋_GB2312"/>
          <w:color w:val="auto"/>
          <w:sz w:val="24"/>
          <w:highlight w:val="none"/>
        </w:rPr>
      </w:pPr>
    </w:p>
    <w:p w14:paraId="74CD2E30">
      <w:pPr>
        <w:spacing w:line="360" w:lineRule="auto"/>
        <w:ind w:right="-817" w:firstLine="2880"/>
        <w:contextualSpacing/>
        <w:rPr>
          <w:rFonts w:hint="eastAsia" w:ascii="宋体" w:hAnsi="宋体" w:cs="仿宋_GB2312"/>
          <w:color w:val="auto"/>
          <w:sz w:val="24"/>
          <w:highlight w:val="none"/>
        </w:rPr>
      </w:pPr>
    </w:p>
    <w:p w14:paraId="68EBD191">
      <w:pPr>
        <w:spacing w:line="360" w:lineRule="auto"/>
        <w:ind w:right="-817" w:firstLine="2880"/>
        <w:contextualSpacing/>
        <w:rPr>
          <w:rFonts w:hint="eastAsia" w:ascii="宋体" w:hAnsi="宋体" w:cs="仿宋_GB2312"/>
          <w:color w:val="auto"/>
          <w:sz w:val="24"/>
          <w:highlight w:val="none"/>
        </w:rPr>
      </w:pPr>
    </w:p>
    <w:p w14:paraId="60361FAC">
      <w:pPr>
        <w:spacing w:line="360" w:lineRule="auto"/>
        <w:ind w:right="-817" w:firstLine="3840"/>
        <w:contextualSpacing/>
        <w:rPr>
          <w:rFonts w:ascii="仿宋_GB2312" w:hAnsi="仿宋_GB2312" w:eastAsia="仿宋_GB2312" w:cs="仿宋_GB2312"/>
          <w:color w:val="auto"/>
          <w:sz w:val="32"/>
          <w:szCs w:val="32"/>
          <w:highlight w:val="none"/>
        </w:rPr>
      </w:pPr>
    </w:p>
    <w:p w14:paraId="528A0DF7">
      <w:pPr>
        <w:pStyle w:val="43"/>
        <w:rPr>
          <w:rFonts w:ascii="仿宋_GB2312" w:hAnsi="仿宋_GB2312" w:eastAsia="仿宋_GB2312" w:cs="仿宋_GB2312"/>
          <w:color w:val="auto"/>
          <w:sz w:val="32"/>
          <w:szCs w:val="32"/>
          <w:highlight w:val="none"/>
        </w:rPr>
      </w:pPr>
    </w:p>
    <w:p w14:paraId="395E7EBE">
      <w:pPr>
        <w:rPr>
          <w:color w:val="auto"/>
          <w:highlight w:val="none"/>
        </w:rPr>
      </w:pPr>
    </w:p>
    <w:p w14:paraId="0BCF73F1">
      <w:pPr>
        <w:spacing w:line="520" w:lineRule="exact"/>
        <w:contextualSpacing/>
        <w:rPr>
          <w:rFonts w:hint="eastAsia" w:ascii="方正小标宋简体" w:hAnsi="方正小标宋简体" w:eastAsia="方正小标宋简体" w:cs="方正小标宋简体"/>
          <w:bCs/>
          <w:color w:val="auto"/>
          <w:sz w:val="44"/>
          <w:szCs w:val="44"/>
          <w:highlight w:val="none"/>
        </w:rPr>
      </w:pPr>
    </w:p>
    <w:p w14:paraId="683FCA93">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6F6C8B5B">
      <w:pPr>
        <w:spacing w:line="500" w:lineRule="exact"/>
        <w:jc w:val="center"/>
        <w:rPr>
          <w:rFonts w:hint="eastAsia" w:ascii="方正小标宋简体" w:hAnsi="方正小标宋简体" w:eastAsia="方正小标宋简体" w:cs="方正小标宋简体"/>
          <w:bCs/>
          <w:color w:val="auto"/>
          <w:sz w:val="44"/>
          <w:szCs w:val="44"/>
          <w:highlight w:val="none"/>
        </w:rPr>
      </w:pP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4627"/>
        <w:gridCol w:w="1740"/>
        <w:gridCol w:w="1493"/>
      </w:tblGrid>
      <w:tr w14:paraId="7E7B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62727140">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项目</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56A001A8">
            <w:pPr>
              <w:spacing w:line="300" w:lineRule="exact"/>
              <w:jc w:val="center"/>
              <w:rPr>
                <w:rFonts w:hint="eastAsia" w:ascii="宋体" w:hAnsi="宋体" w:cs="仿宋_GB2312"/>
                <w:color w:val="auto"/>
                <w:szCs w:val="21"/>
                <w:highlight w:val="none"/>
              </w:rPr>
            </w:pPr>
          </w:p>
          <w:p w14:paraId="210B5472">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磋商文件商务要求</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8D1626E">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供应商的响应</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D2D2D61">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偏离说明</w:t>
            </w:r>
          </w:p>
        </w:tc>
      </w:tr>
      <w:tr w14:paraId="2A1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416E13FF">
            <w:pPr>
              <w:spacing w:line="400" w:lineRule="exact"/>
              <w:jc w:val="center"/>
              <w:rPr>
                <w:rFonts w:hint="eastAsia" w:ascii="宋体" w:hAnsi="宋体" w:cs="仿宋_GB2312"/>
                <w:color w:val="auto"/>
                <w:sz w:val="24"/>
                <w:highlight w:val="none"/>
                <w:u w:val="single"/>
              </w:rPr>
            </w:pPr>
            <w:r>
              <w:rPr>
                <w:rFonts w:hint="eastAsia" w:ascii="宋体" w:hAnsi="宋体" w:cs="宋体"/>
                <w:color w:val="auto"/>
                <w:szCs w:val="21"/>
                <w:highlight w:val="none"/>
              </w:rPr>
              <w:t>计划工期</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6FB291C1">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A97E59A">
            <w:pPr>
              <w:spacing w:line="400" w:lineRule="exact"/>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7ACDBCE">
            <w:pPr>
              <w:spacing w:line="400" w:lineRule="exact"/>
              <w:jc w:val="center"/>
              <w:rPr>
                <w:rFonts w:hint="eastAsia" w:ascii="宋体" w:hAnsi="宋体" w:cs="仿宋_GB2312"/>
                <w:color w:val="auto"/>
                <w:sz w:val="24"/>
                <w:highlight w:val="none"/>
                <w:u w:val="single"/>
              </w:rPr>
            </w:pPr>
          </w:p>
        </w:tc>
      </w:tr>
      <w:tr w14:paraId="18D5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34154801">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建设地点</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3A3ACF32">
            <w:pPr>
              <w:spacing w:line="360" w:lineRule="auto"/>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6FE0109">
            <w:pPr>
              <w:spacing w:line="400" w:lineRule="exact"/>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90B8EB2">
            <w:pPr>
              <w:spacing w:line="400" w:lineRule="exact"/>
              <w:jc w:val="center"/>
              <w:rPr>
                <w:rFonts w:hint="eastAsia" w:ascii="宋体" w:hAnsi="宋体" w:cs="仿宋_GB2312"/>
                <w:color w:val="auto"/>
                <w:sz w:val="24"/>
                <w:highlight w:val="none"/>
                <w:u w:val="single"/>
              </w:rPr>
            </w:pPr>
          </w:p>
        </w:tc>
      </w:tr>
      <w:tr w14:paraId="3A7C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649CA015">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合同签订时间</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5CEA9590">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EE5591C">
            <w:pPr>
              <w:spacing w:line="400" w:lineRule="exact"/>
              <w:ind w:left="43"/>
              <w:contextualSpacing/>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AC2836A">
            <w:pPr>
              <w:spacing w:line="400" w:lineRule="exact"/>
              <w:ind w:left="43"/>
              <w:contextualSpacing/>
              <w:jc w:val="center"/>
              <w:rPr>
                <w:rFonts w:hint="eastAsia" w:ascii="宋体" w:hAnsi="宋体" w:cs="仿宋_GB2312"/>
                <w:color w:val="auto"/>
                <w:sz w:val="24"/>
                <w:highlight w:val="none"/>
                <w:u w:val="single"/>
              </w:rPr>
            </w:pPr>
          </w:p>
        </w:tc>
      </w:tr>
      <w:tr w14:paraId="5EC9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7162596D">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竞标报价</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395A1962">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D256EC6">
            <w:pPr>
              <w:spacing w:line="400" w:lineRule="exact"/>
              <w:ind w:left="43"/>
              <w:contextualSpacing/>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E11106">
            <w:pPr>
              <w:spacing w:line="400" w:lineRule="exact"/>
              <w:ind w:left="43"/>
              <w:contextualSpacing/>
              <w:jc w:val="center"/>
              <w:rPr>
                <w:rFonts w:hint="eastAsia" w:ascii="宋体" w:hAnsi="宋体" w:cs="仿宋_GB2312"/>
                <w:color w:val="auto"/>
                <w:sz w:val="24"/>
                <w:highlight w:val="none"/>
                <w:u w:val="single"/>
              </w:rPr>
            </w:pPr>
          </w:p>
        </w:tc>
      </w:tr>
      <w:tr w14:paraId="4218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43814D6B">
            <w:pPr>
              <w:spacing w:line="400" w:lineRule="exact"/>
              <w:rPr>
                <w:rFonts w:hint="eastAsia" w:ascii="宋体" w:hAnsi="宋体" w:cs="仿宋_GB2312"/>
                <w:color w:val="auto"/>
                <w:sz w:val="24"/>
                <w:highlight w:val="none"/>
                <w:u w:val="single"/>
              </w:rPr>
            </w:pPr>
            <w:r>
              <w:rPr>
                <w:rFonts w:hint="eastAsia" w:ascii="宋体" w:hAnsi="宋体"/>
                <w:color w:val="auto"/>
                <w:szCs w:val="21"/>
                <w:highlight w:val="none"/>
              </w:rPr>
              <w:t>付款条件（进度和方式）</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06B66C20">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99A2572">
            <w:pPr>
              <w:spacing w:line="400" w:lineRule="exact"/>
              <w:ind w:left="43"/>
              <w:contextualSpacing/>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E92BD9B">
            <w:pPr>
              <w:spacing w:line="400" w:lineRule="exact"/>
              <w:ind w:left="43"/>
              <w:contextualSpacing/>
              <w:jc w:val="center"/>
              <w:rPr>
                <w:rFonts w:hint="eastAsia" w:ascii="宋体" w:hAnsi="宋体" w:cs="仿宋_GB2312"/>
                <w:color w:val="auto"/>
                <w:sz w:val="24"/>
                <w:highlight w:val="none"/>
                <w:u w:val="single"/>
              </w:rPr>
            </w:pPr>
          </w:p>
        </w:tc>
      </w:tr>
      <w:tr w14:paraId="4627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70704C6C">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其他要求</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4D936A39">
            <w:pPr>
              <w:spacing w:line="32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FE94AED">
            <w:pPr>
              <w:spacing w:line="400" w:lineRule="exact"/>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12194DE">
            <w:pPr>
              <w:spacing w:line="400" w:lineRule="exact"/>
              <w:jc w:val="center"/>
              <w:rPr>
                <w:rFonts w:hint="eastAsia" w:ascii="宋体" w:hAnsi="宋体" w:cs="仿宋_GB2312"/>
                <w:color w:val="auto"/>
                <w:sz w:val="24"/>
                <w:highlight w:val="none"/>
                <w:u w:val="single"/>
              </w:rPr>
            </w:pPr>
          </w:p>
        </w:tc>
      </w:tr>
    </w:tbl>
    <w:p w14:paraId="044BAB6C">
      <w:pPr>
        <w:spacing w:line="400" w:lineRule="exact"/>
        <w:rPr>
          <w:rFonts w:hint="eastAsia" w:ascii="宋体" w:hAnsi="宋体"/>
          <w:color w:val="auto"/>
          <w:szCs w:val="21"/>
          <w:highlight w:val="none"/>
        </w:rPr>
      </w:pPr>
      <w:r>
        <w:rPr>
          <w:rFonts w:hint="eastAsia" w:ascii="宋体" w:hAnsi="宋体"/>
          <w:color w:val="auto"/>
          <w:szCs w:val="21"/>
          <w:highlight w:val="none"/>
        </w:rPr>
        <w:t>注：</w:t>
      </w:r>
    </w:p>
    <w:p w14:paraId="19116F22">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1. 说明：应对照磋商文件“第三章 </w:t>
      </w:r>
      <w:r>
        <w:rPr>
          <w:rFonts w:hint="eastAsia"/>
          <w:color w:val="auto"/>
          <w:highlight w:val="none"/>
        </w:rPr>
        <w:t>采购需求</w:t>
      </w:r>
      <w:r>
        <w:rPr>
          <w:rFonts w:hint="eastAsia" w:ascii="宋体" w:hAnsi="宋体"/>
          <w:color w:val="auto"/>
          <w:szCs w:val="21"/>
          <w:highlight w:val="none"/>
        </w:rPr>
        <w:t>”中的商务要求逐条作出明确响应，并作出偏离说明。</w:t>
      </w:r>
    </w:p>
    <w:p w14:paraId="3BFABCFC">
      <w:pPr>
        <w:spacing w:line="300" w:lineRule="exact"/>
        <w:jc w:val="left"/>
        <w:rPr>
          <w:rFonts w:hint="eastAsia" w:ascii="宋体" w:hAnsi="宋体" w:cs="仿宋_GB2312"/>
          <w:color w:val="auto"/>
          <w:szCs w:val="21"/>
          <w:highlight w:val="none"/>
          <w:u w:val="single"/>
        </w:rPr>
      </w:pPr>
      <w:r>
        <w:rPr>
          <w:rFonts w:hint="eastAsia" w:ascii="宋体" w:hAnsi="宋体"/>
          <w:color w:val="auto"/>
          <w:szCs w:val="21"/>
          <w:highlight w:val="none"/>
        </w:rPr>
        <w:t>2.供应商应根据自身的承诺，对照磋商文件要求在“偏离说明”中注明“正偏离”、“负偏离”或者“无偏离”。既不属于“正偏离”也不属于“负偏离”即为“无偏离”。</w:t>
      </w:r>
    </w:p>
    <w:p w14:paraId="3DB4C521">
      <w:pPr>
        <w:spacing w:line="300" w:lineRule="exact"/>
        <w:ind w:right="-817"/>
        <w:contextualSpacing/>
        <w:rPr>
          <w:rFonts w:hint="eastAsia" w:ascii="宋体" w:hAnsi="宋体" w:cs="仿宋_GB2312"/>
          <w:color w:val="auto"/>
          <w:szCs w:val="21"/>
          <w:highlight w:val="none"/>
        </w:rPr>
      </w:pPr>
    </w:p>
    <w:p w14:paraId="483050DA">
      <w:pPr>
        <w:spacing w:line="360" w:lineRule="auto"/>
        <w:ind w:right="-817" w:firstLine="2640"/>
        <w:contextualSpacing/>
        <w:rPr>
          <w:rFonts w:hint="eastAsia" w:ascii="宋体" w:hAnsi="宋体" w:cs="仿宋_GB2312"/>
          <w:color w:val="auto"/>
          <w:sz w:val="24"/>
          <w:highlight w:val="none"/>
        </w:rPr>
      </w:pPr>
    </w:p>
    <w:p w14:paraId="0F964873">
      <w:pPr>
        <w:pStyle w:val="44"/>
        <w:rPr>
          <w:rFonts w:hint="eastAsia"/>
          <w:color w:val="auto"/>
          <w:highlight w:val="none"/>
        </w:rPr>
      </w:pPr>
    </w:p>
    <w:p w14:paraId="6CBDD0E2">
      <w:pPr>
        <w:spacing w:line="300" w:lineRule="exact"/>
        <w:jc w:val="left"/>
        <w:rPr>
          <w:rFonts w:hint="eastAsia" w:ascii="宋体" w:hAnsi="宋体"/>
          <w:color w:val="auto"/>
          <w:szCs w:val="21"/>
          <w:highlight w:val="none"/>
        </w:rPr>
      </w:pPr>
      <w:r>
        <w:rPr>
          <w:rFonts w:hint="eastAsia" w:ascii="宋体" w:hAnsi="宋体"/>
          <w:color w:val="auto"/>
          <w:szCs w:val="21"/>
          <w:highlight w:val="none"/>
        </w:rPr>
        <w:t xml:space="preserve">法定代表人或者委托代理人（签字或者电子签名）：                    </w:t>
      </w:r>
    </w:p>
    <w:p w14:paraId="37F532CD">
      <w:pPr>
        <w:spacing w:line="300" w:lineRule="exact"/>
        <w:jc w:val="left"/>
        <w:rPr>
          <w:rFonts w:hint="eastAsia" w:ascii="宋体" w:hAnsi="宋体" w:cs="仿宋_GB2312"/>
          <w:color w:val="auto"/>
          <w:sz w:val="24"/>
          <w:highlight w:val="none"/>
        </w:rPr>
      </w:pPr>
      <w:r>
        <w:rPr>
          <w:rFonts w:hint="eastAsia" w:ascii="宋体" w:hAnsi="宋体"/>
          <w:color w:val="auto"/>
          <w:szCs w:val="21"/>
          <w:highlight w:val="none"/>
        </w:rPr>
        <w:t xml:space="preserve">供应商（电子签章）：  </w:t>
      </w:r>
      <w:r>
        <w:rPr>
          <w:rFonts w:hint="eastAsia" w:ascii="宋体" w:hAnsi="宋体" w:cs="仿宋_GB2312"/>
          <w:color w:val="auto"/>
          <w:sz w:val="24"/>
          <w:highlight w:val="none"/>
        </w:rPr>
        <w:t xml:space="preserve">    </w:t>
      </w:r>
    </w:p>
    <w:p w14:paraId="542F7581">
      <w:pPr>
        <w:spacing w:line="300" w:lineRule="exact"/>
        <w:jc w:val="left"/>
        <w:rPr>
          <w:rFonts w:hint="eastAsia" w:ascii="仿宋_GB2312" w:hAnsi="仿宋_GB2312" w:eastAsia="仿宋_GB2312" w:cs="仿宋_GB2312"/>
          <w:b/>
          <w:color w:val="auto"/>
          <w:szCs w:val="21"/>
          <w:highlight w:val="none"/>
        </w:rPr>
      </w:pPr>
      <w:r>
        <w:rPr>
          <w:rFonts w:hint="eastAsia" w:ascii="宋体" w:hAnsi="宋体" w:cs="仿宋_GB2312"/>
          <w:color w:val="auto"/>
          <w:szCs w:val="21"/>
          <w:highlight w:val="none"/>
        </w:rPr>
        <w:t>日期：   年   月   日</w:t>
      </w:r>
    </w:p>
    <w:p w14:paraId="21593CDD">
      <w:pPr>
        <w:spacing w:line="360" w:lineRule="auto"/>
        <w:rPr>
          <w:rFonts w:hint="eastAsia" w:ascii="宋体" w:hAnsi="宋体" w:cs="方正小标宋简体"/>
          <w:b/>
          <w:bCs/>
          <w:color w:val="auto"/>
          <w:sz w:val="32"/>
          <w:szCs w:val="32"/>
          <w:highlight w:val="none"/>
        </w:rPr>
      </w:pPr>
    </w:p>
    <w:p w14:paraId="5024A5CD">
      <w:pPr>
        <w:pStyle w:val="43"/>
        <w:rPr>
          <w:rFonts w:hint="eastAsia" w:ascii="宋体" w:hAnsi="宋体" w:cs="方正小标宋简体"/>
          <w:b/>
          <w:bCs/>
          <w:color w:val="auto"/>
          <w:sz w:val="32"/>
          <w:szCs w:val="32"/>
          <w:highlight w:val="none"/>
        </w:rPr>
      </w:pPr>
    </w:p>
    <w:p w14:paraId="443356BD">
      <w:pPr>
        <w:rPr>
          <w:rFonts w:hint="eastAsia"/>
          <w:color w:val="auto"/>
          <w:highlight w:val="none"/>
        </w:rPr>
      </w:pPr>
    </w:p>
    <w:p w14:paraId="22257350">
      <w:pPr>
        <w:pStyle w:val="44"/>
        <w:rPr>
          <w:rFonts w:hint="eastAsia"/>
          <w:color w:val="auto"/>
          <w:highlight w:val="none"/>
        </w:rPr>
      </w:pPr>
    </w:p>
    <w:p w14:paraId="58F10F0D">
      <w:pPr>
        <w:spacing w:line="360" w:lineRule="auto"/>
        <w:ind w:firstLine="2891"/>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施工组织设计</w:t>
      </w:r>
    </w:p>
    <w:p w14:paraId="57589F25">
      <w:pPr>
        <w:spacing w:line="360" w:lineRule="auto"/>
        <w:ind w:firstLine="480"/>
        <w:rPr>
          <w:color w:val="auto"/>
          <w:highlight w:val="none"/>
          <w:lang w:val="zh-CN"/>
        </w:rPr>
      </w:pPr>
      <w:r>
        <w:rPr>
          <w:color w:val="auto"/>
          <w:highlight w:val="none"/>
        </w:rPr>
        <w:t>1.</w:t>
      </w:r>
      <w:r>
        <w:rPr>
          <w:rFonts w:hint="eastAsia"/>
          <w:color w:val="auto"/>
          <w:highlight w:val="none"/>
        </w:rPr>
        <w:t xml:space="preserve"> </w:t>
      </w:r>
      <w:r>
        <w:rPr>
          <w:rFonts w:hint="eastAsia"/>
          <w:color w:val="auto"/>
          <w:highlight w:val="none"/>
          <w:lang w:val="zh-CN"/>
        </w:rPr>
        <w:t>供应商</w:t>
      </w:r>
      <w:r>
        <w:rPr>
          <w:color w:val="auto"/>
          <w:highlight w:val="none"/>
          <w:lang w:val="zh-CN"/>
        </w:rPr>
        <w:t>应按以下要点编制施工组织设计（文字宜精炼、内容具有针对性）：</w:t>
      </w:r>
    </w:p>
    <w:p w14:paraId="20C95B49">
      <w:pPr>
        <w:spacing w:line="360" w:lineRule="auto"/>
        <w:ind w:firstLine="420"/>
        <w:rPr>
          <w:rFonts w:hint="eastAsia"/>
          <w:color w:val="auto"/>
          <w:highlight w:val="none"/>
          <w:lang w:val="zh-CN"/>
        </w:rPr>
      </w:pPr>
      <w:r>
        <w:rPr>
          <w:rFonts w:hint="eastAsia"/>
          <w:color w:val="auto"/>
          <w:highlight w:val="none"/>
          <w:lang w:val="zh-CN"/>
        </w:rPr>
        <w:t>（1）设备配置</w:t>
      </w:r>
    </w:p>
    <w:p w14:paraId="7A1BBE12">
      <w:pPr>
        <w:spacing w:line="360" w:lineRule="auto"/>
        <w:ind w:firstLine="420"/>
        <w:rPr>
          <w:rFonts w:hint="eastAsia" w:hAnsi="宋体"/>
          <w:bCs/>
          <w:color w:val="auto"/>
          <w:highlight w:val="none"/>
        </w:rPr>
      </w:pPr>
      <w:r>
        <w:rPr>
          <w:rFonts w:hint="eastAsia" w:hAnsi="宋体"/>
          <w:bCs/>
          <w:color w:val="auto"/>
          <w:highlight w:val="none"/>
        </w:rPr>
        <w:t>（2）主要施工方法</w:t>
      </w:r>
    </w:p>
    <w:p w14:paraId="7FE89FDA">
      <w:pPr>
        <w:spacing w:line="360" w:lineRule="auto"/>
        <w:ind w:firstLine="420"/>
        <w:rPr>
          <w:rFonts w:hint="eastAsia" w:hAnsi="宋体"/>
          <w:bCs/>
          <w:color w:val="auto"/>
          <w:highlight w:val="none"/>
        </w:rPr>
      </w:pPr>
      <w:r>
        <w:rPr>
          <w:rFonts w:hint="eastAsia" w:hAnsi="宋体"/>
          <w:bCs/>
          <w:color w:val="auto"/>
          <w:highlight w:val="none"/>
        </w:rPr>
        <w:t>（3）拟投入的主要物资计划</w:t>
      </w:r>
    </w:p>
    <w:p w14:paraId="2545072B">
      <w:pPr>
        <w:spacing w:line="360" w:lineRule="auto"/>
        <w:ind w:firstLine="420"/>
        <w:rPr>
          <w:rFonts w:hint="eastAsia" w:hAnsi="宋体"/>
          <w:bCs/>
          <w:color w:val="auto"/>
          <w:highlight w:val="none"/>
        </w:rPr>
      </w:pPr>
      <w:r>
        <w:rPr>
          <w:rFonts w:hint="eastAsia" w:hAnsi="宋体"/>
          <w:bCs/>
          <w:color w:val="auto"/>
          <w:highlight w:val="none"/>
        </w:rPr>
        <w:t>（4）劳动力安排计划</w:t>
      </w:r>
    </w:p>
    <w:p w14:paraId="168E7A9D">
      <w:pPr>
        <w:spacing w:line="360" w:lineRule="auto"/>
        <w:ind w:firstLine="420"/>
        <w:rPr>
          <w:rFonts w:hint="eastAsia" w:hAnsi="宋体"/>
          <w:bCs/>
          <w:color w:val="auto"/>
          <w:highlight w:val="none"/>
        </w:rPr>
      </w:pPr>
      <w:r>
        <w:rPr>
          <w:rFonts w:hint="eastAsia" w:hAnsi="宋体"/>
          <w:bCs/>
          <w:color w:val="auto"/>
          <w:highlight w:val="none"/>
        </w:rPr>
        <w:t>（5）确保工程质量的技术组织措施</w:t>
      </w:r>
    </w:p>
    <w:p w14:paraId="6575BB62">
      <w:pPr>
        <w:spacing w:line="360" w:lineRule="auto"/>
        <w:ind w:firstLine="420"/>
        <w:rPr>
          <w:rFonts w:hint="eastAsia" w:hAnsi="宋体"/>
          <w:bCs/>
          <w:color w:val="auto"/>
          <w:highlight w:val="none"/>
        </w:rPr>
      </w:pPr>
      <w:r>
        <w:rPr>
          <w:rFonts w:hint="eastAsia" w:hAnsi="宋体"/>
          <w:bCs/>
          <w:color w:val="auto"/>
          <w:highlight w:val="none"/>
        </w:rPr>
        <w:t>（6）确保安全生产的技术组织措施</w:t>
      </w:r>
    </w:p>
    <w:p w14:paraId="6143F8EC">
      <w:pPr>
        <w:spacing w:line="360" w:lineRule="auto"/>
        <w:ind w:firstLine="420"/>
        <w:rPr>
          <w:rFonts w:hint="eastAsia" w:hAnsi="宋体"/>
          <w:bCs/>
          <w:color w:val="auto"/>
          <w:highlight w:val="none"/>
        </w:rPr>
      </w:pPr>
      <w:r>
        <w:rPr>
          <w:rFonts w:hint="eastAsia" w:hAnsi="宋体"/>
          <w:bCs/>
          <w:color w:val="auto"/>
          <w:highlight w:val="none"/>
        </w:rPr>
        <w:t>（7）确保工期的技术组织措施</w:t>
      </w:r>
    </w:p>
    <w:p w14:paraId="6C7C79D3">
      <w:pPr>
        <w:spacing w:line="360" w:lineRule="auto"/>
        <w:ind w:firstLine="420"/>
        <w:rPr>
          <w:rFonts w:hint="eastAsia" w:hAnsi="宋体"/>
          <w:bCs/>
          <w:color w:val="auto"/>
          <w:highlight w:val="none"/>
        </w:rPr>
      </w:pPr>
      <w:r>
        <w:rPr>
          <w:rFonts w:hint="eastAsia" w:hAnsi="宋体"/>
          <w:bCs/>
          <w:color w:val="auto"/>
          <w:highlight w:val="none"/>
        </w:rPr>
        <w:t>（8）确保文明施工的技术组织措施</w:t>
      </w:r>
    </w:p>
    <w:p w14:paraId="218ADC6C">
      <w:pPr>
        <w:spacing w:line="360" w:lineRule="auto"/>
        <w:ind w:firstLine="480"/>
        <w:rPr>
          <w:rFonts w:hint="eastAsia" w:hAnsi="宋体"/>
          <w:bCs/>
          <w:color w:val="auto"/>
          <w:highlight w:val="none"/>
        </w:rPr>
      </w:pPr>
      <w:r>
        <w:rPr>
          <w:rFonts w:hint="eastAsia" w:hAnsi="宋体"/>
          <w:bCs/>
          <w:color w:val="auto"/>
          <w:highlight w:val="none"/>
        </w:rPr>
        <w:t>（9）工程施工的重点和难点及保证措施</w:t>
      </w:r>
    </w:p>
    <w:p w14:paraId="13F3F11F">
      <w:pPr>
        <w:pStyle w:val="44"/>
        <w:ind w:firstLine="420"/>
        <w:rPr>
          <w:rFonts w:hint="eastAsia"/>
          <w:color w:val="auto"/>
          <w:highlight w:val="none"/>
          <w:lang w:eastAsia="zh-CN"/>
        </w:rPr>
      </w:pPr>
      <w:r>
        <w:rPr>
          <w:rFonts w:hint="eastAsia" w:hAnsi="宋体"/>
          <w:bCs/>
          <w:color w:val="auto"/>
          <w:highlight w:val="none"/>
          <w:lang w:eastAsia="zh-CN"/>
        </w:rPr>
        <w:t>（</w:t>
      </w:r>
      <w:r>
        <w:rPr>
          <w:rFonts w:hint="eastAsia" w:hAnsi="宋体"/>
          <w:bCs/>
          <w:color w:val="auto"/>
          <w:highlight w:val="none"/>
          <w:lang w:val="en-US" w:eastAsia="zh-CN"/>
        </w:rPr>
        <w:t>10</w:t>
      </w:r>
      <w:r>
        <w:rPr>
          <w:rFonts w:hint="eastAsia" w:hAnsi="宋体"/>
          <w:bCs/>
          <w:color w:val="auto"/>
          <w:highlight w:val="none"/>
          <w:lang w:eastAsia="zh-CN"/>
        </w:rPr>
        <w:t>）新技术应用与承诺</w:t>
      </w:r>
    </w:p>
    <w:p w14:paraId="0206C2A9">
      <w:pPr>
        <w:spacing w:line="360" w:lineRule="auto"/>
        <w:ind w:firstLine="480"/>
        <w:rPr>
          <w:color w:val="auto"/>
          <w:highlight w:val="none"/>
          <w:lang w:val="zh-CN"/>
        </w:rPr>
      </w:pPr>
      <w:r>
        <w:rPr>
          <w:color w:val="auto"/>
          <w:highlight w:val="none"/>
        </w:rPr>
        <w:t>2.</w:t>
      </w:r>
      <w:r>
        <w:rPr>
          <w:rFonts w:hint="eastAsia"/>
          <w:color w:val="auto"/>
          <w:highlight w:val="none"/>
        </w:rPr>
        <w:t xml:space="preserve"> </w:t>
      </w:r>
      <w:r>
        <w:rPr>
          <w:color w:val="auto"/>
          <w:highlight w:val="none"/>
          <w:lang w:val="zh-CN"/>
        </w:rPr>
        <w:t>施工组织设计除采用文字表述外可附下列图表，图表及格式要求。</w:t>
      </w:r>
    </w:p>
    <w:p w14:paraId="74EF6D69">
      <w:pPr>
        <w:spacing w:line="360" w:lineRule="auto"/>
        <w:ind w:firstLine="480"/>
        <w:rPr>
          <w:color w:val="auto"/>
          <w:highlight w:val="none"/>
          <w:lang w:val="zh-CN"/>
        </w:rPr>
      </w:pPr>
      <w:r>
        <w:rPr>
          <w:color w:val="auto"/>
          <w:highlight w:val="none"/>
          <w:lang w:val="zh-CN"/>
        </w:rPr>
        <w:t>附表一</w:t>
      </w:r>
      <w:r>
        <w:rPr>
          <w:color w:val="auto"/>
          <w:highlight w:val="none"/>
          <w:lang w:val="zh-CN"/>
        </w:rPr>
        <w:tab/>
      </w:r>
      <w:r>
        <w:rPr>
          <w:color w:val="auto"/>
          <w:highlight w:val="none"/>
          <w:lang w:val="zh-CN"/>
        </w:rPr>
        <w:t>施工总体计划表</w:t>
      </w:r>
    </w:p>
    <w:p w14:paraId="015D58E2">
      <w:pPr>
        <w:spacing w:line="360" w:lineRule="auto"/>
        <w:ind w:firstLine="480"/>
        <w:rPr>
          <w:color w:val="auto"/>
          <w:highlight w:val="none"/>
          <w:lang w:val="zh-CN"/>
        </w:rPr>
      </w:pPr>
      <w:r>
        <w:rPr>
          <w:color w:val="auto"/>
          <w:highlight w:val="none"/>
          <w:lang w:val="zh-CN"/>
        </w:rPr>
        <w:t>附表二</w:t>
      </w:r>
      <w:r>
        <w:rPr>
          <w:color w:val="auto"/>
          <w:highlight w:val="none"/>
          <w:lang w:val="zh-CN"/>
        </w:rPr>
        <w:tab/>
      </w:r>
      <w:r>
        <w:rPr>
          <w:color w:val="auto"/>
          <w:highlight w:val="none"/>
          <w:lang w:val="zh-CN"/>
        </w:rPr>
        <w:t>分项工程进度率计划（斜率图）</w:t>
      </w:r>
    </w:p>
    <w:p w14:paraId="757AA548">
      <w:pPr>
        <w:spacing w:line="360" w:lineRule="auto"/>
        <w:ind w:firstLine="480"/>
        <w:rPr>
          <w:color w:val="auto"/>
          <w:highlight w:val="none"/>
          <w:lang w:val="zh-CN"/>
        </w:rPr>
      </w:pPr>
      <w:r>
        <w:rPr>
          <w:color w:val="auto"/>
          <w:highlight w:val="none"/>
          <w:lang w:val="zh-CN"/>
        </w:rPr>
        <w:t>附表三</w:t>
      </w:r>
      <w:r>
        <w:rPr>
          <w:color w:val="auto"/>
          <w:highlight w:val="none"/>
          <w:lang w:val="zh-CN"/>
        </w:rPr>
        <w:tab/>
      </w:r>
      <w:r>
        <w:rPr>
          <w:color w:val="auto"/>
          <w:highlight w:val="none"/>
          <w:lang w:val="zh-CN"/>
        </w:rPr>
        <w:t>工程管理曲线</w:t>
      </w:r>
    </w:p>
    <w:p w14:paraId="13F78E96">
      <w:pPr>
        <w:spacing w:line="360" w:lineRule="auto"/>
        <w:ind w:firstLine="480"/>
        <w:rPr>
          <w:color w:val="auto"/>
          <w:highlight w:val="none"/>
          <w:lang w:val="zh-CN"/>
        </w:rPr>
      </w:pPr>
      <w:r>
        <w:rPr>
          <w:color w:val="auto"/>
          <w:highlight w:val="none"/>
          <w:lang w:val="zh-CN"/>
        </w:rPr>
        <w:t>附表四</w:t>
      </w:r>
      <w:r>
        <w:rPr>
          <w:color w:val="auto"/>
          <w:highlight w:val="none"/>
          <w:lang w:val="zh-CN"/>
        </w:rPr>
        <w:tab/>
      </w:r>
      <w:r>
        <w:rPr>
          <w:color w:val="auto"/>
          <w:highlight w:val="none"/>
          <w:lang w:val="zh-CN"/>
        </w:rPr>
        <w:t>分项工程生产率和施工周期表</w:t>
      </w:r>
    </w:p>
    <w:p w14:paraId="15E5A372">
      <w:pPr>
        <w:spacing w:line="360" w:lineRule="auto"/>
        <w:ind w:firstLine="480"/>
        <w:rPr>
          <w:color w:val="auto"/>
          <w:highlight w:val="none"/>
          <w:lang w:val="zh-CN"/>
        </w:rPr>
      </w:pPr>
      <w:r>
        <w:rPr>
          <w:color w:val="auto"/>
          <w:highlight w:val="none"/>
          <w:lang w:val="zh-CN"/>
        </w:rPr>
        <w:t>附表五</w:t>
      </w:r>
      <w:r>
        <w:rPr>
          <w:color w:val="auto"/>
          <w:highlight w:val="none"/>
          <w:lang w:val="zh-CN"/>
        </w:rPr>
        <w:tab/>
      </w:r>
      <w:r>
        <w:rPr>
          <w:color w:val="auto"/>
          <w:highlight w:val="none"/>
          <w:lang w:val="zh-CN"/>
        </w:rPr>
        <w:t>施工总平面图</w:t>
      </w:r>
    </w:p>
    <w:p w14:paraId="4F1BDE84">
      <w:pPr>
        <w:spacing w:line="360" w:lineRule="auto"/>
        <w:ind w:firstLine="480"/>
        <w:rPr>
          <w:color w:val="auto"/>
          <w:highlight w:val="none"/>
          <w:lang w:val="zh-CN"/>
        </w:rPr>
      </w:pPr>
      <w:r>
        <w:rPr>
          <w:color w:val="auto"/>
          <w:highlight w:val="none"/>
          <w:lang w:val="zh-CN"/>
        </w:rPr>
        <w:t>附表六</w:t>
      </w:r>
      <w:r>
        <w:rPr>
          <w:color w:val="auto"/>
          <w:highlight w:val="none"/>
          <w:lang w:val="zh-CN"/>
        </w:rPr>
        <w:tab/>
      </w:r>
      <w:r>
        <w:rPr>
          <w:color w:val="auto"/>
          <w:highlight w:val="none"/>
          <w:lang w:val="zh-CN"/>
        </w:rPr>
        <w:t>劳动力计划表</w:t>
      </w:r>
    </w:p>
    <w:p w14:paraId="25792ED4">
      <w:pPr>
        <w:spacing w:line="360" w:lineRule="auto"/>
        <w:ind w:firstLine="480"/>
        <w:rPr>
          <w:color w:val="auto"/>
          <w:highlight w:val="none"/>
          <w:lang w:val="zh-CN"/>
        </w:rPr>
      </w:pPr>
      <w:r>
        <w:rPr>
          <w:color w:val="auto"/>
          <w:highlight w:val="none"/>
          <w:lang w:val="zh-CN"/>
        </w:rPr>
        <w:t>附表七</w:t>
      </w:r>
      <w:r>
        <w:rPr>
          <w:color w:val="auto"/>
          <w:highlight w:val="none"/>
          <w:lang w:val="zh-CN"/>
        </w:rPr>
        <w:tab/>
      </w:r>
      <w:r>
        <w:rPr>
          <w:color w:val="auto"/>
          <w:highlight w:val="none"/>
          <w:lang w:val="zh-CN"/>
        </w:rPr>
        <w:t>临时占地计划表</w:t>
      </w:r>
    </w:p>
    <w:p w14:paraId="2F863286">
      <w:pPr>
        <w:spacing w:line="360" w:lineRule="auto"/>
        <w:ind w:firstLine="480"/>
        <w:rPr>
          <w:rFonts w:hint="eastAsia"/>
          <w:color w:val="auto"/>
          <w:highlight w:val="none"/>
          <w:lang w:val="zh-CN"/>
        </w:rPr>
      </w:pPr>
      <w:r>
        <w:rPr>
          <w:color w:val="auto"/>
          <w:highlight w:val="none"/>
          <w:lang w:val="zh-CN"/>
        </w:rPr>
        <w:t>附表八</w:t>
      </w:r>
      <w:r>
        <w:rPr>
          <w:color w:val="auto"/>
          <w:highlight w:val="none"/>
          <w:lang w:val="zh-CN"/>
        </w:rPr>
        <w:tab/>
      </w:r>
      <w:r>
        <w:rPr>
          <w:color w:val="auto"/>
          <w:highlight w:val="none"/>
          <w:lang w:val="zh-CN"/>
        </w:rPr>
        <w:t>外供电力需求计划表</w:t>
      </w:r>
    </w:p>
    <w:p w14:paraId="61B644FA">
      <w:pPr>
        <w:spacing w:line="360" w:lineRule="auto"/>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clear="all"/>
      </w:r>
      <w:r>
        <w:rPr>
          <w:rFonts w:hint="eastAsia" w:ascii="宋体" w:hAnsi="宋体" w:cs="方正小标宋简体"/>
          <w:b/>
          <w:bCs/>
          <w:color w:val="auto"/>
          <w:sz w:val="32"/>
          <w:szCs w:val="32"/>
          <w:highlight w:val="none"/>
        </w:rPr>
        <w:t>项目管理机构配备情况表及主要人员简历表</w:t>
      </w:r>
    </w:p>
    <w:p w14:paraId="5DA6FB16">
      <w:pPr>
        <w:spacing w:before="120" w:after="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59B9DF93">
      <w:pPr>
        <w:spacing w:line="360" w:lineRule="auto"/>
        <w:contextualSpacing/>
        <w:rPr>
          <w:rFonts w:hint="eastAsia" w:ascii="宋体" w:hAnsi="Courier New"/>
          <w:color w:val="auto"/>
          <w:sz w:val="24"/>
          <w:highlight w:val="none"/>
        </w:rPr>
      </w:pPr>
      <w:r>
        <w:rPr>
          <w:rFonts w:hint="eastAsia" w:ascii="宋体" w:hAnsi="宋体" w:cs="仿宋_GB2312"/>
          <w:color w:val="auto"/>
          <w:sz w:val="24"/>
          <w:szCs w:val="21"/>
          <w:highlight w:val="none"/>
        </w:rPr>
        <w:t>分标（如有）</w:t>
      </w:r>
      <w:r>
        <w:rPr>
          <w:rFonts w:hint="eastAsia" w:ascii="宋体" w:hAnsi="Courier New"/>
          <w:color w:val="auto"/>
          <w:sz w:val="24"/>
          <w:highlight w:val="none"/>
        </w:rPr>
        <w:t>：</w:t>
      </w:r>
      <w:r>
        <w:rPr>
          <w:rFonts w:hint="eastAsia" w:ascii="宋体" w:hAnsi="Courier New"/>
          <w:color w:val="auto"/>
          <w:sz w:val="24"/>
          <w:highlight w:val="none"/>
          <w:u w:val="single"/>
        </w:rPr>
        <w:t xml:space="preserve">         </w:t>
      </w:r>
    </w:p>
    <w:tbl>
      <w:tblPr>
        <w:tblStyle w:val="34"/>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07F9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486F0B36">
            <w:pPr>
              <w:ind w:left="223" w:hanging="222"/>
              <w:jc w:val="center"/>
              <w:rPr>
                <w:color w:val="auto"/>
                <w:highlight w:val="none"/>
              </w:rPr>
            </w:pPr>
            <w:r>
              <w:rPr>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2A53319B">
            <w:pPr>
              <w:ind w:left="223" w:hanging="222"/>
              <w:jc w:val="center"/>
              <w:rPr>
                <w:color w:val="auto"/>
                <w:highlight w:val="none"/>
              </w:rPr>
            </w:pPr>
            <w:r>
              <w:rPr>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F310E60">
            <w:pPr>
              <w:jc w:val="center"/>
              <w:rPr>
                <w:color w:val="auto"/>
                <w:highlight w:val="none"/>
              </w:rPr>
            </w:pPr>
            <w:r>
              <w:rPr>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2AF075AA">
            <w:pPr>
              <w:ind w:left="223" w:hanging="222"/>
              <w:jc w:val="center"/>
              <w:rPr>
                <w:color w:val="auto"/>
                <w:highlight w:val="none"/>
              </w:rPr>
            </w:pPr>
            <w:r>
              <w:rPr>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noWrap w:val="0"/>
            <w:vAlign w:val="center"/>
          </w:tcPr>
          <w:p w14:paraId="191398A2">
            <w:pPr>
              <w:ind w:left="223" w:hanging="222"/>
              <w:jc w:val="center"/>
              <w:rPr>
                <w:color w:val="auto"/>
                <w:highlight w:val="none"/>
              </w:rPr>
            </w:pPr>
            <w:r>
              <w:rPr>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noWrap w:val="0"/>
            <w:vAlign w:val="center"/>
          </w:tcPr>
          <w:p w14:paraId="25817472">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377E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218E98AD">
            <w:pPr>
              <w:ind w:left="223" w:hanging="222"/>
              <w:jc w:val="center"/>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DF1D903">
            <w:pPr>
              <w:ind w:left="223" w:hanging="222"/>
              <w:jc w:val="center"/>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76AE2ED7">
            <w:pPr>
              <w:ind w:left="223" w:hanging="222"/>
              <w:jc w:val="center"/>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5CE90785">
            <w:pPr>
              <w:ind w:left="223" w:hanging="222"/>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B7D19F">
            <w:pPr>
              <w:ind w:left="223" w:hanging="222"/>
              <w:jc w:val="center"/>
              <w:rPr>
                <w:color w:val="auto"/>
                <w:highlight w:val="none"/>
              </w:rPr>
            </w:pPr>
            <w:r>
              <w:rPr>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8D79F0">
            <w:pPr>
              <w:ind w:left="223" w:hanging="222"/>
              <w:jc w:val="center"/>
              <w:rPr>
                <w:color w:val="auto"/>
                <w:highlight w:val="none"/>
              </w:rPr>
            </w:pPr>
            <w:r>
              <w:rPr>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FDE3FA">
            <w:pPr>
              <w:ind w:left="223" w:hanging="222"/>
              <w:jc w:val="center"/>
              <w:rPr>
                <w:color w:val="auto"/>
                <w:highlight w:val="none"/>
              </w:rPr>
            </w:pPr>
            <w:r>
              <w:rPr>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EB36229">
            <w:pPr>
              <w:ind w:left="223" w:hanging="222"/>
              <w:jc w:val="center"/>
              <w:rPr>
                <w:color w:val="auto"/>
                <w:highlight w:val="none"/>
              </w:rPr>
            </w:pPr>
            <w:r>
              <w:rPr>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C5527CC">
            <w:pPr>
              <w:jc w:val="center"/>
              <w:rPr>
                <w:color w:val="auto"/>
                <w:highlight w:val="none"/>
              </w:rPr>
            </w:pPr>
            <w:r>
              <w:rPr>
                <w:rFonts w:hint="eastAsia"/>
                <w:color w:val="auto"/>
                <w:highlight w:val="none"/>
              </w:rPr>
              <w:t>完工/在建</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BDC5D1">
            <w:pPr>
              <w:jc w:val="center"/>
              <w:rPr>
                <w:color w:val="auto"/>
                <w:highlight w:val="none"/>
              </w:rPr>
            </w:pPr>
            <w:r>
              <w:rPr>
                <w:color w:val="auto"/>
                <w:highlight w:val="none"/>
              </w:rPr>
              <w:t>主要项目</w:t>
            </w:r>
          </w:p>
          <w:p w14:paraId="7801EC1F">
            <w:pPr>
              <w:jc w:val="center"/>
              <w:rPr>
                <w:color w:val="auto"/>
                <w:highlight w:val="none"/>
              </w:rPr>
            </w:pPr>
            <w:r>
              <w:rPr>
                <w:color w:val="auto"/>
                <w:highlight w:val="none"/>
              </w:rPr>
              <w:t>名称</w:t>
            </w:r>
          </w:p>
        </w:tc>
      </w:tr>
      <w:tr w14:paraId="3C1A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251BA2D3">
            <w:pPr>
              <w:jc w:val="left"/>
              <w:rPr>
                <w:rFonts w:ascii="宋体" w:hAnsi="宋体" w:cs="宋体"/>
                <w:color w:val="auto"/>
                <w:szCs w:val="21"/>
                <w:highlight w:val="none"/>
                <w:lang w:val="zh-CN" w:bidi="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69B76A52">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CB7DBF8">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36FE29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49EBD6">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60C04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C04E3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497B1E30">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7108217">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FA4DF0">
            <w:pPr>
              <w:ind w:left="223" w:hanging="222"/>
              <w:jc w:val="center"/>
              <w:rPr>
                <w:color w:val="auto"/>
                <w:szCs w:val="21"/>
                <w:highlight w:val="none"/>
              </w:rPr>
            </w:pPr>
          </w:p>
        </w:tc>
      </w:tr>
      <w:tr w14:paraId="0892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4CB9A1FA">
            <w:pPr>
              <w:jc w:val="left"/>
              <w:rPr>
                <w:rFonts w:ascii="宋体" w:hAnsi="宋体" w:cs="宋体"/>
                <w:color w:val="auto"/>
                <w:szCs w:val="21"/>
                <w:highlight w:val="none"/>
                <w:lang w:val="zh-CN" w:bidi="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16DC503F">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D494AA3">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5D09511">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B4B5C8">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355A7A">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FB4106">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4B41346">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37DC750">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5715B1">
            <w:pPr>
              <w:ind w:left="223" w:hanging="222"/>
              <w:jc w:val="center"/>
              <w:rPr>
                <w:color w:val="auto"/>
                <w:szCs w:val="21"/>
                <w:highlight w:val="none"/>
              </w:rPr>
            </w:pPr>
          </w:p>
        </w:tc>
      </w:tr>
      <w:tr w14:paraId="4A72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0157C20C">
            <w:pPr>
              <w:jc w:val="left"/>
              <w:rPr>
                <w:rFonts w:ascii="宋体" w:hAnsi="宋体" w:cs="宋体"/>
                <w:color w:val="auto"/>
                <w:szCs w:val="21"/>
                <w:highlight w:val="none"/>
                <w:lang w:val="zh-CN" w:bidi="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1B6A24B9">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D3714D2">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E20F34E">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939797">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94743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416061">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00BEFB6">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DA966D0">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891346">
            <w:pPr>
              <w:ind w:left="223" w:hanging="222"/>
              <w:jc w:val="center"/>
              <w:rPr>
                <w:color w:val="auto"/>
                <w:szCs w:val="21"/>
                <w:highlight w:val="none"/>
              </w:rPr>
            </w:pPr>
          </w:p>
        </w:tc>
      </w:tr>
      <w:tr w14:paraId="6FE2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765C26D7">
            <w:pPr>
              <w:jc w:val="left"/>
              <w:rPr>
                <w:rFonts w:ascii="宋体" w:hAnsi="宋体" w:cs="宋体"/>
                <w:color w:val="auto"/>
                <w:szCs w:val="21"/>
                <w:highlight w:val="none"/>
                <w:lang w:val="zh-CN" w:bidi="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58FA4106">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720616F">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BA6F316">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451171">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1AB76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11080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54757DA5">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D1D195">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D30BEB">
            <w:pPr>
              <w:ind w:left="223" w:hanging="222"/>
              <w:jc w:val="center"/>
              <w:rPr>
                <w:color w:val="auto"/>
                <w:szCs w:val="21"/>
                <w:highlight w:val="none"/>
              </w:rPr>
            </w:pPr>
          </w:p>
        </w:tc>
      </w:tr>
      <w:tr w14:paraId="542D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394B33F9">
            <w:pPr>
              <w:jc w:val="left"/>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66716061">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1B5ADAD">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F67C2B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18267C">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CE4EB9">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76845F">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9C02DC4">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5B70A5B">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278B8A">
            <w:pPr>
              <w:ind w:left="223" w:hanging="222"/>
              <w:jc w:val="center"/>
              <w:rPr>
                <w:color w:val="auto"/>
                <w:szCs w:val="21"/>
                <w:highlight w:val="none"/>
              </w:rPr>
            </w:pPr>
          </w:p>
        </w:tc>
      </w:tr>
      <w:tr w14:paraId="5EC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0FBF4399">
            <w:pPr>
              <w:jc w:val="left"/>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414945AB">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DADF684">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3E02F3A">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1EF62F">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67C37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065ED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7738BF9B">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BACA5EC">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5315EA">
            <w:pPr>
              <w:ind w:left="223" w:hanging="222"/>
              <w:jc w:val="center"/>
              <w:rPr>
                <w:color w:val="auto"/>
                <w:szCs w:val="21"/>
                <w:highlight w:val="none"/>
              </w:rPr>
            </w:pPr>
          </w:p>
        </w:tc>
      </w:tr>
      <w:tr w14:paraId="31BA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5B6D5839">
            <w:pPr>
              <w:ind w:left="223" w:hanging="222"/>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0478E960">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F5EDC78">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661038F">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DA2474">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71ABE9">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3E8FA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4CA28AB">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9D026F">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65CBCA">
            <w:pPr>
              <w:ind w:left="223" w:hanging="222"/>
              <w:jc w:val="center"/>
              <w:rPr>
                <w:color w:val="auto"/>
                <w:szCs w:val="21"/>
                <w:highlight w:val="none"/>
              </w:rPr>
            </w:pPr>
          </w:p>
        </w:tc>
      </w:tr>
      <w:tr w14:paraId="6406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noWrap w:val="0"/>
            <w:vAlign w:val="center"/>
          </w:tcPr>
          <w:p w14:paraId="03FAC441">
            <w:pPr>
              <w:spacing w:line="360" w:lineRule="auto"/>
              <w:ind w:left="223" w:hanging="222"/>
              <w:jc w:val="center"/>
              <w:rPr>
                <w:rFonts w:hint="eastAsia"/>
                <w:color w:val="auto"/>
                <w:highlight w:val="none"/>
              </w:rPr>
            </w:pPr>
            <w:r>
              <w:rPr>
                <w:rFonts w:hint="eastAsia"/>
                <w:color w:val="auto"/>
                <w:highlight w:val="none"/>
              </w:rPr>
              <w:t>一旦我单位成交，将实行项目经理负责制，我方保证并配备上述项目管理机构。上述填报内容真实，若</w:t>
            </w:r>
          </w:p>
          <w:p w14:paraId="73EB46F3">
            <w:pPr>
              <w:spacing w:line="360" w:lineRule="auto"/>
              <w:jc w:val="both"/>
              <w:rPr>
                <w:color w:val="auto"/>
                <w:highlight w:val="none"/>
              </w:rPr>
            </w:pPr>
            <w:r>
              <w:rPr>
                <w:rFonts w:hint="eastAsia"/>
                <w:color w:val="auto"/>
                <w:highlight w:val="none"/>
              </w:rPr>
              <w:t>不真实，愿按有关规定接受处理。项目管理班子机构设置、职责分工等情况另附资料说明。</w:t>
            </w:r>
          </w:p>
        </w:tc>
      </w:tr>
    </w:tbl>
    <w:p w14:paraId="2E6EC90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42158304">
      <w:pPr>
        <w:spacing w:line="360" w:lineRule="auto"/>
        <w:ind w:firstLine="48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4E42AF84">
      <w:pPr>
        <w:spacing w:line="360" w:lineRule="auto"/>
        <w:ind w:firstLine="48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eastAsia="zh-CN"/>
        </w:rPr>
        <w:t>（如有）</w:t>
      </w:r>
      <w:r>
        <w:rPr>
          <w:rFonts w:hint="eastAsia" w:ascii="宋体" w:hAnsi="宋体"/>
          <w:color w:val="auto"/>
          <w:sz w:val="24"/>
          <w:szCs w:val="20"/>
          <w:highlight w:val="none"/>
        </w:rPr>
        <w:t>、执业或职业资格证书</w:t>
      </w:r>
      <w:r>
        <w:rPr>
          <w:rFonts w:hint="eastAsia" w:ascii="宋体" w:hAnsi="宋体"/>
          <w:color w:val="auto"/>
          <w:sz w:val="24"/>
          <w:szCs w:val="20"/>
          <w:highlight w:val="none"/>
          <w:lang w:eastAsia="zh-CN"/>
        </w:rPr>
        <w:t>（如有），</w:t>
      </w:r>
      <w:r>
        <w:rPr>
          <w:rFonts w:hint="eastAsia" w:ascii="宋体" w:hAnsi="宋体"/>
          <w:color w:val="auto"/>
          <w:sz w:val="24"/>
          <w:szCs w:val="20"/>
          <w:highlight w:val="none"/>
        </w:rPr>
        <w:t>响应文件递交截止时间前半年内任意1个月社会保险证明材料或工资流水证明或劳动合同书复印件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2EB4BA3F">
      <w:pPr>
        <w:spacing w:line="360" w:lineRule="auto"/>
        <w:ind w:firstLine="48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32C461E">
      <w:pPr>
        <w:spacing w:line="360" w:lineRule="auto"/>
        <w:ind w:firstLine="56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537CF73C">
      <w:pPr>
        <w:spacing w:line="360" w:lineRule="auto"/>
        <w:jc w:val="center"/>
        <w:rPr>
          <w:rFonts w:hint="eastAsia" w:ascii="宋体" w:hAnsi="宋体"/>
          <w:b/>
          <w:color w:val="auto"/>
          <w:sz w:val="28"/>
          <w:szCs w:val="28"/>
          <w:highlight w:val="none"/>
        </w:rPr>
      </w:pPr>
      <w:r>
        <w:rPr>
          <w:rFonts w:ascii="宋体" w:hAnsi="宋体"/>
          <w:b/>
          <w:color w:val="auto"/>
          <w:sz w:val="32"/>
          <w:szCs w:val="32"/>
          <w:highlight w:val="none"/>
        </w:rPr>
        <w:br w:type="page" w:clear="all"/>
      </w:r>
      <w:r>
        <w:rPr>
          <w:rFonts w:hint="eastAsia" w:ascii="宋体" w:hAnsi="宋体"/>
          <w:b/>
          <w:color w:val="auto"/>
          <w:sz w:val="28"/>
          <w:szCs w:val="28"/>
          <w:highlight w:val="none"/>
        </w:rPr>
        <w:t>（二）拟投入的主要人员简历表</w:t>
      </w:r>
    </w:p>
    <w:p w14:paraId="790D045B">
      <w:pPr>
        <w:spacing w:line="360" w:lineRule="auto"/>
        <w:ind w:firstLine="562"/>
        <w:jc w:val="center"/>
        <w:rPr>
          <w:color w:val="auto"/>
          <w:sz w:val="28"/>
          <w:szCs w:val="28"/>
          <w:highlight w:val="none"/>
          <w:u w:val="single"/>
        </w:rPr>
      </w:pPr>
      <w:r>
        <w:rPr>
          <w:rFonts w:hint="eastAsia" w:cs="宋体"/>
          <w:b/>
          <w:color w:val="auto"/>
          <w:sz w:val="28"/>
          <w:szCs w:val="28"/>
          <w:highlight w:val="none"/>
        </w:rPr>
        <w:t>项目经理简历表</w:t>
      </w:r>
    </w:p>
    <w:tbl>
      <w:tblPr>
        <w:tblStyle w:val="3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42"/>
        <w:gridCol w:w="888"/>
        <w:gridCol w:w="660"/>
        <w:gridCol w:w="328"/>
        <w:gridCol w:w="1893"/>
        <w:gridCol w:w="1088"/>
        <w:gridCol w:w="88"/>
        <w:gridCol w:w="409"/>
        <w:gridCol w:w="1108"/>
        <w:gridCol w:w="36"/>
        <w:gridCol w:w="79"/>
        <w:gridCol w:w="1405"/>
        <w:gridCol w:w="11"/>
      </w:tblGrid>
      <w:tr w14:paraId="3692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BAE830F">
            <w:pPr>
              <w:jc w:val="center"/>
              <w:rPr>
                <w:color w:val="auto"/>
                <w:highlight w:val="none"/>
              </w:rPr>
            </w:pPr>
            <w:r>
              <w:rPr>
                <w:rFonts w:hint="eastAsia" w:cs="宋体"/>
                <w:color w:val="auto"/>
                <w:highlight w:val="none"/>
              </w:rPr>
              <w:t>姓名</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2A76571C">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6EB482DF">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7A679B79">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5EE5A8B">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4F3E6F01">
            <w:pPr>
              <w:jc w:val="center"/>
              <w:rPr>
                <w:color w:val="auto"/>
                <w:highlight w:val="none"/>
              </w:rPr>
            </w:pPr>
          </w:p>
        </w:tc>
      </w:tr>
      <w:tr w14:paraId="2469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1685299">
            <w:pPr>
              <w:jc w:val="center"/>
              <w:rPr>
                <w:color w:val="auto"/>
                <w:highlight w:val="none"/>
              </w:rPr>
            </w:pPr>
            <w:r>
              <w:rPr>
                <w:rFonts w:hint="eastAsia" w:cs="宋体"/>
                <w:color w:val="auto"/>
                <w:highlight w:val="none"/>
              </w:rPr>
              <w:t>岗位</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696D3E3C">
            <w:pPr>
              <w:jc w:val="center"/>
              <w:rPr>
                <w:color w:val="auto"/>
                <w:highlight w:val="none"/>
              </w:rPr>
            </w:pPr>
            <w:r>
              <w:rPr>
                <w:rFonts w:hint="eastAsia"/>
                <w:color w:val="auto"/>
                <w:highlight w:val="none"/>
              </w:rPr>
              <w:t>项目经理</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1FD7D91F">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32F4FD1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3F1ABB1">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587929C5">
            <w:pPr>
              <w:jc w:val="center"/>
              <w:rPr>
                <w:color w:val="auto"/>
                <w:highlight w:val="none"/>
              </w:rPr>
            </w:pPr>
          </w:p>
        </w:tc>
      </w:tr>
      <w:tr w14:paraId="4D53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40A8A984">
            <w:pPr>
              <w:jc w:val="center"/>
              <w:rPr>
                <w:rFonts w:hint="eastAsia" w:cs="宋体"/>
                <w:color w:val="auto"/>
                <w:highlight w:val="none"/>
              </w:rPr>
            </w:pPr>
            <w:r>
              <w:rPr>
                <w:rFonts w:hint="eastAsia" w:cs="宋体"/>
                <w:color w:val="auto"/>
                <w:highlight w:val="none"/>
              </w:rPr>
              <w:t>从业开始时间</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16D0BE3E">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157CAE5D">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391AD49E">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2D79A1F">
            <w:pPr>
              <w:jc w:val="center"/>
              <w:rPr>
                <w:rFonts w:hint="eastAsia"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708FAD05">
            <w:pPr>
              <w:jc w:val="center"/>
              <w:rPr>
                <w:color w:val="auto"/>
                <w:highlight w:val="none"/>
              </w:rPr>
            </w:pPr>
          </w:p>
        </w:tc>
      </w:tr>
      <w:tr w14:paraId="7F6A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6B27E22C">
            <w:pPr>
              <w:jc w:val="center"/>
              <w:rPr>
                <w:color w:val="auto"/>
                <w:highlight w:val="none"/>
              </w:rPr>
            </w:pPr>
            <w:r>
              <w:rPr>
                <w:rFonts w:hint="eastAsia" w:cs="宋体"/>
                <w:color w:val="auto"/>
                <w:highlight w:val="none"/>
              </w:rPr>
              <w:t>担任项目经理年限</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2E5BFA9C">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411E8DC">
            <w:pPr>
              <w:jc w:val="center"/>
              <w:rPr>
                <w:color w:val="auto"/>
                <w:highlight w:val="none"/>
              </w:rPr>
            </w:pPr>
            <w:r>
              <w:rPr>
                <w:rFonts w:hint="eastAsia"/>
                <w:color w:val="auto"/>
                <w:highlight w:val="none"/>
              </w:rPr>
              <w:t>身份</w:t>
            </w:r>
            <w:r>
              <w:rPr>
                <w:color w:val="auto"/>
                <w:highlight w:val="none"/>
              </w:rPr>
              <w:t>证号码</w:t>
            </w:r>
          </w:p>
        </w:tc>
        <w:tc>
          <w:tcPr>
            <w:tcW w:w="4224" w:type="dxa"/>
            <w:gridSpan w:val="8"/>
            <w:tcBorders>
              <w:top w:val="single" w:color="auto" w:sz="4" w:space="0"/>
              <w:left w:val="single" w:color="auto" w:sz="4" w:space="0"/>
              <w:bottom w:val="single" w:color="auto" w:sz="4" w:space="0"/>
              <w:right w:val="single" w:color="auto" w:sz="4" w:space="0"/>
            </w:tcBorders>
            <w:noWrap w:val="0"/>
            <w:vAlign w:val="center"/>
          </w:tcPr>
          <w:p w14:paraId="285D9EF1">
            <w:pPr>
              <w:jc w:val="center"/>
              <w:rPr>
                <w:color w:val="auto"/>
                <w:highlight w:val="none"/>
              </w:rPr>
            </w:pPr>
          </w:p>
        </w:tc>
      </w:tr>
      <w:tr w14:paraId="615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0234B681">
            <w:pPr>
              <w:jc w:val="center"/>
              <w:rPr>
                <w:color w:val="auto"/>
                <w:highlight w:val="none"/>
              </w:rPr>
            </w:pPr>
            <w:r>
              <w:rPr>
                <w:rFonts w:hint="eastAsia"/>
                <w:color w:val="auto"/>
                <w:highlight w:val="none"/>
              </w:rPr>
              <w:t>证书名称</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14DB687E">
            <w:pPr>
              <w:jc w:val="center"/>
              <w:rPr>
                <w:color w:val="auto"/>
                <w:highlight w:val="none"/>
              </w:rPr>
            </w:pPr>
            <w:r>
              <w:rPr>
                <w:rFonts w:hint="eastAsia"/>
                <w:color w:val="auto"/>
                <w:highlight w:val="none"/>
              </w:rPr>
              <w:t>注册专业</w:t>
            </w: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3F028B63">
            <w:pPr>
              <w:jc w:val="center"/>
              <w:rPr>
                <w:color w:val="auto"/>
                <w:highlight w:val="none"/>
              </w:rPr>
            </w:pPr>
            <w:r>
              <w:rPr>
                <w:color w:val="auto"/>
                <w:highlight w:val="none"/>
              </w:rPr>
              <w:t>级别</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4304B63B">
            <w:pPr>
              <w:jc w:val="center"/>
              <w:rPr>
                <w:color w:val="auto"/>
                <w:highlight w:val="none"/>
              </w:rPr>
            </w:pPr>
            <w:r>
              <w:rPr>
                <w:rFonts w:hint="eastAsia" w:cs="宋体"/>
                <w:color w:val="auto"/>
                <w:highlight w:val="none"/>
              </w:rPr>
              <w:t>证书编号</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362284C2">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22A3D5F3">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2533E27">
            <w:pPr>
              <w:jc w:val="center"/>
              <w:rPr>
                <w:color w:val="auto"/>
                <w:highlight w:val="none"/>
              </w:rPr>
            </w:pPr>
            <w:r>
              <w:rPr>
                <w:rFonts w:hint="eastAsia"/>
                <w:color w:val="auto"/>
                <w:highlight w:val="none"/>
              </w:rPr>
              <w:t>注册有效期</w:t>
            </w:r>
          </w:p>
        </w:tc>
      </w:tr>
      <w:tr w14:paraId="2AC6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7639A651">
            <w:pPr>
              <w:jc w:val="center"/>
              <w:rPr>
                <w:rFonts w:hint="eastAsia"/>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63A2E71F">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1F97BC91">
            <w:pPr>
              <w:jc w:val="center"/>
              <w:rPr>
                <w:rFonts w:hint="eastAsia" w:cs="宋体"/>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300C11CA">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2CC5B4C">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5869A23A">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8E0E161">
            <w:pPr>
              <w:jc w:val="center"/>
              <w:rPr>
                <w:rFonts w:hint="eastAsia"/>
                <w:color w:val="auto"/>
                <w:highlight w:val="none"/>
              </w:rPr>
            </w:pPr>
          </w:p>
        </w:tc>
      </w:tr>
      <w:tr w14:paraId="6645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F684664">
            <w:pPr>
              <w:jc w:val="center"/>
              <w:rPr>
                <w:rFonts w:hint="eastAsia"/>
                <w:color w:val="auto"/>
                <w:highlight w:val="none"/>
              </w:rPr>
            </w:pPr>
            <w:r>
              <w:rPr>
                <w:rFonts w:hint="eastAsia"/>
                <w:color w:val="auto"/>
                <w:highlight w:val="none"/>
              </w:rPr>
              <w:t>安全生产考核合格证书</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7B4FCC79">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7E24523A">
            <w:pPr>
              <w:jc w:val="center"/>
              <w:rPr>
                <w:rFonts w:hint="eastAsia" w:cs="宋体"/>
                <w:color w:val="auto"/>
                <w:highlight w:val="none"/>
              </w:rPr>
            </w:pPr>
            <w:r>
              <w:rPr>
                <w:rFonts w:hint="eastAsia"/>
                <w:color w:val="auto"/>
                <w:highlight w:val="none"/>
              </w:rPr>
              <w:t>B类</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6AD49D42">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37868E1C">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4D08B771">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81FBE7F">
            <w:pPr>
              <w:jc w:val="center"/>
              <w:rPr>
                <w:rFonts w:hint="eastAsia"/>
                <w:color w:val="auto"/>
                <w:highlight w:val="none"/>
              </w:rPr>
            </w:pPr>
          </w:p>
        </w:tc>
      </w:tr>
      <w:tr w14:paraId="44E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4"/>
            <w:tcBorders>
              <w:top w:val="single" w:color="auto" w:sz="4" w:space="0"/>
              <w:left w:val="single" w:color="auto" w:sz="4" w:space="0"/>
              <w:bottom w:val="single" w:color="auto" w:sz="4" w:space="0"/>
              <w:right w:val="single" w:color="auto" w:sz="4" w:space="0"/>
            </w:tcBorders>
            <w:noWrap w:val="0"/>
            <w:vAlign w:val="center"/>
          </w:tcPr>
          <w:p w14:paraId="75BE0B0D">
            <w:pPr>
              <w:jc w:val="center"/>
              <w:rPr>
                <w:color w:val="auto"/>
                <w:highlight w:val="none"/>
              </w:rPr>
            </w:pPr>
            <w:r>
              <w:rPr>
                <w:rFonts w:hint="eastAsia" w:cs="宋体"/>
                <w:color w:val="auto"/>
                <w:highlight w:val="none"/>
              </w:rPr>
              <w:t>在建和已完工程项目情况</w:t>
            </w:r>
          </w:p>
        </w:tc>
      </w:tr>
      <w:tr w14:paraId="1EA4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16AC80F">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001A11A">
            <w:pPr>
              <w:jc w:val="center"/>
              <w:rPr>
                <w:rFonts w:hint="eastAsia"/>
                <w:color w:val="auto"/>
                <w:highlight w:val="none"/>
              </w:rPr>
            </w:pPr>
            <w:r>
              <w:rPr>
                <w:rFonts w:hint="eastAsia"/>
                <w:color w:val="auto"/>
                <w:highlight w:val="none"/>
              </w:rPr>
              <w:t>项目1</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126DB1A0">
            <w:pPr>
              <w:jc w:val="center"/>
              <w:rPr>
                <w:color w:val="auto"/>
                <w:highlight w:val="none"/>
              </w:rPr>
            </w:pPr>
            <w:r>
              <w:rPr>
                <w:rFonts w:hint="eastAsia"/>
                <w:color w:val="auto"/>
                <w:highlight w:val="none"/>
              </w:rPr>
              <w:t>项目2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95C913B">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EB5623D">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B91AC90">
            <w:pPr>
              <w:jc w:val="center"/>
              <w:rPr>
                <w:color w:val="auto"/>
                <w:highlight w:val="none"/>
              </w:rPr>
            </w:pPr>
            <w:r>
              <w:rPr>
                <w:rFonts w:hint="eastAsia"/>
                <w:color w:val="auto"/>
                <w:highlight w:val="none"/>
              </w:rPr>
              <w:t>……</w:t>
            </w:r>
          </w:p>
        </w:tc>
      </w:tr>
      <w:tr w14:paraId="3A1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22338CC">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63886EB">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09261DB">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5736AA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80E8A0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DFDBBE0">
            <w:pPr>
              <w:jc w:val="center"/>
              <w:rPr>
                <w:color w:val="auto"/>
                <w:highlight w:val="none"/>
              </w:rPr>
            </w:pPr>
          </w:p>
        </w:tc>
      </w:tr>
      <w:tr w14:paraId="3977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856F740">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AF94FF8">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A208361">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76C6C23">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B7FA18C">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17306F2">
            <w:pPr>
              <w:jc w:val="center"/>
              <w:rPr>
                <w:color w:val="auto"/>
                <w:highlight w:val="none"/>
              </w:rPr>
            </w:pPr>
          </w:p>
        </w:tc>
      </w:tr>
      <w:tr w14:paraId="511C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51146E0">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C0A43B2">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0E201808">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4D7171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62226D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5DD28B8">
            <w:pPr>
              <w:jc w:val="center"/>
              <w:rPr>
                <w:color w:val="auto"/>
                <w:highlight w:val="none"/>
              </w:rPr>
            </w:pPr>
          </w:p>
        </w:tc>
      </w:tr>
      <w:tr w14:paraId="6D38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970816B">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D31F42D">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D96AB9A">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011742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CD1900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11810FA1">
            <w:pPr>
              <w:jc w:val="center"/>
              <w:rPr>
                <w:color w:val="auto"/>
                <w:highlight w:val="none"/>
              </w:rPr>
            </w:pPr>
          </w:p>
        </w:tc>
      </w:tr>
      <w:tr w14:paraId="31A8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0F6719E">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721A0F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02D83E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64EF55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96CAF8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ADD4745">
            <w:pPr>
              <w:jc w:val="center"/>
              <w:rPr>
                <w:color w:val="auto"/>
                <w:highlight w:val="none"/>
              </w:rPr>
            </w:pPr>
          </w:p>
        </w:tc>
      </w:tr>
      <w:tr w14:paraId="299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6F4CE08">
            <w:pPr>
              <w:jc w:val="center"/>
              <w:rPr>
                <w:rFonts w:hint="eastAsia"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086C166">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F38A6DC">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041EF4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669BE71C">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A2CE681">
            <w:pPr>
              <w:jc w:val="center"/>
              <w:rPr>
                <w:color w:val="auto"/>
                <w:highlight w:val="none"/>
              </w:rPr>
            </w:pPr>
          </w:p>
        </w:tc>
      </w:tr>
      <w:tr w14:paraId="7DE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3FC21C6">
            <w:pPr>
              <w:jc w:val="center"/>
              <w:rPr>
                <w:rFonts w:hint="eastAsia"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A1DCDCF">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EA264F9">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B836D0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0B026E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98E0E77">
            <w:pPr>
              <w:jc w:val="center"/>
              <w:rPr>
                <w:color w:val="auto"/>
                <w:highlight w:val="none"/>
              </w:rPr>
            </w:pPr>
          </w:p>
        </w:tc>
      </w:tr>
      <w:tr w14:paraId="6D5D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02DCD69">
            <w:pPr>
              <w:jc w:val="center"/>
              <w:rPr>
                <w:rFonts w:hint="eastAsia"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F5DD2C9">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714DE5D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5AAB8F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5EFED93D">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B05D919">
            <w:pPr>
              <w:jc w:val="center"/>
              <w:rPr>
                <w:color w:val="auto"/>
                <w:highlight w:val="none"/>
              </w:rPr>
            </w:pPr>
          </w:p>
        </w:tc>
      </w:tr>
      <w:tr w14:paraId="47C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CECB736">
            <w:pPr>
              <w:jc w:val="center"/>
              <w:rPr>
                <w:rFonts w:hint="eastAsia"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7AB9A8C">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0116FCD">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1D9788">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8A3C6C4">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829EBE7">
            <w:pPr>
              <w:jc w:val="center"/>
              <w:rPr>
                <w:color w:val="auto"/>
                <w:highlight w:val="none"/>
              </w:rPr>
            </w:pPr>
          </w:p>
        </w:tc>
      </w:tr>
    </w:tbl>
    <w:p w14:paraId="095BFF34">
      <w:pPr>
        <w:rPr>
          <w:rFonts w:ascii="宋体" w:hAnsi="宋体"/>
          <w:color w:val="auto"/>
          <w:szCs w:val="21"/>
          <w:highlight w:val="none"/>
        </w:rPr>
      </w:pPr>
      <w:r>
        <w:rPr>
          <w:rFonts w:hint="eastAsia" w:ascii="宋体" w:hAnsi="宋体" w:cs="楷体_GB2312"/>
          <w:color w:val="auto"/>
          <w:szCs w:val="21"/>
          <w:highlight w:val="none"/>
        </w:rPr>
        <w:t>备注：</w:t>
      </w:r>
    </w:p>
    <w:p w14:paraId="38F8293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79384D7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2.本表后附项目经理的学历证（如有）、</w:t>
      </w:r>
      <w:r>
        <w:rPr>
          <w:rFonts w:hint="eastAsia" w:ascii="宋体" w:hAnsi="宋体"/>
          <w:color w:val="auto"/>
          <w:szCs w:val="21"/>
          <w:highlight w:val="none"/>
          <w:lang w:val="en-US" w:eastAsia="zh-CN"/>
        </w:rPr>
        <w:t>资格证、</w:t>
      </w:r>
      <w:r>
        <w:rPr>
          <w:rFonts w:hint="eastAsia" w:ascii="宋体" w:hAnsi="宋体"/>
          <w:color w:val="auto"/>
          <w:szCs w:val="21"/>
          <w:highlight w:val="none"/>
        </w:rPr>
        <w:t>安全生产考核合格证（B类）等材料，本表所列证书材料并加盖供应商电子签章。</w:t>
      </w:r>
    </w:p>
    <w:p w14:paraId="68B6D740">
      <w:pPr>
        <w:spacing w:line="360" w:lineRule="auto"/>
        <w:ind w:firstLine="420"/>
        <w:rPr>
          <w:rFonts w:hint="eastAsia" w:ascii="宋体" w:hAnsi="宋体"/>
          <w:color w:val="auto"/>
          <w:szCs w:val="21"/>
          <w:highlight w:val="none"/>
        </w:rPr>
      </w:pPr>
    </w:p>
    <w:p w14:paraId="4BBD20B6">
      <w:pPr>
        <w:spacing w:line="360" w:lineRule="auto"/>
        <w:ind w:firstLine="420"/>
        <w:rPr>
          <w:rFonts w:hint="eastAsia" w:eastAsia="楷体_GB2312"/>
          <w:color w:val="auto"/>
          <w:highlight w:val="none"/>
        </w:rPr>
      </w:pPr>
      <w:r>
        <w:rPr>
          <w:rFonts w:cs="宋体"/>
          <w:b/>
          <w:color w:val="auto"/>
          <w:sz w:val="32"/>
          <w:szCs w:val="32"/>
          <w:highlight w:val="none"/>
        </w:rPr>
        <w:br w:type="page" w:clear="all"/>
      </w:r>
    </w:p>
    <w:p w14:paraId="7CF0F880">
      <w:pPr>
        <w:spacing w:line="360" w:lineRule="auto"/>
        <w:ind w:firstLine="3373" w:firstLineChars="1200"/>
        <w:jc w:val="both"/>
        <w:outlineLvl w:val="0"/>
        <w:rPr>
          <w:color w:val="auto"/>
          <w:sz w:val="28"/>
          <w:szCs w:val="28"/>
          <w:highlight w:val="none"/>
          <w:u w:val="single"/>
        </w:rPr>
      </w:pPr>
      <w:bookmarkStart w:id="116" w:name="_Toc122424266"/>
      <w:bookmarkStart w:id="117" w:name="_Toc122424017"/>
      <w:r>
        <w:rPr>
          <w:rFonts w:hint="eastAsia" w:cs="宋体"/>
          <w:b/>
          <w:color w:val="auto"/>
          <w:sz w:val="28"/>
          <w:szCs w:val="28"/>
          <w:highlight w:val="none"/>
        </w:rPr>
        <w:t>专职安全生产管理人员</w:t>
      </w:r>
      <w:bookmarkEnd w:id="116"/>
      <w:bookmarkEnd w:id="117"/>
    </w:p>
    <w:tbl>
      <w:tblPr>
        <w:tblStyle w:val="3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87"/>
        <w:gridCol w:w="888"/>
        <w:gridCol w:w="660"/>
        <w:gridCol w:w="328"/>
        <w:gridCol w:w="1893"/>
        <w:gridCol w:w="1088"/>
        <w:gridCol w:w="88"/>
        <w:gridCol w:w="409"/>
        <w:gridCol w:w="1108"/>
        <w:gridCol w:w="36"/>
        <w:gridCol w:w="79"/>
        <w:gridCol w:w="1405"/>
        <w:gridCol w:w="11"/>
      </w:tblGrid>
      <w:tr w14:paraId="3B68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1D2AD606">
            <w:pPr>
              <w:jc w:val="center"/>
              <w:rPr>
                <w:color w:val="auto"/>
                <w:highlight w:val="none"/>
              </w:rPr>
            </w:pPr>
            <w:r>
              <w:rPr>
                <w:rFonts w:hint="eastAsia" w:cs="宋体"/>
                <w:color w:val="auto"/>
                <w:highlight w:val="none"/>
              </w:rPr>
              <w:t>姓名</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7DA36A22">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E424083">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153F8E58">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070A209">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3E346EA2">
            <w:pPr>
              <w:jc w:val="center"/>
              <w:rPr>
                <w:color w:val="auto"/>
                <w:highlight w:val="none"/>
              </w:rPr>
            </w:pPr>
          </w:p>
        </w:tc>
      </w:tr>
      <w:tr w14:paraId="7BE0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381AF19B">
            <w:pPr>
              <w:jc w:val="center"/>
              <w:rPr>
                <w:color w:val="auto"/>
                <w:highlight w:val="none"/>
              </w:rPr>
            </w:pPr>
            <w:r>
              <w:rPr>
                <w:rFonts w:hint="eastAsia" w:cs="宋体"/>
                <w:color w:val="auto"/>
                <w:highlight w:val="none"/>
              </w:rPr>
              <w:t>岗位</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7A15B38F">
            <w:pPr>
              <w:jc w:val="center"/>
              <w:rPr>
                <w:color w:val="auto"/>
                <w:highlight w:val="none"/>
              </w:rPr>
            </w:pPr>
            <w:r>
              <w:rPr>
                <w:rFonts w:hint="eastAsia"/>
                <w:color w:val="auto"/>
                <w:highlight w:val="none"/>
              </w:rPr>
              <w:t>专职安全生产管理人员</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2F33FA6">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2DCA133D">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9746BFE">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23A9C9C6">
            <w:pPr>
              <w:jc w:val="center"/>
              <w:rPr>
                <w:color w:val="auto"/>
                <w:highlight w:val="none"/>
              </w:rPr>
            </w:pPr>
          </w:p>
        </w:tc>
      </w:tr>
      <w:tr w14:paraId="7FE1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5BE37147">
            <w:pPr>
              <w:jc w:val="center"/>
              <w:rPr>
                <w:rFonts w:hint="eastAsia" w:cs="宋体"/>
                <w:color w:val="auto"/>
                <w:highlight w:val="none"/>
              </w:rPr>
            </w:pPr>
            <w:r>
              <w:rPr>
                <w:rFonts w:hint="eastAsia" w:cs="宋体"/>
                <w:color w:val="auto"/>
                <w:highlight w:val="none"/>
              </w:rPr>
              <w:t>从业开始时间</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33871161">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EA317C4">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236EE7C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5E9A1FD">
            <w:pPr>
              <w:jc w:val="center"/>
              <w:rPr>
                <w:rFonts w:hint="eastAsia"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585B017A">
            <w:pPr>
              <w:jc w:val="center"/>
              <w:rPr>
                <w:color w:val="auto"/>
                <w:highlight w:val="none"/>
              </w:rPr>
            </w:pPr>
          </w:p>
        </w:tc>
      </w:tr>
      <w:tr w14:paraId="6C0D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38FAD1CE">
            <w:pPr>
              <w:jc w:val="center"/>
              <w:rPr>
                <w:color w:val="auto"/>
                <w:highlight w:val="none"/>
              </w:rPr>
            </w:pPr>
            <w:r>
              <w:rPr>
                <w:rFonts w:hint="eastAsia" w:cs="宋体"/>
                <w:color w:val="auto"/>
                <w:highlight w:val="none"/>
              </w:rPr>
              <w:t>担任……年限</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33852FDF">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01BA56B">
            <w:pPr>
              <w:jc w:val="center"/>
              <w:rPr>
                <w:color w:val="auto"/>
                <w:highlight w:val="none"/>
              </w:rPr>
            </w:pPr>
            <w:r>
              <w:rPr>
                <w:rFonts w:hint="eastAsia"/>
                <w:color w:val="auto"/>
                <w:highlight w:val="none"/>
              </w:rPr>
              <w:t>身份</w:t>
            </w:r>
            <w:r>
              <w:rPr>
                <w:color w:val="auto"/>
                <w:highlight w:val="none"/>
              </w:rPr>
              <w:t>证号码</w:t>
            </w:r>
          </w:p>
        </w:tc>
        <w:tc>
          <w:tcPr>
            <w:tcW w:w="4224" w:type="dxa"/>
            <w:gridSpan w:val="8"/>
            <w:tcBorders>
              <w:top w:val="single" w:color="auto" w:sz="4" w:space="0"/>
              <w:left w:val="single" w:color="auto" w:sz="4" w:space="0"/>
              <w:bottom w:val="single" w:color="auto" w:sz="4" w:space="0"/>
              <w:right w:val="single" w:color="auto" w:sz="4" w:space="0"/>
            </w:tcBorders>
            <w:noWrap w:val="0"/>
            <w:vAlign w:val="center"/>
          </w:tcPr>
          <w:p w14:paraId="44989D1C">
            <w:pPr>
              <w:jc w:val="center"/>
              <w:rPr>
                <w:color w:val="auto"/>
                <w:highlight w:val="none"/>
              </w:rPr>
            </w:pPr>
          </w:p>
        </w:tc>
      </w:tr>
      <w:tr w14:paraId="2FC3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31C39480">
            <w:pPr>
              <w:jc w:val="center"/>
              <w:rPr>
                <w:color w:val="auto"/>
                <w:highlight w:val="none"/>
              </w:rPr>
            </w:pPr>
            <w:r>
              <w:rPr>
                <w:rFonts w:hint="eastAsia"/>
                <w:color w:val="auto"/>
                <w:highlight w:val="none"/>
              </w:rPr>
              <w:t>证书名称</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5570D75">
            <w:pPr>
              <w:jc w:val="center"/>
              <w:rPr>
                <w:color w:val="auto"/>
                <w:highlight w:val="none"/>
              </w:rPr>
            </w:pPr>
            <w:r>
              <w:rPr>
                <w:rFonts w:hint="eastAsia"/>
                <w:color w:val="auto"/>
                <w:highlight w:val="none"/>
              </w:rPr>
              <w:t>注册专业</w:t>
            </w: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0654B46B">
            <w:pPr>
              <w:jc w:val="center"/>
              <w:rPr>
                <w:color w:val="auto"/>
                <w:highlight w:val="none"/>
              </w:rPr>
            </w:pPr>
            <w:r>
              <w:rPr>
                <w:color w:val="auto"/>
                <w:highlight w:val="none"/>
              </w:rPr>
              <w:t>级别</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AE526B3">
            <w:pPr>
              <w:jc w:val="center"/>
              <w:rPr>
                <w:color w:val="auto"/>
                <w:highlight w:val="none"/>
              </w:rPr>
            </w:pPr>
            <w:r>
              <w:rPr>
                <w:rFonts w:hint="eastAsia" w:cs="宋体"/>
                <w:color w:val="auto"/>
                <w:highlight w:val="none"/>
              </w:rPr>
              <w:t>证书编号</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2BF52225">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74D3C72A">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8C63745">
            <w:pPr>
              <w:jc w:val="center"/>
              <w:rPr>
                <w:color w:val="auto"/>
                <w:highlight w:val="none"/>
              </w:rPr>
            </w:pPr>
            <w:r>
              <w:rPr>
                <w:rFonts w:hint="eastAsia"/>
                <w:color w:val="auto"/>
                <w:highlight w:val="none"/>
              </w:rPr>
              <w:t>注册有效期</w:t>
            </w:r>
          </w:p>
        </w:tc>
      </w:tr>
      <w:tr w14:paraId="502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58554F11">
            <w:pPr>
              <w:jc w:val="center"/>
              <w:rPr>
                <w:rFonts w:hint="eastAsia"/>
                <w:color w:val="auto"/>
                <w:highlight w:val="none"/>
              </w:rPr>
            </w:pPr>
            <w:r>
              <w:rPr>
                <w:rFonts w:hint="eastAsia"/>
                <w:color w:val="auto"/>
                <w:highlight w:val="none"/>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652820D">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6ED66A86">
            <w:pPr>
              <w:jc w:val="center"/>
              <w:rPr>
                <w:rFonts w:hint="eastAsia" w:cs="宋体"/>
                <w:color w:val="auto"/>
                <w:highlight w:val="none"/>
              </w:rPr>
            </w:pPr>
            <w:r>
              <w:rPr>
                <w:rFonts w:hint="eastAsia" w:cs="宋体"/>
                <w:color w:val="auto"/>
                <w:highlight w:val="none"/>
              </w:rPr>
              <w:t>C类</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0410181">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2A3A19FF">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7D438ED1">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3813D3CF">
            <w:pPr>
              <w:jc w:val="center"/>
              <w:rPr>
                <w:rFonts w:hint="eastAsia"/>
                <w:color w:val="auto"/>
                <w:highlight w:val="none"/>
              </w:rPr>
            </w:pPr>
          </w:p>
        </w:tc>
      </w:tr>
      <w:tr w14:paraId="006B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11991380">
            <w:pPr>
              <w:jc w:val="center"/>
              <w:rPr>
                <w:rFonts w:hint="eastAsia"/>
                <w:color w:val="auto"/>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5AA2CDC">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3D27DC3C">
            <w:pPr>
              <w:jc w:val="center"/>
              <w:rPr>
                <w:rFonts w:hint="eastAsia" w:cs="宋体"/>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0C54706E">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57B4CED6">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652B03EE">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6A1DECB">
            <w:pPr>
              <w:jc w:val="center"/>
              <w:rPr>
                <w:rFonts w:hint="eastAsia"/>
                <w:color w:val="auto"/>
                <w:highlight w:val="none"/>
              </w:rPr>
            </w:pPr>
          </w:p>
        </w:tc>
      </w:tr>
      <w:tr w14:paraId="029C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4"/>
            <w:tcBorders>
              <w:top w:val="single" w:color="auto" w:sz="4" w:space="0"/>
              <w:left w:val="single" w:color="auto" w:sz="4" w:space="0"/>
              <w:bottom w:val="single" w:color="auto" w:sz="4" w:space="0"/>
              <w:right w:val="single" w:color="auto" w:sz="4" w:space="0"/>
            </w:tcBorders>
            <w:noWrap w:val="0"/>
            <w:vAlign w:val="center"/>
          </w:tcPr>
          <w:p w14:paraId="268932B1">
            <w:pPr>
              <w:jc w:val="center"/>
              <w:rPr>
                <w:color w:val="auto"/>
                <w:highlight w:val="none"/>
              </w:rPr>
            </w:pPr>
            <w:r>
              <w:rPr>
                <w:rFonts w:hint="eastAsia" w:cs="宋体"/>
                <w:color w:val="auto"/>
                <w:highlight w:val="none"/>
              </w:rPr>
              <w:t>在建和已完工程项目情况</w:t>
            </w:r>
          </w:p>
        </w:tc>
      </w:tr>
      <w:tr w14:paraId="2657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0132BE8">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1DEBAD8">
            <w:pPr>
              <w:jc w:val="center"/>
              <w:rPr>
                <w:rFonts w:hint="eastAsia"/>
                <w:color w:val="auto"/>
                <w:highlight w:val="none"/>
              </w:rPr>
            </w:pPr>
            <w:r>
              <w:rPr>
                <w:rFonts w:hint="eastAsia"/>
                <w:color w:val="auto"/>
                <w:highlight w:val="none"/>
              </w:rPr>
              <w:t>项目1</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6385A26">
            <w:pPr>
              <w:jc w:val="center"/>
              <w:rPr>
                <w:color w:val="auto"/>
                <w:highlight w:val="none"/>
              </w:rPr>
            </w:pPr>
            <w:r>
              <w:rPr>
                <w:rFonts w:hint="eastAsia"/>
                <w:color w:val="auto"/>
                <w:highlight w:val="none"/>
              </w:rPr>
              <w:t>项目2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52D35E4">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3C72C322">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2B2B71A">
            <w:pPr>
              <w:jc w:val="center"/>
              <w:rPr>
                <w:color w:val="auto"/>
                <w:highlight w:val="none"/>
              </w:rPr>
            </w:pPr>
            <w:r>
              <w:rPr>
                <w:rFonts w:hint="eastAsia"/>
                <w:color w:val="auto"/>
                <w:highlight w:val="none"/>
              </w:rPr>
              <w:t>……</w:t>
            </w:r>
          </w:p>
        </w:tc>
      </w:tr>
      <w:tr w14:paraId="6982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20C5AE2">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DEB0E33">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63BEBE2">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59D8AB0">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BB3AB44">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23CA93E">
            <w:pPr>
              <w:jc w:val="center"/>
              <w:rPr>
                <w:color w:val="auto"/>
                <w:highlight w:val="none"/>
              </w:rPr>
            </w:pPr>
          </w:p>
        </w:tc>
      </w:tr>
      <w:tr w14:paraId="24D6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D38B722">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FF8F75D">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5D6B819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329EE5">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79D51A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A529C80">
            <w:pPr>
              <w:jc w:val="center"/>
              <w:rPr>
                <w:color w:val="auto"/>
                <w:highlight w:val="none"/>
              </w:rPr>
            </w:pPr>
          </w:p>
        </w:tc>
      </w:tr>
      <w:tr w14:paraId="575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91CE5B6">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D993EE7">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5100B08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97A365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321002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04C42718">
            <w:pPr>
              <w:jc w:val="center"/>
              <w:rPr>
                <w:color w:val="auto"/>
                <w:highlight w:val="none"/>
              </w:rPr>
            </w:pPr>
          </w:p>
        </w:tc>
      </w:tr>
      <w:tr w14:paraId="465C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BE885C6">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7720E41">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E69550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917FC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74E53C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9CD6CAC">
            <w:pPr>
              <w:jc w:val="center"/>
              <w:rPr>
                <w:color w:val="auto"/>
                <w:highlight w:val="none"/>
              </w:rPr>
            </w:pPr>
          </w:p>
        </w:tc>
      </w:tr>
      <w:tr w14:paraId="6AB0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2D95E87">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C762F43">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269B879">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ECB8199">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F97ABB6">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2871C94">
            <w:pPr>
              <w:jc w:val="center"/>
              <w:rPr>
                <w:color w:val="auto"/>
                <w:highlight w:val="none"/>
              </w:rPr>
            </w:pPr>
          </w:p>
        </w:tc>
      </w:tr>
      <w:tr w14:paraId="54CB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225D98C">
            <w:pPr>
              <w:jc w:val="center"/>
              <w:rPr>
                <w:rFonts w:hint="eastAsia"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AEBFDD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B8A338E">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202193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8CB0DE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D1EAE8E">
            <w:pPr>
              <w:jc w:val="center"/>
              <w:rPr>
                <w:color w:val="auto"/>
                <w:highlight w:val="none"/>
              </w:rPr>
            </w:pPr>
          </w:p>
        </w:tc>
      </w:tr>
      <w:tr w14:paraId="22DB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305B1B4">
            <w:pPr>
              <w:jc w:val="center"/>
              <w:rPr>
                <w:rFonts w:hint="eastAsia"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767CE0E">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663043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FD6DB1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11AA882">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3AAE8B0">
            <w:pPr>
              <w:jc w:val="center"/>
              <w:rPr>
                <w:color w:val="auto"/>
                <w:highlight w:val="none"/>
              </w:rPr>
            </w:pPr>
          </w:p>
        </w:tc>
      </w:tr>
      <w:tr w14:paraId="0252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0884D29">
            <w:pPr>
              <w:jc w:val="center"/>
              <w:rPr>
                <w:rFonts w:hint="eastAsia"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0F4D0B9">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7321934">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65F709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B624412">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6EB533B">
            <w:pPr>
              <w:jc w:val="center"/>
              <w:rPr>
                <w:color w:val="auto"/>
                <w:highlight w:val="none"/>
              </w:rPr>
            </w:pPr>
          </w:p>
        </w:tc>
      </w:tr>
      <w:tr w14:paraId="2938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58DC366">
            <w:pPr>
              <w:jc w:val="center"/>
              <w:rPr>
                <w:rFonts w:hint="eastAsia"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4F4BD64">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515392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F6F570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303ADB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057DEC2">
            <w:pPr>
              <w:jc w:val="center"/>
              <w:rPr>
                <w:color w:val="auto"/>
                <w:highlight w:val="none"/>
              </w:rPr>
            </w:pPr>
          </w:p>
        </w:tc>
      </w:tr>
    </w:tbl>
    <w:p w14:paraId="66ABAB48">
      <w:pPr>
        <w:spacing w:line="360" w:lineRule="auto"/>
        <w:rPr>
          <w:rFonts w:ascii="宋体" w:hAnsi="宋体"/>
          <w:color w:val="auto"/>
          <w:highlight w:val="none"/>
        </w:rPr>
      </w:pPr>
      <w:r>
        <w:rPr>
          <w:rFonts w:hint="eastAsia" w:ascii="宋体" w:hAnsi="宋体" w:cs="楷体_GB2312"/>
          <w:color w:val="auto"/>
          <w:highlight w:val="none"/>
        </w:rPr>
        <w:t>备注：</w:t>
      </w:r>
    </w:p>
    <w:p w14:paraId="2092DE91">
      <w:pPr>
        <w:spacing w:line="360" w:lineRule="auto"/>
        <w:ind w:firstLine="42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2798602E">
      <w:pPr>
        <w:spacing w:line="360" w:lineRule="auto"/>
        <w:ind w:firstLine="420"/>
        <w:rPr>
          <w:rFonts w:hint="eastAsia" w:ascii="宋体" w:hAnsi="宋体"/>
          <w:color w:val="auto"/>
          <w:szCs w:val="21"/>
          <w:highlight w:val="none"/>
        </w:rPr>
      </w:pPr>
      <w:r>
        <w:rPr>
          <w:rFonts w:hint="eastAsia" w:ascii="宋体" w:hAnsi="宋体"/>
          <w:color w:val="auto"/>
          <w:highlight w:val="none"/>
        </w:rPr>
        <w:t>2.本表后附专职安全生产管理人员的学历证（如有）、安全生产考核合格证（C类）等材料，本表所列材料并加盖供应商电子签章</w:t>
      </w:r>
      <w:r>
        <w:rPr>
          <w:rFonts w:hint="eastAsia" w:ascii="宋体" w:hAnsi="宋体"/>
          <w:color w:val="auto"/>
          <w:szCs w:val="21"/>
          <w:highlight w:val="none"/>
        </w:rPr>
        <w:t>。</w:t>
      </w:r>
    </w:p>
    <w:p w14:paraId="6D18AB59">
      <w:pPr>
        <w:spacing w:line="360" w:lineRule="auto"/>
        <w:jc w:val="center"/>
        <w:rPr>
          <w:rFonts w:hint="eastAsia" w:ascii="宋体" w:hAnsi="宋体"/>
          <w:b/>
          <w:bCs/>
          <w:color w:val="auto"/>
          <w:sz w:val="32"/>
          <w:szCs w:val="32"/>
          <w:highlight w:val="none"/>
        </w:rPr>
      </w:pPr>
      <w:r>
        <w:rPr>
          <w:rFonts w:ascii="宋体" w:hAnsi="宋体"/>
          <w:b/>
          <w:bCs/>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质疑函（格式）</w:t>
      </w:r>
    </w:p>
    <w:p w14:paraId="5182ACE3">
      <w:pPr>
        <w:pStyle w:val="230"/>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77C175B">
      <w:pPr>
        <w:pStyle w:val="230"/>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F8FAF66">
      <w:pPr>
        <w:pStyle w:val="230"/>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3054E4">
      <w:pPr>
        <w:pStyle w:val="230"/>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97E8423">
      <w:pPr>
        <w:pStyle w:val="230"/>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B7AD98C">
      <w:pPr>
        <w:pStyle w:val="230"/>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F880143">
      <w:pPr>
        <w:pStyle w:val="230"/>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E78C3C">
      <w:pPr>
        <w:pStyle w:val="230"/>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610C9CF">
      <w:pPr>
        <w:pStyle w:val="230"/>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BCA61C1">
      <w:pPr>
        <w:pStyle w:val="230"/>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35B2CED">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E7DFA9C">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1DECA37D">
      <w:pPr>
        <w:pStyle w:val="230"/>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652E89E">
      <w:pPr>
        <w:pStyle w:val="230"/>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18431E5">
      <w:pPr>
        <w:pStyle w:val="230"/>
        <w:spacing w:line="360" w:lineRule="auto"/>
        <w:ind w:left="25" w:firstLine="352"/>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33C13AA">
      <w:pPr>
        <w:pStyle w:val="230"/>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3AABF5C">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DA7E4DA">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09454F0">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0179851">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6712615B">
      <w:pPr>
        <w:pStyle w:val="230"/>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7AC3DF16">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C3EDB51">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2D1F606">
      <w:pPr>
        <w:pStyle w:val="230"/>
        <w:spacing w:line="360" w:lineRule="auto"/>
        <w:ind w:left="25" w:firstLine="352"/>
        <w:contextualSpacing/>
        <w:rPr>
          <w:rFonts w:hint="eastAsia" w:hAnsi="宋体"/>
          <w:color w:val="auto"/>
          <w:sz w:val="24"/>
          <w:szCs w:val="24"/>
          <w:highlight w:val="none"/>
        </w:rPr>
      </w:pPr>
    </w:p>
    <w:p w14:paraId="127D0419">
      <w:pPr>
        <w:pStyle w:val="230"/>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340B40A">
      <w:pPr>
        <w:pStyle w:val="230"/>
        <w:spacing w:line="360" w:lineRule="auto"/>
        <w:ind w:firstLine="480"/>
        <w:contextualSpacing/>
        <w:rPr>
          <w:rFonts w:hint="eastAsia" w:hAnsi="宋体"/>
          <w:b/>
          <w:color w:val="auto"/>
          <w:sz w:val="24"/>
          <w:szCs w:val="24"/>
          <w:highlight w:val="none"/>
        </w:rPr>
      </w:pPr>
      <w:r>
        <w:rPr>
          <w:rFonts w:hint="eastAsia" w:hAnsi="宋体"/>
          <w:color w:val="auto"/>
          <w:sz w:val="24"/>
          <w:szCs w:val="24"/>
          <w:highlight w:val="none"/>
        </w:rPr>
        <w:t>日期：</w:t>
      </w:r>
    </w:p>
    <w:p w14:paraId="6281A409">
      <w:pPr>
        <w:pStyle w:val="230"/>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E6A1B6E">
      <w:pPr>
        <w:pStyle w:val="230"/>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7E09FFD">
      <w:pPr>
        <w:pStyle w:val="230"/>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6C31B1">
      <w:pPr>
        <w:pStyle w:val="230"/>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192EAAE">
      <w:pPr>
        <w:pStyle w:val="230"/>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28E3335">
      <w:pPr>
        <w:pStyle w:val="230"/>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61298C9">
      <w:pPr>
        <w:pStyle w:val="230"/>
        <w:rPr>
          <w:rFonts w:hint="eastAsia"/>
          <w:b/>
          <w:color w:val="auto"/>
          <w:sz w:val="24"/>
          <w:szCs w:val="24"/>
          <w:highlight w:val="none"/>
        </w:rPr>
      </w:pPr>
    </w:p>
    <w:p w14:paraId="10FCEB57">
      <w:pPr>
        <w:rPr>
          <w:rFonts w:hint="eastAsia"/>
          <w:color w:val="auto"/>
          <w:sz w:val="32"/>
          <w:szCs w:val="40"/>
          <w:highlight w:val="none"/>
        </w:rPr>
      </w:pPr>
    </w:p>
    <w:p w14:paraId="49FAFC20">
      <w:pPr>
        <w:rPr>
          <w:rFonts w:hint="eastAsia"/>
          <w:color w:val="auto"/>
          <w:sz w:val="32"/>
          <w:szCs w:val="40"/>
          <w:highlight w:val="none"/>
        </w:rPr>
      </w:pPr>
    </w:p>
    <w:p w14:paraId="6E0AC506">
      <w:pPr>
        <w:rPr>
          <w:rFonts w:hint="eastAsia"/>
          <w:color w:val="auto"/>
          <w:sz w:val="32"/>
          <w:szCs w:val="40"/>
          <w:highlight w:val="none"/>
        </w:rPr>
      </w:pPr>
    </w:p>
    <w:p w14:paraId="4F208913">
      <w:pPr>
        <w:rPr>
          <w:rFonts w:hint="eastAsia"/>
          <w:color w:val="auto"/>
          <w:sz w:val="32"/>
          <w:szCs w:val="40"/>
          <w:highlight w:val="none"/>
        </w:rPr>
      </w:pPr>
    </w:p>
    <w:p w14:paraId="792ABB2E">
      <w:pPr>
        <w:rPr>
          <w:rFonts w:hint="eastAsia"/>
          <w:color w:val="auto"/>
          <w:sz w:val="32"/>
          <w:szCs w:val="40"/>
          <w:highlight w:val="none"/>
        </w:rPr>
      </w:pPr>
    </w:p>
    <w:p w14:paraId="0573018F">
      <w:pPr>
        <w:rPr>
          <w:rFonts w:hint="eastAsia"/>
          <w:color w:val="auto"/>
          <w:sz w:val="32"/>
          <w:szCs w:val="40"/>
          <w:highlight w:val="none"/>
        </w:rPr>
      </w:pPr>
    </w:p>
    <w:p w14:paraId="1E3BD418">
      <w:pPr>
        <w:rPr>
          <w:rFonts w:hint="eastAsia"/>
          <w:color w:val="auto"/>
          <w:sz w:val="32"/>
          <w:szCs w:val="40"/>
          <w:highlight w:val="none"/>
        </w:rPr>
      </w:pPr>
    </w:p>
    <w:p w14:paraId="7D3080B8">
      <w:pPr>
        <w:rPr>
          <w:rFonts w:hint="eastAsia"/>
          <w:color w:val="auto"/>
          <w:sz w:val="32"/>
          <w:szCs w:val="40"/>
          <w:highlight w:val="none"/>
        </w:rPr>
      </w:pPr>
    </w:p>
    <w:p w14:paraId="2B2D5CAB">
      <w:pPr>
        <w:rPr>
          <w:rFonts w:hint="eastAsia"/>
          <w:color w:val="auto"/>
          <w:sz w:val="32"/>
          <w:szCs w:val="40"/>
          <w:highlight w:val="none"/>
        </w:rPr>
      </w:pPr>
    </w:p>
    <w:p w14:paraId="1FC2E82E">
      <w:pPr>
        <w:rPr>
          <w:rFonts w:hint="eastAsia"/>
          <w:color w:val="auto"/>
          <w:sz w:val="32"/>
          <w:szCs w:val="40"/>
          <w:highlight w:val="none"/>
        </w:rPr>
      </w:pPr>
    </w:p>
    <w:p w14:paraId="61C41B02">
      <w:pPr>
        <w:rPr>
          <w:rFonts w:hint="eastAsia"/>
          <w:color w:val="auto"/>
          <w:sz w:val="32"/>
          <w:szCs w:val="40"/>
          <w:highlight w:val="none"/>
        </w:rPr>
      </w:pPr>
    </w:p>
    <w:p w14:paraId="2BF8C6AF">
      <w:pPr>
        <w:rPr>
          <w:rFonts w:hint="eastAsia"/>
          <w:color w:val="auto"/>
          <w:sz w:val="32"/>
          <w:szCs w:val="40"/>
          <w:highlight w:val="none"/>
        </w:rPr>
      </w:pPr>
    </w:p>
    <w:p w14:paraId="12B0E46C">
      <w:pPr>
        <w:rPr>
          <w:rFonts w:hint="eastAsia"/>
          <w:color w:val="auto"/>
          <w:sz w:val="32"/>
          <w:szCs w:val="40"/>
          <w:highlight w:val="none"/>
        </w:rPr>
      </w:pPr>
    </w:p>
    <w:p w14:paraId="725830BB">
      <w:pPr>
        <w:rPr>
          <w:rFonts w:hint="eastAsia"/>
          <w:color w:val="auto"/>
          <w:sz w:val="32"/>
          <w:szCs w:val="40"/>
          <w:highlight w:val="none"/>
        </w:rPr>
      </w:pPr>
    </w:p>
    <w:p w14:paraId="46D4F8EE">
      <w:pPr>
        <w:spacing w:line="360" w:lineRule="auto"/>
        <w:jc w:val="center"/>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投诉书（格式）</w:t>
      </w:r>
    </w:p>
    <w:p w14:paraId="6D3DD572">
      <w:pPr>
        <w:pStyle w:val="230"/>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15409933">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ADDAE3">
      <w:pPr>
        <w:pStyle w:val="230"/>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558CF8">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94EBF95">
      <w:pPr>
        <w:pStyle w:val="230"/>
        <w:spacing w:line="360" w:lineRule="auto"/>
        <w:ind w:firstLine="48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0187AC">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78CB153">
      <w:pPr>
        <w:pStyle w:val="230"/>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E4BB033">
      <w:pPr>
        <w:pStyle w:val="230"/>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7B37D6">
      <w:pPr>
        <w:pStyle w:val="230"/>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2528AC54">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7045452">
      <w:pPr>
        <w:pStyle w:val="230"/>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0451028">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1690BFF">
      <w:pPr>
        <w:pStyle w:val="230"/>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39D9458D">
      <w:pPr>
        <w:pStyle w:val="230"/>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758EA48C">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210378F">
      <w:pPr>
        <w:pStyle w:val="230"/>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8457F1C">
      <w:pPr>
        <w:pStyle w:val="230"/>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BFA38C5">
      <w:pPr>
        <w:pStyle w:val="230"/>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FD5E559">
      <w:pPr>
        <w:pStyle w:val="230"/>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5A155E8">
      <w:pPr>
        <w:pStyle w:val="230"/>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1294AD7">
      <w:pPr>
        <w:pStyle w:val="230"/>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7F6B141">
      <w:pPr>
        <w:pStyle w:val="230"/>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A7075D6">
      <w:pPr>
        <w:pStyle w:val="230"/>
        <w:spacing w:line="360" w:lineRule="auto"/>
        <w:ind w:left="25" w:firstLine="472"/>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42F0556">
      <w:pPr>
        <w:pStyle w:val="230"/>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FBF6E2D">
      <w:pPr>
        <w:pStyle w:val="230"/>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7C93C2D0">
      <w:pPr>
        <w:pStyle w:val="230"/>
        <w:spacing w:line="360" w:lineRule="auto"/>
        <w:ind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8F85B31">
      <w:pPr>
        <w:pStyle w:val="230"/>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94206F5">
      <w:pPr>
        <w:pStyle w:val="230"/>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D2365D0">
      <w:pPr>
        <w:pStyle w:val="230"/>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0D8AC46">
      <w:pPr>
        <w:pStyle w:val="230"/>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25D4FC35">
      <w:pPr>
        <w:pStyle w:val="230"/>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7DAD39F">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5563ED">
      <w:pPr>
        <w:pStyle w:val="230"/>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2A934CA">
      <w:pPr>
        <w:pStyle w:val="23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42A0025">
      <w:pPr>
        <w:pStyle w:val="230"/>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4AE8198">
      <w:pPr>
        <w:pStyle w:val="230"/>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D70AA9B">
      <w:pPr>
        <w:pStyle w:val="230"/>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0871CC81">
      <w:pPr>
        <w:pStyle w:val="230"/>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7EA0B07">
      <w:pPr>
        <w:pStyle w:val="230"/>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EE8C688">
      <w:pPr>
        <w:pStyle w:val="230"/>
        <w:spacing w:line="360" w:lineRule="auto"/>
        <w:ind w:left="25" w:firstLine="352"/>
        <w:rPr>
          <w:rFonts w:hint="eastAsia" w:hAnsi="宋体"/>
          <w:color w:val="auto"/>
          <w:sz w:val="24"/>
          <w:szCs w:val="24"/>
          <w:highlight w:val="none"/>
        </w:rPr>
      </w:pPr>
    </w:p>
    <w:p w14:paraId="194D2148">
      <w:pPr>
        <w:pStyle w:val="230"/>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09DE05C4">
      <w:pPr>
        <w:pStyle w:val="230"/>
        <w:spacing w:line="360" w:lineRule="auto"/>
        <w:ind w:left="25" w:firstLine="352"/>
        <w:rPr>
          <w:rFonts w:hint="eastAsia" w:hAnsi="宋体"/>
          <w:color w:val="auto"/>
          <w:sz w:val="24"/>
          <w:szCs w:val="24"/>
          <w:highlight w:val="none"/>
        </w:rPr>
      </w:pPr>
    </w:p>
    <w:p w14:paraId="5EA6F5C8">
      <w:pPr>
        <w:pStyle w:val="230"/>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6F9EBACF">
      <w:pPr>
        <w:pStyle w:val="230"/>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p>
    <w:p w14:paraId="2BF21A74">
      <w:pPr>
        <w:pStyle w:val="23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7B94FBC">
      <w:pPr>
        <w:pStyle w:val="230"/>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29FB6F">
      <w:pPr>
        <w:pStyle w:val="230"/>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F5D012">
      <w:pPr>
        <w:pStyle w:val="230"/>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BAECA58">
      <w:pPr>
        <w:pStyle w:val="230"/>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468FE8E">
      <w:pPr>
        <w:pStyle w:val="230"/>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3CF8A01">
      <w:pPr>
        <w:pStyle w:val="230"/>
        <w:spacing w:line="360" w:lineRule="auto"/>
        <w:ind w:left="25" w:firstLine="354"/>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5B74C1">
      <w:pPr>
        <w:pStyle w:val="190"/>
        <w:jc w:val="center"/>
        <w:rPr>
          <w:rFonts w:hint="eastAsia"/>
          <w:color w:val="auto"/>
          <w:highlight w:val="none"/>
        </w:rPr>
      </w:pPr>
    </w:p>
    <w:p w14:paraId="5D89C992">
      <w:pPr>
        <w:pStyle w:val="190"/>
        <w:jc w:val="center"/>
        <w:rPr>
          <w:rFonts w:hint="eastAsia"/>
          <w:color w:val="auto"/>
          <w:highlight w:val="none"/>
        </w:rPr>
      </w:pPr>
    </w:p>
    <w:p w14:paraId="47E605C2">
      <w:pPr>
        <w:pStyle w:val="190"/>
        <w:jc w:val="center"/>
        <w:rPr>
          <w:rFonts w:hint="eastAsia"/>
          <w:color w:val="auto"/>
          <w:highlight w:val="none"/>
        </w:rPr>
      </w:pPr>
    </w:p>
    <w:p w14:paraId="57A6E42C">
      <w:pPr>
        <w:pStyle w:val="190"/>
        <w:jc w:val="center"/>
        <w:rPr>
          <w:rFonts w:hint="eastAsia"/>
          <w:color w:val="auto"/>
          <w:highlight w:val="none"/>
        </w:rPr>
      </w:pPr>
    </w:p>
    <w:p w14:paraId="28D73F20">
      <w:pPr>
        <w:pStyle w:val="190"/>
        <w:jc w:val="center"/>
        <w:rPr>
          <w:rFonts w:hint="eastAsia"/>
          <w:color w:val="auto"/>
          <w:highlight w:val="none"/>
        </w:rPr>
      </w:pPr>
    </w:p>
    <w:p w14:paraId="1C7DC184">
      <w:pPr>
        <w:pStyle w:val="190"/>
        <w:jc w:val="center"/>
        <w:rPr>
          <w:rFonts w:hint="eastAsia"/>
          <w:color w:val="auto"/>
          <w:highlight w:val="none"/>
        </w:rPr>
      </w:pPr>
      <w:bookmarkStart w:id="118" w:name="_Toc122424267"/>
      <w:r>
        <w:rPr>
          <w:rFonts w:hint="eastAsia"/>
          <w:color w:val="auto"/>
          <w:highlight w:val="none"/>
        </w:rPr>
        <w:t>第七章 合同文本</w:t>
      </w:r>
      <w:bookmarkEnd w:id="118"/>
    </w:p>
    <w:p w14:paraId="796F07CC">
      <w:pPr>
        <w:spacing w:line="520" w:lineRule="exact"/>
        <w:rPr>
          <w:rFonts w:hint="eastAsia" w:ascii="宋体" w:hAnsi="宋体" w:cs="Courier New"/>
          <w:b/>
          <w:color w:val="auto"/>
          <w:sz w:val="32"/>
          <w:szCs w:val="32"/>
          <w:highlight w:val="none"/>
        </w:rPr>
      </w:pPr>
    </w:p>
    <w:p w14:paraId="01792BEF">
      <w:pPr>
        <w:jc w:val="center"/>
        <w:rPr>
          <w:rFonts w:hint="eastAsia" w:ascii="宋体" w:hAnsi="宋体" w:eastAsia="宋体" w:cs="Times New Roman"/>
          <w:b/>
          <w:color w:val="auto"/>
          <w:sz w:val="40"/>
          <w:szCs w:val="40"/>
          <w:highlight w:val="none"/>
          <w:lang w:eastAsia="zh-CN"/>
        </w:rPr>
        <w:sectPr>
          <w:pgSz w:w="11906" w:h="16838"/>
          <w:pgMar w:top="1134" w:right="1134" w:bottom="567" w:left="1417" w:header="567" w:footer="567" w:gutter="0"/>
          <w:pgNumType w:fmt="decimal"/>
          <w:cols w:space="720" w:num="1"/>
          <w:docGrid w:type="lines" w:linePitch="312" w:charSpace="0"/>
        </w:sectPr>
      </w:pPr>
    </w:p>
    <w:p w14:paraId="37EB6FB3">
      <w:pPr>
        <w:jc w:val="center"/>
        <w:rPr>
          <w:rFonts w:hint="eastAsia" w:ascii="宋体" w:hAnsi="宋体"/>
          <w:b/>
          <w:color w:val="auto"/>
          <w:sz w:val="40"/>
          <w:szCs w:val="40"/>
          <w:highlight w:val="none"/>
          <w:lang w:eastAsia="zh-CN"/>
        </w:rPr>
      </w:pPr>
      <w:r>
        <w:rPr>
          <w:rFonts w:hint="eastAsia" w:ascii="宋体" w:hAnsi="宋体" w:eastAsia="宋体" w:cs="Times New Roman"/>
          <w:b/>
          <w:color w:val="auto"/>
          <w:sz w:val="40"/>
          <w:szCs w:val="40"/>
          <w:highlight w:val="none"/>
          <w:lang w:eastAsia="zh-CN"/>
        </w:rPr>
        <w:t>港口区和平小区九年一贯制学校（含幼儿园）项目（二期）--田径场改造项目</w:t>
      </w:r>
    </w:p>
    <w:p w14:paraId="08398520">
      <w:pPr>
        <w:jc w:val="center"/>
        <w:rPr>
          <w:rFonts w:hint="eastAsia" w:ascii="宋体" w:hAnsi="宋体"/>
          <w:b/>
          <w:color w:val="auto"/>
          <w:sz w:val="40"/>
          <w:szCs w:val="40"/>
          <w:highlight w:val="none"/>
        </w:rPr>
      </w:pPr>
    </w:p>
    <w:p w14:paraId="7966E78D">
      <w:pPr>
        <w:pStyle w:val="15"/>
        <w:rPr>
          <w:rFonts w:hint="eastAsia"/>
          <w:color w:val="auto"/>
          <w:highlight w:val="none"/>
        </w:rPr>
      </w:pPr>
    </w:p>
    <w:p w14:paraId="4A706202">
      <w:pPr>
        <w:rPr>
          <w:rFonts w:hint="eastAsia"/>
          <w:color w:val="auto"/>
          <w:highlight w:val="none"/>
        </w:rPr>
      </w:pPr>
    </w:p>
    <w:p w14:paraId="3802D424">
      <w:pPr>
        <w:pStyle w:val="15"/>
        <w:rPr>
          <w:rFonts w:hint="eastAsia"/>
          <w:color w:val="auto"/>
          <w:highlight w:val="none"/>
        </w:rPr>
      </w:pPr>
    </w:p>
    <w:p w14:paraId="6EDCB381">
      <w:pPr>
        <w:jc w:val="center"/>
        <w:rPr>
          <w:rFonts w:ascii="宋体" w:hAnsi="宋体"/>
          <w:b/>
          <w:color w:val="auto"/>
          <w:sz w:val="56"/>
          <w:szCs w:val="56"/>
          <w:highlight w:val="none"/>
        </w:rPr>
      </w:pPr>
      <w:r>
        <w:rPr>
          <w:rFonts w:hint="eastAsia" w:ascii="宋体" w:hAnsi="宋体"/>
          <w:b/>
          <w:color w:val="auto"/>
          <w:sz w:val="56"/>
          <w:szCs w:val="56"/>
          <w:highlight w:val="none"/>
        </w:rPr>
        <w:t>施工合同</w:t>
      </w:r>
    </w:p>
    <w:p w14:paraId="261ABC37">
      <w:pPr>
        <w:rPr>
          <w:rFonts w:ascii="宋体" w:hAnsi="宋体"/>
          <w:color w:val="auto"/>
          <w:sz w:val="30"/>
          <w:szCs w:val="30"/>
          <w:highlight w:val="none"/>
        </w:rPr>
      </w:pPr>
    </w:p>
    <w:p w14:paraId="34959E94">
      <w:pPr>
        <w:rPr>
          <w:rFonts w:ascii="宋体" w:hAnsi="宋体"/>
          <w:color w:val="auto"/>
          <w:sz w:val="30"/>
          <w:szCs w:val="30"/>
          <w:highlight w:val="none"/>
        </w:rPr>
      </w:pPr>
    </w:p>
    <w:p w14:paraId="3FD7D522">
      <w:pPr>
        <w:spacing w:line="360" w:lineRule="auto"/>
        <w:jc w:val="center"/>
        <w:rPr>
          <w:rFonts w:hint="eastAsia" w:ascii="宋体" w:hAnsi="宋体" w:eastAsia="宋体" w:cs="Times New Roman"/>
          <w:b/>
          <w:color w:val="auto"/>
          <w:sz w:val="30"/>
          <w:szCs w:val="30"/>
          <w:highlight w:val="none"/>
        </w:rPr>
      </w:pPr>
      <w:r>
        <w:rPr>
          <w:rFonts w:hint="eastAsia" w:ascii="宋体" w:hAnsi="宋体"/>
          <w:b/>
          <w:color w:val="auto"/>
          <w:sz w:val="30"/>
          <w:szCs w:val="30"/>
          <w:highlight w:val="none"/>
        </w:rPr>
        <w:t>（项目编号：FCZC2026-C2-020020-YZLZ</w:t>
      </w:r>
      <w:r>
        <w:rPr>
          <w:rFonts w:hint="eastAsia" w:ascii="宋体" w:hAnsi="宋体" w:eastAsia="宋体" w:cs="Times New Roman"/>
          <w:b/>
          <w:color w:val="auto"/>
          <w:sz w:val="30"/>
          <w:szCs w:val="30"/>
          <w:highlight w:val="none"/>
        </w:rPr>
        <w:t>）</w:t>
      </w:r>
    </w:p>
    <w:p w14:paraId="32734686">
      <w:pPr>
        <w:rPr>
          <w:rFonts w:hint="eastAsia" w:ascii="宋体" w:hAnsi="宋体"/>
          <w:color w:val="auto"/>
          <w:sz w:val="30"/>
          <w:szCs w:val="30"/>
          <w:highlight w:val="none"/>
        </w:rPr>
      </w:pPr>
    </w:p>
    <w:p w14:paraId="59C6C3AD">
      <w:pPr>
        <w:rPr>
          <w:rFonts w:hint="eastAsia" w:ascii="宋体" w:hAnsi="宋体"/>
          <w:color w:val="auto"/>
          <w:sz w:val="30"/>
          <w:szCs w:val="30"/>
          <w:highlight w:val="none"/>
        </w:rPr>
      </w:pPr>
    </w:p>
    <w:p w14:paraId="268D15AD">
      <w:pPr>
        <w:rPr>
          <w:rFonts w:hint="eastAsia" w:ascii="宋体" w:hAnsi="宋体"/>
          <w:color w:val="auto"/>
          <w:sz w:val="30"/>
          <w:szCs w:val="30"/>
          <w:highlight w:val="none"/>
        </w:rPr>
      </w:pPr>
    </w:p>
    <w:p w14:paraId="1F84C1E2">
      <w:pPr>
        <w:rPr>
          <w:rFonts w:hint="eastAsia" w:ascii="宋体" w:hAnsi="宋体"/>
          <w:color w:val="auto"/>
          <w:sz w:val="30"/>
          <w:szCs w:val="30"/>
          <w:highlight w:val="none"/>
        </w:rPr>
      </w:pPr>
    </w:p>
    <w:p w14:paraId="74A9D29E">
      <w:pPr>
        <w:rPr>
          <w:rFonts w:ascii="宋体" w:hAnsi="宋体"/>
          <w:color w:val="auto"/>
          <w:sz w:val="30"/>
          <w:szCs w:val="30"/>
          <w:highlight w:val="none"/>
        </w:rPr>
      </w:pPr>
    </w:p>
    <w:p w14:paraId="028712A8">
      <w:pPr>
        <w:rPr>
          <w:rFonts w:ascii="宋体" w:hAnsi="宋体"/>
          <w:color w:val="auto"/>
          <w:sz w:val="30"/>
          <w:szCs w:val="30"/>
          <w:highlight w:val="none"/>
        </w:rPr>
      </w:pPr>
    </w:p>
    <w:p w14:paraId="1765948C">
      <w:pPr>
        <w:ind w:firstLine="1800" w:firstLineChars="600"/>
        <w:rPr>
          <w:rFonts w:hint="eastAsia" w:ascii="宋体" w:hAnsi="宋体"/>
          <w:color w:val="auto"/>
          <w:sz w:val="30"/>
          <w:szCs w:val="30"/>
          <w:highlight w:val="none"/>
          <w:lang w:eastAsia="zh-CN"/>
        </w:rPr>
      </w:pPr>
      <w:r>
        <w:rPr>
          <w:rFonts w:hint="eastAsia" w:ascii="宋体" w:hAnsi="宋体"/>
          <w:color w:val="auto"/>
          <w:sz w:val="30"/>
          <w:szCs w:val="30"/>
          <w:highlight w:val="none"/>
        </w:rPr>
        <w:t>发包人：</w:t>
      </w:r>
      <w:r>
        <w:rPr>
          <w:rFonts w:hint="eastAsia" w:ascii="宋体" w:hAnsi="宋体"/>
          <w:color w:val="auto"/>
          <w:sz w:val="30"/>
          <w:szCs w:val="30"/>
          <w:highlight w:val="none"/>
          <w:lang w:eastAsia="zh-CN"/>
        </w:rPr>
        <w:t>防城港市港口区教育局</w:t>
      </w:r>
    </w:p>
    <w:p w14:paraId="7868A9DA">
      <w:pPr>
        <w:ind w:firstLine="1800" w:firstLineChars="600"/>
        <w:rPr>
          <w:rFonts w:hint="eastAsia" w:ascii="宋体" w:hAnsi="宋体"/>
          <w:color w:val="auto"/>
          <w:sz w:val="30"/>
          <w:szCs w:val="30"/>
          <w:highlight w:val="none"/>
          <w:lang w:eastAsia="zh-CN"/>
        </w:rPr>
      </w:pPr>
    </w:p>
    <w:p w14:paraId="1F2504A5">
      <w:pPr>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rPr>
        <w:t>承包人：</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u w:val="single"/>
          <w:lang w:val="en-US" w:eastAsia="zh-CN"/>
        </w:rPr>
        <w:t xml:space="preserve">                    （资质等级：   ）</w:t>
      </w:r>
    </w:p>
    <w:p w14:paraId="3F31C5A7">
      <w:pPr>
        <w:jc w:val="both"/>
        <w:rPr>
          <w:rFonts w:hint="eastAsia" w:ascii="宋体" w:hAnsi="宋体"/>
          <w:color w:val="auto"/>
          <w:sz w:val="30"/>
          <w:szCs w:val="30"/>
          <w:highlight w:val="none"/>
          <w:lang w:eastAsia="zh-CN"/>
        </w:rPr>
      </w:pPr>
    </w:p>
    <w:p w14:paraId="18A14EDF">
      <w:pPr>
        <w:ind w:firstLine="1800" w:firstLineChars="600"/>
        <w:jc w:val="both"/>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lang w:eastAsia="zh-CN"/>
        </w:rPr>
        <w:t>签订日期：</w:t>
      </w:r>
      <w:r>
        <w:rPr>
          <w:rFonts w:hint="eastAsia" w:ascii="宋体" w:hAnsi="宋体"/>
          <w:color w:val="auto"/>
          <w:sz w:val="30"/>
          <w:szCs w:val="30"/>
          <w:highlight w:val="none"/>
          <w:lang w:val="en-US" w:eastAsia="zh-CN"/>
        </w:rPr>
        <w:t xml:space="preserve">   年 月   日</w:t>
      </w:r>
    </w:p>
    <w:p w14:paraId="659B54E5">
      <w:pPr>
        <w:pStyle w:val="2"/>
        <w:jc w:val="center"/>
        <w:rPr>
          <w:rFonts w:hint="eastAsia" w:cs="黑体"/>
          <w:color w:val="auto"/>
          <w:highlight w:val="none"/>
        </w:rPr>
        <w:sectPr>
          <w:footerReference r:id="rId9" w:type="default"/>
          <w:pgSz w:w="11906" w:h="16838"/>
          <w:pgMar w:top="1134" w:right="1134" w:bottom="567" w:left="1417" w:header="567" w:footer="567" w:gutter="0"/>
          <w:pgNumType w:fmt="decimal"/>
          <w:cols w:space="720" w:num="1"/>
          <w:docGrid w:type="lines" w:linePitch="312" w:charSpace="0"/>
        </w:sectPr>
      </w:pPr>
      <w:bookmarkStart w:id="119" w:name="_Toc389065255"/>
      <w:bookmarkStart w:id="120" w:name="_Toc9850519"/>
      <w:bookmarkStart w:id="121" w:name="_Toc407135191"/>
      <w:bookmarkStart w:id="122" w:name="_Toc351203480"/>
      <w:bookmarkStart w:id="123" w:name="_Toc373227552"/>
      <w:bookmarkStart w:id="124" w:name="_Toc296890982"/>
      <w:bookmarkStart w:id="125" w:name="_Toc256000099"/>
      <w:bookmarkStart w:id="126" w:name="_Toc296503025"/>
      <w:bookmarkStart w:id="127" w:name="_Toc373478199"/>
    </w:p>
    <w:p w14:paraId="1053E91F">
      <w:pPr>
        <w:pStyle w:val="2"/>
        <w:jc w:val="center"/>
        <w:rPr>
          <w:color w:val="auto"/>
          <w:highlight w:val="none"/>
        </w:rPr>
      </w:pPr>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19"/>
      <w:bookmarkEnd w:id="120"/>
      <w:bookmarkEnd w:id="121"/>
      <w:bookmarkEnd w:id="122"/>
      <w:bookmarkEnd w:id="123"/>
      <w:bookmarkEnd w:id="124"/>
      <w:bookmarkEnd w:id="125"/>
      <w:bookmarkEnd w:id="126"/>
      <w:bookmarkEnd w:id="127"/>
    </w:p>
    <w:p w14:paraId="6A645ECD">
      <w:pPr>
        <w:pStyle w:val="411"/>
        <w:spacing w:line="240" w:lineRule="auto"/>
        <w:rPr>
          <w:rFonts w:hAnsi="宋体"/>
          <w:color w:val="auto"/>
          <w:sz w:val="22"/>
          <w:highlight w:val="none"/>
        </w:rPr>
      </w:pPr>
      <w:bookmarkStart w:id="128" w:name="EBf5d8882b67eb450294403d6d9eac2034"/>
    </w:p>
    <w:p w14:paraId="2F75CF23">
      <w:pPr>
        <w:pStyle w:val="411"/>
        <w:pageBreakBefore w:val="0"/>
        <w:kinsoku/>
        <w:overflowPunct/>
        <w:topLinePunct w:val="0"/>
        <w:bidi w:val="0"/>
        <w:spacing w:line="400" w:lineRule="exact"/>
        <w:rPr>
          <w:rFonts w:hint="eastAsia" w:eastAsia="宋体"/>
          <w:color w:val="auto"/>
          <w:sz w:val="22"/>
          <w:highlight w:val="none"/>
          <w:u w:val="single"/>
          <w:lang w:eastAsia="zh-CN"/>
        </w:rPr>
      </w:pPr>
      <w:r>
        <w:rPr>
          <w:rFonts w:hAnsi="宋体"/>
          <w:color w:val="auto"/>
          <w:sz w:val="22"/>
          <w:highlight w:val="none"/>
        </w:rPr>
        <w:t>发包人（全称）：</w:t>
      </w:r>
      <w:r>
        <w:rPr>
          <w:rFonts w:hint="eastAsia" w:hAnsi="宋体"/>
          <w:color w:val="auto"/>
          <w:sz w:val="22"/>
          <w:highlight w:val="none"/>
          <w:u w:val="single"/>
          <w:lang w:val="en-US" w:eastAsia="zh-CN"/>
        </w:rPr>
        <w:t xml:space="preserve">                        </w:t>
      </w:r>
    </w:p>
    <w:p w14:paraId="57C11F3E">
      <w:pPr>
        <w:pStyle w:val="411"/>
        <w:pageBreakBefore w:val="0"/>
        <w:kinsoku/>
        <w:overflowPunct/>
        <w:topLinePunct w:val="0"/>
        <w:bidi w:val="0"/>
        <w:spacing w:line="400" w:lineRule="exact"/>
        <w:rPr>
          <w:rFonts w:hint="eastAsia" w:eastAsia="宋体"/>
          <w:color w:val="auto"/>
          <w:sz w:val="22"/>
          <w:highlight w:val="none"/>
          <w:u w:val="single"/>
          <w:lang w:eastAsia="zh-CN"/>
        </w:rPr>
      </w:pPr>
      <w:r>
        <w:rPr>
          <w:rFonts w:hAnsi="宋体"/>
          <w:color w:val="auto"/>
          <w:sz w:val="22"/>
          <w:highlight w:val="none"/>
        </w:rPr>
        <w:t>承包人（全称）：</w:t>
      </w:r>
      <w:r>
        <w:rPr>
          <w:rFonts w:hint="eastAsia" w:hAnsi="宋体"/>
          <w:color w:val="auto"/>
          <w:sz w:val="22"/>
          <w:highlight w:val="none"/>
          <w:u w:val="single"/>
          <w:lang w:val="en-US" w:eastAsia="zh-CN"/>
        </w:rPr>
        <w:t xml:space="preserve">                        </w:t>
      </w:r>
    </w:p>
    <w:p w14:paraId="2B4E62A0">
      <w:pPr>
        <w:pStyle w:val="411"/>
        <w:pageBreakBefore w:val="0"/>
        <w:kinsoku/>
        <w:overflowPunct/>
        <w:topLinePunct w:val="0"/>
        <w:bidi w:val="0"/>
        <w:spacing w:line="400" w:lineRule="exact"/>
        <w:ind w:firstLine="440" w:firstLineChars="200"/>
        <w:rPr>
          <w:rFonts w:hAnsi="宋体"/>
          <w:color w:val="auto"/>
          <w:sz w:val="22"/>
          <w:highlight w:val="none"/>
        </w:rPr>
      </w:pPr>
      <w:r>
        <w:rPr>
          <w:rFonts w:hAnsi="宋体"/>
          <w:color w:val="auto"/>
          <w:sz w:val="22"/>
          <w:highlight w:val="none"/>
        </w:rPr>
        <w:t>根据《中华人民共和国</w:t>
      </w:r>
      <w:r>
        <w:rPr>
          <w:rFonts w:hint="eastAsia" w:hAnsi="宋体"/>
          <w:color w:val="auto"/>
          <w:sz w:val="22"/>
          <w:highlight w:val="none"/>
        </w:rPr>
        <w:t>民法典</w:t>
      </w:r>
      <w:r>
        <w:rPr>
          <w:rFonts w:hAnsi="宋体"/>
          <w:color w:val="auto"/>
          <w:sz w:val="22"/>
          <w:highlight w:val="none"/>
        </w:rPr>
        <w:t>》、《中华人民共和国建筑法》及有关法律规定，遵循平等、自愿、公平和诚实信用的原则，双方就</w:t>
      </w:r>
      <w:r>
        <w:rPr>
          <w:rFonts w:hint="eastAsia"/>
          <w:color w:val="auto"/>
          <w:sz w:val="22"/>
          <w:highlight w:val="none"/>
          <w:u w:val="single"/>
          <w:lang w:val="en-US" w:eastAsia="zh-CN"/>
        </w:rPr>
        <w:t xml:space="preserve"> </w:t>
      </w:r>
      <w:r>
        <w:rPr>
          <w:rFonts w:hint="eastAsia" w:hAnsi="宋体"/>
          <w:color w:val="auto"/>
          <w:sz w:val="22"/>
          <w:highlight w:val="none"/>
          <w:u w:val="single"/>
          <w:lang w:val="en-US" w:eastAsia="zh-CN"/>
        </w:rPr>
        <w:t xml:space="preserve">                    </w:t>
      </w:r>
      <w:r>
        <w:rPr>
          <w:rFonts w:hint="eastAsia"/>
          <w:color w:val="auto"/>
          <w:sz w:val="22"/>
          <w:highlight w:val="none"/>
          <w:u w:val="single"/>
          <w:lang w:val="en-US" w:eastAsia="zh-CN"/>
        </w:rPr>
        <w:t xml:space="preserve"> </w:t>
      </w:r>
      <w:r>
        <w:rPr>
          <w:rFonts w:hAnsi="宋体"/>
          <w:color w:val="auto"/>
          <w:sz w:val="22"/>
          <w:highlight w:val="none"/>
        </w:rPr>
        <w:t>工程施工及有关事项协商一致，共同达成如下协议：</w:t>
      </w:r>
    </w:p>
    <w:p w14:paraId="3492C30E">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一、工程概况</w:t>
      </w:r>
    </w:p>
    <w:p w14:paraId="6FB17516">
      <w:pPr>
        <w:pStyle w:val="411"/>
        <w:pageBreakBefore w:val="0"/>
        <w:kinsoku/>
        <w:overflowPunct/>
        <w:topLinePunct w:val="0"/>
        <w:bidi w:val="0"/>
        <w:spacing w:line="400" w:lineRule="exact"/>
        <w:ind w:firstLine="431" w:firstLineChars="196"/>
        <w:rPr>
          <w:color w:val="auto"/>
          <w:sz w:val="22"/>
          <w:highlight w:val="none"/>
          <w:u w:val="single"/>
        </w:rPr>
      </w:pPr>
      <w:r>
        <w:rPr>
          <w:bCs/>
          <w:color w:val="auto"/>
          <w:sz w:val="22"/>
          <w:highlight w:val="none"/>
        </w:rPr>
        <w:t>1.</w:t>
      </w:r>
      <w:r>
        <w:rPr>
          <w:rFonts w:hint="eastAsia"/>
          <w:bCs/>
          <w:color w:val="auto"/>
          <w:sz w:val="22"/>
          <w:highlight w:val="none"/>
        </w:rPr>
        <w:t xml:space="preserve"> </w:t>
      </w:r>
      <w:r>
        <w:rPr>
          <w:rFonts w:hAnsi="宋体"/>
          <w:bCs/>
          <w:color w:val="auto"/>
          <w:sz w:val="22"/>
          <w:highlight w:val="none"/>
        </w:rPr>
        <w:t>工程名称</w:t>
      </w:r>
      <w:r>
        <w:rPr>
          <w:rFonts w:hAnsi="宋体"/>
          <w:color w:val="auto"/>
          <w:sz w:val="22"/>
          <w:highlight w:val="none"/>
        </w:rPr>
        <w:t>：</w:t>
      </w:r>
      <w:r>
        <w:rPr>
          <w:rFonts w:hint="eastAsia" w:hAnsi="宋体"/>
          <w:color w:val="auto"/>
          <w:sz w:val="22"/>
          <w:highlight w:val="none"/>
          <w:u w:val="single"/>
          <w:lang w:val="en-US" w:eastAsia="zh-CN"/>
        </w:rPr>
        <w:t xml:space="preserve">                       </w:t>
      </w:r>
      <w:r>
        <w:rPr>
          <w:rFonts w:hint="eastAsia"/>
          <w:color w:val="auto"/>
          <w:sz w:val="22"/>
          <w:highlight w:val="none"/>
          <w:u w:val="single"/>
          <w:lang w:val="en-US" w:eastAsia="zh-CN"/>
        </w:rPr>
        <w:t xml:space="preserve"> </w:t>
      </w:r>
      <w:r>
        <w:rPr>
          <w:rFonts w:hAnsi="宋体"/>
          <w:color w:val="auto"/>
          <w:sz w:val="22"/>
          <w:highlight w:val="none"/>
        </w:rPr>
        <w:t>。</w:t>
      </w:r>
    </w:p>
    <w:p w14:paraId="4CD66A70">
      <w:pPr>
        <w:pStyle w:val="411"/>
        <w:pageBreakBefore w:val="0"/>
        <w:kinsoku/>
        <w:overflowPunct/>
        <w:topLinePunct w:val="0"/>
        <w:bidi w:val="0"/>
        <w:spacing w:line="400" w:lineRule="exact"/>
        <w:ind w:firstLine="431" w:firstLineChars="196"/>
        <w:rPr>
          <w:bCs/>
          <w:color w:val="auto"/>
          <w:sz w:val="22"/>
          <w:highlight w:val="none"/>
        </w:rPr>
      </w:pPr>
      <w:r>
        <w:rPr>
          <w:bCs/>
          <w:color w:val="auto"/>
          <w:sz w:val="22"/>
          <w:highlight w:val="none"/>
        </w:rPr>
        <w:t>2.</w:t>
      </w:r>
      <w:r>
        <w:rPr>
          <w:rFonts w:hint="eastAsia"/>
          <w:bCs/>
          <w:color w:val="auto"/>
          <w:sz w:val="22"/>
          <w:highlight w:val="none"/>
        </w:rPr>
        <w:t xml:space="preserve"> </w:t>
      </w:r>
      <w:r>
        <w:rPr>
          <w:rFonts w:hAnsi="宋体"/>
          <w:bCs/>
          <w:color w:val="auto"/>
          <w:sz w:val="22"/>
          <w:highlight w:val="none"/>
        </w:rPr>
        <w:t>工程地点：</w:t>
      </w:r>
      <w:r>
        <w:rPr>
          <w:rFonts w:hint="eastAsia" w:hAnsi="宋体"/>
          <w:color w:val="auto"/>
          <w:sz w:val="22"/>
          <w:highlight w:val="none"/>
          <w:u w:val="single"/>
          <w:lang w:val="en-US" w:eastAsia="zh-CN"/>
        </w:rPr>
        <w:t xml:space="preserve">                        </w:t>
      </w:r>
      <w:r>
        <w:rPr>
          <w:rFonts w:hAnsi="宋体"/>
          <w:color w:val="auto"/>
          <w:sz w:val="22"/>
          <w:highlight w:val="none"/>
        </w:rPr>
        <w:t>。</w:t>
      </w:r>
    </w:p>
    <w:p w14:paraId="22DCC7BF">
      <w:pPr>
        <w:pStyle w:val="411"/>
        <w:pageBreakBefore w:val="0"/>
        <w:kinsoku/>
        <w:overflowPunct/>
        <w:topLinePunct w:val="0"/>
        <w:bidi w:val="0"/>
        <w:spacing w:line="400" w:lineRule="exact"/>
        <w:ind w:firstLine="431" w:firstLineChars="196"/>
        <w:rPr>
          <w:bCs/>
          <w:color w:val="auto"/>
          <w:sz w:val="22"/>
          <w:highlight w:val="none"/>
        </w:rPr>
      </w:pPr>
      <w:r>
        <w:rPr>
          <w:rFonts w:hint="eastAsia"/>
          <w:bCs/>
          <w:color w:val="auto"/>
          <w:sz w:val="22"/>
          <w:highlight w:val="none"/>
        </w:rPr>
        <w:t>3</w:t>
      </w:r>
      <w:r>
        <w:rPr>
          <w:bCs/>
          <w:color w:val="auto"/>
          <w:sz w:val="22"/>
          <w:highlight w:val="none"/>
        </w:rPr>
        <w:t>.</w:t>
      </w:r>
      <w:r>
        <w:rPr>
          <w:rFonts w:hint="eastAsia"/>
          <w:bCs/>
          <w:color w:val="auto"/>
          <w:sz w:val="22"/>
          <w:highlight w:val="none"/>
        </w:rPr>
        <w:t xml:space="preserve"> </w:t>
      </w:r>
      <w:r>
        <w:rPr>
          <w:rFonts w:hAnsi="宋体"/>
          <w:bCs/>
          <w:color w:val="auto"/>
          <w:sz w:val="22"/>
          <w:highlight w:val="none"/>
        </w:rPr>
        <w:t>资金来源：</w:t>
      </w:r>
      <w:r>
        <w:rPr>
          <w:rFonts w:hint="eastAsia" w:hAnsi="宋体"/>
          <w:color w:val="auto"/>
          <w:sz w:val="22"/>
          <w:highlight w:val="none"/>
          <w:u w:val="single"/>
          <w:lang w:val="en-US" w:eastAsia="zh-CN"/>
        </w:rPr>
        <w:t xml:space="preserve"> 财政资金 </w:t>
      </w:r>
      <w:r>
        <w:rPr>
          <w:rFonts w:hAnsi="宋体"/>
          <w:bCs/>
          <w:color w:val="auto"/>
          <w:sz w:val="22"/>
          <w:highlight w:val="none"/>
        </w:rPr>
        <w:t>。</w:t>
      </w:r>
    </w:p>
    <w:p w14:paraId="0B5C3EA2">
      <w:pPr>
        <w:pStyle w:val="411"/>
        <w:pageBreakBefore w:val="0"/>
        <w:kinsoku/>
        <w:overflowPunct/>
        <w:topLinePunct w:val="0"/>
        <w:bidi w:val="0"/>
        <w:spacing w:line="400" w:lineRule="exact"/>
        <w:ind w:firstLine="431" w:firstLineChars="196"/>
        <w:rPr>
          <w:bCs/>
          <w:color w:val="auto"/>
          <w:sz w:val="22"/>
          <w:highlight w:val="none"/>
        </w:rPr>
      </w:pPr>
      <w:r>
        <w:rPr>
          <w:bCs/>
          <w:color w:val="auto"/>
          <w:sz w:val="22"/>
          <w:highlight w:val="none"/>
        </w:rPr>
        <w:t>5.</w:t>
      </w:r>
      <w:r>
        <w:rPr>
          <w:rFonts w:hint="eastAsia"/>
          <w:bCs/>
          <w:color w:val="auto"/>
          <w:sz w:val="22"/>
          <w:highlight w:val="none"/>
        </w:rPr>
        <w:t xml:space="preserve"> </w:t>
      </w:r>
      <w:r>
        <w:rPr>
          <w:rFonts w:hAnsi="宋体"/>
          <w:bCs/>
          <w:color w:val="auto"/>
          <w:sz w:val="22"/>
          <w:highlight w:val="none"/>
        </w:rPr>
        <w:t>工程内容：</w:t>
      </w:r>
      <w:r>
        <w:rPr>
          <w:rFonts w:hint="eastAsia" w:hAnsi="宋体"/>
          <w:color w:val="auto"/>
          <w:sz w:val="22"/>
          <w:highlight w:val="none"/>
          <w:u w:val="single"/>
          <w:lang w:val="en-US" w:eastAsia="zh-CN"/>
        </w:rPr>
        <w:t xml:space="preserve">                                                               ，</w:t>
      </w:r>
      <w:r>
        <w:rPr>
          <w:rFonts w:hint="eastAsia" w:ascii="宋体" w:hAnsi="宋体" w:cs="宋体"/>
          <w:color w:val="auto"/>
          <w:szCs w:val="21"/>
          <w:highlight w:val="none"/>
          <w:u w:val="single"/>
          <w:lang w:eastAsia="zh-CN"/>
        </w:rPr>
        <w:t>详见施工</w:t>
      </w:r>
      <w:r>
        <w:rPr>
          <w:rFonts w:hint="eastAsia" w:ascii="宋体" w:hAnsi="宋体" w:cs="宋体"/>
          <w:color w:val="auto"/>
          <w:szCs w:val="21"/>
          <w:highlight w:val="none"/>
          <w:u w:val="single"/>
        </w:rPr>
        <w:t>图纸及工程量清单</w:t>
      </w:r>
      <w:r>
        <w:rPr>
          <w:rFonts w:hAnsi="宋体"/>
          <w:bCs/>
          <w:color w:val="auto"/>
          <w:sz w:val="22"/>
          <w:highlight w:val="none"/>
        </w:rPr>
        <w:t>。</w:t>
      </w:r>
    </w:p>
    <w:p w14:paraId="29EA5C33">
      <w:pPr>
        <w:pStyle w:val="411"/>
        <w:pageBreakBefore w:val="0"/>
        <w:kinsoku/>
        <w:overflowPunct/>
        <w:topLinePunct w:val="0"/>
        <w:bidi w:val="0"/>
        <w:spacing w:line="400" w:lineRule="exact"/>
        <w:ind w:firstLine="431" w:firstLineChars="196"/>
        <w:rPr>
          <w:bCs/>
          <w:color w:val="auto"/>
          <w:sz w:val="22"/>
          <w:highlight w:val="none"/>
        </w:rPr>
      </w:pPr>
      <w:r>
        <w:rPr>
          <w:rFonts w:hAnsi="宋体"/>
          <w:color w:val="auto"/>
          <w:sz w:val="22"/>
          <w:highlight w:val="none"/>
        </w:rPr>
        <w:t>群体工程应附《承包人承揽工程项目一览表》（附件</w:t>
      </w:r>
      <w:r>
        <w:rPr>
          <w:color w:val="auto"/>
          <w:sz w:val="22"/>
          <w:highlight w:val="none"/>
        </w:rPr>
        <w:t>1</w:t>
      </w:r>
      <w:r>
        <w:rPr>
          <w:rFonts w:hAnsi="宋体"/>
          <w:color w:val="auto"/>
          <w:sz w:val="22"/>
          <w:highlight w:val="none"/>
        </w:rPr>
        <w:t>）。</w:t>
      </w:r>
    </w:p>
    <w:p w14:paraId="2223B76B">
      <w:pPr>
        <w:pStyle w:val="411"/>
        <w:pageBreakBefore w:val="0"/>
        <w:kinsoku/>
        <w:overflowPunct/>
        <w:topLinePunct w:val="0"/>
        <w:bidi w:val="0"/>
        <w:spacing w:line="400" w:lineRule="exact"/>
        <w:ind w:firstLine="431" w:firstLineChars="196"/>
        <w:rPr>
          <w:rFonts w:hAnsi="宋体"/>
          <w:color w:val="auto"/>
          <w:sz w:val="22"/>
          <w:highlight w:val="none"/>
        </w:rPr>
      </w:pPr>
      <w:r>
        <w:rPr>
          <w:bCs/>
          <w:color w:val="auto"/>
          <w:sz w:val="22"/>
          <w:highlight w:val="none"/>
        </w:rPr>
        <w:t>6.</w:t>
      </w:r>
      <w:r>
        <w:rPr>
          <w:rFonts w:hint="eastAsia"/>
          <w:bCs/>
          <w:color w:val="auto"/>
          <w:sz w:val="22"/>
          <w:highlight w:val="none"/>
        </w:rPr>
        <w:t xml:space="preserve"> </w:t>
      </w:r>
      <w:r>
        <w:rPr>
          <w:rFonts w:hAnsi="宋体"/>
          <w:bCs/>
          <w:color w:val="auto"/>
          <w:sz w:val="22"/>
          <w:highlight w:val="none"/>
        </w:rPr>
        <w:t>工程承包范围：</w:t>
      </w:r>
      <w:r>
        <w:rPr>
          <w:rFonts w:hint="eastAsia" w:hAnsi="宋体"/>
          <w:bCs/>
          <w:color w:val="auto"/>
          <w:sz w:val="22"/>
          <w:highlight w:val="none"/>
          <w:u w:val="single"/>
          <w:lang w:val="en-US" w:eastAsia="zh-CN"/>
        </w:rPr>
        <w:t xml:space="preserve">                                        ，</w:t>
      </w:r>
      <w:r>
        <w:rPr>
          <w:rFonts w:hint="eastAsia" w:ascii="宋体" w:hAnsi="宋体" w:cs="宋体"/>
          <w:color w:val="auto"/>
          <w:szCs w:val="21"/>
          <w:highlight w:val="none"/>
          <w:u w:val="single"/>
          <w:lang w:eastAsia="zh-CN"/>
        </w:rPr>
        <w:t>详见施工</w:t>
      </w:r>
      <w:r>
        <w:rPr>
          <w:rFonts w:hint="eastAsia" w:ascii="宋体" w:hAnsi="宋体" w:cs="宋体"/>
          <w:color w:val="auto"/>
          <w:szCs w:val="21"/>
          <w:highlight w:val="none"/>
          <w:u w:val="single"/>
        </w:rPr>
        <w:t>图纸及工程量清单</w:t>
      </w:r>
      <w:r>
        <w:rPr>
          <w:rFonts w:hAnsi="宋体"/>
          <w:color w:val="auto"/>
          <w:sz w:val="22"/>
          <w:highlight w:val="none"/>
        </w:rPr>
        <w:t>。</w:t>
      </w:r>
    </w:p>
    <w:p w14:paraId="44F794C1">
      <w:pPr>
        <w:pStyle w:val="411"/>
        <w:pageBreakBefore w:val="0"/>
        <w:kinsoku/>
        <w:overflowPunct/>
        <w:topLinePunct w:val="0"/>
        <w:bidi w:val="0"/>
        <w:spacing w:line="400" w:lineRule="exact"/>
        <w:ind w:firstLine="426" w:firstLineChars="193"/>
        <w:rPr>
          <w:b/>
          <w:bCs/>
          <w:color w:val="auto"/>
          <w:sz w:val="22"/>
          <w:highlight w:val="none"/>
        </w:rPr>
      </w:pPr>
      <w:r>
        <w:rPr>
          <w:rFonts w:hAnsi="宋体"/>
          <w:b/>
          <w:bCs/>
          <w:color w:val="auto"/>
          <w:sz w:val="22"/>
          <w:highlight w:val="none"/>
        </w:rPr>
        <w:t>二、合同工期</w:t>
      </w:r>
    </w:p>
    <w:p w14:paraId="59872574">
      <w:pPr>
        <w:pStyle w:val="411"/>
        <w:pageBreakBefore w:val="0"/>
        <w:kinsoku/>
        <w:overflowPunct/>
        <w:topLinePunct w:val="0"/>
        <w:bidi w:val="0"/>
        <w:spacing w:line="400" w:lineRule="exact"/>
        <w:ind w:firstLine="459"/>
        <w:rPr>
          <w:rFonts w:hint="eastAsia" w:eastAsia="宋体"/>
          <w:color w:val="auto"/>
          <w:sz w:val="22"/>
          <w:highlight w:val="none"/>
          <w:lang w:eastAsia="zh-CN"/>
        </w:rPr>
      </w:pPr>
      <w:r>
        <w:rPr>
          <w:rFonts w:hAnsi="宋体"/>
          <w:color w:val="auto"/>
          <w:sz w:val="22"/>
          <w:highlight w:val="none"/>
        </w:rPr>
        <w:t>计划开工日期：</w:t>
      </w:r>
      <w:r>
        <w:rPr>
          <w:rFonts w:hint="eastAsia" w:hAnsi="宋体"/>
          <w:color w:val="auto"/>
          <w:sz w:val="22"/>
          <w:highlight w:val="none"/>
          <w:u w:val="single"/>
          <w:lang w:val="en-US" w:eastAsia="zh-CN"/>
        </w:rPr>
        <w:t xml:space="preserve">     </w:t>
      </w:r>
      <w:r>
        <w:rPr>
          <w:rFonts w:hAnsi="宋体"/>
          <w:color w:val="auto"/>
          <w:sz w:val="22"/>
          <w:highlight w:val="none"/>
        </w:rPr>
        <w:t>年</w:t>
      </w:r>
      <w:r>
        <w:rPr>
          <w:rFonts w:hint="eastAsia" w:hAnsi="宋体"/>
          <w:color w:val="auto"/>
          <w:sz w:val="22"/>
          <w:highlight w:val="none"/>
          <w:u w:val="single"/>
          <w:lang w:val="en-US" w:eastAsia="zh-CN"/>
        </w:rPr>
        <w:t xml:space="preserve">      </w:t>
      </w:r>
      <w:r>
        <w:rPr>
          <w:rFonts w:hAnsi="宋体"/>
          <w:color w:val="auto"/>
          <w:sz w:val="22"/>
          <w:highlight w:val="none"/>
        </w:rPr>
        <w:t>月</w:t>
      </w:r>
      <w:r>
        <w:rPr>
          <w:rFonts w:hAnsi="宋体"/>
          <w:color w:val="auto"/>
          <w:sz w:val="22"/>
          <w:highlight w:val="none"/>
          <w:u w:val="single"/>
        </w:rPr>
        <w:t></w:t>
      </w:r>
      <w:r>
        <w:rPr>
          <w:rFonts w:hint="eastAsia" w:hAnsi="宋体"/>
          <w:color w:val="auto"/>
          <w:sz w:val="22"/>
          <w:highlight w:val="none"/>
          <w:u w:val="single"/>
          <w:lang w:val="en-US" w:eastAsia="zh-CN"/>
        </w:rPr>
        <w:t xml:space="preserve">   </w:t>
      </w:r>
      <w:r>
        <w:rPr>
          <w:rFonts w:hAnsi="宋体"/>
          <w:color w:val="auto"/>
          <w:sz w:val="22"/>
          <w:highlight w:val="none"/>
          <w:u w:val="single"/>
        </w:rPr>
        <w:t></w:t>
      </w:r>
      <w:r>
        <w:rPr>
          <w:rFonts w:hAnsi="宋体"/>
          <w:color w:val="auto"/>
          <w:sz w:val="22"/>
          <w:highlight w:val="none"/>
        </w:rPr>
        <w:t>日。</w:t>
      </w:r>
      <w:r>
        <w:rPr>
          <w:rFonts w:hint="eastAsia" w:hAnsi="宋体"/>
          <w:color w:val="auto"/>
          <w:sz w:val="22"/>
          <w:highlight w:val="none"/>
          <w:lang w:eastAsia="zh-CN"/>
        </w:rPr>
        <w:t>（</w:t>
      </w:r>
      <w:r>
        <w:rPr>
          <w:rFonts w:hint="eastAsia" w:hAnsi="宋体"/>
          <w:color w:val="auto"/>
          <w:sz w:val="22"/>
          <w:highlight w:val="none"/>
          <w:lang w:val="en-US" w:eastAsia="zh-CN"/>
        </w:rPr>
        <w:t>最终以开工令为准</w:t>
      </w:r>
      <w:r>
        <w:rPr>
          <w:rFonts w:hint="eastAsia" w:hAnsi="宋体"/>
          <w:color w:val="auto"/>
          <w:sz w:val="22"/>
          <w:highlight w:val="none"/>
          <w:lang w:eastAsia="zh-CN"/>
        </w:rPr>
        <w:t>）</w:t>
      </w:r>
    </w:p>
    <w:p w14:paraId="28BA395D">
      <w:pPr>
        <w:pStyle w:val="411"/>
        <w:pageBreakBefore w:val="0"/>
        <w:kinsoku/>
        <w:overflowPunct/>
        <w:topLinePunct w:val="0"/>
        <w:bidi w:val="0"/>
        <w:spacing w:line="400" w:lineRule="exact"/>
        <w:ind w:firstLine="459"/>
        <w:rPr>
          <w:color w:val="auto"/>
          <w:sz w:val="22"/>
          <w:highlight w:val="none"/>
        </w:rPr>
      </w:pPr>
      <w:r>
        <w:rPr>
          <w:rFonts w:hAnsi="宋体"/>
          <w:color w:val="auto"/>
          <w:sz w:val="22"/>
          <w:highlight w:val="none"/>
        </w:rPr>
        <w:t>计划竣工日期：</w:t>
      </w:r>
      <w:r>
        <w:rPr>
          <w:rFonts w:hint="eastAsia" w:hAnsi="宋体"/>
          <w:color w:val="auto"/>
          <w:sz w:val="22"/>
          <w:highlight w:val="none"/>
          <w:u w:val="single"/>
          <w:lang w:val="en-US" w:eastAsia="zh-CN"/>
        </w:rPr>
        <w:t xml:space="preserve">     </w:t>
      </w:r>
      <w:r>
        <w:rPr>
          <w:rFonts w:hAnsi="宋体"/>
          <w:color w:val="auto"/>
          <w:sz w:val="22"/>
          <w:highlight w:val="none"/>
        </w:rPr>
        <w:t>年</w:t>
      </w:r>
      <w:r>
        <w:rPr>
          <w:rFonts w:hint="eastAsia" w:hAnsi="宋体"/>
          <w:color w:val="auto"/>
          <w:sz w:val="22"/>
          <w:highlight w:val="none"/>
          <w:u w:val="single"/>
          <w:lang w:val="en-US" w:eastAsia="zh-CN"/>
        </w:rPr>
        <w:t xml:space="preserve">      </w:t>
      </w:r>
      <w:r>
        <w:rPr>
          <w:rFonts w:hAnsi="宋体"/>
          <w:color w:val="auto"/>
          <w:sz w:val="22"/>
          <w:highlight w:val="none"/>
        </w:rPr>
        <w:t>月</w:t>
      </w:r>
      <w:r>
        <w:rPr>
          <w:rFonts w:hAnsi="宋体"/>
          <w:color w:val="auto"/>
          <w:sz w:val="22"/>
          <w:highlight w:val="none"/>
          <w:u w:val="single"/>
        </w:rPr>
        <w:t></w:t>
      </w:r>
      <w:r>
        <w:rPr>
          <w:rFonts w:hint="eastAsia" w:hAnsi="宋体"/>
          <w:color w:val="auto"/>
          <w:sz w:val="22"/>
          <w:highlight w:val="none"/>
          <w:u w:val="single"/>
          <w:lang w:val="en-US" w:eastAsia="zh-CN"/>
        </w:rPr>
        <w:t xml:space="preserve">   </w:t>
      </w:r>
      <w:r>
        <w:rPr>
          <w:rFonts w:hAnsi="宋体"/>
          <w:color w:val="auto"/>
          <w:sz w:val="22"/>
          <w:highlight w:val="none"/>
          <w:u w:val="single"/>
        </w:rPr>
        <w:t></w:t>
      </w:r>
      <w:r>
        <w:rPr>
          <w:rFonts w:hAnsi="宋体"/>
          <w:color w:val="auto"/>
          <w:sz w:val="22"/>
          <w:highlight w:val="none"/>
        </w:rPr>
        <w:t>日。</w:t>
      </w:r>
    </w:p>
    <w:p w14:paraId="490492FD">
      <w:pPr>
        <w:pStyle w:val="411"/>
        <w:pageBreakBefore w:val="0"/>
        <w:kinsoku/>
        <w:overflowPunct/>
        <w:topLinePunct w:val="0"/>
        <w:bidi w:val="0"/>
        <w:spacing w:line="400" w:lineRule="exact"/>
        <w:ind w:firstLine="459"/>
        <w:rPr>
          <w:rFonts w:hAnsi="宋体"/>
          <w:color w:val="auto"/>
          <w:sz w:val="22"/>
          <w:highlight w:val="none"/>
        </w:rPr>
      </w:pPr>
      <w:r>
        <w:rPr>
          <w:rFonts w:hAnsi="宋体"/>
          <w:color w:val="auto"/>
          <w:sz w:val="22"/>
          <w:highlight w:val="none"/>
        </w:rPr>
        <w:t>工期总日历天数：</w:t>
      </w:r>
      <w:r>
        <w:rPr>
          <w:rFonts w:hint="eastAsia" w:hAnsi="宋体"/>
          <w:color w:val="auto"/>
          <w:sz w:val="22"/>
          <w:highlight w:val="none"/>
          <w:u w:val="single"/>
          <w:lang w:val="en-US" w:eastAsia="zh-CN"/>
        </w:rPr>
        <w:t xml:space="preserve">    </w:t>
      </w:r>
      <w:r>
        <w:rPr>
          <w:rFonts w:hAnsi="宋体"/>
          <w:color w:val="auto"/>
          <w:sz w:val="22"/>
          <w:highlight w:val="none"/>
        </w:rPr>
        <w:t>天。工期总日历天数与根据前述计划开竣工日期计算的工期天数不一致的，以工期总日历天数为准。</w:t>
      </w:r>
    </w:p>
    <w:p w14:paraId="483A75DE">
      <w:pPr>
        <w:pStyle w:val="411"/>
        <w:pageBreakBefore w:val="0"/>
        <w:kinsoku/>
        <w:overflowPunct/>
        <w:topLinePunct w:val="0"/>
        <w:bidi w:val="0"/>
        <w:spacing w:line="400" w:lineRule="exact"/>
        <w:ind w:firstLine="459"/>
        <w:rPr>
          <w:b/>
          <w:bCs/>
          <w:color w:val="auto"/>
          <w:sz w:val="22"/>
          <w:highlight w:val="none"/>
        </w:rPr>
      </w:pPr>
      <w:r>
        <w:rPr>
          <w:rFonts w:hAnsi="宋体"/>
          <w:b/>
          <w:bCs/>
          <w:color w:val="auto"/>
          <w:sz w:val="22"/>
          <w:highlight w:val="none"/>
        </w:rPr>
        <w:t>三、质量标准</w:t>
      </w:r>
    </w:p>
    <w:p w14:paraId="46DF02E8">
      <w:pPr>
        <w:pStyle w:val="411"/>
        <w:pageBreakBefore w:val="0"/>
        <w:kinsoku/>
        <w:overflowPunct/>
        <w:topLinePunct w:val="0"/>
        <w:bidi w:val="0"/>
        <w:spacing w:line="400" w:lineRule="exact"/>
        <w:ind w:firstLine="459"/>
        <w:rPr>
          <w:rFonts w:hAnsi="宋体"/>
          <w:color w:val="auto"/>
          <w:sz w:val="22"/>
          <w:highlight w:val="none"/>
        </w:rPr>
      </w:pPr>
      <w:r>
        <w:rPr>
          <w:rFonts w:hAnsi="宋体"/>
          <w:color w:val="auto"/>
          <w:sz w:val="22"/>
          <w:highlight w:val="none"/>
        </w:rPr>
        <w:t>工程质量</w:t>
      </w:r>
      <w:r>
        <w:rPr>
          <w:rFonts w:hAnsi="宋体"/>
          <w:color w:val="auto"/>
          <w:sz w:val="22"/>
          <w:highlight w:val="none"/>
          <w:u w:val="single"/>
        </w:rPr>
        <w:t></w:t>
      </w:r>
      <w:r>
        <w:rPr>
          <w:rFonts w:hint="eastAsia" w:hAnsi="宋体"/>
          <w:color w:val="auto"/>
          <w:sz w:val="22"/>
          <w:highlight w:val="none"/>
          <w:u w:val="single"/>
        </w:rPr>
        <w:t>合格</w:t>
      </w:r>
      <w:r>
        <w:rPr>
          <w:rFonts w:hAnsi="宋体"/>
          <w:color w:val="auto"/>
          <w:sz w:val="22"/>
          <w:highlight w:val="none"/>
          <w:u w:val="single"/>
        </w:rPr>
        <w:t></w:t>
      </w:r>
      <w:r>
        <w:rPr>
          <w:rFonts w:hAnsi="宋体"/>
          <w:color w:val="auto"/>
          <w:sz w:val="22"/>
          <w:highlight w:val="none"/>
        </w:rPr>
        <w:t>标准。</w:t>
      </w:r>
    </w:p>
    <w:p w14:paraId="090C3732">
      <w:pPr>
        <w:pStyle w:val="411"/>
        <w:pageBreakBefore w:val="0"/>
        <w:kinsoku/>
        <w:overflowPunct/>
        <w:topLinePunct w:val="0"/>
        <w:bidi w:val="0"/>
        <w:spacing w:line="400" w:lineRule="exact"/>
        <w:ind w:firstLine="459"/>
        <w:rPr>
          <w:rFonts w:hAnsi="宋体"/>
          <w:b/>
          <w:bCs/>
          <w:color w:val="auto"/>
          <w:sz w:val="22"/>
          <w:highlight w:val="none"/>
        </w:rPr>
      </w:pPr>
      <w:r>
        <w:rPr>
          <w:rFonts w:hAnsi="宋体"/>
          <w:b/>
          <w:bCs/>
          <w:color w:val="auto"/>
          <w:sz w:val="22"/>
          <w:highlight w:val="none"/>
        </w:rPr>
        <w:t>四、签约合同价与合同价格形式</w:t>
      </w:r>
    </w:p>
    <w:p w14:paraId="4120FF4C">
      <w:pPr>
        <w:pageBreakBefore w:val="0"/>
        <w:kinsoku/>
        <w:overflowPunct/>
        <w:topLinePunct w:val="0"/>
        <w:bidi w:val="0"/>
        <w:spacing w:line="400" w:lineRule="exact"/>
        <w:ind w:firstLine="420" w:firstLineChars="200"/>
        <w:rPr>
          <w:color w:val="auto"/>
          <w:highlight w:val="none"/>
        </w:rPr>
      </w:pPr>
      <w:r>
        <w:rPr>
          <w:color w:val="auto"/>
          <w:highlight w:val="none"/>
        </w:rPr>
        <w:t>1.</w:t>
      </w:r>
      <w:r>
        <w:rPr>
          <w:rFonts w:hint="eastAsia"/>
          <w:color w:val="auto"/>
          <w:highlight w:val="none"/>
        </w:rPr>
        <w:t xml:space="preserve"> </w:t>
      </w:r>
      <w:r>
        <w:rPr>
          <w:color w:val="auto"/>
          <w:highlight w:val="none"/>
        </w:rPr>
        <w:t>签约合同价为：</w:t>
      </w:r>
    </w:p>
    <w:p w14:paraId="109A4A5F">
      <w:pPr>
        <w:pStyle w:val="411"/>
        <w:pageBreakBefore w:val="0"/>
        <w:kinsoku/>
        <w:overflowPunct/>
        <w:topLinePunct w:val="0"/>
        <w:bidi w:val="0"/>
        <w:spacing w:line="400" w:lineRule="exact"/>
        <w:ind w:firstLine="552" w:firstLineChars="250"/>
        <w:rPr>
          <w:rFonts w:hint="default" w:ascii="Times New Roman" w:hAnsi="Times New Roman" w:eastAsia="宋体" w:cs="Times New Roman"/>
          <w:b/>
          <w:bCs/>
          <w:color w:val="auto"/>
          <w:sz w:val="22"/>
          <w:highlight w:val="none"/>
          <w:u w:val="none"/>
          <w:lang w:val="en-US" w:eastAsia="zh-CN"/>
        </w:rPr>
      </w:pPr>
      <w:r>
        <w:rPr>
          <w:rFonts w:hint="eastAsia" w:ascii="Times New Roman" w:hAnsi="Times New Roman" w:eastAsia="宋体" w:cs="Times New Roman"/>
          <w:b/>
          <w:bCs/>
          <w:color w:val="auto"/>
          <w:sz w:val="22"/>
          <w:highlight w:val="none"/>
          <w:u w:val="none"/>
          <w:lang w:eastAsia="zh-CN"/>
        </w:rPr>
        <w:t>人民币（大写）</w:t>
      </w:r>
      <w:r>
        <w:rPr>
          <w:rFonts w:hint="eastAsia" w:cs="Times New Roman"/>
          <w:b/>
          <w:bCs/>
          <w:color w:val="auto"/>
          <w:sz w:val="22"/>
          <w:highlight w:val="none"/>
          <w:u w:val="single"/>
          <w:lang w:val="en-US" w:eastAsia="zh-CN"/>
        </w:rPr>
        <w:t xml:space="preserve">         </w:t>
      </w:r>
      <w:r>
        <w:rPr>
          <w:rFonts w:hint="eastAsia" w:ascii="Times New Roman" w:hAnsi="Times New Roman" w:eastAsia="宋体" w:cs="Times New Roman"/>
          <w:b/>
          <w:bCs/>
          <w:color w:val="auto"/>
          <w:sz w:val="22"/>
          <w:highlight w:val="none"/>
          <w:u w:val="none"/>
          <w:lang w:val="en-US" w:eastAsia="zh-CN"/>
        </w:rPr>
        <w:t>元。</w:t>
      </w:r>
    </w:p>
    <w:p w14:paraId="4A61456E">
      <w:pPr>
        <w:pStyle w:val="411"/>
        <w:pageBreakBefore w:val="0"/>
        <w:kinsoku/>
        <w:overflowPunct/>
        <w:topLinePunct w:val="0"/>
        <w:bidi w:val="0"/>
        <w:spacing w:line="400" w:lineRule="exact"/>
        <w:ind w:firstLine="550" w:firstLineChars="250"/>
        <w:rPr>
          <w:rFonts w:hAnsi="宋体"/>
          <w:color w:val="auto"/>
          <w:sz w:val="22"/>
          <w:highlight w:val="none"/>
        </w:rPr>
      </w:pPr>
      <w:r>
        <w:rPr>
          <w:rFonts w:hAnsi="宋体"/>
          <w:color w:val="auto"/>
          <w:sz w:val="22"/>
          <w:highlight w:val="none"/>
        </w:rPr>
        <w:t>其中：</w:t>
      </w:r>
    </w:p>
    <w:p w14:paraId="6997E100">
      <w:pPr>
        <w:pStyle w:val="411"/>
        <w:pageBreakBefore w:val="0"/>
        <w:kinsoku/>
        <w:overflowPunct/>
        <w:topLinePunct w:val="0"/>
        <w:bidi w:val="0"/>
        <w:spacing w:line="400" w:lineRule="exact"/>
        <w:ind w:firstLine="440" w:firstLineChars="200"/>
        <w:rPr>
          <w:color w:val="auto"/>
          <w:sz w:val="22"/>
          <w:highlight w:val="none"/>
        </w:rPr>
      </w:pPr>
      <w:r>
        <w:rPr>
          <w:rFonts w:hint="eastAsia" w:hAnsi="宋体"/>
          <w:color w:val="auto"/>
          <w:sz w:val="22"/>
          <w:highlight w:val="none"/>
        </w:rPr>
        <w:t>（1）</w:t>
      </w:r>
      <w:r>
        <w:rPr>
          <w:rFonts w:hAnsi="宋体"/>
          <w:color w:val="auto"/>
          <w:sz w:val="22"/>
          <w:highlight w:val="none"/>
        </w:rPr>
        <w:t>安全文明施工费：</w:t>
      </w:r>
    </w:p>
    <w:p w14:paraId="4008DD23">
      <w:pPr>
        <w:pStyle w:val="411"/>
        <w:pageBreakBefore w:val="0"/>
        <w:kinsoku/>
        <w:overflowPunct/>
        <w:topLinePunct w:val="0"/>
        <w:bidi w:val="0"/>
        <w:spacing w:line="400" w:lineRule="exact"/>
        <w:ind w:firstLine="552" w:firstLineChars="250"/>
        <w:rPr>
          <w:rFonts w:hAnsi="宋体"/>
          <w:b/>
          <w:bCs/>
          <w:color w:val="auto"/>
          <w:sz w:val="22"/>
          <w:highlight w:val="none"/>
        </w:rPr>
      </w:pPr>
      <w:r>
        <w:rPr>
          <w:rFonts w:hAnsi="宋体"/>
          <w:b/>
          <w:bCs/>
          <w:color w:val="auto"/>
          <w:sz w:val="22"/>
          <w:highlight w:val="none"/>
        </w:rPr>
        <w:t>人民币（大写）</w:t>
      </w:r>
      <w:r>
        <w:rPr>
          <w:rFonts w:hint="eastAsia"/>
          <w:b/>
          <w:bCs/>
          <w:color w:val="auto"/>
          <w:sz w:val="22"/>
          <w:highlight w:val="none"/>
          <w:u w:val="single"/>
          <w:lang w:val="en-US" w:eastAsia="zh-CN"/>
        </w:rPr>
        <w:t xml:space="preserve">           </w:t>
      </w:r>
      <w:r>
        <w:rPr>
          <w:rFonts w:hAnsi="宋体"/>
          <w:b/>
          <w:bCs/>
          <w:color w:val="auto"/>
          <w:sz w:val="22"/>
          <w:highlight w:val="none"/>
        </w:rPr>
        <w:t>；</w:t>
      </w:r>
    </w:p>
    <w:p w14:paraId="0CB3F448">
      <w:pPr>
        <w:pStyle w:val="411"/>
        <w:pageBreakBefore w:val="0"/>
        <w:kinsoku/>
        <w:overflowPunct/>
        <w:topLinePunct w:val="0"/>
        <w:bidi w:val="0"/>
        <w:spacing w:line="400" w:lineRule="exact"/>
        <w:ind w:firstLine="440" w:firstLineChars="200"/>
        <w:rPr>
          <w:rFonts w:hAnsi="宋体"/>
          <w:color w:val="auto"/>
          <w:sz w:val="22"/>
          <w:highlight w:val="none"/>
        </w:rPr>
      </w:pPr>
      <w:r>
        <w:rPr>
          <w:rFonts w:hAnsi="宋体"/>
          <w:color w:val="auto"/>
          <w:sz w:val="22"/>
          <w:highlight w:val="none"/>
        </w:rPr>
        <w:t>（</w:t>
      </w:r>
      <w:r>
        <w:rPr>
          <w:color w:val="auto"/>
          <w:sz w:val="22"/>
          <w:highlight w:val="none"/>
        </w:rPr>
        <w:t>2</w:t>
      </w:r>
      <w:r>
        <w:rPr>
          <w:rFonts w:hAnsi="宋体"/>
          <w:color w:val="auto"/>
          <w:sz w:val="22"/>
          <w:highlight w:val="none"/>
        </w:rPr>
        <w:t>）</w:t>
      </w:r>
      <w:r>
        <w:rPr>
          <w:rFonts w:hint="eastAsia" w:hAnsi="宋体"/>
          <w:color w:val="auto"/>
          <w:sz w:val="22"/>
          <w:highlight w:val="none"/>
        </w:rPr>
        <w:t>规费中按规定向建安劳保费管理机构缴纳的建安劳保费</w:t>
      </w:r>
      <w:r>
        <w:rPr>
          <w:rFonts w:hAnsi="宋体"/>
          <w:color w:val="auto"/>
          <w:sz w:val="22"/>
          <w:highlight w:val="none"/>
        </w:rPr>
        <w:t>：</w:t>
      </w:r>
    </w:p>
    <w:p w14:paraId="03F0F541">
      <w:pPr>
        <w:pStyle w:val="411"/>
        <w:pageBreakBefore w:val="0"/>
        <w:kinsoku/>
        <w:overflowPunct/>
        <w:topLinePunct w:val="0"/>
        <w:bidi w:val="0"/>
        <w:spacing w:line="400" w:lineRule="exact"/>
        <w:ind w:firstLine="550" w:firstLineChars="250"/>
        <w:rPr>
          <w:color w:val="auto"/>
          <w:sz w:val="22"/>
          <w:highlight w:val="none"/>
        </w:rPr>
      </w:pPr>
      <w:r>
        <w:rPr>
          <w:rFonts w:hAnsi="宋体"/>
          <w:color w:val="auto"/>
          <w:sz w:val="22"/>
          <w:highlight w:val="none"/>
        </w:rPr>
        <w:t>人民币（大写）</w:t>
      </w:r>
      <w:r>
        <w:rPr>
          <w:rFonts w:hint="eastAsia"/>
          <w:color w:val="auto"/>
          <w:sz w:val="22"/>
          <w:highlight w:val="none"/>
          <w:u w:val="single"/>
          <w:lang w:val="en-US" w:eastAsia="zh-CN"/>
        </w:rPr>
        <w:t xml:space="preserve">  / </w:t>
      </w:r>
      <w:r>
        <w:rPr>
          <w:color w:val="auto"/>
          <w:sz w:val="22"/>
          <w:highlight w:val="none"/>
          <w:u w:val="single"/>
        </w:rPr>
        <w:t xml:space="preserve"> </w:t>
      </w:r>
      <w:r>
        <w:rPr>
          <w:rFonts w:hint="eastAsia"/>
          <w:color w:val="auto"/>
          <w:sz w:val="22"/>
          <w:highlight w:val="none"/>
        </w:rPr>
        <w:t>（</w:t>
      </w:r>
      <w:r>
        <w:rPr>
          <w:color w:val="auto"/>
          <w:sz w:val="22"/>
          <w:highlight w:val="none"/>
        </w:rPr>
        <w:t>¥</w:t>
      </w:r>
      <w:r>
        <w:rPr>
          <w:rFonts w:hint="eastAsia"/>
          <w:color w:val="auto"/>
          <w:sz w:val="22"/>
          <w:highlight w:val="none"/>
          <w:u w:val="single"/>
          <w:lang w:val="en-US" w:eastAsia="zh-CN"/>
        </w:rPr>
        <w:t xml:space="preserve">  / </w:t>
      </w:r>
      <w:r>
        <w:rPr>
          <w:color w:val="auto"/>
          <w:sz w:val="22"/>
          <w:highlight w:val="none"/>
          <w:u w:val="single"/>
        </w:rPr>
        <w:t xml:space="preserve">  </w:t>
      </w:r>
      <w:r>
        <w:rPr>
          <w:rFonts w:hAnsi="宋体"/>
          <w:color w:val="auto"/>
          <w:sz w:val="22"/>
          <w:highlight w:val="none"/>
        </w:rPr>
        <w:t>元</w:t>
      </w:r>
      <w:r>
        <w:rPr>
          <w:rFonts w:hint="eastAsia"/>
          <w:color w:val="auto"/>
          <w:sz w:val="22"/>
          <w:highlight w:val="none"/>
        </w:rPr>
        <w:t>）</w:t>
      </w:r>
      <w:r>
        <w:rPr>
          <w:rFonts w:hAnsi="宋体"/>
          <w:color w:val="auto"/>
          <w:sz w:val="22"/>
          <w:highlight w:val="none"/>
        </w:rPr>
        <w:t>；</w:t>
      </w:r>
    </w:p>
    <w:p w14:paraId="2782D622">
      <w:pPr>
        <w:pStyle w:val="411"/>
        <w:pageBreakBefore w:val="0"/>
        <w:kinsoku/>
        <w:overflowPunct/>
        <w:topLinePunct w:val="0"/>
        <w:bidi w:val="0"/>
        <w:spacing w:line="400" w:lineRule="exact"/>
        <w:ind w:firstLine="440" w:firstLineChars="200"/>
        <w:rPr>
          <w:color w:val="auto"/>
          <w:sz w:val="22"/>
          <w:highlight w:val="none"/>
        </w:rPr>
      </w:pPr>
      <w:r>
        <w:rPr>
          <w:rFonts w:hAnsi="宋体"/>
          <w:color w:val="auto"/>
          <w:sz w:val="22"/>
          <w:highlight w:val="none"/>
        </w:rPr>
        <w:t>（</w:t>
      </w:r>
      <w:r>
        <w:rPr>
          <w:color w:val="auto"/>
          <w:sz w:val="22"/>
          <w:highlight w:val="none"/>
        </w:rPr>
        <w:t>3</w:t>
      </w:r>
      <w:r>
        <w:rPr>
          <w:rFonts w:hAnsi="宋体"/>
          <w:color w:val="auto"/>
          <w:sz w:val="22"/>
          <w:highlight w:val="none"/>
        </w:rPr>
        <w:t>）材料和工程设备暂估价金额：</w:t>
      </w:r>
    </w:p>
    <w:p w14:paraId="7F7C9FE0">
      <w:pPr>
        <w:pStyle w:val="411"/>
        <w:pageBreakBefore w:val="0"/>
        <w:kinsoku/>
        <w:overflowPunct/>
        <w:topLinePunct w:val="0"/>
        <w:bidi w:val="0"/>
        <w:spacing w:line="400" w:lineRule="exact"/>
        <w:ind w:firstLine="990" w:firstLineChars="450"/>
        <w:rPr>
          <w:color w:val="auto"/>
          <w:sz w:val="22"/>
          <w:highlight w:val="none"/>
        </w:rPr>
      </w:pPr>
      <w:r>
        <w:rPr>
          <w:rFonts w:hAnsi="宋体"/>
          <w:color w:val="auto"/>
          <w:sz w:val="22"/>
          <w:highlight w:val="none"/>
        </w:rPr>
        <w:t>人民币（大写）</w:t>
      </w:r>
      <w:r>
        <w:rPr>
          <w:rFonts w:hint="eastAsia"/>
          <w:color w:val="auto"/>
          <w:sz w:val="22"/>
          <w:highlight w:val="none"/>
          <w:u w:val="single"/>
          <w:lang w:val="en-US" w:eastAsia="zh-CN"/>
        </w:rPr>
        <w:t xml:space="preserve">  / </w:t>
      </w:r>
      <w:r>
        <w:rPr>
          <w:color w:val="auto"/>
          <w:sz w:val="22"/>
          <w:highlight w:val="none"/>
          <w:u w:val="single"/>
        </w:rPr>
        <w:t xml:space="preserve"> </w:t>
      </w:r>
      <w:r>
        <w:rPr>
          <w:rFonts w:hint="eastAsia"/>
          <w:color w:val="auto"/>
          <w:sz w:val="22"/>
          <w:highlight w:val="none"/>
        </w:rPr>
        <w:t>（</w:t>
      </w:r>
      <w:r>
        <w:rPr>
          <w:color w:val="auto"/>
          <w:sz w:val="22"/>
          <w:highlight w:val="none"/>
        </w:rPr>
        <w:t>¥</w:t>
      </w:r>
      <w:r>
        <w:rPr>
          <w:rFonts w:hint="eastAsia"/>
          <w:color w:val="auto"/>
          <w:sz w:val="22"/>
          <w:highlight w:val="none"/>
          <w:u w:val="single"/>
          <w:lang w:val="en-US" w:eastAsia="zh-CN"/>
        </w:rPr>
        <w:t xml:space="preserve">  / </w:t>
      </w:r>
      <w:r>
        <w:rPr>
          <w:color w:val="auto"/>
          <w:sz w:val="22"/>
          <w:highlight w:val="none"/>
          <w:u w:val="single"/>
        </w:rPr>
        <w:t xml:space="preserve">  </w:t>
      </w:r>
      <w:r>
        <w:rPr>
          <w:rFonts w:hAnsi="宋体"/>
          <w:color w:val="auto"/>
          <w:sz w:val="22"/>
          <w:highlight w:val="none"/>
        </w:rPr>
        <w:t>元</w:t>
      </w:r>
      <w:r>
        <w:rPr>
          <w:rFonts w:hint="eastAsia"/>
          <w:color w:val="auto"/>
          <w:sz w:val="22"/>
          <w:highlight w:val="none"/>
        </w:rPr>
        <w:t>）</w:t>
      </w:r>
      <w:r>
        <w:rPr>
          <w:rFonts w:hAnsi="宋体"/>
          <w:color w:val="auto"/>
          <w:sz w:val="22"/>
          <w:highlight w:val="none"/>
        </w:rPr>
        <w:t>；</w:t>
      </w:r>
    </w:p>
    <w:p w14:paraId="1021C0BE">
      <w:pPr>
        <w:pStyle w:val="411"/>
        <w:pageBreakBefore w:val="0"/>
        <w:kinsoku/>
        <w:overflowPunct/>
        <w:topLinePunct w:val="0"/>
        <w:bidi w:val="0"/>
        <w:spacing w:line="400" w:lineRule="exact"/>
        <w:ind w:firstLine="440" w:firstLineChars="200"/>
        <w:rPr>
          <w:color w:val="auto"/>
          <w:sz w:val="22"/>
          <w:highlight w:val="none"/>
        </w:rPr>
      </w:pPr>
      <w:r>
        <w:rPr>
          <w:rFonts w:hAnsi="宋体"/>
          <w:color w:val="auto"/>
          <w:sz w:val="22"/>
          <w:highlight w:val="none"/>
        </w:rPr>
        <w:t>（</w:t>
      </w:r>
      <w:r>
        <w:rPr>
          <w:color w:val="auto"/>
          <w:sz w:val="22"/>
          <w:highlight w:val="none"/>
        </w:rPr>
        <w:t>4</w:t>
      </w:r>
      <w:r>
        <w:rPr>
          <w:rFonts w:hAnsi="宋体"/>
          <w:color w:val="auto"/>
          <w:sz w:val="22"/>
          <w:highlight w:val="none"/>
        </w:rPr>
        <w:t>）专业工程暂估价金额：</w:t>
      </w:r>
    </w:p>
    <w:p w14:paraId="7C2CD4C3">
      <w:pPr>
        <w:pStyle w:val="411"/>
        <w:pageBreakBefore w:val="0"/>
        <w:kinsoku/>
        <w:overflowPunct/>
        <w:topLinePunct w:val="0"/>
        <w:bidi w:val="0"/>
        <w:spacing w:line="400" w:lineRule="exact"/>
        <w:ind w:firstLine="994" w:firstLineChars="450"/>
        <w:rPr>
          <w:b/>
          <w:bCs/>
          <w:color w:val="auto"/>
          <w:sz w:val="22"/>
          <w:highlight w:val="none"/>
        </w:rPr>
      </w:pPr>
      <w:r>
        <w:rPr>
          <w:rFonts w:hAnsi="宋体"/>
          <w:b/>
          <w:bCs/>
          <w:color w:val="auto"/>
          <w:sz w:val="22"/>
          <w:highlight w:val="none"/>
        </w:rPr>
        <w:t>人民币（大写）；</w:t>
      </w:r>
    </w:p>
    <w:p w14:paraId="603ACEF4">
      <w:pPr>
        <w:pStyle w:val="411"/>
        <w:pageBreakBefore w:val="0"/>
        <w:kinsoku/>
        <w:overflowPunct/>
        <w:topLinePunct w:val="0"/>
        <w:bidi w:val="0"/>
        <w:spacing w:line="400" w:lineRule="exact"/>
        <w:ind w:firstLine="440" w:firstLineChars="200"/>
        <w:rPr>
          <w:color w:val="auto"/>
          <w:sz w:val="22"/>
          <w:highlight w:val="none"/>
        </w:rPr>
      </w:pPr>
      <w:r>
        <w:rPr>
          <w:rFonts w:hAnsi="宋体"/>
          <w:color w:val="auto"/>
          <w:sz w:val="22"/>
          <w:highlight w:val="none"/>
        </w:rPr>
        <w:t>（</w:t>
      </w:r>
      <w:r>
        <w:rPr>
          <w:color w:val="auto"/>
          <w:sz w:val="22"/>
          <w:highlight w:val="none"/>
        </w:rPr>
        <w:t>5</w:t>
      </w:r>
      <w:r>
        <w:rPr>
          <w:rFonts w:hAnsi="宋体"/>
          <w:color w:val="auto"/>
          <w:sz w:val="22"/>
          <w:highlight w:val="none"/>
        </w:rPr>
        <w:t>）暂列金额：</w:t>
      </w:r>
    </w:p>
    <w:p w14:paraId="09D9576B">
      <w:pPr>
        <w:pStyle w:val="411"/>
        <w:pageBreakBefore w:val="0"/>
        <w:kinsoku/>
        <w:overflowPunct/>
        <w:topLinePunct w:val="0"/>
        <w:bidi w:val="0"/>
        <w:spacing w:line="400" w:lineRule="exact"/>
        <w:ind w:firstLine="990" w:firstLineChars="450"/>
        <w:rPr>
          <w:color w:val="auto"/>
          <w:sz w:val="22"/>
          <w:highlight w:val="none"/>
        </w:rPr>
      </w:pPr>
      <w:r>
        <w:rPr>
          <w:rFonts w:hAnsi="宋体"/>
          <w:color w:val="auto"/>
          <w:sz w:val="22"/>
          <w:highlight w:val="none"/>
        </w:rPr>
        <w:t>人民币（大写）</w:t>
      </w:r>
      <w:r>
        <w:rPr>
          <w:rFonts w:hint="eastAsia"/>
          <w:color w:val="auto"/>
          <w:sz w:val="22"/>
          <w:highlight w:val="none"/>
          <w:u w:val="single"/>
          <w:lang w:val="en-US" w:eastAsia="zh-CN"/>
        </w:rPr>
        <w:t xml:space="preserve">  / </w:t>
      </w:r>
      <w:r>
        <w:rPr>
          <w:color w:val="auto"/>
          <w:sz w:val="22"/>
          <w:highlight w:val="none"/>
          <w:u w:val="single"/>
        </w:rPr>
        <w:t xml:space="preserve"> </w:t>
      </w:r>
      <w:r>
        <w:rPr>
          <w:rFonts w:hint="eastAsia"/>
          <w:color w:val="auto"/>
          <w:sz w:val="22"/>
          <w:highlight w:val="none"/>
        </w:rPr>
        <w:t>（</w:t>
      </w:r>
      <w:r>
        <w:rPr>
          <w:color w:val="auto"/>
          <w:sz w:val="22"/>
          <w:highlight w:val="none"/>
        </w:rPr>
        <w:t>¥</w:t>
      </w:r>
      <w:r>
        <w:rPr>
          <w:rFonts w:hint="eastAsia"/>
          <w:color w:val="auto"/>
          <w:sz w:val="22"/>
          <w:highlight w:val="none"/>
          <w:u w:val="single"/>
          <w:lang w:val="en-US" w:eastAsia="zh-CN"/>
        </w:rPr>
        <w:t xml:space="preserve">  / </w:t>
      </w:r>
      <w:r>
        <w:rPr>
          <w:color w:val="auto"/>
          <w:sz w:val="22"/>
          <w:highlight w:val="none"/>
          <w:u w:val="single"/>
        </w:rPr>
        <w:t xml:space="preserve">  </w:t>
      </w:r>
      <w:r>
        <w:rPr>
          <w:rFonts w:hAnsi="宋体"/>
          <w:color w:val="auto"/>
          <w:sz w:val="22"/>
          <w:highlight w:val="none"/>
        </w:rPr>
        <w:t>元</w:t>
      </w:r>
      <w:r>
        <w:rPr>
          <w:rFonts w:hint="eastAsia"/>
          <w:color w:val="auto"/>
          <w:sz w:val="22"/>
          <w:highlight w:val="none"/>
        </w:rPr>
        <w:t>）</w:t>
      </w:r>
      <w:r>
        <w:rPr>
          <w:rFonts w:hAnsi="宋体"/>
          <w:color w:val="auto"/>
          <w:sz w:val="22"/>
          <w:highlight w:val="none"/>
        </w:rPr>
        <w:t>。</w:t>
      </w:r>
    </w:p>
    <w:p w14:paraId="313847B5">
      <w:pPr>
        <w:pStyle w:val="412"/>
        <w:pageBreakBefore w:val="0"/>
        <w:kinsoku/>
        <w:overflowPunct/>
        <w:topLinePunct w:val="0"/>
        <w:bidi w:val="0"/>
        <w:spacing w:line="400" w:lineRule="exact"/>
        <w:ind w:firstLine="440" w:firstLineChars="200"/>
        <w:rPr>
          <w:color w:val="auto"/>
          <w:sz w:val="22"/>
          <w:highlight w:val="none"/>
        </w:rPr>
      </w:pPr>
      <w:r>
        <w:rPr>
          <w:rStyle w:val="36"/>
          <w:rFonts w:hint="eastAsia" w:ascii="Times New Roman" w:hAnsi="宋体" w:eastAsia="宋体" w:cs="宋体"/>
          <w:color w:val="auto"/>
          <w:sz w:val="22"/>
          <w:szCs w:val="22"/>
          <w:highlight w:val="none"/>
          <w:lang w:val="en-US" w:eastAsia="zh-CN"/>
        </w:rPr>
        <w:t>（6）计税方法：本工程采用</w:t>
      </w:r>
      <w:r>
        <w:rPr>
          <w:rStyle w:val="36"/>
          <w:rFonts w:hint="eastAsia" w:ascii="Times New Roman" w:hAnsi="宋体" w:cs="宋体"/>
          <w:color w:val="auto"/>
          <w:sz w:val="22"/>
          <w:szCs w:val="22"/>
          <w:highlight w:val="none"/>
          <w:u w:val="single"/>
          <w:lang w:val="en-US" w:eastAsia="zh-CN"/>
        </w:rPr>
        <w:t>一般计税</w:t>
      </w:r>
      <w:r>
        <w:rPr>
          <w:rStyle w:val="36"/>
          <w:rFonts w:hint="eastAsia" w:ascii="Times New Roman" w:hAnsi="宋体" w:eastAsia="宋体" w:cs="宋体"/>
          <w:color w:val="auto"/>
          <w:sz w:val="22"/>
          <w:szCs w:val="22"/>
          <w:highlight w:val="none"/>
          <w:u w:val="single"/>
          <w:lang w:val="en-US" w:eastAsia="zh-CN"/>
        </w:rPr>
        <w:t>法依法纳税</w:t>
      </w:r>
      <w:r>
        <w:rPr>
          <w:rStyle w:val="36"/>
          <w:rFonts w:hint="eastAsia" w:ascii="Times New Roman" w:hAnsi="宋体" w:eastAsia="宋体" w:cs="宋体"/>
          <w:color w:val="auto"/>
          <w:sz w:val="22"/>
          <w:szCs w:val="22"/>
          <w:highlight w:val="none"/>
          <w:lang w:val="en-US" w:eastAsia="zh-CN"/>
        </w:rPr>
        <w:t>。</w:t>
      </w:r>
      <w:r>
        <w:rPr>
          <w:rStyle w:val="36"/>
          <w:rFonts w:hint="eastAsia" w:ascii="Times New Roman" w:hAnsi="宋体" w:eastAsia="宋体" w:cs="宋体"/>
          <w:color w:val="auto"/>
          <w:sz w:val="22"/>
          <w:szCs w:val="22"/>
          <w:highlight w:val="none"/>
        </w:rPr>
        <w:t>增值税率</w:t>
      </w:r>
      <w:r>
        <w:rPr>
          <w:rStyle w:val="36"/>
          <w:rFonts w:hint="eastAsia" w:ascii="Times New Roman" w:hAnsi="宋体" w:eastAsia="宋体" w:cs="宋体"/>
          <w:color w:val="auto"/>
          <w:sz w:val="22"/>
          <w:szCs w:val="22"/>
          <w:highlight w:val="none"/>
          <w:lang w:val="en-US" w:eastAsia="zh-CN"/>
        </w:rPr>
        <w:t>:</w:t>
      </w:r>
      <w:r>
        <w:rPr>
          <w:rStyle w:val="36"/>
          <w:rFonts w:hint="eastAsia" w:ascii="Times New Roman" w:hAnsi="宋体" w:cs="宋体"/>
          <w:color w:val="auto"/>
          <w:sz w:val="22"/>
          <w:szCs w:val="22"/>
          <w:highlight w:val="none"/>
          <w:lang w:val="en-US" w:eastAsia="zh-CN"/>
        </w:rPr>
        <w:t xml:space="preserve"> </w:t>
      </w:r>
      <w:r>
        <w:rPr>
          <w:rStyle w:val="36"/>
          <w:rFonts w:hint="eastAsia" w:ascii="Times New Roman" w:hAnsi="宋体" w:eastAsia="宋体" w:cs="宋体"/>
          <w:color w:val="auto"/>
          <w:sz w:val="22"/>
          <w:szCs w:val="22"/>
          <w:highlight w:val="none"/>
          <w:u w:val="single"/>
          <w:lang w:val="en-US" w:eastAsia="zh-CN"/>
        </w:rPr>
        <w:t>%</w:t>
      </w:r>
      <w:r>
        <w:rPr>
          <w:rStyle w:val="36"/>
          <w:rFonts w:hint="eastAsia" w:ascii="Times New Roman" w:hAnsi="宋体" w:eastAsia="宋体" w:cs="宋体"/>
          <w:color w:val="auto"/>
          <w:sz w:val="22"/>
          <w:szCs w:val="22"/>
          <w:highlight w:val="none"/>
          <w:lang w:val="en-US" w:eastAsia="zh-CN"/>
        </w:rPr>
        <w:t xml:space="preserve"> 。</w:t>
      </w:r>
    </w:p>
    <w:p w14:paraId="1BD4B1F9">
      <w:pPr>
        <w:pStyle w:val="411"/>
        <w:pageBreakBefore w:val="0"/>
        <w:kinsoku/>
        <w:overflowPunct/>
        <w:topLinePunct w:val="0"/>
        <w:bidi w:val="0"/>
        <w:spacing w:line="400" w:lineRule="exact"/>
        <w:ind w:firstLine="440" w:firstLineChars="200"/>
        <w:rPr>
          <w:rFonts w:hAnsi="宋体"/>
          <w:color w:val="auto"/>
          <w:sz w:val="22"/>
          <w:highlight w:val="none"/>
        </w:rPr>
      </w:pPr>
      <w:r>
        <w:rPr>
          <w:color w:val="auto"/>
          <w:sz w:val="22"/>
          <w:highlight w:val="none"/>
        </w:rPr>
        <w:t>2.</w:t>
      </w:r>
      <w:r>
        <w:rPr>
          <w:rFonts w:hint="eastAsia"/>
          <w:color w:val="auto"/>
          <w:sz w:val="22"/>
          <w:highlight w:val="none"/>
        </w:rPr>
        <w:t xml:space="preserve"> </w:t>
      </w:r>
      <w:r>
        <w:rPr>
          <w:rFonts w:hAnsi="宋体"/>
          <w:color w:val="auto"/>
          <w:sz w:val="22"/>
          <w:highlight w:val="none"/>
        </w:rPr>
        <w:t>合同价格形式：</w:t>
      </w:r>
      <w:r>
        <w:rPr>
          <w:rFonts w:hint="eastAsia" w:ascii="宋体" w:hAnsi="宋体" w:cs="宋体"/>
          <w:b/>
          <w:bCs/>
          <w:color w:val="auto"/>
          <w:sz w:val="22"/>
          <w:highlight w:val="none"/>
          <w:u w:val="single"/>
          <w:lang w:val="en-US" w:eastAsia="zh-CN"/>
        </w:rPr>
        <w:t>总价包干</w:t>
      </w:r>
      <w:r>
        <w:rPr>
          <w:rFonts w:hAnsi="宋体"/>
          <w:color w:val="auto"/>
          <w:sz w:val="22"/>
          <w:highlight w:val="none"/>
        </w:rPr>
        <w:t>。</w:t>
      </w:r>
    </w:p>
    <w:p w14:paraId="31522716">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五、项目经理</w:t>
      </w:r>
    </w:p>
    <w:p w14:paraId="291FED34">
      <w:pPr>
        <w:pStyle w:val="411"/>
        <w:pageBreakBefore w:val="0"/>
        <w:kinsoku/>
        <w:overflowPunct/>
        <w:topLinePunct w:val="0"/>
        <w:bidi w:val="0"/>
        <w:spacing w:line="400" w:lineRule="exact"/>
        <w:ind w:firstLine="440" w:firstLineChars="200"/>
        <w:rPr>
          <w:rFonts w:hAnsi="宋体"/>
          <w:color w:val="auto"/>
          <w:sz w:val="22"/>
          <w:highlight w:val="none"/>
        </w:rPr>
      </w:pPr>
      <w:r>
        <w:rPr>
          <w:rFonts w:hAnsi="宋体"/>
          <w:color w:val="auto"/>
          <w:sz w:val="22"/>
          <w:highlight w:val="none"/>
        </w:rPr>
        <w:t>承包人项目经理：</w:t>
      </w:r>
      <w:r>
        <w:rPr>
          <w:rFonts w:hint="eastAsia" w:hAnsi="宋体"/>
          <w:color w:val="auto"/>
          <w:sz w:val="22"/>
          <w:highlight w:val="none"/>
          <w:u w:val="single"/>
          <w:lang w:val="en-US" w:eastAsia="zh-CN"/>
        </w:rPr>
        <w:t xml:space="preserve">       </w:t>
      </w:r>
      <w:r>
        <w:rPr>
          <w:rFonts w:hAnsi="宋体"/>
          <w:color w:val="auto"/>
          <w:sz w:val="22"/>
          <w:highlight w:val="none"/>
        </w:rPr>
        <w:t>。</w:t>
      </w:r>
    </w:p>
    <w:p w14:paraId="1DE3F2E4">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六、合同文件构成</w:t>
      </w:r>
    </w:p>
    <w:p w14:paraId="332F9842">
      <w:pPr>
        <w:pStyle w:val="411"/>
        <w:pageBreakBefore w:val="0"/>
        <w:kinsoku/>
        <w:overflowPunct/>
        <w:topLinePunct w:val="0"/>
        <w:bidi w:val="0"/>
        <w:spacing w:line="400" w:lineRule="exact"/>
        <w:ind w:firstLine="440" w:firstLineChars="200"/>
        <w:rPr>
          <w:bCs/>
          <w:color w:val="auto"/>
          <w:sz w:val="22"/>
          <w:highlight w:val="none"/>
        </w:rPr>
      </w:pPr>
      <w:r>
        <w:rPr>
          <w:rFonts w:hAnsi="宋体"/>
          <w:bCs/>
          <w:color w:val="auto"/>
          <w:sz w:val="22"/>
          <w:highlight w:val="none"/>
        </w:rPr>
        <w:t>本协议书与下列文件一起构成合同文件：</w:t>
      </w:r>
    </w:p>
    <w:p w14:paraId="0D746F66">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1</w:t>
      </w:r>
      <w:r>
        <w:rPr>
          <w:rFonts w:hAnsi="宋体"/>
          <w:color w:val="auto"/>
          <w:sz w:val="22"/>
          <w:highlight w:val="none"/>
        </w:rPr>
        <w:t>）</w:t>
      </w:r>
      <w:r>
        <w:rPr>
          <w:rFonts w:hint="eastAsia" w:hAnsi="宋体"/>
          <w:color w:val="auto"/>
          <w:sz w:val="22"/>
          <w:highlight w:val="none"/>
        </w:rPr>
        <w:t>成交</w:t>
      </w:r>
      <w:r>
        <w:rPr>
          <w:rFonts w:hint="eastAsia" w:hAnsi="宋体"/>
          <w:color w:val="auto"/>
          <w:sz w:val="22"/>
          <w:highlight w:val="none"/>
          <w:lang w:eastAsia="zh-CN"/>
        </w:rPr>
        <w:t>通知</w:t>
      </w:r>
      <w:r>
        <w:rPr>
          <w:rFonts w:hAnsi="宋体"/>
          <w:color w:val="auto"/>
          <w:sz w:val="22"/>
          <w:highlight w:val="none"/>
        </w:rPr>
        <w:t>书；</w:t>
      </w:r>
    </w:p>
    <w:p w14:paraId="1A508616">
      <w:pPr>
        <w:pStyle w:val="411"/>
        <w:pageBreakBefore w:val="0"/>
        <w:kinsoku/>
        <w:overflowPunct/>
        <w:topLinePunct w:val="0"/>
        <w:autoSpaceDE w:val="0"/>
        <w:autoSpaceDN w:val="0"/>
        <w:bidi w:val="0"/>
        <w:adjustRightInd w:val="0"/>
        <w:spacing w:line="400" w:lineRule="exact"/>
        <w:ind w:firstLine="440" w:firstLineChars="200"/>
        <w:jc w:val="left"/>
        <w:rPr>
          <w:rFonts w:hAnsi="宋体"/>
          <w:color w:val="auto"/>
          <w:sz w:val="22"/>
          <w:highlight w:val="none"/>
        </w:rPr>
      </w:pPr>
      <w:r>
        <w:rPr>
          <w:rFonts w:hAnsi="宋体"/>
          <w:color w:val="auto"/>
          <w:sz w:val="22"/>
          <w:highlight w:val="none"/>
        </w:rPr>
        <w:t>（</w:t>
      </w:r>
      <w:r>
        <w:rPr>
          <w:color w:val="auto"/>
          <w:sz w:val="22"/>
          <w:highlight w:val="none"/>
        </w:rPr>
        <w:t>2</w:t>
      </w:r>
      <w:r>
        <w:rPr>
          <w:rFonts w:hAnsi="宋体"/>
          <w:color w:val="auto"/>
          <w:sz w:val="22"/>
          <w:highlight w:val="none"/>
        </w:rPr>
        <w:t>）</w:t>
      </w:r>
      <w:r>
        <w:rPr>
          <w:rFonts w:hint="eastAsia" w:hAnsi="宋体"/>
          <w:color w:val="auto"/>
          <w:sz w:val="22"/>
          <w:highlight w:val="none"/>
        </w:rPr>
        <w:t>磋商</w:t>
      </w:r>
      <w:r>
        <w:rPr>
          <w:rFonts w:hAnsi="宋体"/>
          <w:color w:val="auto"/>
          <w:sz w:val="22"/>
          <w:highlight w:val="none"/>
        </w:rPr>
        <w:t>函及其附录；</w:t>
      </w:r>
    </w:p>
    <w:p w14:paraId="07D4798E">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3</w:t>
      </w:r>
      <w:r>
        <w:rPr>
          <w:rFonts w:hAnsi="宋体"/>
          <w:color w:val="auto"/>
          <w:sz w:val="22"/>
          <w:highlight w:val="none"/>
        </w:rPr>
        <w:t>）专用合同条款及其附件；</w:t>
      </w:r>
    </w:p>
    <w:p w14:paraId="32623CD9">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4</w:t>
      </w:r>
      <w:r>
        <w:rPr>
          <w:rFonts w:hAnsi="宋体"/>
          <w:color w:val="auto"/>
          <w:sz w:val="22"/>
          <w:highlight w:val="none"/>
        </w:rPr>
        <w:t>）通用合同条款；</w:t>
      </w:r>
    </w:p>
    <w:p w14:paraId="589F2E9B">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5</w:t>
      </w:r>
      <w:r>
        <w:rPr>
          <w:rFonts w:hAnsi="宋体"/>
          <w:color w:val="auto"/>
          <w:sz w:val="22"/>
          <w:highlight w:val="none"/>
        </w:rPr>
        <w:t>）技术标准和要求；</w:t>
      </w:r>
    </w:p>
    <w:p w14:paraId="1CC3D375">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6</w:t>
      </w:r>
      <w:r>
        <w:rPr>
          <w:rFonts w:hAnsi="宋体"/>
          <w:color w:val="auto"/>
          <w:sz w:val="22"/>
          <w:highlight w:val="none"/>
        </w:rPr>
        <w:t>）已标价工程量清单或预算书；</w:t>
      </w:r>
      <w:r>
        <w:rPr>
          <w:color w:val="auto"/>
          <w:sz w:val="22"/>
          <w:highlight w:val="none"/>
        </w:rPr>
        <w:t xml:space="preserve"> </w:t>
      </w:r>
    </w:p>
    <w:p w14:paraId="71AB9F3C">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7</w:t>
      </w:r>
      <w:r>
        <w:rPr>
          <w:rFonts w:hAnsi="宋体"/>
          <w:color w:val="auto"/>
          <w:sz w:val="22"/>
          <w:highlight w:val="none"/>
        </w:rPr>
        <w:t>）图纸；</w:t>
      </w:r>
    </w:p>
    <w:p w14:paraId="6C7060F3">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w:t>
      </w:r>
      <w:r>
        <w:rPr>
          <w:color w:val="auto"/>
          <w:sz w:val="22"/>
          <w:highlight w:val="none"/>
        </w:rPr>
        <w:t>8</w:t>
      </w:r>
      <w:r>
        <w:rPr>
          <w:rFonts w:hAnsi="宋体"/>
          <w:color w:val="auto"/>
          <w:sz w:val="22"/>
          <w:highlight w:val="none"/>
        </w:rPr>
        <w:t>）其他合同文件。</w:t>
      </w:r>
    </w:p>
    <w:p w14:paraId="4E644431">
      <w:pPr>
        <w:pStyle w:val="411"/>
        <w:pageBreakBefore w:val="0"/>
        <w:kinsoku/>
        <w:overflowPunct/>
        <w:topLinePunct w:val="0"/>
        <w:autoSpaceDE w:val="0"/>
        <w:autoSpaceDN w:val="0"/>
        <w:bidi w:val="0"/>
        <w:adjustRightInd w:val="0"/>
        <w:spacing w:line="400" w:lineRule="exact"/>
        <w:ind w:firstLine="440" w:firstLineChars="200"/>
        <w:jc w:val="left"/>
        <w:rPr>
          <w:color w:val="auto"/>
          <w:sz w:val="22"/>
          <w:highlight w:val="none"/>
        </w:rPr>
      </w:pPr>
      <w:r>
        <w:rPr>
          <w:rFonts w:hAnsi="宋体"/>
          <w:color w:val="auto"/>
          <w:sz w:val="22"/>
          <w:highlight w:val="none"/>
        </w:rPr>
        <w:t>在合同订立及履行过程中形成的与合同有关的文件均构成合同文件组成部分。</w:t>
      </w:r>
    </w:p>
    <w:p w14:paraId="2F04002E">
      <w:pPr>
        <w:pStyle w:val="411"/>
        <w:pageBreakBefore w:val="0"/>
        <w:kinsoku/>
        <w:overflowPunct/>
        <w:topLinePunct w:val="0"/>
        <w:autoSpaceDE w:val="0"/>
        <w:autoSpaceDN w:val="0"/>
        <w:bidi w:val="0"/>
        <w:adjustRightInd w:val="0"/>
        <w:spacing w:line="400" w:lineRule="exact"/>
        <w:ind w:firstLine="440" w:firstLineChars="200"/>
        <w:jc w:val="left"/>
        <w:rPr>
          <w:rFonts w:hAnsi="宋体"/>
          <w:color w:val="auto"/>
          <w:sz w:val="22"/>
          <w:highlight w:val="none"/>
        </w:rPr>
      </w:pPr>
      <w:r>
        <w:rPr>
          <w:rFonts w:hAnsi="宋体"/>
          <w:color w:val="auto"/>
          <w:sz w:val="22"/>
          <w:highlight w:val="none"/>
        </w:rPr>
        <w:t>上述各项合同文件包括合同当事人就该项合同文件所作出的补充和修改，属于同一类内容的文件，应以最新签署的为准。专用合同条款及其附件须经合同当事人签字或盖章。</w:t>
      </w:r>
    </w:p>
    <w:p w14:paraId="17B31321">
      <w:pPr>
        <w:pStyle w:val="411"/>
        <w:pageBreakBefore w:val="0"/>
        <w:kinsoku/>
        <w:overflowPunct/>
        <w:topLinePunct w:val="0"/>
        <w:autoSpaceDE w:val="0"/>
        <w:autoSpaceDN w:val="0"/>
        <w:bidi w:val="0"/>
        <w:adjustRightInd w:val="0"/>
        <w:spacing w:line="400" w:lineRule="exact"/>
        <w:ind w:firstLine="442" w:firstLineChars="200"/>
        <w:jc w:val="left"/>
        <w:rPr>
          <w:b/>
          <w:bCs/>
          <w:color w:val="auto"/>
          <w:sz w:val="22"/>
          <w:highlight w:val="none"/>
        </w:rPr>
      </w:pPr>
      <w:r>
        <w:rPr>
          <w:rFonts w:hAnsi="宋体"/>
          <w:b/>
          <w:bCs/>
          <w:color w:val="auto"/>
          <w:sz w:val="22"/>
          <w:highlight w:val="none"/>
        </w:rPr>
        <w:t>七、承诺</w:t>
      </w:r>
    </w:p>
    <w:p w14:paraId="5FA1AD88">
      <w:pPr>
        <w:pStyle w:val="411"/>
        <w:pageBreakBefore w:val="0"/>
        <w:kinsoku/>
        <w:overflowPunct/>
        <w:topLinePunct w:val="0"/>
        <w:bidi w:val="0"/>
        <w:spacing w:line="400" w:lineRule="exact"/>
        <w:ind w:firstLine="440" w:firstLineChars="200"/>
        <w:rPr>
          <w:bCs/>
          <w:color w:val="auto"/>
          <w:sz w:val="22"/>
          <w:highlight w:val="none"/>
        </w:rPr>
      </w:pPr>
      <w:r>
        <w:rPr>
          <w:bCs/>
          <w:color w:val="auto"/>
          <w:sz w:val="22"/>
          <w:highlight w:val="none"/>
        </w:rPr>
        <w:t>1.</w:t>
      </w:r>
      <w:r>
        <w:rPr>
          <w:rFonts w:hint="eastAsia"/>
          <w:bCs/>
          <w:color w:val="auto"/>
          <w:sz w:val="22"/>
          <w:highlight w:val="none"/>
        </w:rPr>
        <w:t xml:space="preserve"> </w:t>
      </w:r>
      <w:r>
        <w:rPr>
          <w:rFonts w:hAnsi="宋体"/>
          <w:bCs/>
          <w:color w:val="auto"/>
          <w:sz w:val="22"/>
          <w:highlight w:val="none"/>
        </w:rPr>
        <w:t>发包人承诺按照法律规定履行项目审批手续、筹集工程建设资金并按照合同约定的期限和方式支付合同价款。</w:t>
      </w:r>
    </w:p>
    <w:p w14:paraId="44ED6D07">
      <w:pPr>
        <w:pStyle w:val="411"/>
        <w:pageBreakBefore w:val="0"/>
        <w:kinsoku/>
        <w:overflowPunct/>
        <w:topLinePunct w:val="0"/>
        <w:bidi w:val="0"/>
        <w:spacing w:line="400" w:lineRule="exact"/>
        <w:ind w:firstLine="440" w:firstLineChars="200"/>
        <w:rPr>
          <w:bCs/>
          <w:color w:val="auto"/>
          <w:sz w:val="22"/>
          <w:highlight w:val="none"/>
        </w:rPr>
      </w:pPr>
      <w:r>
        <w:rPr>
          <w:bCs/>
          <w:color w:val="auto"/>
          <w:sz w:val="22"/>
          <w:highlight w:val="none"/>
        </w:rPr>
        <w:t>2.</w:t>
      </w:r>
      <w:r>
        <w:rPr>
          <w:rFonts w:hint="eastAsia"/>
          <w:bCs/>
          <w:color w:val="auto"/>
          <w:sz w:val="22"/>
          <w:highlight w:val="none"/>
        </w:rPr>
        <w:t xml:space="preserve"> </w:t>
      </w:r>
      <w:r>
        <w:rPr>
          <w:rFonts w:hAnsi="宋体"/>
          <w:bCs/>
          <w:color w:val="auto"/>
          <w:sz w:val="22"/>
          <w:highlight w:val="none"/>
        </w:rPr>
        <w:t>承包人承诺按照法律规定及合同约定组织完成工程施工，确保工程质量和安全，不进行转包及违法分包，并在缺陷责任期及保修期内承担相应的工程维修责任。</w:t>
      </w:r>
    </w:p>
    <w:p w14:paraId="455E8C68">
      <w:pPr>
        <w:pStyle w:val="411"/>
        <w:pageBreakBefore w:val="0"/>
        <w:kinsoku/>
        <w:overflowPunct/>
        <w:topLinePunct w:val="0"/>
        <w:bidi w:val="0"/>
        <w:spacing w:line="400" w:lineRule="exact"/>
        <w:ind w:firstLine="440" w:firstLineChars="200"/>
        <w:rPr>
          <w:rFonts w:hAnsi="宋体"/>
          <w:bCs/>
          <w:color w:val="auto"/>
          <w:sz w:val="22"/>
          <w:highlight w:val="none"/>
        </w:rPr>
      </w:pPr>
      <w:r>
        <w:rPr>
          <w:bCs/>
          <w:color w:val="auto"/>
          <w:sz w:val="22"/>
          <w:highlight w:val="none"/>
        </w:rPr>
        <w:t>3.</w:t>
      </w:r>
      <w:r>
        <w:rPr>
          <w:rFonts w:hint="eastAsia"/>
          <w:bCs/>
          <w:color w:val="auto"/>
          <w:sz w:val="22"/>
          <w:highlight w:val="none"/>
        </w:rPr>
        <w:t xml:space="preserve"> </w:t>
      </w:r>
      <w:r>
        <w:rPr>
          <w:rFonts w:hAnsi="宋体"/>
          <w:bCs/>
          <w:color w:val="auto"/>
          <w:sz w:val="22"/>
          <w:highlight w:val="none"/>
        </w:rPr>
        <w:t>发包人和承包人通过招投标形式签订合同的，双方理解并承诺不再就同一工程另行签订与合同实质性内容相背离的协议。</w:t>
      </w:r>
    </w:p>
    <w:p w14:paraId="22554B88">
      <w:pPr>
        <w:pStyle w:val="411"/>
        <w:pageBreakBefore w:val="0"/>
        <w:kinsoku/>
        <w:overflowPunct/>
        <w:topLinePunct w:val="0"/>
        <w:bidi w:val="0"/>
        <w:spacing w:line="400" w:lineRule="exact"/>
        <w:ind w:firstLine="440" w:firstLineChars="200"/>
        <w:rPr>
          <w:b/>
          <w:bCs/>
          <w:color w:val="auto"/>
          <w:sz w:val="22"/>
          <w:highlight w:val="none"/>
        </w:rPr>
      </w:pPr>
      <w:r>
        <w:rPr>
          <w:color w:val="auto"/>
          <w:sz w:val="22"/>
          <w:highlight w:val="none"/>
        </w:rPr>
        <w:t xml:space="preserve"> </w:t>
      </w:r>
      <w:r>
        <w:rPr>
          <w:rFonts w:hAnsi="宋体"/>
          <w:b/>
          <w:bCs/>
          <w:color w:val="auto"/>
          <w:sz w:val="22"/>
          <w:highlight w:val="none"/>
        </w:rPr>
        <w:t>八、词语含义</w:t>
      </w:r>
    </w:p>
    <w:p w14:paraId="1AF5BBBF">
      <w:pPr>
        <w:pStyle w:val="411"/>
        <w:pageBreakBefore w:val="0"/>
        <w:kinsoku/>
        <w:overflowPunct/>
        <w:topLinePunct w:val="0"/>
        <w:bidi w:val="0"/>
        <w:spacing w:line="400" w:lineRule="exact"/>
        <w:ind w:firstLine="440" w:firstLineChars="200"/>
        <w:rPr>
          <w:rFonts w:hAnsi="宋体"/>
          <w:bCs/>
          <w:color w:val="auto"/>
          <w:sz w:val="22"/>
          <w:highlight w:val="none"/>
        </w:rPr>
      </w:pPr>
      <w:r>
        <w:rPr>
          <w:rFonts w:hAnsi="宋体"/>
          <w:bCs/>
          <w:color w:val="auto"/>
          <w:sz w:val="22"/>
          <w:highlight w:val="none"/>
        </w:rPr>
        <w:t>本协议书中词语含义与第二部分通用合同条款中赋予的含义相同。</w:t>
      </w:r>
    </w:p>
    <w:p w14:paraId="084DC512">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九、签订时间</w:t>
      </w:r>
    </w:p>
    <w:p w14:paraId="6060C13B">
      <w:pPr>
        <w:pStyle w:val="411"/>
        <w:pageBreakBefore w:val="0"/>
        <w:kinsoku/>
        <w:overflowPunct/>
        <w:topLinePunct w:val="0"/>
        <w:bidi w:val="0"/>
        <w:spacing w:line="400" w:lineRule="exact"/>
        <w:ind w:firstLine="440" w:firstLineChars="200"/>
        <w:rPr>
          <w:rFonts w:hAnsi="宋体"/>
          <w:bCs/>
          <w:color w:val="auto"/>
          <w:sz w:val="22"/>
          <w:highlight w:val="none"/>
        </w:rPr>
      </w:pPr>
      <w:r>
        <w:rPr>
          <w:rFonts w:hAnsi="宋体"/>
          <w:bCs/>
          <w:color w:val="auto"/>
          <w:sz w:val="22"/>
          <w:highlight w:val="none"/>
        </w:rPr>
        <w:t>本合同于</w:t>
      </w:r>
      <w:r>
        <w:rPr>
          <w:rFonts w:hint="eastAsia"/>
          <w:bCs/>
          <w:color w:val="auto"/>
          <w:sz w:val="22"/>
          <w:highlight w:val="none"/>
          <w:u w:val="single"/>
          <w:lang w:val="en-US" w:eastAsia="zh-CN"/>
        </w:rPr>
        <w:t xml:space="preserve">      </w:t>
      </w:r>
      <w:r>
        <w:rPr>
          <w:rFonts w:hAnsi="宋体"/>
          <w:bCs/>
          <w:color w:val="auto"/>
          <w:sz w:val="22"/>
          <w:highlight w:val="none"/>
        </w:rPr>
        <w:t>年</w:t>
      </w:r>
      <w:r>
        <w:rPr>
          <w:bCs/>
          <w:color w:val="auto"/>
          <w:sz w:val="22"/>
          <w:highlight w:val="none"/>
          <w:u w:val="single"/>
        </w:rPr>
        <w:t xml:space="preserve"> </w:t>
      </w:r>
      <w:r>
        <w:rPr>
          <w:rFonts w:hint="eastAsia"/>
          <w:bCs/>
          <w:color w:val="auto"/>
          <w:sz w:val="22"/>
          <w:highlight w:val="none"/>
          <w:u w:val="single"/>
          <w:lang w:val="en-US" w:eastAsia="zh-CN"/>
        </w:rPr>
        <w:t xml:space="preserve">    </w:t>
      </w:r>
      <w:r>
        <w:rPr>
          <w:bCs/>
          <w:color w:val="auto"/>
          <w:sz w:val="22"/>
          <w:highlight w:val="none"/>
          <w:u w:val="single"/>
        </w:rPr>
        <w:t xml:space="preserve"> </w:t>
      </w:r>
      <w:r>
        <w:rPr>
          <w:rFonts w:hAnsi="宋体"/>
          <w:bCs/>
          <w:color w:val="auto"/>
          <w:sz w:val="22"/>
          <w:highlight w:val="none"/>
        </w:rPr>
        <w:t>月</w:t>
      </w:r>
      <w:r>
        <w:rPr>
          <w:rFonts w:hint="eastAsia"/>
          <w:bCs/>
          <w:color w:val="auto"/>
          <w:sz w:val="22"/>
          <w:highlight w:val="none"/>
          <w:u w:val="single"/>
          <w:lang w:val="en-US" w:eastAsia="zh-CN"/>
        </w:rPr>
        <w:t xml:space="preserve">      </w:t>
      </w:r>
      <w:r>
        <w:rPr>
          <w:rFonts w:hAnsi="宋体"/>
          <w:bCs/>
          <w:color w:val="auto"/>
          <w:sz w:val="22"/>
          <w:highlight w:val="none"/>
        </w:rPr>
        <w:t>日签订。</w:t>
      </w:r>
    </w:p>
    <w:p w14:paraId="7F468B9C">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十、签订地点</w:t>
      </w:r>
    </w:p>
    <w:p w14:paraId="7A2A651C">
      <w:pPr>
        <w:pStyle w:val="411"/>
        <w:pageBreakBefore w:val="0"/>
        <w:kinsoku/>
        <w:overflowPunct/>
        <w:topLinePunct w:val="0"/>
        <w:bidi w:val="0"/>
        <w:spacing w:line="400" w:lineRule="exact"/>
        <w:ind w:firstLine="440" w:firstLineChars="200"/>
        <w:rPr>
          <w:rFonts w:hAnsi="宋体"/>
          <w:bCs/>
          <w:color w:val="auto"/>
          <w:sz w:val="22"/>
          <w:highlight w:val="none"/>
          <w:u w:val="none"/>
        </w:rPr>
      </w:pPr>
      <w:r>
        <w:rPr>
          <w:rFonts w:hAnsi="宋体"/>
          <w:bCs/>
          <w:color w:val="auto"/>
          <w:sz w:val="22"/>
          <w:highlight w:val="none"/>
          <w:u w:val="none"/>
        </w:rPr>
        <w:t>本合同在</w:t>
      </w:r>
      <w:r>
        <w:rPr>
          <w:rFonts w:hint="eastAsia" w:ascii="Times New Roman" w:hAnsi="Times New Roman" w:eastAsia="宋体" w:cs="Times New Roman"/>
          <w:bCs/>
          <w:color w:val="auto"/>
          <w:sz w:val="22"/>
          <w:highlight w:val="none"/>
          <w:u w:val="single"/>
          <w:lang w:val="en-US" w:eastAsia="zh-CN"/>
        </w:rPr>
        <w:t xml:space="preserve"> 港口区 </w:t>
      </w:r>
      <w:r>
        <w:rPr>
          <w:rFonts w:hAnsi="宋体"/>
          <w:bCs/>
          <w:color w:val="auto"/>
          <w:sz w:val="22"/>
          <w:highlight w:val="none"/>
          <w:u w:val="none"/>
        </w:rPr>
        <w:t>签订。</w:t>
      </w:r>
    </w:p>
    <w:p w14:paraId="5FD27D11">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十一、补充协议</w:t>
      </w:r>
    </w:p>
    <w:p w14:paraId="4118C9D4">
      <w:pPr>
        <w:pStyle w:val="411"/>
        <w:pageBreakBefore w:val="0"/>
        <w:kinsoku/>
        <w:overflowPunct/>
        <w:topLinePunct w:val="0"/>
        <w:bidi w:val="0"/>
        <w:spacing w:line="400" w:lineRule="exact"/>
        <w:ind w:firstLine="440" w:firstLineChars="200"/>
        <w:rPr>
          <w:rFonts w:hAnsi="宋体"/>
          <w:bCs/>
          <w:color w:val="auto"/>
          <w:sz w:val="22"/>
          <w:highlight w:val="none"/>
        </w:rPr>
      </w:pPr>
      <w:r>
        <w:rPr>
          <w:rFonts w:hAnsi="宋体"/>
          <w:bCs/>
          <w:color w:val="auto"/>
          <w:sz w:val="22"/>
          <w:highlight w:val="none"/>
        </w:rPr>
        <w:t>合同未尽事宜，合同当事人另行签订补充协议，补充协议是合同的组成部分。</w:t>
      </w:r>
    </w:p>
    <w:p w14:paraId="2BD47D7C">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十二、合同生效</w:t>
      </w:r>
    </w:p>
    <w:p w14:paraId="1F0D38C7">
      <w:pPr>
        <w:pStyle w:val="411"/>
        <w:pageBreakBefore w:val="0"/>
        <w:kinsoku/>
        <w:overflowPunct/>
        <w:topLinePunct w:val="0"/>
        <w:bidi w:val="0"/>
        <w:spacing w:line="400" w:lineRule="exact"/>
        <w:ind w:firstLine="440" w:firstLineChars="200"/>
        <w:rPr>
          <w:rFonts w:hAnsi="宋体"/>
          <w:bCs/>
          <w:color w:val="auto"/>
          <w:sz w:val="22"/>
          <w:highlight w:val="none"/>
        </w:rPr>
      </w:pPr>
      <w:r>
        <w:rPr>
          <w:rFonts w:hAnsi="宋体"/>
          <w:bCs/>
          <w:color w:val="auto"/>
          <w:sz w:val="22"/>
          <w:highlight w:val="none"/>
        </w:rPr>
        <w:t>本合同自</w:t>
      </w:r>
      <w:r>
        <w:rPr>
          <w:bCs/>
          <w:color w:val="auto"/>
          <w:sz w:val="22"/>
          <w:highlight w:val="none"/>
          <w:u w:val="single"/>
        </w:rPr>
        <w:t xml:space="preserve"> </w:t>
      </w:r>
      <w:r>
        <w:rPr>
          <w:rFonts w:hint="eastAsia"/>
          <w:bCs/>
          <w:color w:val="auto"/>
          <w:sz w:val="22"/>
          <w:highlight w:val="none"/>
          <w:u w:val="single"/>
          <w:lang w:eastAsia="zh-CN"/>
        </w:rPr>
        <w:t>双方法定代表人签字或签章并加盖单位公章或合同专用章后</w:t>
      </w:r>
      <w:r>
        <w:rPr>
          <w:bCs/>
          <w:color w:val="auto"/>
          <w:sz w:val="22"/>
          <w:highlight w:val="none"/>
          <w:u w:val="single"/>
        </w:rPr>
        <w:t xml:space="preserve"> </w:t>
      </w:r>
      <w:r>
        <w:rPr>
          <w:rFonts w:hAnsi="宋体"/>
          <w:bCs/>
          <w:color w:val="auto"/>
          <w:sz w:val="22"/>
          <w:highlight w:val="none"/>
        </w:rPr>
        <w:t>生效。</w:t>
      </w:r>
    </w:p>
    <w:p w14:paraId="139EC100">
      <w:pPr>
        <w:pStyle w:val="411"/>
        <w:pageBreakBefore w:val="0"/>
        <w:kinsoku/>
        <w:overflowPunct/>
        <w:topLinePunct w:val="0"/>
        <w:bidi w:val="0"/>
        <w:spacing w:line="400" w:lineRule="exact"/>
        <w:ind w:firstLine="442" w:firstLineChars="200"/>
        <w:rPr>
          <w:b/>
          <w:bCs/>
          <w:color w:val="auto"/>
          <w:sz w:val="22"/>
          <w:highlight w:val="none"/>
        </w:rPr>
      </w:pPr>
      <w:r>
        <w:rPr>
          <w:rFonts w:hAnsi="宋体"/>
          <w:b/>
          <w:bCs/>
          <w:color w:val="auto"/>
          <w:sz w:val="22"/>
          <w:highlight w:val="none"/>
        </w:rPr>
        <w:t>十三、合同份数</w:t>
      </w:r>
    </w:p>
    <w:p w14:paraId="6ABFC929">
      <w:pPr>
        <w:pStyle w:val="411"/>
        <w:pageBreakBefore w:val="0"/>
        <w:kinsoku/>
        <w:overflowPunct/>
        <w:topLinePunct w:val="0"/>
        <w:autoSpaceDE w:val="0"/>
        <w:autoSpaceDN w:val="0"/>
        <w:bidi w:val="0"/>
        <w:adjustRightInd w:val="0"/>
        <w:spacing w:line="400" w:lineRule="exact"/>
        <w:ind w:firstLine="440" w:firstLineChars="200"/>
        <w:jc w:val="left"/>
        <w:rPr>
          <w:rFonts w:hAnsi="宋体"/>
          <w:color w:val="auto"/>
          <w:sz w:val="22"/>
          <w:highlight w:val="none"/>
        </w:rPr>
        <w:sectPr>
          <w:footerReference r:id="rId10" w:type="default"/>
          <w:pgSz w:w="11906" w:h="16838"/>
          <w:pgMar w:top="1134" w:right="1134" w:bottom="567" w:left="1417" w:header="567" w:footer="567" w:gutter="0"/>
          <w:pgNumType w:fmt="decimal"/>
          <w:cols w:space="720" w:num="1"/>
          <w:docGrid w:type="lines" w:linePitch="312" w:charSpace="0"/>
        </w:sectPr>
      </w:pPr>
      <w:r>
        <w:rPr>
          <w:rFonts w:hAnsi="宋体"/>
          <w:bCs/>
          <w:color w:val="auto"/>
          <w:sz w:val="22"/>
          <w:highlight w:val="none"/>
        </w:rPr>
        <w:t>本合同一式</w:t>
      </w:r>
      <w:r>
        <w:rPr>
          <w:bCs/>
          <w:color w:val="auto"/>
          <w:sz w:val="22"/>
          <w:highlight w:val="none"/>
          <w:u w:val="single"/>
        </w:rPr>
        <w:t xml:space="preserve"> </w:t>
      </w:r>
      <w:r>
        <w:rPr>
          <w:rFonts w:hint="eastAsia"/>
          <w:bCs/>
          <w:color w:val="auto"/>
          <w:sz w:val="22"/>
          <w:highlight w:val="none"/>
          <w:u w:val="single"/>
          <w:lang w:val="en-US" w:eastAsia="zh-CN"/>
        </w:rPr>
        <w:t>陆</w:t>
      </w:r>
      <w:r>
        <w:rPr>
          <w:bCs/>
          <w:color w:val="auto"/>
          <w:sz w:val="22"/>
          <w:highlight w:val="none"/>
          <w:u w:val="single"/>
        </w:rPr>
        <w:t xml:space="preserve"> </w:t>
      </w:r>
      <w:r>
        <w:rPr>
          <w:rFonts w:hAnsi="宋体"/>
          <w:bCs/>
          <w:color w:val="auto"/>
          <w:sz w:val="22"/>
          <w:highlight w:val="none"/>
        </w:rPr>
        <w:t>份，均具有同等法律效力，发包人执</w:t>
      </w:r>
      <w:r>
        <w:rPr>
          <w:bCs/>
          <w:color w:val="auto"/>
          <w:sz w:val="22"/>
          <w:highlight w:val="none"/>
          <w:u w:val="single"/>
        </w:rPr>
        <w:t xml:space="preserve">  </w:t>
      </w:r>
      <w:r>
        <w:rPr>
          <w:rFonts w:hint="eastAsia"/>
          <w:bCs/>
          <w:color w:val="auto"/>
          <w:sz w:val="22"/>
          <w:highlight w:val="none"/>
          <w:u w:val="single"/>
          <w:lang w:val="en-US" w:eastAsia="zh-CN"/>
        </w:rPr>
        <w:t>肆</w:t>
      </w:r>
      <w:r>
        <w:rPr>
          <w:bCs/>
          <w:color w:val="auto"/>
          <w:sz w:val="22"/>
          <w:highlight w:val="none"/>
          <w:u w:val="single"/>
        </w:rPr>
        <w:t xml:space="preserve">  </w:t>
      </w:r>
      <w:r>
        <w:rPr>
          <w:rFonts w:hAnsi="宋体"/>
          <w:bCs/>
          <w:color w:val="auto"/>
          <w:sz w:val="22"/>
          <w:highlight w:val="none"/>
        </w:rPr>
        <w:t>份，承包人执</w:t>
      </w:r>
      <w:r>
        <w:rPr>
          <w:bCs/>
          <w:color w:val="auto"/>
          <w:sz w:val="22"/>
          <w:highlight w:val="none"/>
          <w:u w:val="single"/>
        </w:rPr>
        <w:t xml:space="preserve">  </w:t>
      </w:r>
      <w:r>
        <w:rPr>
          <w:rFonts w:hint="eastAsia"/>
          <w:bCs/>
          <w:color w:val="auto"/>
          <w:sz w:val="22"/>
          <w:highlight w:val="none"/>
          <w:u w:val="single"/>
          <w:lang w:val="en-US" w:eastAsia="zh-CN"/>
        </w:rPr>
        <w:t>贰</w:t>
      </w:r>
      <w:r>
        <w:rPr>
          <w:bCs/>
          <w:color w:val="auto"/>
          <w:sz w:val="22"/>
          <w:highlight w:val="none"/>
          <w:u w:val="single"/>
        </w:rPr>
        <w:t xml:space="preserve">  </w:t>
      </w:r>
      <w:r>
        <w:rPr>
          <w:rFonts w:hAnsi="宋体"/>
          <w:bCs/>
          <w:color w:val="auto"/>
          <w:sz w:val="22"/>
          <w:highlight w:val="none"/>
        </w:rPr>
        <w:t>份。</w:t>
      </w:r>
    </w:p>
    <w:p w14:paraId="633D814D">
      <w:pPr>
        <w:pStyle w:val="411"/>
        <w:pageBreakBefore w:val="0"/>
        <w:kinsoku/>
        <w:overflowPunct/>
        <w:topLinePunct w:val="0"/>
        <w:bidi w:val="0"/>
        <w:spacing w:line="400" w:lineRule="exact"/>
        <w:ind w:firstLine="440" w:firstLineChars="200"/>
        <w:rPr>
          <w:bCs/>
          <w:color w:val="auto"/>
          <w:sz w:val="22"/>
          <w:highlight w:val="none"/>
        </w:rPr>
      </w:pPr>
    </w:p>
    <w:p w14:paraId="482BD5E8">
      <w:pPr>
        <w:pStyle w:val="411"/>
        <w:pageBreakBefore w:val="0"/>
        <w:kinsoku/>
        <w:overflowPunct/>
        <w:topLinePunct w:val="0"/>
        <w:bidi w:val="0"/>
        <w:spacing w:line="400" w:lineRule="exact"/>
        <w:rPr>
          <w:rFonts w:hint="default" w:eastAsia="宋体"/>
          <w:bCs/>
          <w:color w:val="auto"/>
          <w:sz w:val="22"/>
          <w:highlight w:val="none"/>
          <w:lang w:val="en-US" w:eastAsia="zh-CN"/>
        </w:rPr>
      </w:pPr>
      <w:r>
        <w:rPr>
          <w:rFonts w:hint="eastAsia"/>
          <w:bCs/>
          <w:color w:val="auto"/>
          <w:sz w:val="22"/>
          <w:highlight w:val="none"/>
          <w:lang w:val="en-US" w:eastAsia="zh-CN"/>
        </w:rPr>
        <w:t xml:space="preserve">  </w:t>
      </w:r>
    </w:p>
    <w:p w14:paraId="1FA3C2BE">
      <w:pPr>
        <w:pStyle w:val="411"/>
        <w:pageBreakBefore w:val="0"/>
        <w:kinsoku/>
        <w:overflowPunct/>
        <w:topLinePunct w:val="0"/>
        <w:bidi w:val="0"/>
        <w:spacing w:line="400" w:lineRule="exact"/>
        <w:ind w:firstLine="221" w:firstLineChars="100"/>
        <w:rPr>
          <w:rFonts w:hint="default"/>
          <w:b/>
          <w:bCs/>
          <w:color w:val="auto"/>
          <w:sz w:val="22"/>
          <w:highlight w:val="none"/>
          <w:lang w:val="en-US"/>
        </w:rPr>
      </w:pPr>
      <w:r>
        <w:rPr>
          <w:rFonts w:hAnsi="宋体"/>
          <w:b/>
          <w:bCs/>
          <w:color w:val="auto"/>
          <w:sz w:val="22"/>
          <w:highlight w:val="none"/>
        </w:rPr>
        <w:t>发包人：</w:t>
      </w:r>
      <w:r>
        <w:rPr>
          <w:rFonts w:hint="eastAsia" w:hAnsi="宋体"/>
          <w:b/>
          <w:bCs/>
          <w:color w:val="auto"/>
          <w:sz w:val="22"/>
          <w:highlight w:val="none"/>
          <w:u w:val="single"/>
        </w:rPr>
        <w:t xml:space="preserve">防城港市港口区教育局 </w:t>
      </w:r>
      <w:r>
        <w:rPr>
          <w:b/>
          <w:bCs/>
          <w:color w:val="auto"/>
          <w:sz w:val="22"/>
          <w:highlight w:val="none"/>
        </w:rPr>
        <w:t xml:space="preserve">    </w:t>
      </w:r>
      <w:r>
        <w:rPr>
          <w:rFonts w:hint="eastAsia"/>
          <w:b/>
          <w:bCs/>
          <w:color w:val="auto"/>
          <w:sz w:val="22"/>
          <w:highlight w:val="none"/>
          <w:lang w:val="en-US" w:eastAsia="zh-CN"/>
        </w:rPr>
        <w:t xml:space="preserve">     </w:t>
      </w:r>
      <w:r>
        <w:rPr>
          <w:b/>
          <w:bCs/>
          <w:color w:val="auto"/>
          <w:sz w:val="22"/>
          <w:highlight w:val="none"/>
        </w:rPr>
        <w:t xml:space="preserve">  </w:t>
      </w:r>
      <w:r>
        <w:rPr>
          <w:rFonts w:hint="eastAsia"/>
          <w:b/>
          <w:bCs/>
          <w:color w:val="auto"/>
          <w:sz w:val="22"/>
          <w:highlight w:val="none"/>
          <w:lang w:val="en-US" w:eastAsia="zh-CN"/>
        </w:rPr>
        <w:t xml:space="preserve">      </w:t>
      </w:r>
      <w:r>
        <w:rPr>
          <w:rFonts w:hAnsi="宋体"/>
          <w:b/>
          <w:bCs/>
          <w:color w:val="auto"/>
          <w:sz w:val="22"/>
          <w:highlight w:val="none"/>
        </w:rPr>
        <w:t>承包人：</w:t>
      </w:r>
      <w:r>
        <w:rPr>
          <w:rFonts w:hint="eastAsia" w:hAnsi="宋体"/>
          <w:b/>
          <w:bCs/>
          <w:color w:val="auto"/>
          <w:sz w:val="22"/>
          <w:highlight w:val="none"/>
          <w:u w:val="single"/>
          <w:lang w:val="en-US" w:eastAsia="zh-CN"/>
        </w:rPr>
        <w:t xml:space="preserve">                       </w:t>
      </w:r>
      <w:r>
        <w:rPr>
          <w:rFonts w:hint="eastAsia" w:hAnsi="宋体"/>
          <w:b/>
          <w:bCs/>
          <w:color w:val="auto"/>
          <w:sz w:val="22"/>
          <w:highlight w:val="none"/>
          <w:lang w:val="en-US" w:eastAsia="zh-CN"/>
        </w:rPr>
        <w:t xml:space="preserve"> </w:t>
      </w:r>
    </w:p>
    <w:p w14:paraId="456016BF">
      <w:pPr>
        <w:pStyle w:val="411"/>
        <w:pageBreakBefore w:val="0"/>
        <w:kinsoku/>
        <w:overflowPunct/>
        <w:topLinePunct w:val="0"/>
        <w:bidi w:val="0"/>
        <w:spacing w:line="400" w:lineRule="exact"/>
        <w:ind w:firstLine="1104" w:firstLineChars="500"/>
        <w:rPr>
          <w:b/>
          <w:bCs/>
          <w:color w:val="auto"/>
          <w:sz w:val="22"/>
          <w:highlight w:val="none"/>
          <w:u w:val="single"/>
        </w:rPr>
      </w:pPr>
      <w:r>
        <w:rPr>
          <w:rFonts w:hint="eastAsia"/>
          <w:b/>
          <w:bCs/>
          <w:color w:val="auto"/>
          <w:sz w:val="22"/>
          <w:highlight w:val="none"/>
        </w:rPr>
        <w:t>（</w:t>
      </w:r>
      <w:r>
        <w:rPr>
          <w:rFonts w:hint="eastAsia"/>
          <w:b/>
          <w:bCs/>
          <w:color w:val="auto"/>
          <w:sz w:val="22"/>
          <w:highlight w:val="none"/>
          <w:lang w:eastAsia="zh-CN"/>
        </w:rPr>
        <w:t>公章或合同专用章</w:t>
      </w:r>
      <w:r>
        <w:rPr>
          <w:rFonts w:hint="eastAsia"/>
          <w:b/>
          <w:bCs/>
          <w:color w:val="auto"/>
          <w:sz w:val="22"/>
          <w:highlight w:val="none"/>
        </w:rPr>
        <w:t>）</w:t>
      </w:r>
      <w:r>
        <w:rPr>
          <w:b/>
          <w:bCs/>
          <w:color w:val="auto"/>
          <w:sz w:val="22"/>
          <w:highlight w:val="none"/>
        </w:rPr>
        <w:t xml:space="preserve"> </w:t>
      </w:r>
      <w:r>
        <w:rPr>
          <w:rFonts w:hint="eastAsia"/>
          <w:b/>
          <w:bCs/>
          <w:color w:val="auto"/>
          <w:sz w:val="22"/>
          <w:highlight w:val="none"/>
          <w:lang w:val="en-US" w:eastAsia="zh-CN"/>
        </w:rPr>
        <w:t xml:space="preserve">                         </w:t>
      </w:r>
      <w:r>
        <w:rPr>
          <w:rFonts w:hint="eastAsia"/>
          <w:b/>
          <w:bCs/>
          <w:color w:val="auto"/>
          <w:sz w:val="22"/>
          <w:highlight w:val="none"/>
        </w:rPr>
        <w:t>（</w:t>
      </w:r>
      <w:r>
        <w:rPr>
          <w:rFonts w:hint="eastAsia"/>
          <w:b/>
          <w:bCs/>
          <w:color w:val="auto"/>
          <w:sz w:val="22"/>
          <w:highlight w:val="none"/>
          <w:lang w:eastAsia="zh-CN"/>
        </w:rPr>
        <w:t>公章或合同专用章</w:t>
      </w:r>
      <w:r>
        <w:rPr>
          <w:rFonts w:hint="eastAsia"/>
          <w:b/>
          <w:bCs/>
          <w:color w:val="auto"/>
          <w:sz w:val="22"/>
          <w:highlight w:val="none"/>
        </w:rPr>
        <w:t>）</w:t>
      </w:r>
    </w:p>
    <w:p w14:paraId="6B2A8263">
      <w:pPr>
        <w:pStyle w:val="411"/>
        <w:pageBreakBefore w:val="0"/>
        <w:kinsoku/>
        <w:overflowPunct/>
        <w:topLinePunct w:val="0"/>
        <w:bidi w:val="0"/>
        <w:spacing w:line="400" w:lineRule="exact"/>
        <w:ind w:firstLine="442" w:firstLineChars="200"/>
        <w:rPr>
          <w:b/>
          <w:bCs/>
          <w:color w:val="auto"/>
          <w:sz w:val="22"/>
          <w:highlight w:val="none"/>
          <w:u w:val="none"/>
        </w:rPr>
      </w:pPr>
      <w:r>
        <w:rPr>
          <w:rFonts w:hAnsi="宋体"/>
          <w:b/>
          <w:bCs/>
          <w:color w:val="auto"/>
          <w:sz w:val="22"/>
          <w:highlight w:val="none"/>
        </w:rPr>
        <w:t>法定代表人</w:t>
      </w:r>
      <w:r>
        <w:rPr>
          <w:rFonts w:hAnsi="宋体"/>
          <w:b/>
          <w:bCs/>
          <w:color w:val="auto"/>
          <w:sz w:val="22"/>
          <w:highlight w:val="none"/>
          <w:u w:val="none"/>
        </w:rPr>
        <w:t>（</w:t>
      </w:r>
      <w:r>
        <w:rPr>
          <w:rFonts w:hint="eastAsia"/>
          <w:b/>
          <w:bCs/>
          <w:color w:val="auto"/>
          <w:sz w:val="22"/>
          <w:highlight w:val="none"/>
          <w:u w:val="none"/>
          <w:lang w:eastAsia="zh-CN"/>
        </w:rPr>
        <w:t>签字或签章</w:t>
      </w:r>
      <w:r>
        <w:rPr>
          <w:rFonts w:hAnsi="宋体"/>
          <w:b/>
          <w:bCs/>
          <w:color w:val="auto"/>
          <w:sz w:val="22"/>
          <w:highlight w:val="none"/>
          <w:u w:val="none"/>
        </w:rPr>
        <w:t>）</w:t>
      </w:r>
      <w:r>
        <w:rPr>
          <w:rFonts w:hAnsi="宋体"/>
          <w:b/>
          <w:bCs/>
          <w:color w:val="auto"/>
          <w:sz w:val="22"/>
          <w:highlight w:val="none"/>
        </w:rPr>
        <w:t>：</w:t>
      </w:r>
      <w:r>
        <w:rPr>
          <w:b/>
          <w:bCs/>
          <w:color w:val="auto"/>
          <w:sz w:val="22"/>
          <w:highlight w:val="none"/>
        </w:rPr>
        <w:t xml:space="preserve">                    </w:t>
      </w:r>
      <w:r>
        <w:rPr>
          <w:rFonts w:hAnsi="宋体"/>
          <w:b/>
          <w:bCs/>
          <w:color w:val="auto"/>
          <w:sz w:val="22"/>
          <w:highlight w:val="none"/>
        </w:rPr>
        <w:t>法定代表人</w:t>
      </w:r>
      <w:r>
        <w:rPr>
          <w:rFonts w:hAnsi="宋体"/>
          <w:b/>
          <w:bCs/>
          <w:color w:val="auto"/>
          <w:sz w:val="22"/>
          <w:highlight w:val="none"/>
          <w:u w:val="none"/>
        </w:rPr>
        <w:t>（</w:t>
      </w:r>
      <w:r>
        <w:rPr>
          <w:rFonts w:hint="eastAsia"/>
          <w:b/>
          <w:bCs/>
          <w:color w:val="auto"/>
          <w:sz w:val="22"/>
          <w:highlight w:val="none"/>
          <w:u w:val="none"/>
          <w:lang w:eastAsia="zh-CN"/>
        </w:rPr>
        <w:t>签字或签章</w:t>
      </w:r>
      <w:r>
        <w:rPr>
          <w:rFonts w:hAnsi="宋体"/>
          <w:b/>
          <w:bCs/>
          <w:color w:val="auto"/>
          <w:sz w:val="22"/>
          <w:highlight w:val="none"/>
          <w:u w:val="none"/>
        </w:rPr>
        <w:t>）</w:t>
      </w:r>
      <w:r>
        <w:rPr>
          <w:rFonts w:hAnsi="宋体"/>
          <w:b/>
          <w:bCs/>
          <w:color w:val="auto"/>
          <w:sz w:val="22"/>
          <w:highlight w:val="none"/>
        </w:rPr>
        <w:t>：</w:t>
      </w:r>
    </w:p>
    <w:p w14:paraId="02655672">
      <w:pPr>
        <w:pStyle w:val="411"/>
        <w:pageBreakBefore w:val="0"/>
        <w:kinsoku/>
        <w:overflowPunct/>
        <w:topLinePunct w:val="0"/>
        <w:bidi w:val="0"/>
        <w:spacing w:line="400" w:lineRule="exact"/>
        <w:rPr>
          <w:color w:val="auto"/>
          <w:sz w:val="22"/>
          <w:highlight w:val="none"/>
          <w:u w:val="none"/>
        </w:rPr>
      </w:pPr>
    </w:p>
    <w:p w14:paraId="1BD3B240">
      <w:pPr>
        <w:pStyle w:val="411"/>
        <w:pageBreakBefore w:val="0"/>
        <w:kinsoku/>
        <w:overflowPunct/>
        <w:topLinePunct w:val="0"/>
        <w:bidi w:val="0"/>
        <w:spacing w:line="400" w:lineRule="exact"/>
        <w:rPr>
          <w:color w:val="auto"/>
          <w:sz w:val="22"/>
          <w:highlight w:val="none"/>
          <w:u w:val="none"/>
        </w:rPr>
      </w:pPr>
    </w:p>
    <w:p w14:paraId="3B447C50">
      <w:pPr>
        <w:pageBreakBefore w:val="0"/>
        <w:tabs>
          <w:tab w:val="left" w:pos="4410"/>
        </w:tabs>
        <w:kinsoku/>
        <w:overflowPunct/>
        <w:topLinePunct w:val="0"/>
        <w:bidi w:val="0"/>
        <w:spacing w:line="400" w:lineRule="exact"/>
        <w:ind w:firstLine="210" w:firstLineChars="100"/>
        <w:rPr>
          <w:rFonts w:ascii="宋体" w:hAnsi="宋体"/>
          <w:color w:val="auto"/>
          <w:szCs w:val="21"/>
          <w:highlight w:val="none"/>
        </w:rPr>
      </w:pPr>
      <w:r>
        <w:rPr>
          <w:rFonts w:ascii="宋体" w:hAnsi="宋体"/>
          <w:color w:val="auto"/>
          <w:szCs w:val="21"/>
          <w:highlight w:val="none"/>
        </w:rPr>
        <w:t>组织机构代码：</w:t>
      </w:r>
      <w:r>
        <w:rPr>
          <w:rFonts w:ascii="宋体" w:hAnsi="宋体"/>
          <w:color w:val="auto"/>
          <w:szCs w:val="21"/>
          <w:highlight w:val="none"/>
          <w:u w:val="single"/>
        </w:rPr>
        <w:t xml:space="preserve">       </w:t>
      </w:r>
      <w:r>
        <w:rPr>
          <w:rFonts w:ascii="宋体" w:hAnsi="宋体"/>
          <w:color w:val="auto"/>
          <w:szCs w:val="21"/>
          <w:highlight w:val="none"/>
        </w:rPr>
        <w:t xml:space="preserve">                  组织机构代码：</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31482195">
      <w:pPr>
        <w:pageBreakBefore w:val="0"/>
        <w:kinsoku/>
        <w:overflowPunct/>
        <w:topLinePunct w:val="0"/>
        <w:bidi w:val="0"/>
        <w:spacing w:line="400" w:lineRule="exact"/>
        <w:ind w:firstLine="210" w:firstLineChars="100"/>
        <w:rPr>
          <w:rFonts w:hint="default" w:ascii="宋体" w:hAnsi="宋体" w:eastAsia="宋体"/>
          <w:color w:val="auto"/>
          <w:szCs w:val="21"/>
          <w:highlight w:val="none"/>
          <w:lang w:val="en-US" w:eastAsia="zh-CN"/>
        </w:rPr>
      </w:pPr>
      <w:r>
        <w:rPr>
          <w:rFonts w:ascii="宋体" w:hAnsi="宋体"/>
          <w:color w:val="auto"/>
          <w:szCs w:val="21"/>
          <w:highlight w:val="none"/>
        </w:rPr>
        <w:t>地  址：</w:t>
      </w:r>
      <w:r>
        <w:rPr>
          <w:rFonts w:ascii="宋体" w:hAnsi="宋体"/>
          <w:color w:val="auto"/>
          <w:szCs w:val="21"/>
          <w:highlight w:val="none"/>
          <w:u w:val="single"/>
        </w:rPr>
        <w:t xml:space="preserve">     </w:t>
      </w:r>
      <w:r>
        <w:rPr>
          <w:rFonts w:ascii="宋体" w:hAnsi="宋体"/>
          <w:color w:val="auto"/>
          <w:szCs w:val="21"/>
          <w:highlight w:val="none"/>
        </w:rPr>
        <w:t xml:space="preserve">                  地  址：</w:t>
      </w:r>
      <w:r>
        <w:rPr>
          <w:rFonts w:hint="eastAsia" w:ascii="宋体" w:hAnsi="宋体"/>
          <w:color w:val="auto"/>
          <w:szCs w:val="21"/>
          <w:highlight w:val="none"/>
          <w:u w:val="single"/>
          <w:lang w:val="en-US" w:eastAsia="zh-CN"/>
        </w:rPr>
        <w:t xml:space="preserve">                              </w:t>
      </w:r>
    </w:p>
    <w:p w14:paraId="60261F1A">
      <w:pPr>
        <w:pageBreakBefore w:val="0"/>
        <w:kinsoku/>
        <w:overflowPunct/>
        <w:topLinePunct w:val="0"/>
        <w:bidi w:val="0"/>
        <w:spacing w:line="400" w:lineRule="exact"/>
        <w:ind w:firstLine="210" w:firstLineChars="100"/>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     </w:t>
      </w:r>
      <w:r>
        <w:rPr>
          <w:rFonts w:ascii="宋体" w:hAnsi="宋体"/>
          <w:color w:val="auto"/>
          <w:szCs w:val="21"/>
          <w:highlight w:val="none"/>
        </w:rPr>
        <w:t xml:space="preserve">                 邮政编码：</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35105131">
      <w:pPr>
        <w:pageBreakBefore w:val="0"/>
        <w:kinsoku/>
        <w:overflowPunct/>
        <w:topLinePunct w:val="0"/>
        <w:bidi w:val="0"/>
        <w:spacing w:line="400" w:lineRule="exact"/>
        <w:ind w:firstLine="210" w:firstLineChars="100"/>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      </w:t>
      </w:r>
      <w:r>
        <w:rPr>
          <w:rFonts w:ascii="宋体" w:hAnsi="宋体"/>
          <w:color w:val="auto"/>
          <w:szCs w:val="21"/>
          <w:highlight w:val="none"/>
        </w:rPr>
        <w:t xml:space="preserve">                  法定代表人：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29687ADA">
      <w:pPr>
        <w:pageBreakBefore w:val="0"/>
        <w:kinsoku/>
        <w:overflowPunct/>
        <w:topLinePunct w:val="0"/>
        <w:bidi w:val="0"/>
        <w:spacing w:line="400" w:lineRule="exact"/>
        <w:ind w:firstLine="210" w:firstLineChars="100"/>
        <w:rPr>
          <w:rFonts w:hint="eastAsia" w:ascii="宋体" w:hAnsi="宋体"/>
          <w:color w:val="auto"/>
          <w:szCs w:val="21"/>
          <w:highlight w:val="none"/>
          <w:u w:val="single"/>
          <w:lang w:val="en-US" w:eastAsia="zh-CN"/>
        </w:rPr>
      </w:pPr>
      <w:r>
        <w:rPr>
          <w:rFonts w:ascii="宋体" w:hAnsi="宋体"/>
          <w:color w:val="auto"/>
          <w:szCs w:val="21"/>
          <w:highlight w:val="none"/>
        </w:rPr>
        <w:t>电  话：</w:t>
      </w:r>
      <w:r>
        <w:rPr>
          <w:rFonts w:ascii="宋体" w:hAnsi="宋体"/>
          <w:color w:val="auto"/>
          <w:szCs w:val="21"/>
          <w:highlight w:val="none"/>
          <w:u w:val="single"/>
        </w:rPr>
        <w:t xml:space="preserve">   </w:t>
      </w:r>
      <w:r>
        <w:rPr>
          <w:rFonts w:ascii="宋体" w:hAnsi="宋体"/>
          <w:color w:val="auto"/>
          <w:szCs w:val="21"/>
          <w:highlight w:val="none"/>
        </w:rPr>
        <w:t xml:space="preserve">                  电  话：</w:t>
      </w:r>
      <w:r>
        <w:rPr>
          <w:rFonts w:hint="eastAsia" w:ascii="宋体" w:hAnsi="宋体"/>
          <w:color w:val="auto"/>
          <w:szCs w:val="21"/>
          <w:highlight w:val="none"/>
          <w:u w:val="single"/>
          <w:lang w:val="en-US" w:eastAsia="zh-CN"/>
        </w:rPr>
        <w:t xml:space="preserve">                              </w:t>
      </w:r>
    </w:p>
    <w:p w14:paraId="418FA9CA">
      <w:pPr>
        <w:pageBreakBefore w:val="0"/>
        <w:kinsoku/>
        <w:overflowPunct/>
        <w:topLinePunct w:val="0"/>
        <w:bidi w:val="0"/>
        <w:spacing w:line="400" w:lineRule="exact"/>
        <w:ind w:firstLine="210" w:firstLineChars="100"/>
        <w:rPr>
          <w:rFonts w:hint="eastAsia" w:ascii="宋体" w:hAnsi="宋体"/>
          <w:color w:val="auto"/>
          <w:szCs w:val="21"/>
          <w:highlight w:val="none"/>
          <w:u w:val="single"/>
          <w:lang w:val="en-US" w:eastAsia="zh-CN"/>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电子信箱</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p>
    <w:p w14:paraId="71DA778F">
      <w:pPr>
        <w:pageBreakBefore w:val="0"/>
        <w:kinsoku/>
        <w:overflowPunct/>
        <w:topLinePunct w:val="0"/>
        <w:bidi w:val="0"/>
        <w:spacing w:line="400" w:lineRule="exact"/>
        <w:ind w:firstLine="210" w:firstLineChars="100"/>
        <w:rPr>
          <w:rFonts w:hint="default" w:ascii="宋体" w:hAnsi="宋体"/>
          <w:color w:val="auto"/>
          <w:szCs w:val="21"/>
          <w:highlight w:val="none"/>
          <w:lang w:val="en-US"/>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开户银行：</w:t>
      </w:r>
      <w:r>
        <w:rPr>
          <w:rFonts w:hint="eastAsia" w:ascii="宋体" w:hAnsi="宋体"/>
          <w:color w:val="auto"/>
          <w:szCs w:val="21"/>
          <w:highlight w:val="none"/>
          <w:u w:val="single"/>
          <w:lang w:val="en-US" w:eastAsia="zh-CN"/>
        </w:rPr>
        <w:t xml:space="preserve">                            </w:t>
      </w:r>
    </w:p>
    <w:p w14:paraId="1CCD290D">
      <w:pPr>
        <w:pageBreakBefore w:val="0"/>
        <w:kinsoku/>
        <w:overflowPunct/>
        <w:topLinePunct w:val="0"/>
        <w:bidi w:val="0"/>
        <w:spacing w:line="400" w:lineRule="exact"/>
        <w:ind w:firstLine="210" w:firstLineChars="100"/>
        <w:rPr>
          <w:rFonts w:hint="eastAsia"/>
          <w:color w:val="auto"/>
          <w:sz w:val="20"/>
          <w:highlight w:val="none"/>
        </w:rPr>
      </w:pPr>
      <w:r>
        <w:rPr>
          <w:rFonts w:ascii="宋体" w:hAnsi="宋体"/>
          <w:color w:val="auto"/>
          <w:szCs w:val="21"/>
          <w:highlight w:val="none"/>
        </w:rPr>
        <w:t>账  号：</w:t>
      </w:r>
      <w:r>
        <w:rPr>
          <w:rFonts w:ascii="宋体" w:hAnsi="宋体"/>
          <w:color w:val="auto"/>
          <w:szCs w:val="21"/>
          <w:highlight w:val="none"/>
          <w:u w:val="single"/>
        </w:rPr>
        <w:t xml:space="preserve">       </w:t>
      </w:r>
      <w:r>
        <w:rPr>
          <w:rFonts w:ascii="宋体" w:hAnsi="宋体"/>
          <w:color w:val="auto"/>
          <w:szCs w:val="21"/>
          <w:highlight w:val="none"/>
        </w:rPr>
        <w:t xml:space="preserve">                  账  号：</w:t>
      </w:r>
      <w:r>
        <w:rPr>
          <w:rFonts w:hint="eastAsia" w:ascii="宋体" w:hAnsi="宋体"/>
          <w:color w:val="auto"/>
          <w:szCs w:val="21"/>
          <w:highlight w:val="none"/>
          <w:u w:val="single"/>
          <w:lang w:val="en-US" w:eastAsia="zh-CN"/>
        </w:rPr>
        <w:t xml:space="preserve">                              </w:t>
      </w:r>
      <w:r>
        <w:rPr>
          <w:rFonts w:hint="eastAsia"/>
          <w:color w:val="auto"/>
          <w:sz w:val="20"/>
          <w:highlight w:val="none"/>
        </w:rPr>
        <w:t xml:space="preserve"> </w:t>
      </w:r>
      <w:bookmarkEnd w:id="128"/>
    </w:p>
    <w:p w14:paraId="6B345E4D">
      <w:pPr>
        <w:pageBreakBefore w:val="0"/>
        <w:widowControl/>
        <w:kinsoku/>
        <w:overflowPunct/>
        <w:topLinePunct w:val="0"/>
        <w:bidi w:val="0"/>
        <w:spacing w:line="400" w:lineRule="exact"/>
        <w:jc w:val="left"/>
        <w:rPr>
          <w:color w:val="auto"/>
          <w:highlight w:val="none"/>
          <w:u w:val="single"/>
        </w:rPr>
      </w:pPr>
    </w:p>
    <w:p w14:paraId="3F4CC27C">
      <w:pPr>
        <w:pageBreakBefore w:val="0"/>
        <w:widowControl/>
        <w:kinsoku/>
        <w:overflowPunct/>
        <w:topLinePunct w:val="0"/>
        <w:bidi w:val="0"/>
        <w:spacing w:line="400" w:lineRule="exact"/>
        <w:jc w:val="left"/>
        <w:rPr>
          <w:color w:val="auto"/>
          <w:highlight w:val="none"/>
          <w:u w:val="single"/>
        </w:rPr>
      </w:pPr>
    </w:p>
    <w:p w14:paraId="0CF7507F">
      <w:pPr>
        <w:pageBreakBefore w:val="0"/>
        <w:widowControl/>
        <w:kinsoku/>
        <w:overflowPunct/>
        <w:topLinePunct w:val="0"/>
        <w:bidi w:val="0"/>
        <w:spacing w:line="400" w:lineRule="exact"/>
        <w:jc w:val="left"/>
        <w:rPr>
          <w:color w:val="auto"/>
          <w:highlight w:val="none"/>
          <w:u w:val="single"/>
        </w:rPr>
      </w:pPr>
    </w:p>
    <w:p w14:paraId="05B277CB">
      <w:pPr>
        <w:pageBreakBefore w:val="0"/>
        <w:widowControl/>
        <w:kinsoku/>
        <w:overflowPunct/>
        <w:topLinePunct w:val="0"/>
        <w:bidi w:val="0"/>
        <w:spacing w:line="400" w:lineRule="exact"/>
        <w:jc w:val="left"/>
        <w:rPr>
          <w:color w:val="auto"/>
          <w:highlight w:val="none"/>
          <w:u w:val="single"/>
        </w:rPr>
      </w:pPr>
    </w:p>
    <w:p w14:paraId="24801C0E">
      <w:pPr>
        <w:pageBreakBefore w:val="0"/>
        <w:widowControl/>
        <w:kinsoku/>
        <w:overflowPunct/>
        <w:topLinePunct w:val="0"/>
        <w:bidi w:val="0"/>
        <w:spacing w:line="400" w:lineRule="exact"/>
        <w:jc w:val="left"/>
        <w:rPr>
          <w:color w:val="auto"/>
          <w:highlight w:val="none"/>
          <w:u w:val="single"/>
        </w:rPr>
      </w:pPr>
    </w:p>
    <w:p w14:paraId="45FE789E">
      <w:pPr>
        <w:pageBreakBefore w:val="0"/>
        <w:widowControl/>
        <w:kinsoku/>
        <w:overflowPunct/>
        <w:topLinePunct w:val="0"/>
        <w:bidi w:val="0"/>
        <w:spacing w:line="400" w:lineRule="exact"/>
        <w:jc w:val="left"/>
        <w:rPr>
          <w:color w:val="auto"/>
          <w:highlight w:val="none"/>
          <w:u w:val="single"/>
        </w:rPr>
      </w:pPr>
    </w:p>
    <w:p w14:paraId="7178DF4F">
      <w:pPr>
        <w:pageBreakBefore w:val="0"/>
        <w:widowControl/>
        <w:kinsoku/>
        <w:overflowPunct/>
        <w:topLinePunct w:val="0"/>
        <w:bidi w:val="0"/>
        <w:spacing w:line="400" w:lineRule="exact"/>
        <w:jc w:val="left"/>
        <w:rPr>
          <w:color w:val="auto"/>
          <w:highlight w:val="none"/>
          <w:u w:val="single"/>
        </w:rPr>
      </w:pPr>
    </w:p>
    <w:p w14:paraId="51ACCA6D">
      <w:pPr>
        <w:pageBreakBefore w:val="0"/>
        <w:widowControl/>
        <w:kinsoku/>
        <w:overflowPunct/>
        <w:topLinePunct w:val="0"/>
        <w:bidi w:val="0"/>
        <w:spacing w:line="400" w:lineRule="exact"/>
        <w:jc w:val="left"/>
        <w:rPr>
          <w:color w:val="auto"/>
          <w:highlight w:val="none"/>
          <w:u w:val="single"/>
        </w:rPr>
      </w:pPr>
    </w:p>
    <w:p w14:paraId="0F7AFBB3">
      <w:pPr>
        <w:pageBreakBefore w:val="0"/>
        <w:widowControl/>
        <w:kinsoku/>
        <w:overflowPunct/>
        <w:topLinePunct w:val="0"/>
        <w:bidi w:val="0"/>
        <w:spacing w:line="400" w:lineRule="exact"/>
        <w:jc w:val="left"/>
        <w:rPr>
          <w:color w:val="auto"/>
          <w:highlight w:val="none"/>
          <w:u w:val="single"/>
        </w:rPr>
      </w:pPr>
    </w:p>
    <w:p w14:paraId="0B75CE80">
      <w:pPr>
        <w:pageBreakBefore w:val="0"/>
        <w:widowControl/>
        <w:kinsoku/>
        <w:overflowPunct/>
        <w:topLinePunct w:val="0"/>
        <w:bidi w:val="0"/>
        <w:spacing w:line="400" w:lineRule="exact"/>
        <w:jc w:val="left"/>
        <w:rPr>
          <w:color w:val="auto"/>
          <w:highlight w:val="none"/>
          <w:u w:val="single"/>
        </w:rPr>
      </w:pPr>
    </w:p>
    <w:p w14:paraId="512E7DB8">
      <w:pPr>
        <w:pageBreakBefore w:val="0"/>
        <w:widowControl/>
        <w:kinsoku/>
        <w:overflowPunct/>
        <w:topLinePunct w:val="0"/>
        <w:bidi w:val="0"/>
        <w:spacing w:line="400" w:lineRule="exact"/>
        <w:jc w:val="left"/>
        <w:rPr>
          <w:color w:val="auto"/>
          <w:highlight w:val="none"/>
          <w:u w:val="single"/>
        </w:rPr>
      </w:pPr>
    </w:p>
    <w:p w14:paraId="25AA8825">
      <w:pPr>
        <w:pageBreakBefore w:val="0"/>
        <w:widowControl/>
        <w:kinsoku/>
        <w:overflowPunct/>
        <w:topLinePunct w:val="0"/>
        <w:bidi w:val="0"/>
        <w:spacing w:line="400" w:lineRule="exact"/>
        <w:jc w:val="left"/>
        <w:rPr>
          <w:color w:val="auto"/>
          <w:highlight w:val="none"/>
          <w:u w:val="single"/>
        </w:rPr>
      </w:pPr>
    </w:p>
    <w:p w14:paraId="476D4171">
      <w:pPr>
        <w:pageBreakBefore w:val="0"/>
        <w:widowControl/>
        <w:kinsoku/>
        <w:overflowPunct/>
        <w:topLinePunct w:val="0"/>
        <w:bidi w:val="0"/>
        <w:spacing w:line="400" w:lineRule="exact"/>
        <w:jc w:val="left"/>
        <w:rPr>
          <w:color w:val="auto"/>
          <w:highlight w:val="none"/>
          <w:u w:val="single"/>
        </w:rPr>
      </w:pPr>
    </w:p>
    <w:p w14:paraId="7185682D">
      <w:pPr>
        <w:pageBreakBefore w:val="0"/>
        <w:widowControl/>
        <w:kinsoku/>
        <w:overflowPunct/>
        <w:topLinePunct w:val="0"/>
        <w:bidi w:val="0"/>
        <w:spacing w:line="400" w:lineRule="exact"/>
        <w:jc w:val="left"/>
        <w:rPr>
          <w:color w:val="auto"/>
          <w:highlight w:val="none"/>
          <w:u w:val="single"/>
        </w:rPr>
      </w:pPr>
    </w:p>
    <w:p w14:paraId="32AB6781">
      <w:pPr>
        <w:pageBreakBefore w:val="0"/>
        <w:widowControl/>
        <w:kinsoku/>
        <w:overflowPunct/>
        <w:topLinePunct w:val="0"/>
        <w:bidi w:val="0"/>
        <w:spacing w:line="400" w:lineRule="exact"/>
        <w:jc w:val="left"/>
        <w:rPr>
          <w:color w:val="auto"/>
          <w:highlight w:val="none"/>
          <w:u w:val="single"/>
        </w:rPr>
      </w:pPr>
    </w:p>
    <w:p w14:paraId="569E7CCB">
      <w:pPr>
        <w:pageBreakBefore w:val="0"/>
        <w:widowControl/>
        <w:kinsoku/>
        <w:overflowPunct/>
        <w:topLinePunct w:val="0"/>
        <w:bidi w:val="0"/>
        <w:spacing w:line="400" w:lineRule="exact"/>
        <w:jc w:val="left"/>
        <w:rPr>
          <w:color w:val="auto"/>
          <w:highlight w:val="none"/>
          <w:u w:val="single"/>
        </w:rPr>
      </w:pPr>
    </w:p>
    <w:p w14:paraId="58AE199E">
      <w:pPr>
        <w:pageBreakBefore w:val="0"/>
        <w:widowControl/>
        <w:kinsoku/>
        <w:overflowPunct/>
        <w:topLinePunct w:val="0"/>
        <w:bidi w:val="0"/>
        <w:spacing w:line="400" w:lineRule="exact"/>
        <w:jc w:val="left"/>
        <w:rPr>
          <w:color w:val="auto"/>
          <w:highlight w:val="none"/>
          <w:u w:val="single"/>
        </w:rPr>
      </w:pPr>
    </w:p>
    <w:p w14:paraId="751A35F1">
      <w:pPr>
        <w:pageBreakBefore w:val="0"/>
        <w:widowControl/>
        <w:kinsoku/>
        <w:overflowPunct/>
        <w:topLinePunct w:val="0"/>
        <w:bidi w:val="0"/>
        <w:spacing w:line="400" w:lineRule="exact"/>
        <w:jc w:val="left"/>
        <w:rPr>
          <w:color w:val="auto"/>
          <w:highlight w:val="none"/>
          <w:u w:val="single"/>
        </w:rPr>
      </w:pPr>
    </w:p>
    <w:p w14:paraId="5D29BFBA">
      <w:pPr>
        <w:pageBreakBefore w:val="0"/>
        <w:widowControl/>
        <w:kinsoku/>
        <w:overflowPunct/>
        <w:topLinePunct w:val="0"/>
        <w:bidi w:val="0"/>
        <w:spacing w:line="400" w:lineRule="exact"/>
        <w:jc w:val="left"/>
        <w:rPr>
          <w:color w:val="auto"/>
          <w:highlight w:val="none"/>
          <w:u w:val="single"/>
        </w:rPr>
      </w:pPr>
    </w:p>
    <w:p w14:paraId="588B7BFC">
      <w:pPr>
        <w:pageBreakBefore w:val="0"/>
        <w:widowControl/>
        <w:kinsoku/>
        <w:overflowPunct/>
        <w:topLinePunct w:val="0"/>
        <w:bidi w:val="0"/>
        <w:spacing w:line="400" w:lineRule="exact"/>
        <w:jc w:val="left"/>
        <w:rPr>
          <w:color w:val="auto"/>
          <w:highlight w:val="none"/>
          <w:u w:val="single"/>
        </w:rPr>
      </w:pPr>
    </w:p>
    <w:p w14:paraId="510601DD">
      <w:pPr>
        <w:pageBreakBefore w:val="0"/>
        <w:widowControl/>
        <w:kinsoku/>
        <w:overflowPunct/>
        <w:topLinePunct w:val="0"/>
        <w:bidi w:val="0"/>
        <w:spacing w:line="400" w:lineRule="exact"/>
        <w:jc w:val="left"/>
        <w:rPr>
          <w:color w:val="auto"/>
          <w:highlight w:val="none"/>
          <w:u w:val="single"/>
        </w:rPr>
      </w:pPr>
    </w:p>
    <w:p w14:paraId="68152FBB">
      <w:pPr>
        <w:pStyle w:val="2"/>
        <w:keepNext w:val="0"/>
        <w:pageBreakBefore w:val="0"/>
        <w:kinsoku/>
        <w:overflowPunct/>
        <w:topLinePunct w:val="0"/>
        <w:bidi w:val="0"/>
        <w:spacing w:line="400" w:lineRule="exact"/>
        <w:jc w:val="center"/>
        <w:rPr>
          <w:rFonts w:hint="eastAsia" w:hAnsi="宋体" w:cs="黑体"/>
          <w:b w:val="0"/>
          <w:bCs w:val="0"/>
          <w:color w:val="auto"/>
          <w:sz w:val="30"/>
          <w:szCs w:val="30"/>
          <w:highlight w:val="none"/>
        </w:rPr>
      </w:pPr>
      <w:bookmarkStart w:id="129" w:name="_Toc256000100"/>
      <w:bookmarkStart w:id="130" w:name="_Toc9850520"/>
      <w:r>
        <w:rPr>
          <w:rFonts w:hint="eastAsia" w:hAnsi="宋体" w:cs="黑体"/>
          <w:b w:val="0"/>
          <w:bCs w:val="0"/>
          <w:color w:val="auto"/>
          <w:sz w:val="30"/>
          <w:szCs w:val="30"/>
          <w:highlight w:val="none"/>
        </w:rPr>
        <w:t>第二部分 通用合同条款</w:t>
      </w:r>
      <w:bookmarkEnd w:id="129"/>
      <w:bookmarkEnd w:id="130"/>
    </w:p>
    <w:p w14:paraId="5E2A0176">
      <w:pPr>
        <w:pageBreakBefore w:val="0"/>
        <w:kinsoku/>
        <w:overflowPunct/>
        <w:topLinePunct w:val="0"/>
        <w:bidi w:val="0"/>
        <w:spacing w:line="400" w:lineRule="exact"/>
        <w:ind w:firstLine="420" w:firstLineChars="200"/>
        <w:rPr>
          <w:rFonts w:hAnsi="宋体"/>
          <w:b w:val="0"/>
          <w:bCs w:val="0"/>
          <w:color w:val="auto"/>
          <w:kern w:val="0"/>
          <w:highlight w:val="none"/>
        </w:rPr>
      </w:pPr>
    </w:p>
    <w:p w14:paraId="43462E29">
      <w:pPr>
        <w:pageBreakBefore w:val="0"/>
        <w:kinsoku/>
        <w:overflowPunct/>
        <w:topLinePunct w:val="0"/>
        <w:bidi w:val="0"/>
        <w:spacing w:line="400" w:lineRule="exact"/>
        <w:ind w:firstLine="420" w:firstLineChars="200"/>
        <w:rPr>
          <w:rFonts w:hAnsi="宋体"/>
          <w:b w:val="0"/>
          <w:bCs w:val="0"/>
          <w:color w:val="auto"/>
          <w:kern w:val="0"/>
          <w:highlight w:val="none"/>
        </w:rPr>
      </w:pPr>
      <w:r>
        <w:rPr>
          <w:rFonts w:hint="eastAsia" w:hAnsi="宋体" w:cs="宋体"/>
          <w:b w:val="0"/>
          <w:bCs w:val="0"/>
          <w:color w:val="auto"/>
          <w:kern w:val="0"/>
          <w:highlight w:val="none"/>
        </w:rPr>
        <w:t>采用《建设工程施工合同（示范文本）》（</w:t>
      </w:r>
      <w:r>
        <w:rPr>
          <w:rFonts w:hAnsi="宋体"/>
          <w:b w:val="0"/>
          <w:bCs w:val="0"/>
          <w:color w:val="auto"/>
          <w:kern w:val="0"/>
          <w:highlight w:val="none"/>
        </w:rPr>
        <w:t>GF</w:t>
      </w:r>
      <w:r>
        <w:rPr>
          <w:rFonts w:hAnsi="宋体" w:cs="宋体"/>
          <w:b w:val="0"/>
          <w:bCs w:val="0"/>
          <w:color w:val="auto"/>
          <w:kern w:val="0"/>
          <w:highlight w:val="none"/>
        </w:rPr>
        <w:t>—</w:t>
      </w:r>
      <w:r>
        <w:rPr>
          <w:rFonts w:hAnsi="宋体"/>
          <w:b w:val="0"/>
          <w:bCs w:val="0"/>
          <w:color w:val="auto"/>
          <w:kern w:val="0"/>
          <w:highlight w:val="none"/>
        </w:rPr>
        <w:t>201</w:t>
      </w:r>
      <w:r>
        <w:rPr>
          <w:rFonts w:hint="eastAsia" w:hAnsi="宋体"/>
          <w:b w:val="0"/>
          <w:bCs w:val="0"/>
          <w:color w:val="auto"/>
          <w:kern w:val="0"/>
          <w:highlight w:val="none"/>
        </w:rPr>
        <w:t>7</w:t>
      </w:r>
      <w:r>
        <w:rPr>
          <w:rFonts w:hAnsi="宋体" w:cs="宋体"/>
          <w:b w:val="0"/>
          <w:bCs w:val="0"/>
          <w:color w:val="auto"/>
          <w:kern w:val="0"/>
          <w:highlight w:val="none"/>
        </w:rPr>
        <w:t>—</w:t>
      </w:r>
      <w:r>
        <w:rPr>
          <w:rFonts w:hAnsi="宋体"/>
          <w:b w:val="0"/>
          <w:bCs w:val="0"/>
          <w:color w:val="auto"/>
          <w:kern w:val="0"/>
          <w:highlight w:val="none"/>
        </w:rPr>
        <w:t>0201</w:t>
      </w:r>
      <w:r>
        <w:rPr>
          <w:rFonts w:hint="eastAsia" w:hAnsi="宋体" w:cs="宋体"/>
          <w:b w:val="0"/>
          <w:bCs w:val="0"/>
          <w:color w:val="auto"/>
          <w:kern w:val="0"/>
          <w:highlight w:val="none"/>
        </w:rPr>
        <w:t>）。</w:t>
      </w:r>
    </w:p>
    <w:p w14:paraId="22E8097A">
      <w:pPr>
        <w:pageBreakBefore w:val="0"/>
        <w:kinsoku/>
        <w:overflowPunct/>
        <w:topLinePunct w:val="0"/>
        <w:bidi w:val="0"/>
        <w:spacing w:line="400" w:lineRule="exact"/>
        <w:ind w:firstLine="420" w:firstLineChars="200"/>
        <w:rPr>
          <w:rFonts w:hAnsi="宋体"/>
          <w:b w:val="0"/>
          <w:bCs w:val="0"/>
          <w:color w:val="auto"/>
          <w:kern w:val="0"/>
          <w:highlight w:val="none"/>
        </w:rPr>
      </w:pPr>
    </w:p>
    <w:p w14:paraId="63EA27FA">
      <w:pPr>
        <w:pageBreakBefore w:val="0"/>
        <w:kinsoku/>
        <w:overflowPunct/>
        <w:topLinePunct w:val="0"/>
        <w:bidi w:val="0"/>
        <w:spacing w:line="400" w:lineRule="exact"/>
        <w:ind w:firstLine="420" w:firstLineChars="200"/>
        <w:rPr>
          <w:rFonts w:hAnsi="宋体"/>
          <w:b w:val="0"/>
          <w:bCs w:val="0"/>
          <w:color w:val="auto"/>
          <w:kern w:val="0"/>
          <w:highlight w:val="none"/>
        </w:rPr>
      </w:pPr>
    </w:p>
    <w:p w14:paraId="6DA96297">
      <w:pPr>
        <w:pStyle w:val="2"/>
        <w:keepNext w:val="0"/>
        <w:pageBreakBefore w:val="0"/>
        <w:kinsoku/>
        <w:overflowPunct/>
        <w:topLinePunct w:val="0"/>
        <w:bidi w:val="0"/>
        <w:spacing w:line="400" w:lineRule="exact"/>
        <w:jc w:val="center"/>
        <w:rPr>
          <w:rFonts w:hAnsi="宋体"/>
          <w:b w:val="0"/>
          <w:bCs w:val="0"/>
          <w:color w:val="auto"/>
          <w:sz w:val="30"/>
          <w:szCs w:val="30"/>
          <w:highlight w:val="none"/>
        </w:rPr>
      </w:pPr>
      <w:bookmarkStart w:id="131" w:name="_Toc9850521"/>
      <w:bookmarkStart w:id="132" w:name="_Toc256000101"/>
      <w:r>
        <w:rPr>
          <w:rFonts w:hint="eastAsia" w:hAnsi="宋体" w:cs="黑体"/>
          <w:b w:val="0"/>
          <w:bCs w:val="0"/>
          <w:color w:val="auto"/>
          <w:sz w:val="30"/>
          <w:szCs w:val="30"/>
          <w:highlight w:val="none"/>
        </w:rPr>
        <w:t>第三部分</w:t>
      </w:r>
      <w:r>
        <w:rPr>
          <w:b w:val="0"/>
          <w:bCs w:val="0"/>
          <w:color w:val="auto"/>
          <w:sz w:val="30"/>
          <w:szCs w:val="30"/>
          <w:highlight w:val="none"/>
        </w:rPr>
        <w:t xml:space="preserve"> </w:t>
      </w:r>
      <w:r>
        <w:rPr>
          <w:rFonts w:hint="eastAsia" w:hAnsi="宋体" w:cs="黑体"/>
          <w:b w:val="0"/>
          <w:bCs w:val="0"/>
          <w:color w:val="auto"/>
          <w:sz w:val="30"/>
          <w:szCs w:val="30"/>
          <w:highlight w:val="none"/>
        </w:rPr>
        <w:t>专用合同条款</w:t>
      </w:r>
      <w:bookmarkEnd w:id="131"/>
      <w:bookmarkEnd w:id="132"/>
    </w:p>
    <w:p w14:paraId="3A4A2725">
      <w:pPr>
        <w:pageBreakBefore w:val="0"/>
        <w:kinsoku/>
        <w:overflowPunct/>
        <w:topLinePunct w:val="0"/>
        <w:bidi w:val="0"/>
        <w:spacing w:line="400" w:lineRule="exact"/>
        <w:jc w:val="center"/>
        <w:rPr>
          <w:rFonts w:hAnsi="宋体"/>
          <w:b w:val="0"/>
          <w:bCs w:val="0"/>
          <w:color w:val="auto"/>
          <w:kern w:val="0"/>
          <w:highlight w:val="none"/>
        </w:rPr>
      </w:pPr>
      <w:r>
        <w:rPr>
          <w:rFonts w:hint="eastAsia" w:hAnsi="宋体" w:cs="宋体"/>
          <w:b w:val="0"/>
          <w:bCs w:val="0"/>
          <w:color w:val="auto"/>
          <w:kern w:val="0"/>
          <w:highlight w:val="none"/>
        </w:rPr>
        <w:t>（注：专用合同条款每一条均应填写完整！）</w:t>
      </w:r>
    </w:p>
    <w:p w14:paraId="7D59B488">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133" w:name="_Toc12975882"/>
      <w:bookmarkStart w:id="134" w:name="_Toc395382494"/>
      <w:bookmarkStart w:id="135" w:name="_Toc533432717"/>
      <w:bookmarkStart w:id="136" w:name="_Toc351203652"/>
      <w:r>
        <w:rPr>
          <w:rFonts w:hint="eastAsia" w:ascii="宋体" w:hAnsi="宋体" w:cs="宋体"/>
          <w:color w:val="auto"/>
          <w:sz w:val="22"/>
          <w:szCs w:val="22"/>
          <w:highlight w:val="none"/>
        </w:rPr>
        <w:t>1. 一般约定</w:t>
      </w:r>
      <w:bookmarkEnd w:id="133"/>
      <w:bookmarkEnd w:id="134"/>
      <w:bookmarkEnd w:id="135"/>
    </w:p>
    <w:p w14:paraId="09E243E6">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37" w:name="_Toc395382495"/>
      <w:bookmarkStart w:id="138" w:name="_Toc533432718"/>
      <w:bookmarkStart w:id="139" w:name="_Toc12975883"/>
      <w:r>
        <w:rPr>
          <w:rFonts w:hint="eastAsia" w:ascii="宋体" w:hAnsi="宋体" w:cs="宋体"/>
          <w:color w:val="auto"/>
          <w:sz w:val="22"/>
          <w:szCs w:val="22"/>
          <w:highlight w:val="none"/>
        </w:rPr>
        <w:t>1.1 词语定义</w:t>
      </w:r>
      <w:bookmarkEnd w:id="137"/>
      <w:bookmarkEnd w:id="138"/>
      <w:bookmarkEnd w:id="139"/>
    </w:p>
    <w:p w14:paraId="57420AD4">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1.1.1 合同</w:t>
      </w:r>
    </w:p>
    <w:p w14:paraId="11FAA43F">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1.1.1.10 其他合同文件包括：</w:t>
      </w:r>
      <w:r>
        <w:rPr>
          <w:rFonts w:hint="eastAsia" w:ascii="宋体" w:hAnsi="宋体" w:cs="宋体"/>
          <w:color w:val="auto"/>
          <w:kern w:val="0"/>
          <w:sz w:val="22"/>
          <w:highlight w:val="none"/>
          <w:u w:val="single"/>
        </w:rPr>
        <w:t>响应文件及其附件，磋商文件（含补充通知和答疑），农民工工资保证金缴纳证明；履行合同过程中双方法定代表人书面确认的对合同内容有实质性影响的补充协议。任何形式的会议纪要均不能作为合同的组成部分，也不能作为修改合同的依据。发包人及监理人作出的口头承诺均不属于合同的组成部分</w:t>
      </w:r>
      <w:r>
        <w:rPr>
          <w:rFonts w:hint="eastAsia" w:ascii="宋体" w:hAnsi="宋体" w:cs="宋体"/>
          <w:color w:val="auto"/>
          <w:sz w:val="22"/>
          <w:highlight w:val="none"/>
          <w:u w:val="none"/>
        </w:rPr>
        <w:t>。</w:t>
      </w:r>
    </w:p>
    <w:p w14:paraId="6E950DB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 合同当事人及其他相关方</w:t>
      </w:r>
    </w:p>
    <w:p w14:paraId="5D6DEB1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1.1.2.4 监理人：</w:t>
      </w:r>
    </w:p>
    <w:p w14:paraId="54DFFC3A">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名    称：</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69E4F84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资质类别和等级：</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72FA276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096FA32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7EFDF2A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21557D84">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1.1.2.5 设计人：</w:t>
      </w:r>
    </w:p>
    <w:p w14:paraId="1956AE18">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名    称：</w:t>
      </w:r>
      <w:r>
        <w:rPr>
          <w:rFonts w:hint="eastAsia" w:ascii="宋体" w:hAnsi="宋体" w:cs="宋体"/>
          <w:color w:val="auto"/>
          <w:sz w:val="22"/>
          <w:highlight w:val="none"/>
          <w:u w:val="single"/>
        </w:rPr>
        <w:t xml:space="preserve">                 </w:t>
      </w:r>
      <w:r>
        <w:rPr>
          <w:rFonts w:hint="eastAsia" w:ascii="宋体" w:hAnsi="宋体" w:cs="宋体"/>
          <w:color w:val="auto"/>
          <w:sz w:val="22"/>
          <w:highlight w:val="none"/>
        </w:rPr>
        <w:t>；</w:t>
      </w:r>
    </w:p>
    <w:p w14:paraId="2B80DB95">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资质类别和等级：</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0E5AA83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39FD6F4F">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xml:space="preserve">                    </w:t>
      </w:r>
      <w:r>
        <w:rPr>
          <w:rFonts w:hint="eastAsia" w:ascii="宋体" w:hAnsi="宋体" w:cs="宋体"/>
          <w:color w:val="auto"/>
          <w:sz w:val="22"/>
          <w:highlight w:val="none"/>
        </w:rPr>
        <w:t>；</w:t>
      </w:r>
    </w:p>
    <w:p w14:paraId="2F0E4DBA">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7F10E9F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 工程和设备</w:t>
      </w:r>
    </w:p>
    <w:p w14:paraId="242CA275">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1.1.3.7 作为施工现场组成部分的其他场所包括：</w:t>
      </w:r>
      <w:r>
        <w:rPr>
          <w:rFonts w:hint="eastAsia" w:ascii="宋体" w:hAnsi="宋体" w:cs="宋体"/>
          <w:color w:val="auto"/>
          <w:sz w:val="22"/>
          <w:highlight w:val="none"/>
          <w:u w:val="single"/>
        </w:rPr>
        <w:t xml:space="preserve"> 指用于合同工程施工的场所，以及在合同中指定作为施工场地组成部分的其他场所，包括永久占地和临时占地。</w:t>
      </w:r>
    </w:p>
    <w:p w14:paraId="7FAC5EC5">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1.1.3.9 永久占地包括：</w:t>
      </w:r>
      <w:r>
        <w:rPr>
          <w:rFonts w:hint="eastAsia" w:ascii="宋体" w:hAnsi="宋体" w:cs="宋体"/>
          <w:color w:val="auto"/>
          <w:sz w:val="22"/>
          <w:highlight w:val="none"/>
          <w:u w:val="single"/>
        </w:rPr>
        <w:t xml:space="preserve">  依据选址图、设计图纸或其他文件规定的范围 </w:t>
      </w:r>
      <w:r>
        <w:rPr>
          <w:rFonts w:hint="eastAsia" w:ascii="宋体" w:hAnsi="宋体" w:cs="宋体"/>
          <w:color w:val="auto"/>
          <w:kern w:val="0"/>
          <w:sz w:val="22"/>
          <w:highlight w:val="none"/>
        </w:rPr>
        <w:t>。</w:t>
      </w:r>
    </w:p>
    <w:p w14:paraId="6D1D9238">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kern w:val="0"/>
          <w:sz w:val="22"/>
          <w:szCs w:val="22"/>
          <w:highlight w:val="none"/>
        </w:rPr>
        <w:t>1.1.3.10 临时占地包括：</w:t>
      </w:r>
      <w:r>
        <w:rPr>
          <w:rFonts w:hint="eastAsia" w:ascii="宋体" w:hAnsi="宋体" w:cs="宋体"/>
          <w:color w:val="auto"/>
          <w:kern w:val="0"/>
          <w:sz w:val="22"/>
          <w:szCs w:val="22"/>
          <w:highlight w:val="none"/>
          <w:u w:val="single"/>
        </w:rPr>
        <w:t>指为完成合同约定的永久工程所修建的各类临时性工程所占用的土地</w:t>
      </w:r>
      <w:r>
        <w:rPr>
          <w:rFonts w:hint="eastAsia" w:ascii="宋体" w:hAnsi="宋体" w:cs="宋体"/>
          <w:color w:val="auto"/>
          <w:sz w:val="22"/>
          <w:szCs w:val="22"/>
          <w:highlight w:val="none"/>
          <w:u w:val="none"/>
        </w:rPr>
        <w:t>。</w:t>
      </w:r>
    </w:p>
    <w:p w14:paraId="74164A69">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40" w:name="_Toc12975884"/>
      <w:bookmarkStart w:id="141" w:name="_Toc533432719"/>
      <w:bookmarkStart w:id="142" w:name="_Toc395382496"/>
      <w:r>
        <w:rPr>
          <w:rFonts w:hint="eastAsia" w:ascii="宋体" w:hAnsi="宋体" w:cs="宋体"/>
          <w:color w:val="auto"/>
          <w:sz w:val="22"/>
          <w:szCs w:val="22"/>
          <w:highlight w:val="none"/>
        </w:rPr>
        <w:t>1.3 法律</w:t>
      </w:r>
      <w:bookmarkEnd w:id="140"/>
      <w:bookmarkEnd w:id="141"/>
      <w:bookmarkEnd w:id="142"/>
    </w:p>
    <w:p w14:paraId="773180CB">
      <w:pPr>
        <w:pStyle w:val="414"/>
        <w:pageBreakBefore w:val="0"/>
        <w:kinsoku/>
        <w:overflowPunct/>
        <w:topLinePunct w:val="0"/>
        <w:autoSpaceDE w:val="0"/>
        <w:autoSpaceDN w:val="0"/>
        <w:bidi w:val="0"/>
        <w:adjustRightInd w:val="0"/>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适用于合同的其他规范性文件：</w:t>
      </w:r>
      <w:r>
        <w:rPr>
          <w:rFonts w:hint="eastAsia" w:ascii="宋体" w:hAnsi="宋体" w:cs="宋体"/>
          <w:color w:val="auto"/>
          <w:sz w:val="22"/>
          <w:highlight w:val="none"/>
          <w:u w:val="single"/>
        </w:rPr>
        <w:t>现行的国家法律、行政法规及部门规章，工程所在地的政府及相关主管部门制定的规范性文件</w:t>
      </w:r>
      <w:r>
        <w:rPr>
          <w:rFonts w:hint="eastAsia" w:ascii="宋体" w:hAnsi="宋体" w:cs="宋体"/>
          <w:color w:val="auto"/>
          <w:sz w:val="22"/>
          <w:highlight w:val="none"/>
        </w:rPr>
        <w:t>。</w:t>
      </w:r>
    </w:p>
    <w:p w14:paraId="0D4CDE2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43" w:name="_Toc395382497"/>
      <w:bookmarkStart w:id="144" w:name="_Toc12975885"/>
      <w:bookmarkStart w:id="145" w:name="_Toc533432720"/>
      <w:r>
        <w:rPr>
          <w:rFonts w:hint="eastAsia" w:ascii="宋体" w:hAnsi="宋体" w:cs="宋体"/>
          <w:color w:val="auto"/>
          <w:sz w:val="22"/>
          <w:szCs w:val="22"/>
          <w:highlight w:val="none"/>
        </w:rPr>
        <w:t>1.4 标准和规范</w:t>
      </w:r>
      <w:bookmarkEnd w:id="143"/>
      <w:bookmarkEnd w:id="144"/>
      <w:bookmarkEnd w:id="145"/>
    </w:p>
    <w:p w14:paraId="0C3A0D09">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none"/>
        </w:rPr>
      </w:pPr>
      <w:r>
        <w:rPr>
          <w:rFonts w:hint="eastAsia" w:ascii="宋体" w:hAnsi="宋体" w:cs="宋体"/>
          <w:color w:val="auto"/>
          <w:sz w:val="22"/>
          <w:highlight w:val="none"/>
        </w:rPr>
        <w:t>1.4.1 适用于工程的标准规范包括：</w:t>
      </w:r>
      <w:r>
        <w:rPr>
          <w:rFonts w:hint="eastAsia" w:ascii="宋体" w:hAnsi="宋体" w:cs="宋体"/>
          <w:color w:val="auto"/>
          <w:sz w:val="22"/>
          <w:highlight w:val="none"/>
          <w:u w:val="single"/>
        </w:rPr>
        <w:t>国家现行的施工规范、验收规范、验收标准</w:t>
      </w:r>
      <w:r>
        <w:rPr>
          <w:rFonts w:hint="eastAsia" w:ascii="宋体" w:hAnsi="宋体" w:cs="宋体"/>
          <w:color w:val="auto"/>
          <w:sz w:val="22"/>
          <w:highlight w:val="none"/>
          <w:u w:val="none"/>
        </w:rPr>
        <w:t>。</w:t>
      </w:r>
    </w:p>
    <w:p w14:paraId="6ACC6CD1">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1.4.2 发包人提供国外标准、规范的名称：</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27ED9414">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rPr>
        <w:t>发包人提供国外标准、规范的份数：</w:t>
      </w:r>
      <w:r>
        <w:rPr>
          <w:rFonts w:hint="eastAsia" w:ascii="宋体" w:hAnsi="宋体" w:cs="宋体"/>
          <w:color w:val="auto"/>
          <w:kern w:val="0"/>
          <w:sz w:val="22"/>
          <w:highlight w:val="none"/>
          <w:u w:val="single"/>
        </w:rPr>
        <w:t xml:space="preserve">无 </w:t>
      </w:r>
      <w:r>
        <w:rPr>
          <w:rFonts w:hint="eastAsia" w:ascii="宋体" w:hAnsi="宋体" w:cs="宋体"/>
          <w:color w:val="auto"/>
          <w:kern w:val="0"/>
          <w:sz w:val="22"/>
          <w:highlight w:val="none"/>
        </w:rPr>
        <w:t>。</w:t>
      </w:r>
    </w:p>
    <w:p w14:paraId="005A4768">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1.4.3 发包人对工程的技术标准和功能要求的特殊要求：</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66A362C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46" w:name="_Toc395382498"/>
      <w:bookmarkStart w:id="147" w:name="_Toc533432721"/>
      <w:bookmarkStart w:id="148" w:name="_Toc12975886"/>
      <w:r>
        <w:rPr>
          <w:rFonts w:hint="eastAsia" w:ascii="宋体" w:hAnsi="宋体" w:cs="宋体"/>
          <w:color w:val="auto"/>
          <w:sz w:val="22"/>
          <w:szCs w:val="22"/>
          <w:highlight w:val="none"/>
        </w:rPr>
        <w:t>1.5 合同文件的优先顺序</w:t>
      </w:r>
      <w:bookmarkEnd w:id="146"/>
      <w:bookmarkEnd w:id="147"/>
      <w:bookmarkEnd w:id="148"/>
    </w:p>
    <w:p w14:paraId="295B7797">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合同文件组成及优先顺序为：</w:t>
      </w:r>
    </w:p>
    <w:p w14:paraId="053C1C9B">
      <w:pPr>
        <w:pStyle w:val="414"/>
        <w:pageBreakBefore w:val="0"/>
        <w:numPr>
          <w:ilvl w:val="0"/>
          <w:numId w:val="0"/>
        </w:numPr>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合同协议书</w:t>
      </w:r>
    </w:p>
    <w:p w14:paraId="2FC5B1B9">
      <w:pPr>
        <w:pStyle w:val="414"/>
        <w:pageBreakBefore w:val="0"/>
        <w:kinsoku/>
        <w:overflowPunct/>
        <w:topLinePunct w:val="0"/>
        <w:bidi w:val="0"/>
        <w:spacing w:line="400" w:lineRule="exact"/>
        <w:ind w:left="420" w:leftChars="200"/>
        <w:rPr>
          <w:rFonts w:hint="eastAsia" w:ascii="宋体" w:hAnsi="宋体" w:cs="宋体"/>
          <w:color w:val="auto"/>
          <w:kern w:val="0"/>
          <w:sz w:val="22"/>
          <w:highlight w:val="none"/>
        </w:rPr>
      </w:pPr>
      <w:r>
        <w:rPr>
          <w:rFonts w:hint="eastAsia" w:ascii="宋体" w:hAnsi="宋体" w:cs="宋体"/>
          <w:color w:val="auto"/>
          <w:kern w:val="0"/>
          <w:sz w:val="22"/>
          <w:highlight w:val="none"/>
        </w:rPr>
        <w:t>（2）成交通知书；</w:t>
      </w:r>
    </w:p>
    <w:p w14:paraId="661ADD39">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（3）磋商函及其附录；</w:t>
      </w:r>
    </w:p>
    <w:p w14:paraId="540A33A3">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（4）专用合同条款及其附件；</w:t>
      </w:r>
    </w:p>
    <w:p w14:paraId="6D6F9D65">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（5）通用合同条款；</w:t>
      </w:r>
    </w:p>
    <w:p w14:paraId="30397B9C">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（6）</w:t>
      </w:r>
      <w:r>
        <w:rPr>
          <w:rFonts w:hint="eastAsia" w:ascii="宋体" w:hAnsi="宋体" w:cs="宋体"/>
          <w:color w:val="auto"/>
          <w:kern w:val="0"/>
          <w:sz w:val="22"/>
          <w:highlight w:val="none"/>
          <w:u w:val="single"/>
        </w:rPr>
        <w:t xml:space="preserve">  技术标准和要求 </w:t>
      </w:r>
      <w:r>
        <w:rPr>
          <w:rFonts w:hint="eastAsia" w:ascii="宋体" w:hAnsi="宋体" w:cs="宋体"/>
          <w:color w:val="auto"/>
          <w:kern w:val="0"/>
          <w:sz w:val="22"/>
          <w:highlight w:val="none"/>
        </w:rPr>
        <w:t>；</w:t>
      </w:r>
    </w:p>
    <w:p w14:paraId="23A43BF0">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（7）</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已标价工程量清单</w:t>
      </w:r>
      <w:r>
        <w:rPr>
          <w:rFonts w:hint="eastAsia" w:ascii="宋体" w:hAnsi="宋体" w:cs="宋体"/>
          <w:color w:val="auto"/>
          <w:kern w:val="0"/>
          <w:sz w:val="22"/>
          <w:highlight w:val="none"/>
        </w:rPr>
        <w:t>；</w:t>
      </w:r>
    </w:p>
    <w:p w14:paraId="37695BFF">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（8）</w:t>
      </w:r>
      <w:r>
        <w:rPr>
          <w:rFonts w:hint="eastAsia" w:ascii="宋体" w:hAnsi="宋体" w:cs="宋体"/>
          <w:color w:val="auto"/>
          <w:kern w:val="0"/>
          <w:sz w:val="22"/>
          <w:highlight w:val="none"/>
          <w:u w:val="single"/>
        </w:rPr>
        <w:t xml:space="preserve">  图纸  </w:t>
      </w:r>
      <w:r>
        <w:rPr>
          <w:rFonts w:hint="eastAsia" w:ascii="宋体" w:hAnsi="宋体" w:cs="宋体"/>
          <w:color w:val="auto"/>
          <w:kern w:val="0"/>
          <w:sz w:val="22"/>
          <w:highlight w:val="none"/>
        </w:rPr>
        <w:t>；</w:t>
      </w:r>
    </w:p>
    <w:p w14:paraId="08FCF003">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（9）</w:t>
      </w:r>
      <w:r>
        <w:rPr>
          <w:rFonts w:hint="eastAsia" w:ascii="宋体" w:hAnsi="宋体" w:cs="宋体"/>
          <w:color w:val="auto"/>
          <w:kern w:val="0"/>
          <w:sz w:val="22"/>
          <w:highlight w:val="none"/>
          <w:u w:val="single"/>
        </w:rPr>
        <w:t xml:space="preserve">  其他合同文件</w:t>
      </w:r>
      <w:r>
        <w:rPr>
          <w:rFonts w:hint="eastAsia" w:ascii="宋体" w:hAnsi="宋体" w:cs="宋体"/>
          <w:color w:val="auto"/>
          <w:kern w:val="0"/>
          <w:sz w:val="22"/>
          <w:highlight w:val="none"/>
        </w:rPr>
        <w:t>。</w:t>
      </w:r>
    </w:p>
    <w:p w14:paraId="06DE5200">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49" w:name="_Toc533432722"/>
      <w:bookmarkStart w:id="150" w:name="_Toc395382499"/>
      <w:bookmarkStart w:id="151" w:name="_Toc12975887"/>
      <w:r>
        <w:rPr>
          <w:rFonts w:hint="eastAsia" w:ascii="宋体" w:hAnsi="宋体" w:cs="宋体"/>
          <w:color w:val="auto"/>
          <w:sz w:val="22"/>
          <w:szCs w:val="22"/>
          <w:highlight w:val="none"/>
        </w:rPr>
        <w:t>1.6 图纸和承包人文件</w:t>
      </w:r>
      <w:bookmarkEnd w:id="149"/>
      <w:bookmarkEnd w:id="150"/>
      <w:bookmarkEnd w:id="151"/>
      <w:r>
        <w:rPr>
          <w:rFonts w:hint="eastAsia" w:ascii="宋体" w:hAnsi="宋体" w:cs="宋体"/>
          <w:color w:val="auto"/>
          <w:sz w:val="22"/>
          <w:szCs w:val="22"/>
          <w:highlight w:val="none"/>
        </w:rPr>
        <w:tab/>
      </w:r>
    </w:p>
    <w:p w14:paraId="733CFDE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1.6.1 图纸的提供</w:t>
      </w:r>
    </w:p>
    <w:p w14:paraId="419EFF0F">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发包人向承包人提供图纸的期限：</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合同签订</w:t>
      </w:r>
      <w:r>
        <w:rPr>
          <w:rFonts w:hint="eastAsia" w:ascii="宋体" w:hAnsi="宋体" w:cs="宋体"/>
          <w:color w:val="auto"/>
          <w:sz w:val="22"/>
          <w:highlight w:val="none"/>
          <w:u w:val="single"/>
        </w:rPr>
        <w:t>后</w:t>
      </w:r>
      <w:r>
        <w:rPr>
          <w:rFonts w:hint="eastAsia" w:ascii="宋体" w:hAnsi="宋体" w:cs="宋体"/>
          <w:color w:val="auto"/>
          <w:sz w:val="22"/>
          <w:highlight w:val="none"/>
          <w:u w:val="single"/>
          <w:lang w:val="en-US" w:eastAsia="zh-CN"/>
        </w:rPr>
        <w:t>14</w:t>
      </w:r>
      <w:r>
        <w:rPr>
          <w:rFonts w:hint="eastAsia" w:ascii="宋体" w:hAnsi="宋体" w:cs="宋体"/>
          <w:color w:val="auto"/>
          <w:sz w:val="22"/>
          <w:highlight w:val="none"/>
          <w:u w:val="single"/>
        </w:rPr>
        <w:t>天</w:t>
      </w:r>
      <w:r>
        <w:rPr>
          <w:rFonts w:hint="eastAsia" w:ascii="宋体" w:hAnsi="宋体" w:cs="宋体"/>
          <w:color w:val="auto"/>
          <w:sz w:val="22"/>
          <w:highlight w:val="none"/>
          <w:u w:val="single"/>
        </w:rPr>
        <w:t>内</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437256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发包人向承包人提供图纸的数量：</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一套，承包人需要增加图纸套数的，发包人应代为复制，复制费用由承包人承担</w:t>
      </w:r>
      <w:r>
        <w:rPr>
          <w:rFonts w:hint="eastAsia" w:ascii="宋体" w:hAnsi="宋体" w:cs="宋体"/>
          <w:color w:val="auto"/>
          <w:sz w:val="22"/>
          <w:highlight w:val="none"/>
        </w:rPr>
        <w:t>；</w:t>
      </w:r>
    </w:p>
    <w:p w14:paraId="360D3E6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发包人向承包人提供图纸的内容：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以图纸内容为准 </w:t>
      </w:r>
      <w:r>
        <w:rPr>
          <w:rFonts w:hint="eastAsia" w:ascii="宋体" w:hAnsi="宋体" w:cs="宋体"/>
          <w:color w:val="auto"/>
          <w:sz w:val="22"/>
          <w:highlight w:val="none"/>
        </w:rPr>
        <w:t>。</w:t>
      </w:r>
    </w:p>
    <w:p w14:paraId="28DBE6DF">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1.6.4 承包人文件</w:t>
      </w:r>
    </w:p>
    <w:p w14:paraId="5A5A8559">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需要由承包人提供的文件，包括：</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（1）合同生效后15天内提供报建、报监及办理施工许可证等所需要的所有资料；（2）除另有约定外，合同生效后7天内应提供完善的（实施性）施工组织设计和安全专项方案及双方另行确定的其他文件</w:t>
      </w:r>
      <w:r>
        <w:rPr>
          <w:rFonts w:hint="eastAsia" w:ascii="宋体" w:hAnsi="宋体" w:cs="宋体"/>
          <w:color w:val="auto"/>
          <w:sz w:val="22"/>
          <w:szCs w:val="22"/>
          <w:highlight w:val="none"/>
        </w:rPr>
        <w:t>；</w:t>
      </w:r>
    </w:p>
    <w:p w14:paraId="71971326">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承包人提供的文件的期限为：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报建手续开始前7天内</w:t>
      </w:r>
      <w:r>
        <w:rPr>
          <w:rFonts w:hint="eastAsia" w:ascii="宋体" w:hAnsi="宋体" w:cs="宋体"/>
          <w:color w:val="auto"/>
          <w:sz w:val="22"/>
          <w:highlight w:val="none"/>
        </w:rPr>
        <w:t>；</w:t>
      </w:r>
    </w:p>
    <w:p w14:paraId="20DE22F5">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承包人提供的文件的数量为：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按实提供</w:t>
      </w:r>
      <w:r>
        <w:rPr>
          <w:rFonts w:hint="eastAsia" w:ascii="宋体" w:hAnsi="宋体" w:cs="宋体"/>
          <w:color w:val="auto"/>
          <w:sz w:val="22"/>
          <w:highlight w:val="none"/>
        </w:rPr>
        <w:t>；</w:t>
      </w:r>
    </w:p>
    <w:p w14:paraId="458E2536">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承包人提供的文件的形式为：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书</w:t>
      </w:r>
      <w:r>
        <w:rPr>
          <w:rFonts w:hint="eastAsia" w:ascii="宋体" w:hAnsi="宋体" w:cs="宋体"/>
          <w:color w:val="auto"/>
          <w:sz w:val="22"/>
          <w:highlight w:val="none"/>
          <w:u w:val="single"/>
        </w:rPr>
        <w:t>面</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含电子扫描版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 xml:space="preserve">及电子文档 </w:t>
      </w:r>
      <w:r>
        <w:rPr>
          <w:rFonts w:hint="eastAsia" w:ascii="宋体" w:hAnsi="宋体" w:cs="宋体"/>
          <w:color w:val="auto"/>
          <w:sz w:val="22"/>
          <w:highlight w:val="none"/>
        </w:rPr>
        <w:t>；</w:t>
      </w:r>
    </w:p>
    <w:p w14:paraId="773CCF7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发包人审批承包人文件的期限：</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收到承包人提供的文件后</w:t>
      </w:r>
      <w:r>
        <w:rPr>
          <w:rFonts w:hint="eastAsia" w:ascii="宋体" w:hAnsi="宋体" w:cs="宋体"/>
          <w:color w:val="auto"/>
          <w:sz w:val="22"/>
          <w:highlight w:val="none"/>
          <w:u w:val="single"/>
          <w:lang w:val="en-US" w:eastAsia="zh-CN"/>
        </w:rPr>
        <w:t>28</w:t>
      </w:r>
      <w:r>
        <w:rPr>
          <w:rFonts w:hint="eastAsia" w:ascii="宋体" w:hAnsi="宋体" w:cs="宋体"/>
          <w:color w:val="auto"/>
          <w:sz w:val="22"/>
          <w:highlight w:val="none"/>
          <w:u w:val="single"/>
        </w:rPr>
        <w:t>天</w:t>
      </w:r>
      <w:r>
        <w:rPr>
          <w:rFonts w:hint="eastAsia" w:ascii="宋体" w:hAnsi="宋体" w:cs="宋体"/>
          <w:color w:val="auto"/>
          <w:sz w:val="22"/>
          <w:highlight w:val="none"/>
          <w:u w:val="single"/>
        </w:rPr>
        <w:t></w:t>
      </w:r>
      <w:r>
        <w:rPr>
          <w:rFonts w:hint="eastAsia" w:ascii="宋体" w:hAnsi="宋体" w:cs="宋体"/>
          <w:color w:val="auto"/>
          <w:sz w:val="22"/>
          <w:highlight w:val="none"/>
        </w:rPr>
        <w:t>。</w:t>
      </w:r>
    </w:p>
    <w:p w14:paraId="0BF4C948">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1.6.5 现场图纸准备</w:t>
      </w:r>
    </w:p>
    <w:p w14:paraId="7657B1FF">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关于现场图纸准备的约定：</w:t>
      </w:r>
      <w:r>
        <w:rPr>
          <w:rFonts w:hint="eastAsia" w:ascii="宋体" w:hAnsi="宋体" w:cs="宋体"/>
          <w:color w:val="auto"/>
          <w:sz w:val="22"/>
          <w:highlight w:val="none"/>
          <w:u w:val="single"/>
        </w:rPr>
        <w:t>承包人在施工现场保留一份完整的设计文件，供甲方及有关人员进行工程检查时使用</w:t>
      </w:r>
      <w:r>
        <w:rPr>
          <w:rFonts w:hint="eastAsia" w:ascii="宋体" w:hAnsi="宋体" w:cs="宋体"/>
          <w:color w:val="auto"/>
          <w:sz w:val="22"/>
          <w:highlight w:val="none"/>
        </w:rPr>
        <w:t>。</w:t>
      </w:r>
    </w:p>
    <w:p w14:paraId="55183CEB">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52" w:name="_Toc533432723"/>
      <w:bookmarkStart w:id="153" w:name="_Toc395382500"/>
      <w:bookmarkStart w:id="154" w:name="_Toc12975888"/>
      <w:r>
        <w:rPr>
          <w:rFonts w:hint="eastAsia" w:ascii="宋体" w:hAnsi="宋体" w:cs="宋体"/>
          <w:color w:val="auto"/>
          <w:sz w:val="22"/>
          <w:szCs w:val="22"/>
          <w:highlight w:val="none"/>
        </w:rPr>
        <w:t>1.7 联络</w:t>
      </w:r>
      <w:bookmarkEnd w:id="152"/>
      <w:bookmarkEnd w:id="153"/>
      <w:bookmarkEnd w:id="154"/>
    </w:p>
    <w:p w14:paraId="77F237BE">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1.7.1发包人和承包人应当在</w:t>
      </w:r>
      <w:r>
        <w:rPr>
          <w:rFonts w:hint="eastAsia" w:ascii="宋体" w:hAnsi="宋体" w:cs="宋体"/>
          <w:color w:val="auto"/>
          <w:sz w:val="22"/>
          <w:highlight w:val="none"/>
          <w:u w:val="single"/>
        </w:rPr>
        <w:t xml:space="preserve"> 5 </w:t>
      </w:r>
      <w:r>
        <w:rPr>
          <w:rFonts w:hint="eastAsia" w:ascii="宋体" w:hAnsi="宋体" w:cs="宋体"/>
          <w:color w:val="auto"/>
          <w:kern w:val="0"/>
          <w:sz w:val="22"/>
          <w:highlight w:val="none"/>
        </w:rPr>
        <w:t>天内将与合同有关的通知、批准、证明、证书、指示、指令、要求、请求、同意、意见、确定和决定等书面函件送达对方当事人。</w:t>
      </w:r>
    </w:p>
    <w:p w14:paraId="3CB48D59">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1.7.2 发包人接收文件的地点：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发包人办公室</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4160E0C1">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发包人指定的接收人为：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rPr>
        <w:t>发包人现场代表</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w:t>
      </w:r>
    </w:p>
    <w:p w14:paraId="032855FE">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承包人接收文件的地点：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项目所在地承包人项目部</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1DBD8A34">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承包人指定的接收人为：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承包人项目经理</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702B4F09">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监理人接收文件的地点：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项目所在地监理人办公室</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765E0041">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监理人指定的接收人为：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总监理工程师</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566C035C">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与合同有关的工程联系单、变更申请、变更建议、通知、批准、证明、证书、指示、要求、请求、同意、意见、确定和决定等，均应采用书面</w:t>
      </w:r>
      <w:r>
        <w:rPr>
          <w:rFonts w:hint="eastAsia" w:ascii="宋体" w:hAnsi="宋体" w:cs="宋体"/>
          <w:color w:val="auto"/>
          <w:sz w:val="22"/>
          <w:szCs w:val="22"/>
          <w:highlight w:val="none"/>
          <w:u w:val="single"/>
        </w:rPr>
        <w:t>形式</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同时提供电子扫描版</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w:t>
      </w:r>
    </w:p>
    <w:p w14:paraId="5211A3F5">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发包人的工程管理部的印章（公章名称：）适用于：（1）通知、批准、证明、指示、要求、请求、同意、意见和确定等管理文件是有效的。（2）工程技术资料，包括所有与工程有关的技术资料。</w:t>
      </w:r>
    </w:p>
    <w:p w14:paraId="5E198814">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发包人的工程管理部的印章（公章名称：）不适用于：不适用于任何修改合同、减轻（或增加）双方合同权利和义务的文件，如以上所述文件涉及到修改合同、减轻（或增加）双方合同权利和义务时，该工作无效。涉及到修改合同、减轻（或增加）双方合同权利和义务时，必须加盖发包人的公司公章</w:t>
      </w:r>
      <w:r>
        <w:rPr>
          <w:rFonts w:hint="eastAsia" w:ascii="宋体" w:hAnsi="宋体" w:cs="宋体"/>
          <w:color w:val="auto"/>
          <w:sz w:val="22"/>
          <w:szCs w:val="22"/>
          <w:highlight w:val="none"/>
          <w:u w:val="none"/>
        </w:rPr>
        <w:t>。</w:t>
      </w:r>
    </w:p>
    <w:p w14:paraId="18265B6B">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合同一方按照本合同约定向另一方送达的任何文件、通知、回复及其他任何文件，可采用以下任一方式送达：（1）、一方采用书面形式直接送达，另一方签收时视为已送达；（2）、一方采用传真形式送达，收到另一方确认时视为已送达；双方送达传真号以本合同注明号码为准，如果一方信息有变更的，须向另一方以书面形式通知更改后的信息。（3）、一方采用快递邮寄的方式送达，另一方已经签收时视为已送达另一方。双方送达地址以本合同落款地址为准，如果一方地址有变更的，须向另一方以书面形式通知更改后的地址。（4）、一方向对方送达的文件、通知、回复，受送达方应即时签收，如由于受送达方的原因不能送达或拒绝签收的，送达方可在《防城港日报》上公告送达，刊登文件、通知、回复的《防城港日报》作为受送达方收悉的证据，刊登7日后即视为已经送达。</w:t>
      </w:r>
    </w:p>
    <w:p w14:paraId="2BC2F72B">
      <w:pPr>
        <w:pStyle w:val="417"/>
        <w:pageBreakBefore w:val="0"/>
        <w:kinsoku/>
        <w:overflowPunct/>
        <w:topLinePunct w:val="0"/>
        <w:bidi w:val="0"/>
        <w:spacing w:line="400" w:lineRule="exact"/>
        <w:rPr>
          <w:rFonts w:hint="eastAsia" w:ascii="宋体" w:hAnsi="宋体" w:eastAsia="宋体" w:cs="宋体"/>
          <w:color w:val="auto"/>
          <w:sz w:val="22"/>
          <w:szCs w:val="22"/>
          <w:highlight w:val="none"/>
        </w:rPr>
      </w:pPr>
      <w:bookmarkStart w:id="155" w:name="_Toc513041281"/>
      <w:bookmarkStart w:id="156" w:name="_Toc529202535"/>
      <w:bookmarkStart w:id="157" w:name="_Toc54862501"/>
      <w:r>
        <w:rPr>
          <w:rFonts w:hint="eastAsia" w:ascii="宋体" w:hAnsi="宋体" w:eastAsia="宋体" w:cs="宋体"/>
          <w:color w:val="auto"/>
          <w:sz w:val="22"/>
          <w:szCs w:val="22"/>
          <w:highlight w:val="none"/>
        </w:rPr>
        <w:t>1.8严禁贿赂</w:t>
      </w:r>
      <w:bookmarkEnd w:id="155"/>
      <w:bookmarkEnd w:id="156"/>
      <w:bookmarkEnd w:id="157"/>
    </w:p>
    <w:p w14:paraId="09D2F7AF">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如果承包人或承包人的工作人员（不论承包人是否知晓）以贿赂或变相贿赂的方式，谋取不当利益或损害发包人权益的。承包人发生前述的违约情况时，发包人将根据相关法律规定及合同约定追究承包人的法律责任，承包人因此等行为获得的额外费用必须退还发包人，造成的工程损害、发包人的经济损失的，承包人应负一切责任，并</w:t>
      </w:r>
      <w:r>
        <w:rPr>
          <w:rFonts w:hint="eastAsia" w:ascii="宋体" w:hAnsi="宋体" w:cs="宋体"/>
          <w:color w:val="auto"/>
          <w:sz w:val="22"/>
          <w:szCs w:val="22"/>
          <w:highlight w:val="none"/>
          <w:u w:val="single"/>
          <w:lang w:val="en-US" w:eastAsia="zh-CN"/>
        </w:rPr>
        <w:t>予以</w:t>
      </w:r>
      <w:r>
        <w:rPr>
          <w:rFonts w:hint="eastAsia" w:ascii="宋体" w:hAnsi="宋体" w:cs="宋体"/>
          <w:color w:val="auto"/>
          <w:sz w:val="22"/>
          <w:szCs w:val="22"/>
          <w:highlight w:val="none"/>
          <w:u w:val="single"/>
        </w:rPr>
        <w:t>赔偿。情节严重者，发包人并有权解除本合同。同时向发包人支付违约金每次50万元</w:t>
      </w:r>
      <w:r>
        <w:rPr>
          <w:rFonts w:hint="eastAsia" w:ascii="宋体" w:hAnsi="宋体" w:cs="宋体"/>
          <w:color w:val="auto"/>
          <w:sz w:val="22"/>
          <w:szCs w:val="22"/>
          <w:highlight w:val="none"/>
          <w:u w:val="none"/>
        </w:rPr>
        <w:t>。</w:t>
      </w:r>
    </w:p>
    <w:p w14:paraId="66CA574D">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58" w:name="_Toc395382501"/>
      <w:bookmarkStart w:id="159" w:name="_Toc533432724"/>
      <w:bookmarkStart w:id="160" w:name="_Toc12975889"/>
      <w:r>
        <w:rPr>
          <w:rFonts w:hint="eastAsia" w:ascii="宋体" w:hAnsi="宋体" w:cs="宋体"/>
          <w:color w:val="auto"/>
          <w:sz w:val="22"/>
          <w:szCs w:val="22"/>
          <w:highlight w:val="none"/>
        </w:rPr>
        <w:t>1.10 交通运输</w:t>
      </w:r>
      <w:bookmarkEnd w:id="158"/>
      <w:bookmarkEnd w:id="159"/>
      <w:bookmarkEnd w:id="160"/>
    </w:p>
    <w:p w14:paraId="41221BBE">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1.10.1 出入现场的权利</w:t>
      </w:r>
    </w:p>
    <w:p w14:paraId="7E343936">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关于出入现场的权利的约定：</w:t>
      </w:r>
      <w:r>
        <w:rPr>
          <w:rFonts w:hint="eastAsia" w:ascii="宋体" w:hAnsi="宋体" w:cs="宋体"/>
          <w:color w:val="auto"/>
          <w:sz w:val="22"/>
          <w:highlight w:val="none"/>
          <w:u w:val="single"/>
        </w:rPr>
        <w:t>由承包人按发包人要求负责取得出入施工现场所需的批准手续和全部权利，以及取得因施工所需修建道路、桥梁以及其他基础设施的权利，相关权利取得的手续费用和建设费用由承包人承担</w:t>
      </w:r>
      <w:r>
        <w:rPr>
          <w:rFonts w:hint="eastAsia" w:ascii="宋体" w:hAnsi="宋体" w:cs="宋体"/>
          <w:color w:val="auto"/>
          <w:sz w:val="22"/>
          <w:highlight w:val="none"/>
        </w:rPr>
        <w:t>。</w:t>
      </w:r>
    </w:p>
    <w:p w14:paraId="4BF2EB3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1.10.3 场内交通</w:t>
      </w:r>
    </w:p>
    <w:p w14:paraId="3DBE6539">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关于场外交通和场内交通的边界的约定：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以规划批复总平用地红线为界 </w:t>
      </w:r>
      <w:r>
        <w:rPr>
          <w:rFonts w:hint="eastAsia" w:ascii="宋体" w:hAnsi="宋体" w:cs="宋体"/>
          <w:color w:val="auto"/>
          <w:sz w:val="22"/>
          <w:highlight w:val="none"/>
        </w:rPr>
        <w:t>。</w:t>
      </w:r>
    </w:p>
    <w:p w14:paraId="00FEFE7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关于发包人向承包人免费提供满足工程施工需要的场内道路和交通设施的约定：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发包人不提供任何满足工程施工需要的场内、场外道路和交通设施，由承包人根据实际需要自行解决</w:t>
      </w:r>
      <w:r>
        <w:rPr>
          <w:rFonts w:hint="eastAsia" w:ascii="宋体" w:hAnsi="宋体" w:cs="宋体"/>
          <w:color w:val="auto"/>
          <w:sz w:val="22"/>
          <w:highlight w:val="none"/>
        </w:rPr>
        <w:t>。</w:t>
      </w:r>
    </w:p>
    <w:p w14:paraId="77E059C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1.10.4 超大件和超重件的运输</w:t>
      </w:r>
    </w:p>
    <w:p w14:paraId="5E5B990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运输超大件或超重件所需的道路和桥梁临时加固改造费用和其他有关费用由</w:t>
      </w:r>
      <w:r>
        <w:rPr>
          <w:rFonts w:hint="eastAsia" w:ascii="宋体" w:hAnsi="宋体" w:cs="宋体"/>
          <w:color w:val="auto"/>
          <w:sz w:val="22"/>
          <w:highlight w:val="none"/>
          <w:u w:val="single"/>
        </w:rPr>
        <w:t xml:space="preserve"> 承包人</w:t>
      </w:r>
      <w:r>
        <w:rPr>
          <w:rFonts w:hint="eastAsia" w:ascii="宋体" w:hAnsi="宋体" w:cs="宋体"/>
          <w:color w:val="auto"/>
          <w:sz w:val="22"/>
          <w:highlight w:val="none"/>
        </w:rPr>
        <w:t>承担。</w:t>
      </w:r>
    </w:p>
    <w:p w14:paraId="4C7EF4D8">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61" w:name="_Toc12975890"/>
      <w:bookmarkStart w:id="162" w:name="_Toc533432725"/>
      <w:bookmarkStart w:id="163" w:name="_Toc395382502"/>
      <w:r>
        <w:rPr>
          <w:rFonts w:hint="eastAsia" w:ascii="宋体" w:hAnsi="宋体" w:cs="宋体"/>
          <w:color w:val="auto"/>
          <w:sz w:val="22"/>
          <w:szCs w:val="22"/>
          <w:highlight w:val="none"/>
        </w:rPr>
        <w:t>1.11 知识产权</w:t>
      </w:r>
      <w:bookmarkEnd w:id="161"/>
      <w:bookmarkEnd w:id="162"/>
      <w:bookmarkEnd w:id="163"/>
    </w:p>
    <w:p w14:paraId="5A06320F">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highlight w:val="none"/>
          <w:u w:val="single"/>
        </w:rPr>
        <w:t>归属发包人所有，承包人不得向其他人转借、出售或泄露与本项目有关的上述文件资料情况</w:t>
      </w:r>
      <w:r>
        <w:rPr>
          <w:rFonts w:hint="eastAsia" w:ascii="宋体" w:hAnsi="宋体" w:cs="宋体"/>
          <w:b/>
          <w:bCs/>
          <w:color w:val="auto"/>
          <w:sz w:val="22"/>
          <w:highlight w:val="none"/>
          <w:u w:val="single"/>
          <w:lang w:val="en-US" w:eastAsia="zh-CN"/>
        </w:rPr>
        <w:t xml:space="preserve"> </w:t>
      </w:r>
      <w:r>
        <w:rPr>
          <w:rFonts w:hint="eastAsia" w:ascii="宋体" w:hAnsi="宋体" w:cs="宋体"/>
          <w:color w:val="auto"/>
          <w:sz w:val="22"/>
          <w:highlight w:val="none"/>
        </w:rPr>
        <w:t>。</w:t>
      </w:r>
    </w:p>
    <w:p w14:paraId="55EF5DE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关于发包人提供的上述文件的使用限制的要求：</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highlight w:val="none"/>
          <w:u w:val="single"/>
        </w:rPr>
        <w:t>仅</w:t>
      </w:r>
      <w:r>
        <w:rPr>
          <w:rFonts w:hint="eastAsia" w:ascii="宋体" w:hAnsi="宋体" w:cs="宋体"/>
          <w:b/>
          <w:bCs/>
          <w:color w:val="auto"/>
          <w:sz w:val="22"/>
          <w:highlight w:val="none"/>
          <w:u w:val="single"/>
          <w:lang w:val="en-US" w:eastAsia="zh-CN"/>
        </w:rPr>
        <w:t>适用</w:t>
      </w:r>
      <w:r>
        <w:rPr>
          <w:rFonts w:hint="eastAsia" w:ascii="宋体" w:hAnsi="宋体" w:cs="宋体"/>
          <w:b/>
          <w:bCs/>
          <w:color w:val="auto"/>
          <w:sz w:val="22"/>
          <w:highlight w:val="none"/>
          <w:u w:val="single"/>
        </w:rPr>
        <w:t>于本项目的建设</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2BFDF6E4">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1.11.2 关于承包人为实施工程所编制文件的著作权的归属：</w:t>
      </w:r>
      <w:r>
        <w:rPr>
          <w:rFonts w:hint="eastAsia" w:ascii="宋体" w:hAnsi="宋体" w:cs="宋体"/>
          <w:b/>
          <w:bCs/>
          <w:color w:val="auto"/>
          <w:sz w:val="22"/>
          <w:highlight w:val="none"/>
          <w:u w:val="single"/>
        </w:rPr>
        <w:t>发包人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FF39DE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关于承包人提供的上述文件的使用限制的要求：</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highlight w:val="none"/>
          <w:u w:val="single"/>
        </w:rPr>
        <w:t>仅限本项目使用</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341DDAA">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sz w:val="22"/>
          <w:highlight w:val="none"/>
        </w:rPr>
        <w:t>1.11.4 承包人在施工过程中所采用的专利、专有技术、技术秘密的使用费的承担方式：</w:t>
      </w:r>
      <w:r>
        <w:rPr>
          <w:rFonts w:hint="eastAsia" w:ascii="宋体" w:hAnsi="宋体" w:cs="宋体"/>
          <w:b/>
          <w:bCs/>
          <w:color w:val="auto"/>
          <w:sz w:val="22"/>
          <w:highlight w:val="none"/>
          <w:u w:val="single"/>
        </w:rPr>
        <w:t>由承包人承担</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w:t>
      </w:r>
    </w:p>
    <w:p w14:paraId="7B8EDD2D">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（1)承包人在实施、完成并保修合同工程过程中使用任何材料设备或采用施工工艺时，因侵犯他人专利权或其他知识产权所引起的责任，由承包人承担。</w:t>
      </w:r>
    </w:p>
    <w:p w14:paraId="2DC32061">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承包人为实施本工程而采用专利技术等知识产权，知识产权的使用费已包含在签约合同价内。且承包人同意不受知识产权使用费限制,许可发包人及其发包人集团公司内部其它成员公司免费使用承包人所有或受其控制的有关知识产权。该知识产权包括发包人所需的任何与本项目有关的设备、机械、材料或与本项目有关或部分有关的任何方法、技术和工艺的实际经验。</w:t>
      </w:r>
    </w:p>
    <w:p w14:paraId="7CE78C81">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工程施工过程中，承包人应注意收集有关数据、资料和经验，工程施工完成后，承包人应向发包人提交完整的施工总结报告，包括对上述施工工艺、专利技术等的使用，承包人不得以任何理由拒绝。承包人收集相关数据、信息和编制施工总结报告的相关费用已包含在签约合同价内。</w:t>
      </w:r>
    </w:p>
    <w:p w14:paraId="0B712B2A">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承包人在施工过程中形成的新的施工工艺的权属属于承包人，但如果发包人参与了该施工工艺形成主要决策过程的，则该施工工艺的权属属于承包人与发包人共有。无论该施工工艺属于承包人所有还是由承包人与发包人共有的情形下，发包人及其发包人集团公司内部其它成员公司均可以永久免费使用该施工工艺。</w:t>
      </w:r>
    </w:p>
    <w:p w14:paraId="26534115">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(5)承包人为本工程制作或提供的深化设计图纸等文件的知识产权均归发包人所有。</w:t>
      </w:r>
    </w:p>
    <w:p w14:paraId="6F4E78CB">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如果发生因承包人责任造成的任何知识产权侵权而造成第三方向发包人索赔或诉讼，发包人应立即通知承包人，承包人则应在收到通知后7天内，自费处理上述问题并以发包人名义及时对由此而引起的诉讼进行协商或抗诉。承包人进行这种协商或争讼必须首先以保护发包人为条件，这种保护在任何时候都是必需的，承包人应设法保护发包人利益，避免或减少可能成为发包人责任义务的任何赔偿、损害、费用和损失。在承包人请求时，发包人应给予一切可能的协助，来争取索赔诉讼的顺利解决。若承包人未按时处理，发包人有权自行处理有关纠纷，发包人因此遭受的赔偿、损害、费用及损失，发包人有权从应付或拟付给承包人的任何款项中直接扣回。</w:t>
      </w:r>
    </w:p>
    <w:p w14:paraId="7211CA50">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在任何时候，如果发包人有理由认为上一条的保护不充分或者发包人对承包人在涉及发包人利益所进行争讼不满意时，发包人有权自行应讼，但并不因此减轻承包人任何责任和义务，并且，与之有关的全部费用由承包人承担。</w:t>
      </w:r>
    </w:p>
    <w:p w14:paraId="4C25FC02">
      <w:pPr>
        <w:pStyle w:val="417"/>
        <w:pageBreakBefore w:val="0"/>
        <w:kinsoku/>
        <w:overflowPunct/>
        <w:topLinePunct w:val="0"/>
        <w:bidi w:val="0"/>
        <w:spacing w:line="400" w:lineRule="exact"/>
        <w:rPr>
          <w:rFonts w:hint="eastAsia" w:ascii="宋体" w:hAnsi="宋体" w:eastAsia="宋体" w:cs="宋体"/>
          <w:color w:val="auto"/>
          <w:sz w:val="22"/>
          <w:szCs w:val="22"/>
          <w:highlight w:val="none"/>
        </w:rPr>
      </w:pPr>
      <w:bookmarkStart w:id="164" w:name="_Toc529202538"/>
      <w:bookmarkStart w:id="165" w:name="_Toc513041284"/>
      <w:bookmarkStart w:id="166" w:name="_Toc54862504"/>
      <w:r>
        <w:rPr>
          <w:rFonts w:hint="eastAsia" w:ascii="宋体" w:hAnsi="宋体" w:eastAsia="宋体" w:cs="宋体"/>
          <w:color w:val="auto"/>
          <w:sz w:val="22"/>
          <w:szCs w:val="22"/>
          <w:highlight w:val="none"/>
        </w:rPr>
        <w:t>1.12保密</w:t>
      </w:r>
      <w:bookmarkEnd w:id="164"/>
      <w:bookmarkEnd w:id="165"/>
      <w:bookmarkEnd w:id="166"/>
    </w:p>
    <w:p w14:paraId="1149076A">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u w:val="single"/>
        </w:rPr>
        <w:t>除法律规定外，未经发包人同意，承包人不得将发包人提供的图纸、文件以及声明需要保密的资料信息等商业秘密泄露给第三方。</w:t>
      </w:r>
    </w:p>
    <w:p w14:paraId="52C93782">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67" w:name="_Toc533432726"/>
      <w:bookmarkStart w:id="168" w:name="_Toc12975891"/>
      <w:bookmarkStart w:id="169" w:name="_Toc395382503"/>
      <w:r>
        <w:rPr>
          <w:rFonts w:hint="eastAsia" w:ascii="宋体" w:hAnsi="宋体" w:cs="宋体"/>
          <w:color w:val="auto"/>
          <w:sz w:val="22"/>
          <w:szCs w:val="22"/>
          <w:highlight w:val="none"/>
        </w:rPr>
        <w:t>1.13工程量清单错误的修正</w:t>
      </w:r>
      <w:bookmarkEnd w:id="167"/>
      <w:bookmarkEnd w:id="168"/>
      <w:bookmarkEnd w:id="169"/>
    </w:p>
    <w:p w14:paraId="79590B3A">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出现工程量清单工程量偏差时，是否调整合同价格：</w:t>
      </w:r>
      <w:r>
        <w:rPr>
          <w:rFonts w:hint="eastAsia" w:ascii="宋体" w:hAnsi="宋体" w:cs="宋体"/>
          <w:color w:val="auto"/>
          <w:sz w:val="22"/>
          <w:szCs w:val="22"/>
          <w:highlight w:val="none"/>
          <w:u w:val="single"/>
        </w:rPr>
        <w:t>合同履行期间，由于磋商工程量清单错误、缺项、漏项，（1）新增分部分项工程清单项目的，按照以下规定确定单价，并调整合同价格：1）合同中已有适用的综合单价，按合同中已有的综合单价确定；2）合同中有类似的综合单价，参照类似的综合单价确定；3）合同中没有适用或类似的综合单价，依据“专用合同条款10.4.1变更估价原则”执行。（2）由于磋商工程量清单项目多列或重复列项的，按照承包人磋商综合单价确定单价，并调整合同价格</w:t>
      </w:r>
    </w:p>
    <w:p w14:paraId="73F68489">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除以上情况之外出现工程量清单错误的，不调整合同价格。</w:t>
      </w:r>
      <w:r>
        <w:rPr>
          <w:rFonts w:hint="eastAsia" w:ascii="宋体" w:hAnsi="宋体" w:cs="宋体"/>
          <w:color w:val="auto"/>
          <w:sz w:val="22"/>
          <w:szCs w:val="22"/>
          <w:highlight w:val="none"/>
          <w:u w:val="single"/>
        </w:rPr>
        <w:t>发包人提供的措施费用清单仅供承包人参考，承包人可根据自身实际情况对措施项目进行增减，磋商工程量清单中的所有措施项目出现错误、缺项、漏项情况时，不属于调整价格范围。磋商图纸中的所有项目的措施费均包含在本合同价格中，承包人不得以措施项目漏项为由提出任何补偿及图纸修改</w:t>
      </w:r>
      <w:r>
        <w:rPr>
          <w:rFonts w:hint="eastAsia" w:ascii="宋体" w:hAnsi="宋体" w:cs="宋体"/>
          <w:color w:val="auto"/>
          <w:sz w:val="22"/>
          <w:szCs w:val="22"/>
          <w:highlight w:val="none"/>
        </w:rPr>
        <w:t>。</w:t>
      </w:r>
    </w:p>
    <w:p w14:paraId="1879C1BA">
      <w:pPr>
        <w:pStyle w:val="416"/>
        <w:pageBreakBefore w:val="0"/>
        <w:kinsoku/>
        <w:overflowPunct/>
        <w:topLinePunct w:val="0"/>
        <w:bidi w:val="0"/>
        <w:spacing w:line="40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允许调整合同价格的工程量偏差范围及其调整办法：</w:t>
      </w:r>
      <w:r>
        <w:rPr>
          <w:rFonts w:hint="eastAsia" w:ascii="宋体" w:hAnsi="宋体" w:cs="宋体"/>
          <w:color w:val="auto"/>
          <w:sz w:val="22"/>
          <w:szCs w:val="22"/>
          <w:highlight w:val="none"/>
          <w:u w:val="single"/>
        </w:rPr>
        <w:t>无。</w:t>
      </w:r>
    </w:p>
    <w:p w14:paraId="3F5E89B1">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承包人承诺，磋商合同总价中包含了本项目全部已</w:t>
      </w:r>
      <w:r>
        <w:rPr>
          <w:rFonts w:hint="eastAsia" w:ascii="宋体" w:hAnsi="宋体" w:cs="宋体"/>
          <w:color w:val="auto"/>
          <w:sz w:val="22"/>
          <w:szCs w:val="22"/>
          <w:highlight w:val="none"/>
          <w:u w:val="single"/>
        </w:rPr>
        <w:t>预料</w:t>
      </w:r>
      <w:r>
        <w:rPr>
          <w:rFonts w:hint="eastAsia" w:ascii="宋体" w:hAnsi="宋体" w:cs="宋体"/>
          <w:color w:val="auto"/>
          <w:sz w:val="22"/>
          <w:szCs w:val="22"/>
          <w:highlight w:val="none"/>
          <w:u w:val="single"/>
        </w:rPr>
        <w:t>的和（或）未预料到的单价措施和总价措施费用，包括但不限于如下项目：临时设施、施工用电、柴油发电、围堰、基坑支护、作业平台、大型机械进出场</w:t>
      </w:r>
      <w:r>
        <w:rPr>
          <w:rFonts w:hint="eastAsia" w:ascii="宋体" w:hAnsi="宋体" w:cs="宋体"/>
          <w:color w:val="auto"/>
          <w:sz w:val="22"/>
          <w:szCs w:val="22"/>
          <w:highlight w:val="none"/>
          <w:u w:val="single"/>
          <w:lang w:val="en-US" w:eastAsia="zh-CN"/>
        </w:rPr>
        <w:t>及</w:t>
      </w:r>
      <w:r>
        <w:rPr>
          <w:rFonts w:hint="eastAsia" w:ascii="宋体" w:hAnsi="宋体" w:cs="宋体"/>
          <w:color w:val="auto"/>
          <w:sz w:val="22"/>
          <w:szCs w:val="22"/>
          <w:highlight w:val="none"/>
          <w:u w:val="single"/>
        </w:rPr>
        <w:t>安拆、便道及便桥、施工降排水、安全文明施工及其他措施项目，未按期竣工（其中包括承包人原因和征地拆迁等承包人原因引起的工期顺延）增加的全部费用。</w:t>
      </w:r>
    </w:p>
    <w:p w14:paraId="6A6061FE">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170" w:name="_Toc12975892"/>
      <w:bookmarkStart w:id="171" w:name="_Toc533432727"/>
      <w:bookmarkStart w:id="172" w:name="_Toc395382504"/>
      <w:r>
        <w:rPr>
          <w:rFonts w:hint="eastAsia" w:ascii="宋体" w:hAnsi="宋体" w:cs="宋体"/>
          <w:color w:val="auto"/>
          <w:sz w:val="22"/>
          <w:szCs w:val="22"/>
          <w:highlight w:val="none"/>
        </w:rPr>
        <w:t>2. 发包人</w:t>
      </w:r>
      <w:bookmarkEnd w:id="170"/>
      <w:bookmarkEnd w:id="171"/>
      <w:bookmarkEnd w:id="172"/>
    </w:p>
    <w:p w14:paraId="1EE51123">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73" w:name="_Toc533432728"/>
      <w:bookmarkStart w:id="174" w:name="_Toc12975893"/>
      <w:bookmarkStart w:id="175" w:name="_Toc395382505"/>
      <w:r>
        <w:rPr>
          <w:rFonts w:hint="eastAsia" w:ascii="宋体" w:hAnsi="宋体" w:cs="宋体"/>
          <w:color w:val="auto"/>
          <w:sz w:val="22"/>
          <w:szCs w:val="22"/>
          <w:highlight w:val="none"/>
        </w:rPr>
        <w:t>2.2 发包人代表</w:t>
      </w:r>
      <w:bookmarkEnd w:id="173"/>
      <w:bookmarkEnd w:id="174"/>
      <w:bookmarkEnd w:id="175"/>
    </w:p>
    <w:p w14:paraId="0277C87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p>
    <w:p w14:paraId="262E349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发包人代表：</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57620EF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姓    名：</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28B51AE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身份证号：</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0D3C07CD">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职    务：</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7AC4D0E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  </w:t>
      </w:r>
      <w:r>
        <w:rPr>
          <w:rFonts w:hint="eastAsia" w:ascii="宋体" w:hAnsi="宋体" w:cs="宋体"/>
          <w:color w:val="auto"/>
          <w:sz w:val="22"/>
          <w:highlight w:val="none"/>
        </w:rPr>
        <w:t>；</w:t>
      </w:r>
    </w:p>
    <w:p w14:paraId="030C8E4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   </w:t>
      </w:r>
      <w:r>
        <w:rPr>
          <w:rFonts w:hint="eastAsia" w:ascii="宋体" w:hAnsi="宋体" w:cs="宋体"/>
          <w:color w:val="auto"/>
          <w:sz w:val="22"/>
          <w:highlight w:val="none"/>
        </w:rPr>
        <w:t>；</w:t>
      </w:r>
    </w:p>
    <w:p w14:paraId="737B7B6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6E4DDA74">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发包人对发包人代表的授权范围如下：</w:t>
      </w:r>
      <w:r>
        <w:rPr>
          <w:rFonts w:hint="eastAsia" w:ascii="宋体" w:hAnsi="宋体" w:cs="宋体"/>
          <w:color w:val="auto"/>
          <w:sz w:val="22"/>
          <w:highlight w:val="none"/>
          <w:u w:val="single"/>
        </w:rPr>
        <w:t></w:t>
      </w:r>
      <w:r>
        <w:rPr>
          <w:rFonts w:hint="eastAsia" w:ascii="宋体" w:hAnsi="宋体" w:cs="宋体"/>
          <w:bCs/>
          <w:color w:val="auto"/>
          <w:sz w:val="22"/>
          <w:highlight w:val="none"/>
          <w:u w:val="single"/>
        </w:rPr>
        <w:t>对本工程质量、工期、进度、安全、文明施工及材料和设备进场进行监督检查；对涉及工期延长、设计变更和现场收方等的相关事项作出处理；办理中间交工工程验收手续；协调施工现场及外部有关事宜</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454ADFE0">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76" w:name="_Toc533432729"/>
      <w:bookmarkStart w:id="177" w:name="_Toc12975894"/>
      <w:bookmarkStart w:id="178" w:name="_Toc395382506"/>
      <w:r>
        <w:rPr>
          <w:rFonts w:hint="eastAsia" w:ascii="宋体" w:hAnsi="宋体" w:cs="宋体"/>
          <w:color w:val="auto"/>
          <w:sz w:val="22"/>
          <w:szCs w:val="22"/>
          <w:highlight w:val="none"/>
        </w:rPr>
        <w:t>2.4 施工现场、施工条件和基础资料的提供</w:t>
      </w:r>
      <w:bookmarkEnd w:id="176"/>
      <w:bookmarkEnd w:id="177"/>
      <w:bookmarkEnd w:id="178"/>
    </w:p>
    <w:p w14:paraId="04D601F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2.4.1 提供施工现场</w:t>
      </w:r>
    </w:p>
    <w:p w14:paraId="637ACB52">
      <w:pPr>
        <w:pStyle w:val="416"/>
        <w:pageBreakBefore w:val="0"/>
        <w:kinsoku/>
        <w:overflowPunct/>
        <w:topLinePunct w:val="0"/>
        <w:bidi w:val="0"/>
        <w:spacing w:line="400" w:lineRule="exact"/>
        <w:ind w:firstLine="440" w:firstLineChars="200"/>
        <w:jc w:val="left"/>
        <w:rPr>
          <w:rFonts w:hint="eastAsia" w:ascii="宋体" w:hAnsi="宋体" w:cs="宋体"/>
          <w:b/>
          <w:color w:val="auto"/>
          <w:sz w:val="22"/>
          <w:szCs w:val="22"/>
          <w:highlight w:val="none"/>
        </w:rPr>
      </w:pPr>
      <w:r>
        <w:rPr>
          <w:rFonts w:hint="eastAsia" w:ascii="宋体" w:hAnsi="宋体" w:cs="宋体"/>
          <w:color w:val="auto"/>
          <w:sz w:val="22"/>
          <w:szCs w:val="22"/>
          <w:highlight w:val="none"/>
        </w:rPr>
        <w:t>关于发包人移交施工现场的期限要求：</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发包人应最迟于开工</w:t>
      </w:r>
      <w:r>
        <w:rPr>
          <w:rFonts w:hint="eastAsia" w:ascii="宋体" w:hAnsi="宋体" w:cs="宋体"/>
          <w:color w:val="auto"/>
          <w:sz w:val="22"/>
          <w:szCs w:val="22"/>
          <w:highlight w:val="none"/>
          <w:u w:val="single"/>
        </w:rPr>
        <w:t>日期</w:t>
      </w:r>
      <w:r>
        <w:rPr>
          <w:rFonts w:hint="eastAsia" w:ascii="宋体" w:hAnsi="宋体" w:cs="宋体"/>
          <w:color w:val="auto"/>
          <w:sz w:val="22"/>
          <w:szCs w:val="22"/>
          <w:highlight w:val="none"/>
          <w:u w:val="single"/>
          <w:lang w:val="en-US" w:eastAsia="zh-CN"/>
        </w:rPr>
        <w:t>14</w:t>
      </w:r>
      <w:r>
        <w:rPr>
          <w:rFonts w:hint="eastAsia" w:ascii="宋体" w:hAnsi="宋体" w:cs="宋体"/>
          <w:color w:val="auto"/>
          <w:sz w:val="22"/>
          <w:szCs w:val="22"/>
          <w:highlight w:val="none"/>
          <w:u w:val="single"/>
        </w:rPr>
        <w:t>天前</w:t>
      </w:r>
      <w:r>
        <w:rPr>
          <w:rFonts w:hint="eastAsia" w:ascii="宋体" w:hAnsi="宋体" w:cs="宋体"/>
          <w:color w:val="auto"/>
          <w:sz w:val="22"/>
          <w:szCs w:val="22"/>
          <w:highlight w:val="none"/>
          <w:u w:val="single"/>
        </w:rPr>
        <w:t>向承包人移交部分施工现场。发包人根据征地进展安排，分期(也可以一次)将施工所需的永久占地办妥征用以及拆迁赔偿手续，通知承包人使用，以使承包人能够连续不间断地施工</w:t>
      </w:r>
      <w:r>
        <w:rPr>
          <w:rFonts w:hint="eastAsia" w:ascii="宋体" w:hAnsi="宋体" w:cs="宋体"/>
          <w:color w:val="auto"/>
          <w:sz w:val="22"/>
          <w:szCs w:val="22"/>
          <w:highlight w:val="none"/>
          <w:u w:val="none"/>
        </w:rPr>
        <w:t>。</w:t>
      </w:r>
    </w:p>
    <w:p w14:paraId="71E85B28">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本工程可供承包人使用的场地仅为经规划部门批准</w:t>
      </w:r>
      <w:r>
        <w:rPr>
          <w:rFonts w:hint="eastAsia" w:ascii="宋体" w:hAnsi="宋体" w:cs="宋体"/>
          <w:color w:val="auto"/>
          <w:sz w:val="22"/>
          <w:szCs w:val="22"/>
          <w:highlight w:val="none"/>
        </w:rPr>
        <w:t>的</w:t>
      </w:r>
      <w:r>
        <w:rPr>
          <w:rFonts w:hint="eastAsia" w:ascii="宋体" w:hAnsi="宋体" w:cs="宋体"/>
          <w:color w:val="auto"/>
          <w:sz w:val="22"/>
          <w:szCs w:val="22"/>
          <w:highlight w:val="none"/>
        </w:rPr>
        <w:t>红线范围或借地范围（具体以发包人提供的初步设计文件及资料为准），承包人应无条件接受现场条件。超出上述范围需要使用的场地，均由承包人自行解决，并自行办妥一切需要办理的手续，由此引起的一切纠纷、事故和赔偿责任，均由承包人承担。如果由于发包人未能按照本款规定办妥永久占地征用手续，而影响承包人工程的施工，承包人须及时调整工程施工组织安排并报监理人批准，合理组织和安排工程施工。因此导致承包人延误工期或增加费用时，发包人仅考虑适当延长工期作为补偿。</w:t>
      </w:r>
    </w:p>
    <w:p w14:paraId="510D29C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2.4.2 提供施工条件</w:t>
      </w:r>
    </w:p>
    <w:p w14:paraId="6F6632B1">
      <w:pPr>
        <w:pStyle w:val="416"/>
        <w:pageBreakBefore w:val="0"/>
        <w:kinsoku/>
        <w:overflowPunct/>
        <w:topLinePunct w:val="0"/>
        <w:bidi w:val="0"/>
        <w:spacing w:line="400" w:lineRule="exact"/>
        <w:ind w:firstLine="440" w:firstLineChars="200"/>
        <w:rPr>
          <w:rFonts w:hint="eastAsia" w:ascii="宋体" w:hAnsi="宋体" w:cs="宋体"/>
          <w:bCs/>
          <w:color w:val="auto"/>
          <w:sz w:val="22"/>
          <w:szCs w:val="22"/>
          <w:highlight w:val="none"/>
          <w:u w:val="single"/>
        </w:rPr>
      </w:pPr>
      <w:r>
        <w:rPr>
          <w:rFonts w:hint="eastAsia" w:ascii="宋体" w:hAnsi="宋体" w:cs="宋体"/>
          <w:color w:val="auto"/>
          <w:sz w:val="22"/>
          <w:szCs w:val="22"/>
          <w:highlight w:val="none"/>
        </w:rPr>
        <w:t>关于发包人应负责提供施工所需要的条件，包括：</w:t>
      </w:r>
      <w:r>
        <w:rPr>
          <w:rFonts w:hint="eastAsia" w:ascii="宋体" w:hAnsi="宋体" w:cs="宋体"/>
          <w:bCs/>
          <w:color w:val="auto"/>
          <w:sz w:val="22"/>
          <w:szCs w:val="22"/>
          <w:highlight w:val="none"/>
          <w:u w:val="single"/>
        </w:rPr>
        <w:t>施工所需的水、电、气、通讯等管线接至施工场地的均由承包人自行负责，并承担相关费用。若供电和供水部门的原因造成停电停水或承包人未能及时报装，承包人必须自行解决，费用由承包人负责。发包人的协助不能免除或减轻承包人的任何责任</w:t>
      </w:r>
      <w:r>
        <w:rPr>
          <w:rFonts w:hint="eastAsia" w:ascii="宋体" w:hAnsi="宋体" w:cs="宋体"/>
          <w:bCs/>
          <w:color w:val="auto"/>
          <w:sz w:val="22"/>
          <w:szCs w:val="22"/>
          <w:highlight w:val="none"/>
          <w:u w:val="none"/>
        </w:rPr>
        <w:t>。</w:t>
      </w:r>
    </w:p>
    <w:p w14:paraId="1EFD59C7">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临时占地属于本合同内容的一部分，费用已包含在合同总价中，临时占地由承包人向当地政府土地管理部门申请，并办理租用手续，承包人按有关规定直接支付其费用。</w:t>
      </w:r>
    </w:p>
    <w:p w14:paraId="2BCCFF8A">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临时占地范围包括承包人驻地的办公室、食堂、宿舍、道路和机械设备停放场、材料堆放场地、取土场、弃土场、预制场、拌和场、仓库、进场临时道路、临时便道、便桥等与本工程有关的临时占地。承包人应在“临时占地计划表”范围内按实际需要与先后次序，提出具体计划报监理人和发包人。临时占地的面积和使用期应满足工程需要，费用包括临时占地数量、时间及因此而发生的协调、租用、复耕、地面附着物的拆迁补偿等相关费用。尽管承包人按照磋商文件中的“临时占地计划表”所述用地开展施工，但仍不满足实际需要时，承包人需自费增加临时占地的面积和使用期。</w:t>
      </w:r>
    </w:p>
    <w:p w14:paraId="40157FEE">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临时占地退还前，承包人应自费恢复到临时占地使用前的状况。如因承包人撤离后未按要求对临时占地进行恢复或虽进行了恢复但未达到使用标准的，将由发包人委托第三方对其恢复，所发生的费用将从应付或拟付给承包人的任何款项内扣除</w:t>
      </w:r>
      <w:r>
        <w:rPr>
          <w:rFonts w:hint="eastAsia" w:ascii="宋体" w:hAnsi="宋体" w:cs="宋体"/>
          <w:color w:val="auto"/>
          <w:sz w:val="22"/>
          <w:szCs w:val="22"/>
          <w:highlight w:val="none"/>
          <w:u w:val="none"/>
        </w:rPr>
        <w:t>。</w:t>
      </w:r>
    </w:p>
    <w:p w14:paraId="0368FF9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79" w:name="_Toc395382507"/>
      <w:bookmarkStart w:id="180" w:name="_Toc12975895"/>
      <w:bookmarkStart w:id="181" w:name="_Toc533432730"/>
      <w:r>
        <w:rPr>
          <w:rFonts w:hint="eastAsia" w:ascii="宋体" w:hAnsi="宋体" w:cs="宋体"/>
          <w:color w:val="auto"/>
          <w:sz w:val="22"/>
          <w:szCs w:val="22"/>
          <w:highlight w:val="none"/>
        </w:rPr>
        <w:t>2.5 资金来源证明及支付担保</w:t>
      </w:r>
      <w:bookmarkEnd w:id="179"/>
      <w:bookmarkEnd w:id="180"/>
      <w:bookmarkEnd w:id="181"/>
    </w:p>
    <w:p w14:paraId="6C210067">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发包人提供资金来源证明的期限要求：</w:t>
      </w:r>
      <w:r>
        <w:rPr>
          <w:rFonts w:hint="eastAsia" w:ascii="宋体" w:hAnsi="宋体" w:cs="宋体"/>
          <w:color w:val="auto"/>
          <w:sz w:val="22"/>
          <w:highlight w:val="none"/>
          <w:u w:val="single"/>
        </w:rPr>
        <w:t xml:space="preserve">不提供  </w:t>
      </w:r>
      <w:r>
        <w:rPr>
          <w:rFonts w:hint="eastAsia" w:ascii="宋体" w:hAnsi="宋体" w:cs="宋体"/>
          <w:color w:val="auto"/>
          <w:sz w:val="22"/>
          <w:highlight w:val="none"/>
        </w:rPr>
        <w:t>。</w:t>
      </w:r>
    </w:p>
    <w:p w14:paraId="074F2839">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发包人是否提供支付担保：</w:t>
      </w:r>
      <w:r>
        <w:rPr>
          <w:rFonts w:hint="eastAsia" w:ascii="宋体" w:hAnsi="宋体" w:cs="宋体"/>
          <w:color w:val="auto"/>
          <w:sz w:val="22"/>
          <w:highlight w:val="none"/>
          <w:u w:val="single"/>
        </w:rPr>
        <w:t xml:space="preserve">不提供  </w:t>
      </w:r>
      <w:r>
        <w:rPr>
          <w:rFonts w:hint="eastAsia" w:ascii="宋体" w:hAnsi="宋体" w:cs="宋体"/>
          <w:color w:val="auto"/>
          <w:sz w:val="22"/>
          <w:highlight w:val="none"/>
        </w:rPr>
        <w:t>。</w:t>
      </w:r>
    </w:p>
    <w:p w14:paraId="160FA82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发包人提供支付担保的形式：</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378D4EDF">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p>
    <w:p w14:paraId="2E1CAEB4">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182" w:name="_Toc395382508"/>
      <w:bookmarkStart w:id="183" w:name="_Toc12975896"/>
      <w:bookmarkStart w:id="184" w:name="_Toc533432731"/>
      <w:r>
        <w:rPr>
          <w:rFonts w:hint="eastAsia" w:ascii="宋体" w:hAnsi="宋体" w:cs="宋体"/>
          <w:color w:val="auto"/>
          <w:sz w:val="22"/>
          <w:szCs w:val="22"/>
          <w:highlight w:val="none"/>
        </w:rPr>
        <w:t>3. 承包人</w:t>
      </w:r>
      <w:bookmarkEnd w:id="182"/>
      <w:bookmarkEnd w:id="183"/>
      <w:bookmarkEnd w:id="184"/>
    </w:p>
    <w:p w14:paraId="21E5405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85" w:name="_Toc12975897"/>
      <w:bookmarkStart w:id="186" w:name="_Toc533432732"/>
      <w:bookmarkStart w:id="187" w:name="_Toc395382509"/>
      <w:r>
        <w:rPr>
          <w:rFonts w:hint="eastAsia" w:ascii="宋体" w:hAnsi="宋体" w:cs="宋体"/>
          <w:color w:val="auto"/>
          <w:sz w:val="22"/>
          <w:szCs w:val="22"/>
          <w:highlight w:val="none"/>
        </w:rPr>
        <w:t>3.1 承包人的一般义务</w:t>
      </w:r>
      <w:bookmarkEnd w:id="185"/>
      <w:bookmarkEnd w:id="186"/>
      <w:bookmarkEnd w:id="187"/>
    </w:p>
    <w:p w14:paraId="75911BD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（9）</w:t>
      </w:r>
      <w:r>
        <w:rPr>
          <w:rFonts w:hint="eastAsia" w:ascii="宋体" w:hAnsi="宋体" w:cs="宋体"/>
          <w:color w:val="auto"/>
          <w:sz w:val="22"/>
          <w:highlight w:val="none"/>
        </w:rPr>
        <w:t>承包人提交的竣工资料的内容：</w:t>
      </w:r>
      <w:r>
        <w:rPr>
          <w:rFonts w:hint="eastAsia" w:ascii="宋体" w:hAnsi="宋体" w:cs="宋体"/>
          <w:color w:val="auto"/>
          <w:sz w:val="22"/>
          <w:highlight w:val="none"/>
          <w:u w:val="single"/>
        </w:rPr>
        <w:t>工程施工技术资料、工程质量资料、工程检验评定资料、竣工图，项目所在地建设主管部门规定的其他应交资料</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063709D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承包人需要提交的竣工资料套数：</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四套</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4B30BAD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承包人提交的竣工资料的费用承担：</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由承包人承担</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5737E27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承包人提交的竣工资料移交时间：</w:t>
      </w:r>
      <w:r>
        <w:rPr>
          <w:rFonts w:hint="eastAsia" w:ascii="宋体" w:hAnsi="宋体" w:cs="宋体"/>
          <w:color w:val="auto"/>
          <w:sz w:val="22"/>
          <w:highlight w:val="none"/>
          <w:u w:val="single"/>
        </w:rPr>
        <w:t xml:space="preserve">竣工验收合格之日起30天内 </w:t>
      </w:r>
      <w:r>
        <w:rPr>
          <w:rFonts w:hint="eastAsia" w:ascii="宋体" w:hAnsi="宋体" w:cs="宋体"/>
          <w:color w:val="auto"/>
          <w:sz w:val="22"/>
          <w:highlight w:val="none"/>
        </w:rPr>
        <w:t>。</w:t>
      </w:r>
    </w:p>
    <w:p w14:paraId="6F49295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承包人提交的竣工资料形式要求：</w:t>
      </w:r>
      <w:r>
        <w:rPr>
          <w:rFonts w:hint="eastAsia" w:ascii="宋体" w:hAnsi="宋体" w:cs="宋体"/>
          <w:color w:val="auto"/>
          <w:sz w:val="22"/>
          <w:highlight w:val="none"/>
          <w:u w:val="single"/>
        </w:rPr>
        <w:t>书</w:t>
      </w:r>
      <w:r>
        <w:rPr>
          <w:rFonts w:hint="eastAsia" w:ascii="宋体" w:hAnsi="宋体" w:cs="宋体"/>
          <w:color w:val="auto"/>
          <w:sz w:val="22"/>
          <w:highlight w:val="none"/>
          <w:u w:val="single"/>
        </w:rPr>
        <w:t>面</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含电子扫描版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及电子文</w:t>
      </w:r>
      <w:r>
        <w:rPr>
          <w:rFonts w:hint="eastAsia" w:ascii="宋体" w:hAnsi="宋体" w:cs="宋体"/>
          <w:color w:val="auto"/>
          <w:sz w:val="22"/>
          <w:highlight w:val="none"/>
          <w:u w:val="single"/>
        </w:rPr>
        <w:t xml:space="preserve">档 </w:t>
      </w:r>
      <w:r>
        <w:rPr>
          <w:rFonts w:hint="eastAsia" w:ascii="宋体" w:hAnsi="宋体" w:cs="宋体"/>
          <w:color w:val="auto"/>
          <w:sz w:val="22"/>
          <w:highlight w:val="none"/>
        </w:rPr>
        <w:t>。</w:t>
      </w:r>
    </w:p>
    <w:p w14:paraId="02E9E3EF">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（10）承包人应履行的其他义务：</w:t>
      </w:r>
      <w:r>
        <w:rPr>
          <w:rFonts w:hint="eastAsia" w:ascii="宋体" w:hAnsi="宋体" w:cs="宋体"/>
          <w:color w:val="auto"/>
          <w:kern w:val="0"/>
          <w:sz w:val="22"/>
          <w:szCs w:val="22"/>
          <w:highlight w:val="none"/>
          <w:u w:val="single"/>
        </w:rPr>
        <w:t>1）协调处理施工场地内及场地周围地下管线和邻近市政公用物、构筑物（含文物保护市政公用）、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市政公用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承包人须在现场踏勘的基础上充分考虑场内临时道路的施工维护，并在合同总价中包含。7) 档案管理要求：</w:t>
      </w:r>
    </w:p>
    <w:p w14:paraId="54F5D7A4">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①承包人应设置负责施工档案管理的负责人。</w:t>
      </w:r>
    </w:p>
    <w:p w14:paraId="6E6ECE41">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②承包人应确保本单位施工档案的形</w:t>
      </w:r>
      <w:r>
        <w:rPr>
          <w:rFonts w:hint="eastAsia" w:ascii="宋体" w:hAnsi="宋体" w:cs="宋体"/>
          <w:color w:val="auto"/>
          <w:kern w:val="0"/>
          <w:sz w:val="22"/>
          <w:szCs w:val="22"/>
          <w:highlight w:val="none"/>
          <w:u w:val="single"/>
        </w:rPr>
        <w:t>成与施工进度同步，发包人在支付进度款时</w:t>
      </w:r>
      <w:r>
        <w:rPr>
          <w:rFonts w:hint="eastAsia" w:ascii="宋体" w:hAnsi="宋体" w:cs="宋体"/>
          <w:color w:val="auto"/>
          <w:kern w:val="0"/>
          <w:sz w:val="22"/>
          <w:szCs w:val="22"/>
          <w:highlight w:val="none"/>
          <w:u w:val="single"/>
          <w:lang w:val="en-US" w:eastAsia="zh-CN"/>
        </w:rPr>
        <w:t>同时提供施工档案（电子扫描版）</w:t>
      </w:r>
      <w:r>
        <w:rPr>
          <w:rFonts w:hint="eastAsia" w:ascii="宋体" w:hAnsi="宋体" w:cs="宋体"/>
          <w:color w:val="auto"/>
          <w:kern w:val="0"/>
          <w:sz w:val="22"/>
          <w:szCs w:val="22"/>
          <w:highlight w:val="none"/>
          <w:u w:val="single"/>
        </w:rPr>
        <w:t>，如发现档案形成未与施工进度同步，可延迟支付相应进度款，直至同步为止。</w:t>
      </w:r>
    </w:p>
    <w:p w14:paraId="0E4E2FBE">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③承包人应在发包人组织的竣工验收后30日内，将本单位施工过程中形成的所有施工档案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含电子扫描版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，经监理单位审核确认后，移交给发包人，否则发包人拒绝向其颁发工程接收证书。</w:t>
      </w:r>
    </w:p>
    <w:p w14:paraId="65E89DC8">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④承包人在发包人组织的工程竣工投产验收（初验）前，将经监理单位审核确认的施工档案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含电子扫描版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移交给发包人，是发包人完全支付除质量保证金外剩余款项</w:t>
      </w:r>
      <w:r>
        <w:rPr>
          <w:rFonts w:hint="eastAsia" w:ascii="宋体" w:hAnsi="宋体" w:cs="宋体"/>
          <w:color w:val="auto"/>
          <w:kern w:val="0"/>
          <w:sz w:val="22"/>
          <w:szCs w:val="22"/>
          <w:highlight w:val="none"/>
          <w:u w:val="single"/>
        </w:rPr>
        <w:t>的必要条件之一，否则，发包人有权扣除一定比例款项。</w:t>
      </w:r>
    </w:p>
    <w:p w14:paraId="552DBFFA">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⑤移交给发包人的施工档案应符合以下要求： </w:t>
      </w:r>
    </w:p>
    <w:p w14:paraId="47ECE47F">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移交范围：承包人在合同约定的工程施工过程中形成的所有档案，包括但不限于发包人《科技文件归档范围与整理细则》附件3所列相应的清单及所有资料的电子版；</w:t>
      </w:r>
    </w:p>
    <w:p w14:paraId="5E5D1F2A">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移交档案质量要求：移交的档案应是原件而非复印件，每份档案齐全、无漏页与破损等情况，签字与盖章手续完备，档案清晰，档案载体能长久保存。</w:t>
      </w:r>
    </w:p>
    <w:p w14:paraId="78379E3B">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承包人的项目经理部是民工工资支付行为的主体，承包人的项目经理是民工工资支付的责任人。项目经理部要建立全体民工花名册和工资支付表，确保将工资直接发放给</w:t>
      </w:r>
      <w:r>
        <w:rPr>
          <w:rFonts w:hint="eastAsia" w:ascii="宋体" w:hAnsi="宋体" w:cs="宋体"/>
          <w:color w:val="auto"/>
          <w:sz w:val="22"/>
          <w:szCs w:val="22"/>
          <w:highlight w:val="none"/>
          <w:u w:val="single"/>
          <w:lang w:val="en-US" w:eastAsia="zh-CN"/>
        </w:rPr>
        <w:t>农</w:t>
      </w:r>
      <w:r>
        <w:rPr>
          <w:rFonts w:hint="eastAsia" w:ascii="宋体" w:hAnsi="宋体" w:cs="宋体"/>
          <w:color w:val="auto"/>
          <w:sz w:val="22"/>
          <w:szCs w:val="22"/>
          <w:highlight w:val="none"/>
          <w:u w:val="single"/>
        </w:rPr>
        <w:t>民</w:t>
      </w:r>
      <w:r>
        <w:rPr>
          <w:rFonts w:hint="eastAsia" w:ascii="宋体" w:hAnsi="宋体" w:cs="宋体"/>
          <w:color w:val="auto"/>
          <w:sz w:val="22"/>
          <w:szCs w:val="22"/>
          <w:highlight w:val="none"/>
          <w:u w:val="single"/>
        </w:rPr>
        <w:t>工本人，或委托银行发放民工工资，严禁发放给“包工头”或其他不具备用工主体资格的组织和个人。</w:t>
      </w:r>
    </w:p>
    <w:p w14:paraId="12EC0E6A">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工资支付表应如实记录支付单位、支付时</w:t>
      </w:r>
      <w:r>
        <w:rPr>
          <w:rFonts w:hint="eastAsia" w:ascii="宋体" w:hAnsi="宋体" w:cs="宋体"/>
          <w:color w:val="auto"/>
          <w:sz w:val="22"/>
          <w:szCs w:val="22"/>
          <w:highlight w:val="none"/>
          <w:u w:val="single"/>
        </w:rPr>
        <w:t>间、支付对象、支付数额、支付对象的身份证号</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工种、联系电话</w:t>
      </w:r>
      <w:r>
        <w:rPr>
          <w:rFonts w:hint="eastAsia" w:ascii="宋体" w:hAnsi="宋体" w:cs="宋体"/>
          <w:color w:val="auto"/>
          <w:sz w:val="22"/>
          <w:szCs w:val="22"/>
          <w:highlight w:val="none"/>
          <w:u w:val="single"/>
        </w:rPr>
        <w:t>和签字等信息。民工花名册和工资支付表应报监理人</w:t>
      </w:r>
      <w:r>
        <w:rPr>
          <w:rFonts w:hint="eastAsia" w:ascii="宋体" w:hAnsi="宋体" w:cs="宋体"/>
          <w:color w:val="auto"/>
          <w:sz w:val="22"/>
          <w:szCs w:val="22"/>
          <w:highlight w:val="none"/>
          <w:u w:val="single"/>
          <w:lang w:val="en-US" w:eastAsia="zh-CN"/>
        </w:rPr>
        <w:t>签字、</w:t>
      </w:r>
      <w:r>
        <w:rPr>
          <w:rFonts w:hint="eastAsia" w:ascii="宋体" w:hAnsi="宋体" w:cs="宋体"/>
          <w:color w:val="auto"/>
          <w:sz w:val="22"/>
          <w:szCs w:val="22"/>
          <w:highlight w:val="none"/>
          <w:u w:val="single"/>
        </w:rPr>
        <w:t>备查</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在申请工程款时同时提交一份给发包方</w:t>
      </w:r>
      <w:r>
        <w:rPr>
          <w:rFonts w:hint="eastAsia" w:ascii="宋体" w:hAnsi="宋体" w:cs="宋体"/>
          <w:color w:val="auto"/>
          <w:sz w:val="22"/>
          <w:szCs w:val="22"/>
          <w:highlight w:val="none"/>
          <w:u w:val="single"/>
        </w:rPr>
        <w:t>。</w:t>
      </w:r>
    </w:p>
    <w:p w14:paraId="7FB3539D">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承包人需根据国家相关法律法规要求提供正式的二次设计施工图及相关计算书，包括但不限于：设计说明、立面图、平面图、大样图、节点图及计算书等。此项费用已包含在合同总价中，承包人不得再要求发包人承担。</w:t>
      </w:r>
    </w:p>
    <w:p w14:paraId="0AF0C526">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财政局和审计局在处理本项目的造价文件时，可能由于核减率超过相应范围，尽管造成超出部分评审费名义上理应由发包人承担，但由于此部分费用是承包人主张追加合同价款造成的，因此此部分费用双方约定由承包人承担。</w:t>
      </w:r>
    </w:p>
    <w:p w14:paraId="03DF96E7">
      <w:pPr>
        <w:pStyle w:val="416"/>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sz w:val="22"/>
          <w:szCs w:val="22"/>
          <w:highlight w:val="none"/>
          <w:u w:val="single"/>
        </w:rPr>
        <w:t>发包人不提供取土和弃土场，承包人自行解决，并且需符合相关规定要求。</w:t>
      </w:r>
    </w:p>
    <w:p w14:paraId="6535AF81">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88" w:name="_Toc395382510"/>
      <w:bookmarkStart w:id="189" w:name="_Toc12975898"/>
      <w:bookmarkStart w:id="190" w:name="_Toc533432733"/>
      <w:r>
        <w:rPr>
          <w:rFonts w:hint="eastAsia" w:ascii="宋体" w:hAnsi="宋体" w:cs="宋体"/>
          <w:color w:val="auto"/>
          <w:sz w:val="22"/>
          <w:szCs w:val="22"/>
          <w:highlight w:val="none"/>
        </w:rPr>
        <w:t>3.2 项目经理</w:t>
      </w:r>
      <w:bookmarkEnd w:id="188"/>
      <w:bookmarkEnd w:id="189"/>
      <w:bookmarkEnd w:id="190"/>
    </w:p>
    <w:p w14:paraId="66F8A18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rPr>
        <w:t xml:space="preserve">3.2.1 </w:t>
      </w:r>
      <w:r>
        <w:rPr>
          <w:rFonts w:hint="eastAsia" w:ascii="宋体" w:hAnsi="宋体" w:cs="宋体"/>
          <w:color w:val="auto"/>
          <w:sz w:val="22"/>
          <w:highlight w:val="none"/>
        </w:rPr>
        <w:t>项目经理：</w:t>
      </w:r>
    </w:p>
    <w:p w14:paraId="2FEBCCA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姓    名：</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75DB108D">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身份证号：</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709F785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建造师执业资格等级：</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268DA70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建造师注册证书号：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118DA0F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建造师执业印章号：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08F87DE6">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安全生产考核合格证书号：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3F954707">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广西建筑市场诚信卡卡号：</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7D54D7DD">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4007A5CA">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701067FE">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526D653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 xml:space="preserve">承包人对项目经理的授权范围如下：  </w:t>
      </w:r>
      <w:r>
        <w:rPr>
          <w:rFonts w:hint="eastAsia" w:ascii="宋体" w:hAnsi="宋体" w:cs="宋体"/>
          <w:color w:val="auto"/>
          <w:sz w:val="22"/>
          <w:highlight w:val="none"/>
          <w:u w:val="single"/>
        </w:rPr>
        <w:t>代表承包人全面履行合同，但仅限于工程的现场施工管理，但未经过承包</w:t>
      </w:r>
      <w:r>
        <w:rPr>
          <w:rFonts w:hint="eastAsia" w:ascii="宋体" w:hAnsi="宋体" w:cs="宋体"/>
          <w:color w:val="auto"/>
          <w:sz w:val="22"/>
          <w:highlight w:val="none"/>
          <w:u w:val="single"/>
        </w:rPr>
        <w:t>人签</w:t>
      </w:r>
      <w:r>
        <w:rPr>
          <w:rFonts w:hint="eastAsia" w:ascii="宋体" w:hAnsi="宋体" w:cs="宋体"/>
          <w:color w:val="auto"/>
          <w:sz w:val="22"/>
          <w:highlight w:val="none"/>
          <w:u w:val="single"/>
          <w:lang w:val="en-US" w:eastAsia="zh-CN"/>
        </w:rPr>
        <w:t>字</w:t>
      </w:r>
      <w:r>
        <w:rPr>
          <w:rFonts w:hint="eastAsia" w:ascii="宋体" w:hAnsi="宋体" w:cs="宋体"/>
          <w:color w:val="auto"/>
          <w:sz w:val="22"/>
          <w:highlight w:val="none"/>
          <w:u w:val="single"/>
        </w:rPr>
        <w:t>、盖章同意，不得以承包人名义向外采购材料设备、租用建筑周转材料、雇佣劳动力、签订分包合同等从事一切为</w:t>
      </w:r>
      <w:r>
        <w:rPr>
          <w:rFonts w:hint="eastAsia" w:ascii="宋体" w:hAnsi="宋体" w:cs="宋体"/>
          <w:color w:val="auto"/>
          <w:sz w:val="22"/>
          <w:highlight w:val="none"/>
          <w:u w:val="single"/>
        </w:rPr>
        <w:t>承包人设立义务或责任的行为</w:t>
      </w:r>
      <w:r>
        <w:rPr>
          <w:rFonts w:hint="eastAsia" w:ascii="宋体" w:hAnsi="宋体" w:cs="宋体"/>
          <w:color w:val="auto"/>
          <w:sz w:val="22"/>
          <w:highlight w:val="none"/>
        </w:rPr>
        <w:t>。</w:t>
      </w:r>
    </w:p>
    <w:p w14:paraId="459B7216">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关于项目经理每月在施工现场的时间要求：</w:t>
      </w:r>
      <w:r>
        <w:rPr>
          <w:rFonts w:hint="eastAsia" w:ascii="宋体" w:hAnsi="宋体" w:cs="宋体"/>
          <w:color w:val="auto"/>
          <w:sz w:val="22"/>
          <w:highlight w:val="none"/>
          <w:u w:val="single"/>
        </w:rPr>
        <w:t>21天以上，如磋商文件承诺时间超过21天的，按磋商文件执行</w:t>
      </w:r>
      <w:r>
        <w:rPr>
          <w:rFonts w:hint="eastAsia" w:ascii="宋体" w:hAnsi="宋体" w:cs="宋体"/>
          <w:color w:val="auto"/>
          <w:sz w:val="22"/>
          <w:highlight w:val="none"/>
        </w:rPr>
        <w:t>。</w:t>
      </w:r>
    </w:p>
    <w:p w14:paraId="1225B7F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kern w:val="0"/>
          <w:sz w:val="22"/>
          <w:highlight w:val="none"/>
        </w:rPr>
        <w:t>承包人未提交劳动合同，以及没有为项目经理缴纳社会保险证明的违约责任：</w:t>
      </w:r>
      <w:r>
        <w:rPr>
          <w:rFonts w:hint="eastAsia" w:ascii="宋体" w:hAnsi="宋体" w:cs="宋体"/>
          <w:color w:val="auto"/>
          <w:sz w:val="22"/>
          <w:highlight w:val="none"/>
          <w:u w:val="single"/>
        </w:rPr>
        <w:t>处以3万元罚款，责令限期提交劳动合同并补缴社会保险</w:t>
      </w:r>
      <w:r>
        <w:rPr>
          <w:rFonts w:hint="eastAsia" w:ascii="宋体" w:hAnsi="宋体" w:cs="宋体"/>
          <w:color w:val="auto"/>
          <w:sz w:val="22"/>
          <w:highlight w:val="none"/>
        </w:rPr>
        <w:t>。</w:t>
      </w:r>
    </w:p>
    <w:p w14:paraId="2264D6E2">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kern w:val="0"/>
          <w:sz w:val="22"/>
          <w:highlight w:val="none"/>
        </w:rPr>
        <w:t>项目经理未经批准，擅自离开施工现场的违约责任：</w:t>
      </w:r>
      <w:r>
        <w:rPr>
          <w:rFonts w:hint="eastAsia" w:ascii="宋体" w:hAnsi="宋体" w:cs="宋体"/>
          <w:color w:val="auto"/>
          <w:sz w:val="22"/>
          <w:highlight w:val="none"/>
          <w:u w:val="single"/>
        </w:rPr>
        <w:t>未经发包人同意或正当理由，项目经理每月在岗带班时间少于每月在施工现场的时间要求的，少在岗带班一天，发包人有权处违约金5000元/日（人民币）</w:t>
      </w:r>
      <w:r>
        <w:rPr>
          <w:rFonts w:hint="eastAsia" w:ascii="宋体" w:hAnsi="宋体" w:cs="宋体"/>
          <w:color w:val="auto"/>
          <w:sz w:val="22"/>
          <w:highlight w:val="none"/>
        </w:rPr>
        <w:t>。</w:t>
      </w:r>
    </w:p>
    <w:p w14:paraId="51C77D64">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3.2.3 承包人擅自更换项目经理的违约责任：</w:t>
      </w:r>
      <w:r>
        <w:rPr>
          <w:rFonts w:hint="eastAsia" w:ascii="宋体" w:hAnsi="宋体" w:cs="宋体"/>
          <w:color w:val="auto"/>
          <w:sz w:val="22"/>
          <w:highlight w:val="none"/>
          <w:u w:val="single"/>
        </w:rPr>
        <w:t>承包人项目经理必须与承包人磋商时所承诺的人员一致，并在 本工程开工前到任。在监理人向承包人颁发经发包人签认的竣工验收证书前，项目经理不得同时兼任其他任何项目的项目经理</w:t>
      </w:r>
      <w:r>
        <w:rPr>
          <w:rFonts w:hint="eastAsia" w:ascii="宋体" w:hAnsi="宋体" w:cs="宋体"/>
          <w:color w:val="auto"/>
          <w:kern w:val="0"/>
          <w:sz w:val="22"/>
          <w:highlight w:val="none"/>
          <w:u w:val="single"/>
        </w:rPr>
        <w:t>（符合桂建管</w:t>
      </w:r>
      <w:r>
        <w:rPr>
          <w:rFonts w:hint="eastAsia" w:ascii="宋体" w:hAnsi="宋体" w:cs="宋体"/>
          <w:color w:val="auto"/>
          <w:sz w:val="22"/>
          <w:highlight w:val="none"/>
          <w:u w:val="single"/>
        </w:rPr>
        <w:t>﹝2013﹞</w:t>
      </w:r>
      <w:r>
        <w:rPr>
          <w:rFonts w:hint="eastAsia" w:ascii="宋体" w:hAnsi="宋体" w:cs="宋体"/>
          <w:color w:val="auto"/>
          <w:kern w:val="0"/>
          <w:sz w:val="22"/>
          <w:highlight w:val="none"/>
          <w:u w:val="single"/>
        </w:rPr>
        <w:t>17号和</w:t>
      </w:r>
      <w:r>
        <w:rPr>
          <w:rFonts w:hint="eastAsia" w:ascii="宋体" w:hAnsi="宋体" w:cs="宋体"/>
          <w:color w:val="auto"/>
          <w:sz w:val="22"/>
          <w:highlight w:val="none"/>
          <w:u w:val="single"/>
        </w:rPr>
        <w:t>桂建管﹝2014﹞25号</w:t>
      </w:r>
      <w:r>
        <w:rPr>
          <w:rFonts w:hint="eastAsia" w:ascii="宋体" w:hAnsi="宋体" w:cs="宋体"/>
          <w:color w:val="auto"/>
          <w:kern w:val="0"/>
          <w:sz w:val="22"/>
          <w:highlight w:val="none"/>
          <w:u w:val="single"/>
        </w:rPr>
        <w:t>文除外）</w:t>
      </w:r>
      <w:r>
        <w:rPr>
          <w:rFonts w:hint="eastAsia" w:ascii="宋体" w:hAnsi="宋体" w:cs="宋体"/>
          <w:color w:val="auto"/>
          <w:sz w:val="22"/>
          <w:highlight w:val="none"/>
          <w:u w:val="single"/>
        </w:rPr>
        <w:t>。未经发包人书面同意，承包人擅自更换项目经理的视为违约，违约金处20000元/人•次（人民币）</w:t>
      </w:r>
      <w:r>
        <w:rPr>
          <w:rFonts w:hint="eastAsia" w:ascii="宋体" w:hAnsi="宋体" w:cs="宋体"/>
          <w:color w:val="auto"/>
          <w:sz w:val="22"/>
          <w:highlight w:val="none"/>
        </w:rPr>
        <w:t>。</w:t>
      </w:r>
    </w:p>
    <w:p w14:paraId="79091D1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3.2.4 承包人无正当理由拒绝更换项目经理的违约责任：</w:t>
      </w:r>
      <w:r>
        <w:rPr>
          <w:rFonts w:hint="eastAsia" w:ascii="宋体" w:hAnsi="宋体" w:cs="宋体"/>
          <w:color w:val="auto"/>
          <w:sz w:val="22"/>
          <w:highlight w:val="none"/>
          <w:u w:val="single"/>
        </w:rPr>
        <w:t>因承包人项目经理不称职（项目管理机构人员不称职的定义包括但不限于：本项目出现偷工减料现象的、出现人员死亡事故的、重复出现相同质量事故或出现问题不积极整改的、被相关部门要求停工整改的、进度</w:t>
      </w:r>
      <w:r>
        <w:rPr>
          <w:rFonts w:hint="eastAsia" w:ascii="宋体" w:hAnsi="宋体" w:cs="宋体"/>
          <w:color w:val="auto"/>
          <w:sz w:val="22"/>
          <w:highlight w:val="none"/>
          <w:u w:val="single"/>
        </w:rPr>
        <w:t>比原计划滞后</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0天以上的、拒绝执行监理人或发包人指令的、违反合同约定及相关规定擅自离开施工现场累计超过</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0天的、现场安全文明施工未达到规定要求的、出现打架斗殴的、违反相关法律法规的其他情形。），发包人要求调换而未及时调换的，视为承包人违约，必须</w:t>
      </w:r>
      <w:r>
        <w:rPr>
          <w:rFonts w:hint="eastAsia" w:ascii="宋体" w:hAnsi="宋体" w:cs="宋体"/>
          <w:color w:val="auto"/>
          <w:sz w:val="22"/>
          <w:highlight w:val="none"/>
          <w:u w:val="single"/>
        </w:rPr>
        <w:t>向发包人交纳处罚金20000元/人•次（人民币）</w:t>
      </w:r>
      <w:r>
        <w:rPr>
          <w:rFonts w:hint="eastAsia" w:ascii="宋体" w:hAnsi="宋体" w:cs="宋体"/>
          <w:color w:val="auto"/>
          <w:sz w:val="22"/>
          <w:highlight w:val="none"/>
        </w:rPr>
        <w:t>。</w:t>
      </w:r>
    </w:p>
    <w:p w14:paraId="57E345B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3.2.5 项目管理机构的主要人员（含项目经理、项目总工、质量员、安全员）必须是磋商文件中确认的人员，施工之后不能更换，确需更换人员的，须向发包人提出申请，并提供相关证明材料，经发包人同意后方可换人。尽管合同有其他约定，但新换项目经理及其余人员获得执业证书的时间、等级、学历、工作业绩等全部优于原项目经理。</w:t>
      </w:r>
    </w:p>
    <w:p w14:paraId="1DD25C9C">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91" w:name="_Toc12975899"/>
      <w:bookmarkStart w:id="192" w:name="_Toc533432734"/>
      <w:bookmarkStart w:id="193" w:name="_Toc395382511"/>
      <w:r>
        <w:rPr>
          <w:rFonts w:hint="eastAsia" w:ascii="宋体" w:hAnsi="宋体" w:cs="宋体"/>
          <w:color w:val="auto"/>
          <w:sz w:val="22"/>
          <w:szCs w:val="22"/>
          <w:highlight w:val="none"/>
        </w:rPr>
        <w:t>3.3 承包人人员</w:t>
      </w:r>
      <w:bookmarkEnd w:id="191"/>
      <w:bookmarkEnd w:id="192"/>
      <w:bookmarkEnd w:id="193"/>
    </w:p>
    <w:p w14:paraId="0EE95D1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3.3.1 承包人提交项目管理机构及施工现场管理人员安排报告（格式见合同附件</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）的期限：</w:t>
      </w:r>
    </w:p>
    <w:p w14:paraId="79F1A04D">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开工时间前</w:t>
      </w:r>
      <w:r>
        <w:rPr>
          <w:rFonts w:hint="eastAsia" w:ascii="宋体" w:hAnsi="宋体" w:cs="宋体"/>
          <w:color w:val="auto"/>
          <w:sz w:val="22"/>
          <w:highlight w:val="none"/>
          <w:u w:val="single"/>
        </w:rPr>
        <w:t>7天</w:t>
      </w:r>
      <w:r>
        <w:rPr>
          <w:rFonts w:hint="eastAsia" w:ascii="宋体" w:hAnsi="宋体" w:cs="宋体"/>
          <w:color w:val="auto"/>
          <w:sz w:val="22"/>
          <w:highlight w:val="none"/>
          <w:u w:val="single"/>
        </w:rPr>
        <w:t>。项目管理机构的主要人员必须是磋商文件中确认的人员，施工之后不能更换，确需更换人员的，更换后的人员相关资质及业绩、职称等要求不得低于磋商文件最低要求，且须向发包人提出申请，并提供相关证明</w:t>
      </w:r>
      <w:r>
        <w:rPr>
          <w:rFonts w:hint="eastAsia" w:ascii="宋体" w:hAnsi="宋体" w:cs="宋体"/>
          <w:color w:val="auto"/>
          <w:sz w:val="22"/>
          <w:highlight w:val="none"/>
          <w:u w:val="single"/>
        </w:rPr>
        <w:t>材料，经发包人</w:t>
      </w:r>
      <w:r>
        <w:rPr>
          <w:rFonts w:hint="eastAsia" w:ascii="宋体" w:hAnsi="宋体" w:cs="宋体"/>
          <w:color w:val="auto"/>
          <w:sz w:val="22"/>
          <w:highlight w:val="none"/>
          <w:u w:val="single"/>
          <w:lang w:val="en-US" w:eastAsia="zh-CN"/>
        </w:rPr>
        <w:t>签字</w:t>
      </w:r>
      <w:r>
        <w:rPr>
          <w:rFonts w:hint="eastAsia" w:ascii="宋体" w:hAnsi="宋体" w:cs="宋体"/>
          <w:color w:val="auto"/>
          <w:sz w:val="22"/>
          <w:highlight w:val="none"/>
          <w:u w:val="single"/>
        </w:rPr>
        <w:t>同意后</w:t>
      </w:r>
      <w:r>
        <w:rPr>
          <w:rFonts w:hint="eastAsia" w:ascii="宋体" w:hAnsi="宋体" w:cs="宋体"/>
          <w:color w:val="auto"/>
          <w:sz w:val="22"/>
          <w:highlight w:val="none"/>
          <w:u w:val="single"/>
        </w:rPr>
        <w:t>方可换人。</w:t>
      </w:r>
    </w:p>
    <w:p w14:paraId="01E3E2C8">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u w:val="single"/>
        </w:rPr>
        <w:t>关于项目管理机构及施工现场管理人员每月在施工现场的时间要求：21天以上，如磋商文件承诺时间超过21天的，按磋商文件执行</w:t>
      </w:r>
      <w:r>
        <w:rPr>
          <w:rFonts w:hint="eastAsia" w:ascii="宋体" w:hAnsi="宋体" w:cs="宋体"/>
          <w:color w:val="auto"/>
          <w:sz w:val="22"/>
          <w:highlight w:val="none"/>
        </w:rPr>
        <w:t>。</w:t>
      </w:r>
    </w:p>
    <w:p w14:paraId="68EBFE6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3.3.3 承包人无正当理由拒绝撤换主要施工管理人员的违约责任：</w:t>
      </w:r>
      <w:r>
        <w:rPr>
          <w:rFonts w:hint="eastAsia" w:ascii="宋体" w:hAnsi="宋体" w:cs="宋体"/>
          <w:color w:val="auto"/>
          <w:sz w:val="22"/>
          <w:highlight w:val="none"/>
          <w:u w:val="single"/>
        </w:rPr>
        <w:t>因承包人主要施工管理人员不称职，发包人要求调换而无正当理由拒绝撤换或未及时调换的，视为承包人违约，必须向发包人交纳处罚金，处罚标准：技术负责人2000元/人•次（人民币）；专业工程师1000元/人•次（人民币）</w:t>
      </w:r>
      <w:r>
        <w:rPr>
          <w:rFonts w:hint="eastAsia" w:ascii="宋体" w:hAnsi="宋体" w:cs="宋体"/>
          <w:color w:val="auto"/>
          <w:sz w:val="22"/>
          <w:highlight w:val="none"/>
        </w:rPr>
        <w:t>。</w:t>
      </w:r>
    </w:p>
    <w:p w14:paraId="6712D89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3.3.4 承包人主要施工管理人员离开施工现场的批准要求：</w:t>
      </w:r>
      <w:r>
        <w:rPr>
          <w:rFonts w:hint="eastAsia" w:ascii="宋体" w:hAnsi="宋体" w:cs="宋体"/>
          <w:color w:val="auto"/>
          <w:sz w:val="22"/>
          <w:highlight w:val="none"/>
          <w:u w:val="single"/>
        </w:rPr>
        <w:t>由总监理</w:t>
      </w:r>
      <w:r>
        <w:rPr>
          <w:rFonts w:hint="eastAsia" w:ascii="宋体" w:hAnsi="宋体" w:cs="宋体"/>
          <w:color w:val="auto"/>
          <w:sz w:val="22"/>
          <w:highlight w:val="none"/>
          <w:u w:val="single"/>
        </w:rPr>
        <w:t>工程师</w:t>
      </w:r>
      <w:r>
        <w:rPr>
          <w:rFonts w:hint="eastAsia" w:ascii="宋体" w:hAnsi="宋体" w:cs="宋体"/>
          <w:color w:val="auto"/>
          <w:sz w:val="22"/>
          <w:highlight w:val="none"/>
          <w:u w:val="single"/>
          <w:lang w:val="en-US" w:eastAsia="zh-CN"/>
        </w:rPr>
        <w:t>签字</w:t>
      </w:r>
      <w:r>
        <w:rPr>
          <w:rFonts w:hint="eastAsia" w:ascii="宋体" w:hAnsi="宋体" w:cs="宋体"/>
          <w:color w:val="auto"/>
          <w:sz w:val="22"/>
          <w:highlight w:val="none"/>
          <w:u w:val="single"/>
        </w:rPr>
        <w:t>批准，</w:t>
      </w:r>
      <w:r>
        <w:rPr>
          <w:rFonts w:hint="eastAsia" w:ascii="宋体" w:hAnsi="宋体" w:cs="宋体"/>
          <w:color w:val="auto"/>
          <w:sz w:val="22"/>
          <w:highlight w:val="none"/>
          <w:u w:val="single"/>
          <w:lang w:val="en-US" w:eastAsia="zh-CN"/>
        </w:rPr>
        <w:t>报</w:t>
      </w:r>
      <w:r>
        <w:rPr>
          <w:rFonts w:hint="eastAsia" w:ascii="宋体" w:hAnsi="宋体" w:cs="宋体"/>
          <w:color w:val="auto"/>
          <w:sz w:val="22"/>
          <w:highlight w:val="none"/>
          <w:u w:val="single"/>
        </w:rPr>
        <w:t>发包人</w:t>
      </w:r>
      <w:r>
        <w:rPr>
          <w:rFonts w:hint="eastAsia" w:ascii="宋体" w:hAnsi="宋体" w:cs="宋体"/>
          <w:color w:val="auto"/>
          <w:sz w:val="22"/>
          <w:highlight w:val="none"/>
          <w:u w:val="single"/>
          <w:lang w:val="en-US" w:eastAsia="zh-CN"/>
        </w:rPr>
        <w:t>确认同意</w:t>
      </w:r>
      <w:r>
        <w:rPr>
          <w:rFonts w:hint="eastAsia" w:ascii="宋体" w:hAnsi="宋体" w:cs="宋体"/>
          <w:color w:val="auto"/>
          <w:sz w:val="22"/>
          <w:highlight w:val="none"/>
          <w:u w:val="single"/>
        </w:rPr>
        <w:t xml:space="preserve">后方可离开 </w:t>
      </w:r>
      <w:r>
        <w:rPr>
          <w:rFonts w:hint="eastAsia" w:ascii="宋体" w:hAnsi="宋体" w:cs="宋体"/>
          <w:color w:val="auto"/>
          <w:sz w:val="22"/>
          <w:highlight w:val="none"/>
        </w:rPr>
        <w:t>。</w:t>
      </w:r>
    </w:p>
    <w:p w14:paraId="7913C6AD">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3.3.5 承包人擅自更换主要施工管理人员的违约责任：</w:t>
      </w:r>
      <w:r>
        <w:rPr>
          <w:rFonts w:hint="eastAsia" w:ascii="宋体" w:hAnsi="宋体" w:cs="宋体"/>
          <w:color w:val="auto"/>
          <w:sz w:val="22"/>
          <w:highlight w:val="none"/>
          <w:u w:val="single"/>
        </w:rPr>
        <w:t>项目技术负责人、专职安全员及其承诺的其它在场管理人员未经发包人书面同意不准擅自更换，擅自更换项目技术负责人处</w:t>
      </w:r>
      <w:r>
        <w:rPr>
          <w:rFonts w:hint="eastAsia" w:ascii="宋体" w:hAnsi="宋体" w:cs="宋体"/>
          <w:color w:val="auto"/>
          <w:sz w:val="22"/>
          <w:highlight w:val="none"/>
          <w:u w:val="single"/>
          <w:lang w:val="en-US" w:eastAsia="zh-CN"/>
        </w:rPr>
        <w:t>2</w:t>
      </w:r>
      <w:r>
        <w:rPr>
          <w:rFonts w:hint="eastAsia" w:ascii="宋体" w:hAnsi="宋体" w:cs="宋体"/>
          <w:color w:val="auto"/>
          <w:sz w:val="22"/>
          <w:highlight w:val="none"/>
          <w:u w:val="single"/>
        </w:rPr>
        <w:t>00</w:t>
      </w:r>
      <w:r>
        <w:rPr>
          <w:rFonts w:hint="eastAsia" w:ascii="宋体" w:hAnsi="宋体" w:cs="宋体"/>
          <w:color w:val="auto"/>
          <w:sz w:val="22"/>
          <w:highlight w:val="none"/>
          <w:u w:val="single"/>
        </w:rPr>
        <w:t>0元/人•次（人民币）违约金；擅自更换专职安全员处2000元/人•次（人民币）违约金；擅自更换其它在场管理人员处1000元/人•次（人民币）违约金</w:t>
      </w:r>
      <w:r>
        <w:rPr>
          <w:rFonts w:hint="eastAsia" w:ascii="宋体" w:hAnsi="宋体" w:cs="宋体"/>
          <w:color w:val="auto"/>
          <w:sz w:val="22"/>
          <w:highlight w:val="none"/>
        </w:rPr>
        <w:t>。</w:t>
      </w:r>
    </w:p>
    <w:p w14:paraId="122244DE">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承包人主要施工管理人员擅自离开施工现场的违约责任：</w:t>
      </w:r>
      <w:r>
        <w:rPr>
          <w:rFonts w:hint="eastAsia" w:ascii="宋体" w:hAnsi="宋体" w:cs="宋体"/>
          <w:color w:val="auto"/>
          <w:sz w:val="22"/>
          <w:highlight w:val="none"/>
          <w:u w:val="single"/>
        </w:rPr>
        <w:t>未经发包人同意，项目技术负责人擅自离岗的，视为承包人违约，发包人有权处违约金500元/人•次（人民币）；未经发包人同意，专职安全员擅自离岗的，视为承包人违约，发包人有权处违约金300元/人•次（人民币）；其它在场管理人员擅自离岗的，视为承包人违约，发包人有权处违约金300元/人•次（人民币）</w:t>
      </w:r>
      <w:r>
        <w:rPr>
          <w:rFonts w:hint="eastAsia" w:ascii="宋体" w:hAnsi="宋体" w:cs="宋体"/>
          <w:color w:val="auto"/>
          <w:sz w:val="22"/>
          <w:highlight w:val="none"/>
        </w:rPr>
        <w:t>。</w:t>
      </w:r>
    </w:p>
    <w:p w14:paraId="25559E7F">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94" w:name="_Toc395382512"/>
      <w:bookmarkStart w:id="195" w:name="_Toc12975900"/>
      <w:bookmarkStart w:id="196" w:name="_Toc533432735"/>
      <w:r>
        <w:rPr>
          <w:rFonts w:hint="eastAsia" w:ascii="宋体" w:hAnsi="宋体" w:cs="宋体"/>
          <w:color w:val="auto"/>
          <w:sz w:val="22"/>
          <w:szCs w:val="22"/>
          <w:highlight w:val="none"/>
        </w:rPr>
        <w:t>3.5 分包</w:t>
      </w:r>
      <w:bookmarkEnd w:id="194"/>
      <w:bookmarkEnd w:id="195"/>
      <w:bookmarkEnd w:id="196"/>
    </w:p>
    <w:p w14:paraId="0B8065E9">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3.5.1 分包的一般约定</w:t>
      </w:r>
    </w:p>
    <w:p w14:paraId="6328D2D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禁止分包的工程包括：</w:t>
      </w:r>
      <w:r>
        <w:rPr>
          <w:rFonts w:hint="eastAsia" w:ascii="宋体" w:hAnsi="宋体" w:cs="宋体"/>
          <w:color w:val="auto"/>
          <w:sz w:val="22"/>
          <w:highlight w:val="none"/>
          <w:u w:val="single"/>
        </w:rPr>
        <w:t xml:space="preserve">本项目未经发包人批准禁止分包 </w:t>
      </w:r>
      <w:r>
        <w:rPr>
          <w:rFonts w:hint="eastAsia" w:ascii="宋体" w:hAnsi="宋体" w:cs="宋体"/>
          <w:color w:val="auto"/>
          <w:sz w:val="22"/>
          <w:highlight w:val="none"/>
        </w:rPr>
        <w:t>。</w:t>
      </w:r>
    </w:p>
    <w:p w14:paraId="7CDBAA6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主体结构、关键性工作的范围：</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698D163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w:t>
      </w:r>
      <w:bookmarkStart w:id="197" w:name="_Toc318581159"/>
      <w:bookmarkStart w:id="198" w:name="_Toc312677990"/>
      <w:r>
        <w:rPr>
          <w:rFonts w:hint="eastAsia" w:ascii="宋体" w:hAnsi="宋体" w:cs="宋体"/>
          <w:color w:val="auto"/>
          <w:sz w:val="22"/>
          <w:highlight w:val="none"/>
        </w:rPr>
        <w:t>.5.2 分包的确定</w:t>
      </w:r>
    </w:p>
    <w:p w14:paraId="0DF4330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允许分包的专业工程包括：</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2A7B9513">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其他关于分包的约定：</w:t>
      </w:r>
    </w:p>
    <w:p w14:paraId="65BDE829">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如本项目允许合法分包的，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w:t>
      </w:r>
    </w:p>
    <w:p w14:paraId="1558BB06">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（2）在相关分包合同签订并报送有关建设行政主管部门备案后7天内，承包人应当将一份副本提交给监理人，承包人应保障分包工作不得再次分包。</w:t>
      </w:r>
    </w:p>
    <w:p w14:paraId="2A8FF12E">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（3）未经承包人和监理人审批同意的分包工程和分包人，承包人有权拒绝验收分包工程和支付相应款项，由此引起的发包人费用增加和(或)延误的工期由发包人承担。</w:t>
      </w:r>
    </w:p>
    <w:p w14:paraId="48996D6B">
      <w:pPr>
        <w:pStyle w:val="418"/>
        <w:pageBreakBefore w:val="0"/>
        <w:kinsoku/>
        <w:overflowPunct/>
        <w:topLinePunct w:val="0"/>
        <w:bidi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（4）承包人有以下情况之一者，发包人有权解除合同：</w:t>
      </w:r>
    </w:p>
    <w:p w14:paraId="0C798C18">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①个人承包工程，包括本人单位及外单位人员承包，发包人不承认其个人拥有任何资质等级及营业许可资格。</w:t>
      </w:r>
    </w:p>
    <w:p w14:paraId="2E3552FF">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②几个人联合承包工程，就地组织暗分包队伍，不具备完成本工程的技术、机械能力，被发包人判定为没有能力履行的承包人。</w:t>
      </w:r>
    </w:p>
    <w:p w14:paraId="20AE680F">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③就地转包全部的工程，以谋取高额转让费、管理费的承包人。</w:t>
      </w:r>
    </w:p>
    <w:p w14:paraId="5C5F3341">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④承包人有部分分包现象（其中包括冒充承包人下属单位的挂勾单位，凭口头协议参与施工的分包人及其他暗分包个体户），一经发现核实，发包人将采取驱逐该暗分包人措施。</w:t>
      </w:r>
    </w:p>
    <w:p w14:paraId="0E62D0EE">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3.5.4 分包合同价款</w:t>
      </w:r>
    </w:p>
    <w:bookmarkEnd w:id="197"/>
    <w:bookmarkEnd w:id="198"/>
    <w:p w14:paraId="3BC2963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关于分包合同价款支付的约定：</w:t>
      </w:r>
      <w:r>
        <w:rPr>
          <w:rFonts w:hint="eastAsia" w:ascii="宋体" w:hAnsi="宋体" w:cs="宋体"/>
          <w:color w:val="auto"/>
          <w:sz w:val="22"/>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C90015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199" w:name="_Toc395382513"/>
      <w:bookmarkStart w:id="200" w:name="_Toc12975901"/>
      <w:bookmarkStart w:id="201" w:name="_Toc533432736"/>
      <w:r>
        <w:rPr>
          <w:rFonts w:hint="eastAsia" w:ascii="宋体" w:hAnsi="宋体" w:cs="宋体"/>
          <w:color w:val="auto"/>
          <w:sz w:val="22"/>
          <w:szCs w:val="22"/>
          <w:highlight w:val="none"/>
        </w:rPr>
        <w:t>3.6 工程照管与成品、半成品保护</w:t>
      </w:r>
      <w:bookmarkEnd w:id="199"/>
      <w:bookmarkEnd w:id="200"/>
      <w:bookmarkEnd w:id="201"/>
    </w:p>
    <w:p w14:paraId="40563D61">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u w:val="single"/>
        </w:rPr>
      </w:pPr>
      <w:r>
        <w:rPr>
          <w:rFonts w:hint="eastAsia" w:ascii="宋体" w:hAnsi="宋体" w:cs="宋体"/>
          <w:color w:val="auto"/>
          <w:kern w:val="0"/>
          <w:sz w:val="22"/>
          <w:highlight w:val="none"/>
        </w:rPr>
        <w:t>承包人负责照管工程及工程相关的材料、工程设备的起始时间：</w:t>
      </w:r>
      <w:r>
        <w:rPr>
          <w:rFonts w:hint="eastAsia" w:ascii="宋体" w:hAnsi="宋体" w:cs="宋体"/>
          <w:color w:val="auto"/>
          <w:kern w:val="0"/>
          <w:sz w:val="22"/>
          <w:highlight w:val="none"/>
          <w:u w:val="single"/>
        </w:rPr>
        <w:t xml:space="preserve">设备、人员进场至验收交付使用前由承包人负责保修，无其他特殊要求的，费用由承包人承担 </w:t>
      </w:r>
      <w:r>
        <w:rPr>
          <w:rFonts w:hint="eastAsia" w:ascii="宋体" w:hAnsi="宋体" w:cs="宋体"/>
          <w:color w:val="auto"/>
          <w:kern w:val="0"/>
          <w:sz w:val="22"/>
          <w:highlight w:val="none"/>
        </w:rPr>
        <w:t>。</w:t>
      </w:r>
    </w:p>
    <w:p w14:paraId="15C01FFA">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02" w:name="_Toc12975902"/>
      <w:bookmarkStart w:id="203" w:name="_Toc395382514"/>
      <w:bookmarkStart w:id="204" w:name="_Toc533432737"/>
      <w:r>
        <w:rPr>
          <w:rFonts w:hint="eastAsia" w:ascii="宋体" w:hAnsi="宋体" w:cs="宋体"/>
          <w:color w:val="auto"/>
          <w:sz w:val="22"/>
          <w:szCs w:val="22"/>
          <w:highlight w:val="none"/>
        </w:rPr>
        <w:t>3.7 履约保证金</w:t>
      </w:r>
      <w:bookmarkEnd w:id="202"/>
      <w:bookmarkEnd w:id="203"/>
      <w:bookmarkEnd w:id="204"/>
    </w:p>
    <w:p w14:paraId="78BD353B">
      <w:pPr>
        <w:pStyle w:val="413"/>
        <w:pageBreakBefore w:val="0"/>
        <w:kinsoku/>
        <w:overflowPunct/>
        <w:topLinePunct w:val="0"/>
        <w:bidi w:val="0"/>
        <w:spacing w:before="0" w:after="0" w:line="400" w:lineRule="exact"/>
        <w:ind w:firstLine="440" w:firstLineChars="200"/>
        <w:rPr>
          <w:rFonts w:hint="default" w:ascii="宋体" w:hAnsi="宋体" w:eastAsia="宋体" w:cs="宋体"/>
          <w:b w:val="0"/>
          <w:bCs w:val="0"/>
          <w:color w:val="auto"/>
          <w:kern w:val="0"/>
          <w:sz w:val="22"/>
          <w:szCs w:val="22"/>
          <w:highlight w:val="none"/>
          <w:lang w:val="en-US" w:eastAsia="zh-CN" w:bidi="ar-SA"/>
        </w:rPr>
      </w:pPr>
      <w:bookmarkStart w:id="205" w:name="_Toc12975903"/>
      <w:bookmarkStart w:id="206" w:name="_Toc533432738"/>
      <w:bookmarkStart w:id="207" w:name="_Toc395382515"/>
      <w:r>
        <w:rPr>
          <w:rFonts w:hint="eastAsia" w:ascii="宋体" w:hAnsi="宋体" w:eastAsia="宋体" w:cs="宋体"/>
          <w:b w:val="0"/>
          <w:bCs w:val="0"/>
          <w:color w:val="auto"/>
          <w:kern w:val="0"/>
          <w:sz w:val="22"/>
          <w:szCs w:val="22"/>
          <w:highlight w:val="none"/>
          <w:lang w:val="en-US" w:eastAsia="zh-CN" w:bidi="ar-SA"/>
        </w:rPr>
        <w:t>本项目不收取履约保证金</w:t>
      </w:r>
    </w:p>
    <w:p w14:paraId="24D84979">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 监理人</w:t>
      </w:r>
      <w:bookmarkEnd w:id="205"/>
      <w:bookmarkEnd w:id="206"/>
      <w:bookmarkEnd w:id="207"/>
    </w:p>
    <w:p w14:paraId="76B16C20">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08" w:name="_Toc533432739"/>
      <w:bookmarkStart w:id="209" w:name="_Toc395382516"/>
      <w:bookmarkStart w:id="210" w:name="_Toc12975904"/>
      <w:r>
        <w:rPr>
          <w:rFonts w:hint="eastAsia" w:ascii="宋体" w:hAnsi="宋体" w:cs="宋体"/>
          <w:color w:val="auto"/>
          <w:sz w:val="22"/>
          <w:szCs w:val="22"/>
          <w:highlight w:val="none"/>
        </w:rPr>
        <w:t>4.1 监理人的一般规定</w:t>
      </w:r>
      <w:bookmarkEnd w:id="208"/>
      <w:bookmarkEnd w:id="209"/>
      <w:bookmarkEnd w:id="210"/>
    </w:p>
    <w:p w14:paraId="1C9C830A">
      <w:pPr>
        <w:pStyle w:val="416"/>
        <w:pageBreakBefore w:val="0"/>
        <w:kinsoku/>
        <w:overflowPunct/>
        <w:topLinePunct w:val="0"/>
        <w:bidi w:val="0"/>
        <w:spacing w:line="400" w:lineRule="exact"/>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关于监理人的监理内容：</w:t>
      </w:r>
      <w:r>
        <w:rPr>
          <w:rFonts w:hint="eastAsia" w:ascii="宋体" w:hAnsi="宋体" w:cs="宋体"/>
          <w:color w:val="auto"/>
          <w:sz w:val="22"/>
          <w:szCs w:val="22"/>
          <w:highlight w:val="none"/>
          <w:u w:val="single"/>
        </w:rPr>
        <w:t>三控三管一协调（主要指：工程进度控制、工程质量、安全控制、工程投资（成本）控制；合同管理、职业健康安全与环境管理、信息管理；与本项目有关的全面组织协调）</w:t>
      </w:r>
      <w:r>
        <w:rPr>
          <w:rFonts w:hint="eastAsia" w:ascii="宋体" w:hAnsi="宋体" w:cs="宋体"/>
          <w:color w:val="auto"/>
          <w:sz w:val="22"/>
          <w:szCs w:val="22"/>
          <w:highlight w:val="none"/>
        </w:rPr>
        <w:t>。</w:t>
      </w:r>
    </w:p>
    <w:p w14:paraId="649AAC7B">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关于监理人的监理权限：</w:t>
      </w:r>
      <w:r>
        <w:rPr>
          <w:rFonts w:hint="eastAsia" w:ascii="宋体" w:hAnsi="宋体" w:cs="宋体"/>
          <w:color w:val="auto"/>
          <w:sz w:val="22"/>
          <w:szCs w:val="22"/>
          <w:highlight w:val="none"/>
          <w:u w:val="single"/>
        </w:rPr>
        <w:t>（1）监理人行使下列职权之前必须征得发包人的书面认可：①批准承包人的书面开工请求或延期开工申请，发布暂停施工指示、复工令或批准复工申请；②批准合同进度计划及合同进度计划的修订；③批准承包人的深化设计；④批准承包人的重大施工技术方案和技术规范的变更；⑤批准承包人或其分包人提出更换项目经理、技术负责人或其它主要管理人员；⑥批准主要材料设备或替换材料设备的使用及分包人的选择；⑦工程量计量、工程款的审核和确认权；⑧发出可能导致增加合同价款或费用或延误或延长工期的任何指示或建议；⑨批准承包人拆除垂直运输设备、外墙脚手架及其他重要施工设备；⑩质量缺陷补救措施的认可；⑪签发工程竣工证书、单位工程验收证明书；⑫专用条款约定的需经发包人批准方能行使的职权。</w:t>
      </w:r>
    </w:p>
    <w:p w14:paraId="0DDB4AF3">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当监理人行使上述职权时，监理人应当提供经发包人认可的相关配套文件，承包人应当核实其真实性。如果无发包人事先认可文件时，发包人不承担由此产生的义务和责任，由此产生的一切后果（不限于工期延误和成本、费用支出等）均由承包人承担。</w:t>
      </w:r>
    </w:p>
    <w:p w14:paraId="0BEF66AA">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监理人无权行使下列权利：①提出或批准变更、索赔（含工期、费用）；②批准暂列金额的使用；③暂估价费用确定；④同意分包本工程的某些非主体和非关键性主体；⑤专用条款约定的监理人无权行使的权力。</w:t>
      </w:r>
    </w:p>
    <w:p w14:paraId="0A88A264">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承包人在接到监理人指示时，应自行审核该指示是否属于上述监理人无权行使的权力的范围，因承包人疏于审核监理人指示所产生的一切后果均由承包人承担。</w:t>
      </w:r>
    </w:p>
    <w:p w14:paraId="251974C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监理人无权免除、减轻或变更合同约定的承包人的义务和责任。合同约定应由承包人承担的义务和责任，也不因监理人对承包人提交文件的审查或批准，对工程、材料设备的检查和检验，以及为实施监理作出的指示等职务行为而减轻、免除或变更。</w:t>
      </w:r>
    </w:p>
    <w:p w14:paraId="32C8B7BC">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（4）发包人有权单方修改监理人的职权，并书面通知承包人，修改的监理人的职权自通知到达承包人之日起生效。</w:t>
      </w:r>
    </w:p>
    <w:p w14:paraId="65613D77">
      <w:pPr>
        <w:pStyle w:val="416"/>
        <w:pageBreakBefore w:val="0"/>
        <w:kinsoku/>
        <w:overflowPunct/>
        <w:topLinePunct w:val="0"/>
        <w:bidi w:val="0"/>
        <w:spacing w:line="400" w:lineRule="exact"/>
        <w:ind w:firstLine="420"/>
        <w:rPr>
          <w:rFonts w:hint="eastAsia" w:ascii="宋体" w:hAnsi="宋体" w:cs="宋体"/>
          <w:color w:val="auto"/>
          <w:sz w:val="22"/>
          <w:szCs w:val="22"/>
          <w:highlight w:val="none"/>
        </w:rPr>
      </w:pPr>
      <w:r>
        <w:rPr>
          <w:rFonts w:hint="eastAsia" w:ascii="宋体" w:hAnsi="宋体" w:cs="宋体"/>
          <w:bCs/>
          <w:color w:val="auto"/>
          <w:sz w:val="22"/>
          <w:szCs w:val="22"/>
          <w:highlight w:val="none"/>
          <w:u w:val="single"/>
        </w:rPr>
        <w:t>（5）如果发生紧急情况，监理人认为将造成人员伤亡，或危及本工程或邻近的财产需立即采取行动，监理人有权在未征得发包人的批准的情况下发布处理紧急情况所必需的指令，承包人应予执行，由此造成的费用增加由监</w:t>
      </w:r>
      <w:r>
        <w:rPr>
          <w:rFonts w:hint="eastAsia" w:ascii="宋体" w:hAnsi="宋体" w:cs="宋体"/>
          <w:bCs/>
          <w:color w:val="auto"/>
          <w:sz w:val="22"/>
          <w:szCs w:val="22"/>
          <w:highlight w:val="none"/>
          <w:u w:val="single"/>
        </w:rPr>
        <w:t>理人按合同中的</w:t>
      </w:r>
      <w:r>
        <w:rPr>
          <w:rFonts w:hint="eastAsia" w:ascii="宋体" w:hAnsi="宋体" w:cs="宋体"/>
          <w:bCs/>
          <w:color w:val="auto"/>
          <w:sz w:val="22"/>
          <w:szCs w:val="22"/>
          <w:highlight w:val="none"/>
          <w:u w:val="single"/>
        </w:rPr>
        <w:t>其余条款商定或确定。</w:t>
      </w:r>
      <w:r>
        <w:rPr>
          <w:rFonts w:hint="eastAsia" w:ascii="宋体" w:hAnsi="宋体" w:cs="宋体"/>
          <w:color w:val="auto"/>
          <w:sz w:val="22"/>
          <w:szCs w:val="22"/>
          <w:highlight w:val="none"/>
        </w:rPr>
        <w:t xml:space="preserve"> </w:t>
      </w:r>
    </w:p>
    <w:p w14:paraId="1F63A14E">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关于监理人在施工现场的办公场所、生活场所的提供和费用承担的约定：</w:t>
      </w:r>
      <w:r>
        <w:rPr>
          <w:rFonts w:hint="eastAsia" w:ascii="宋体" w:hAnsi="宋体" w:cs="宋体"/>
          <w:color w:val="auto"/>
          <w:sz w:val="22"/>
          <w:highlight w:val="none"/>
          <w:u w:val="single"/>
        </w:rPr>
        <w:t xml:space="preserve">承包人免费提供 </w:t>
      </w:r>
      <w:r>
        <w:rPr>
          <w:rFonts w:hint="eastAsia" w:ascii="宋体" w:hAnsi="宋体" w:cs="宋体"/>
          <w:color w:val="auto"/>
          <w:sz w:val="22"/>
          <w:highlight w:val="none"/>
        </w:rPr>
        <w:t>。</w:t>
      </w:r>
    </w:p>
    <w:p w14:paraId="3D73C0E2">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11" w:name="_Toc533432740"/>
      <w:bookmarkStart w:id="212" w:name="_Toc12975905"/>
      <w:bookmarkStart w:id="213" w:name="_Toc395382517"/>
      <w:r>
        <w:rPr>
          <w:rFonts w:hint="eastAsia" w:ascii="宋体" w:hAnsi="宋体" w:cs="宋体"/>
          <w:color w:val="auto"/>
          <w:sz w:val="22"/>
          <w:szCs w:val="22"/>
          <w:highlight w:val="none"/>
        </w:rPr>
        <w:t>4.2 监理人员</w:t>
      </w:r>
      <w:bookmarkEnd w:id="211"/>
      <w:bookmarkEnd w:id="212"/>
      <w:bookmarkEnd w:id="213"/>
    </w:p>
    <w:p w14:paraId="00575CE7">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总监理工程师：</w:t>
      </w:r>
    </w:p>
    <w:p w14:paraId="6BA6FECB">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姓    名：</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5B541318">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职    务：</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6FBAC9BC">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监理工程师执业资格证书号：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3719A02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广西建筑市场诚信卡卡号：</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84E641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012FFAAD">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5A8FBC07">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34765808">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关于监理人的其他约定：</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2FBBF7F3">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14" w:name="_Toc533432741"/>
      <w:bookmarkStart w:id="215" w:name="_Toc395382518"/>
      <w:bookmarkStart w:id="216" w:name="_Toc12975906"/>
      <w:r>
        <w:rPr>
          <w:rFonts w:hint="eastAsia" w:ascii="宋体" w:hAnsi="宋体" w:cs="宋体"/>
          <w:color w:val="auto"/>
          <w:sz w:val="22"/>
          <w:szCs w:val="22"/>
          <w:highlight w:val="none"/>
        </w:rPr>
        <w:t>4.4 商定或确定</w:t>
      </w:r>
      <w:bookmarkEnd w:id="214"/>
      <w:bookmarkEnd w:id="215"/>
      <w:bookmarkEnd w:id="216"/>
    </w:p>
    <w:p w14:paraId="129DB987">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在发包人和承包人不能通过协商达成一致意见时，发包人授权监理人对以下事项进行确定：</w:t>
      </w:r>
    </w:p>
    <w:p w14:paraId="146826D2">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CD75AA6">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1D071472">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34C76B54">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217" w:name="_Toc12975907"/>
      <w:bookmarkStart w:id="218" w:name="_Toc533432742"/>
      <w:bookmarkStart w:id="219" w:name="_Toc395382519"/>
      <w:r>
        <w:rPr>
          <w:rFonts w:hint="eastAsia" w:ascii="宋体" w:hAnsi="宋体" w:cs="宋体"/>
          <w:color w:val="auto"/>
          <w:sz w:val="22"/>
          <w:szCs w:val="22"/>
          <w:highlight w:val="none"/>
        </w:rPr>
        <w:t>5. 工程质量</w:t>
      </w:r>
      <w:bookmarkEnd w:id="217"/>
      <w:bookmarkEnd w:id="218"/>
      <w:bookmarkEnd w:id="219"/>
    </w:p>
    <w:p w14:paraId="7C8D84BC">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20" w:name="_Toc533432743"/>
      <w:bookmarkStart w:id="221" w:name="_Toc12975908"/>
      <w:bookmarkStart w:id="222" w:name="_Toc395382520"/>
      <w:r>
        <w:rPr>
          <w:rFonts w:hint="eastAsia" w:ascii="宋体" w:hAnsi="宋体" w:cs="宋体"/>
          <w:color w:val="auto"/>
          <w:sz w:val="22"/>
          <w:szCs w:val="22"/>
          <w:highlight w:val="none"/>
        </w:rPr>
        <w:t>5.1 质量要求</w:t>
      </w:r>
      <w:bookmarkEnd w:id="220"/>
      <w:bookmarkEnd w:id="221"/>
      <w:bookmarkEnd w:id="222"/>
    </w:p>
    <w:p w14:paraId="2059D21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5.1.1 特殊质量标准和要求：</w:t>
      </w:r>
      <w:r>
        <w:rPr>
          <w:rFonts w:hint="eastAsia" w:ascii="宋体" w:hAnsi="宋体" w:cs="宋体"/>
          <w:color w:val="auto"/>
          <w:sz w:val="22"/>
          <w:highlight w:val="none"/>
          <w:u w:val="single"/>
        </w:rPr>
        <w:t xml:space="preserve">   合格  </w:t>
      </w:r>
      <w:r>
        <w:rPr>
          <w:rFonts w:hint="eastAsia" w:ascii="宋体" w:hAnsi="宋体" w:cs="宋体"/>
          <w:color w:val="auto"/>
          <w:sz w:val="22"/>
          <w:highlight w:val="none"/>
        </w:rPr>
        <w:t>。</w:t>
      </w:r>
    </w:p>
    <w:p w14:paraId="2FAEB08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关于工程奖项的约定：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EC4EE5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5.1.3因承包人原因造成工程质量未达到合同约定标准的，发包人有权要求承包人返工直至工程质量达到合同约定的标准为止，并由承包人承担由此增加的费用和（或）延误的工期。承包人必须在发包人规定的合理时间内完成，否则发包人有权扣罚该分项工程10%的工程款作为处罚。</w:t>
      </w:r>
    </w:p>
    <w:p w14:paraId="794AD83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5.3 隐蔽工程检查</w:t>
      </w:r>
    </w:p>
    <w:p w14:paraId="7007A21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5.3.2承包人提前通知监理人隐蔽工程检查的期限的约定：</w:t>
      </w:r>
      <w:r>
        <w:rPr>
          <w:rFonts w:hint="eastAsia" w:ascii="宋体" w:hAnsi="宋体" w:cs="宋体"/>
          <w:bCs/>
          <w:color w:val="auto"/>
          <w:sz w:val="22"/>
          <w:highlight w:val="none"/>
        </w:rPr>
        <w:t>工程隐蔽或中间验</w:t>
      </w:r>
      <w:r>
        <w:rPr>
          <w:rFonts w:hint="eastAsia" w:ascii="宋体" w:hAnsi="宋体" w:cs="宋体"/>
          <w:bCs/>
          <w:color w:val="auto"/>
          <w:sz w:val="22"/>
          <w:highlight w:val="none"/>
        </w:rPr>
        <w:t>收前</w:t>
      </w:r>
      <w:r>
        <w:rPr>
          <w:rFonts w:hint="eastAsia" w:ascii="宋体" w:hAnsi="宋体" w:cs="宋体"/>
          <w:bCs/>
          <w:color w:val="auto"/>
          <w:sz w:val="22"/>
          <w:highlight w:val="none"/>
          <w:lang w:val="en-US" w:eastAsia="zh-CN"/>
        </w:rPr>
        <w:t>24</w:t>
      </w:r>
      <w:r>
        <w:rPr>
          <w:rFonts w:hint="eastAsia" w:ascii="宋体" w:hAnsi="宋体" w:cs="宋体"/>
          <w:bCs/>
          <w:color w:val="auto"/>
          <w:sz w:val="22"/>
          <w:highlight w:val="none"/>
        </w:rPr>
        <w:t>小时</w:t>
      </w:r>
      <w:r>
        <w:rPr>
          <w:rFonts w:hint="eastAsia" w:ascii="宋体" w:hAnsi="宋体" w:cs="宋体"/>
          <w:bCs/>
          <w:color w:val="auto"/>
          <w:sz w:val="22"/>
          <w:highlight w:val="none"/>
        </w:rPr>
        <w:t>以书面形式通知发包人和监理工程师验收的内容、时间、地点，承包人准备验收记录单（最好是印制的表格）由双方签证。验收合格，承包人可进行隐蔽和继续施工；验收不合格，双方商</w:t>
      </w:r>
      <w:r>
        <w:rPr>
          <w:rFonts w:hint="eastAsia" w:ascii="宋体" w:hAnsi="宋体" w:cs="宋体"/>
          <w:bCs/>
          <w:color w:val="auto"/>
          <w:sz w:val="22"/>
          <w:highlight w:val="none"/>
          <w:lang w:val="en-US" w:eastAsia="zh-CN"/>
        </w:rPr>
        <w:t>定</w:t>
      </w:r>
      <w:r>
        <w:rPr>
          <w:rFonts w:hint="eastAsia" w:ascii="宋体" w:hAnsi="宋体" w:cs="宋体"/>
          <w:bCs/>
          <w:color w:val="auto"/>
          <w:sz w:val="22"/>
          <w:highlight w:val="none"/>
        </w:rPr>
        <w:t>时限内修改后按上述循序重新验收。</w:t>
      </w:r>
    </w:p>
    <w:p w14:paraId="79F9E45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监理人不能按时进行检查时，应提前</w:t>
      </w:r>
      <w:r>
        <w:rPr>
          <w:rFonts w:hint="eastAsia" w:ascii="宋体" w:hAnsi="宋体" w:cs="宋体"/>
          <w:color w:val="auto"/>
          <w:sz w:val="22"/>
          <w:highlight w:val="none"/>
          <w:u w:val="single"/>
        </w:rPr>
        <w:t xml:space="preserve"> 12 </w:t>
      </w:r>
      <w:r>
        <w:rPr>
          <w:rFonts w:hint="eastAsia" w:ascii="宋体" w:hAnsi="宋体" w:cs="宋体"/>
          <w:color w:val="auto"/>
          <w:sz w:val="22"/>
          <w:highlight w:val="none"/>
        </w:rPr>
        <w:t>小时提交书面延期要求。</w:t>
      </w:r>
    </w:p>
    <w:p w14:paraId="192371D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关于延期最长不得超过：</w:t>
      </w:r>
      <w:r>
        <w:rPr>
          <w:rFonts w:hint="eastAsia" w:ascii="宋体" w:hAnsi="宋体" w:cs="宋体"/>
          <w:color w:val="auto"/>
          <w:sz w:val="22"/>
          <w:highlight w:val="none"/>
          <w:u w:val="single"/>
        </w:rPr>
        <w:t xml:space="preserve">  24  </w:t>
      </w:r>
      <w:r>
        <w:rPr>
          <w:rFonts w:hint="eastAsia" w:ascii="宋体" w:hAnsi="宋体" w:cs="宋体"/>
          <w:color w:val="auto"/>
          <w:sz w:val="22"/>
          <w:highlight w:val="none"/>
        </w:rPr>
        <w:t>小时。</w:t>
      </w:r>
    </w:p>
    <w:p w14:paraId="63D8AAF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p>
    <w:p w14:paraId="58C18033">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223" w:name="_Toc533432744"/>
      <w:bookmarkStart w:id="224" w:name="_Toc12975909"/>
      <w:bookmarkStart w:id="225" w:name="_Toc395382521"/>
      <w:r>
        <w:rPr>
          <w:rFonts w:hint="eastAsia" w:ascii="宋体" w:hAnsi="宋体" w:cs="宋体"/>
          <w:color w:val="auto"/>
          <w:sz w:val="22"/>
          <w:szCs w:val="22"/>
          <w:highlight w:val="none"/>
        </w:rPr>
        <w:t>6. 安全文明施工与环境保护</w:t>
      </w:r>
      <w:bookmarkEnd w:id="223"/>
      <w:bookmarkEnd w:id="224"/>
      <w:bookmarkEnd w:id="225"/>
    </w:p>
    <w:p w14:paraId="1EF222B2">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26" w:name="_Toc12975910"/>
      <w:bookmarkStart w:id="227" w:name="_Toc533432745"/>
      <w:bookmarkStart w:id="228" w:name="_Toc395382522"/>
      <w:r>
        <w:rPr>
          <w:rFonts w:hint="eastAsia" w:ascii="宋体" w:hAnsi="宋体" w:cs="宋体"/>
          <w:color w:val="auto"/>
          <w:sz w:val="22"/>
          <w:szCs w:val="22"/>
          <w:highlight w:val="none"/>
        </w:rPr>
        <w:t>6.1 安全文明施工</w:t>
      </w:r>
      <w:bookmarkEnd w:id="226"/>
      <w:bookmarkEnd w:id="227"/>
      <w:bookmarkEnd w:id="228"/>
    </w:p>
    <w:p w14:paraId="707603A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6.1.1 项目安全生产的达标目标及相应事项的约定：</w:t>
      </w:r>
      <w:r>
        <w:rPr>
          <w:rFonts w:hint="eastAsia" w:ascii="宋体" w:hAnsi="宋体" w:cs="宋体"/>
          <w:color w:val="auto"/>
          <w:sz w:val="22"/>
          <w:highlight w:val="none"/>
          <w:u w:val="single"/>
        </w:rPr>
        <w:t xml:space="preserve">要求达到《建筑施工安全检查标准》（JGJ59-2011）的标准和符合《广西壮族自治区建设工程安全文明施工措施费及使用管理细则》（桂建质安【2015】16号文）的要求 </w:t>
      </w:r>
      <w:r>
        <w:rPr>
          <w:rFonts w:hint="eastAsia" w:ascii="宋体" w:hAnsi="宋体" w:cs="宋体"/>
          <w:color w:val="auto"/>
          <w:sz w:val="22"/>
          <w:highlight w:val="none"/>
        </w:rPr>
        <w:t>。</w:t>
      </w:r>
    </w:p>
    <w:p w14:paraId="3356CD5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关于安全文明施工奖项的约定：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5C16FB7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6.1.4 关于治安保卫的特别约定：</w:t>
      </w:r>
      <w:r>
        <w:rPr>
          <w:rFonts w:hint="eastAsia" w:ascii="宋体" w:hAnsi="宋体" w:cs="宋体"/>
          <w:color w:val="auto"/>
          <w:sz w:val="22"/>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094AE3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关于编制施工场地治安管理计划的约定：</w:t>
      </w:r>
      <w:r>
        <w:rPr>
          <w:rFonts w:hint="eastAsia" w:ascii="宋体" w:hAnsi="宋体" w:cs="宋体"/>
          <w:color w:val="auto"/>
          <w:sz w:val="22"/>
          <w:highlight w:val="none"/>
          <w:u w:val="single"/>
        </w:rPr>
        <w:t xml:space="preserve">  开工前3天提供  </w:t>
      </w:r>
      <w:r>
        <w:rPr>
          <w:rFonts w:hint="eastAsia" w:ascii="宋体" w:hAnsi="宋体" w:cs="宋体"/>
          <w:color w:val="auto"/>
          <w:sz w:val="22"/>
          <w:highlight w:val="none"/>
        </w:rPr>
        <w:t>。</w:t>
      </w:r>
    </w:p>
    <w:p w14:paraId="3DAECED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6.1.5 文明施工</w:t>
      </w:r>
    </w:p>
    <w:p w14:paraId="2D04F638">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合同当事人对文明施工的要求：</w:t>
      </w:r>
      <w:r>
        <w:rPr>
          <w:rFonts w:hint="eastAsia" w:ascii="宋体" w:hAnsi="宋体" w:cs="宋体"/>
          <w:color w:val="auto"/>
          <w:sz w:val="22"/>
          <w:highlight w:val="none"/>
          <w:u w:val="single"/>
        </w:rPr>
        <w:t>要求达到《建筑施工现场环境与卫生标准》（JGJ146-20</w:t>
      </w:r>
      <w:r>
        <w:rPr>
          <w:rFonts w:hint="eastAsia" w:ascii="宋体" w:hAnsi="宋体" w:cs="宋体"/>
          <w:color w:val="auto"/>
          <w:sz w:val="22"/>
          <w:highlight w:val="none"/>
          <w:u w:val="single"/>
          <w:lang w:val="en-US" w:eastAsia="zh-CN"/>
        </w:rPr>
        <w:t>13</w:t>
      </w:r>
      <w:r>
        <w:rPr>
          <w:rFonts w:hint="eastAsia" w:ascii="宋体" w:hAnsi="宋体" w:cs="宋体"/>
          <w:color w:val="auto"/>
          <w:sz w:val="22"/>
          <w:highlight w:val="none"/>
          <w:u w:val="single"/>
        </w:rPr>
        <w:t xml:space="preserve">）的标准和符合《广西壮族自治区建筑工程安全文明施工措施费及使用管理细则》（桂建质安【2015】16号文）的要求 </w:t>
      </w:r>
      <w:r>
        <w:rPr>
          <w:rFonts w:hint="eastAsia" w:ascii="宋体" w:hAnsi="宋体" w:cs="宋体"/>
          <w:color w:val="auto"/>
          <w:sz w:val="22"/>
          <w:highlight w:val="none"/>
        </w:rPr>
        <w:t>。</w:t>
      </w:r>
    </w:p>
    <w:p w14:paraId="41F847C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6.1.6 关于安全文明施工费支付比例和支付期限的约定：</w:t>
      </w:r>
    </w:p>
    <w:p w14:paraId="36F4CFB7">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（1）本合同价款已包含安全文明施工费</w:t>
      </w:r>
      <w:r>
        <w:rPr>
          <w:rFonts w:hint="eastAsia" w:ascii="宋体" w:hAnsi="宋体" w:cs="宋体"/>
          <w:color w:val="auto"/>
          <w:kern w:val="0"/>
          <w:sz w:val="22"/>
          <w:highlight w:val="none"/>
          <w:u w:val="single"/>
          <w:lang w:val="en-US" w:eastAsia="zh-CN"/>
        </w:rPr>
        <w:t>*****</w:t>
      </w:r>
      <w:r>
        <w:rPr>
          <w:rFonts w:hint="eastAsia" w:ascii="宋体" w:hAnsi="宋体" w:cs="宋体"/>
          <w:color w:val="auto"/>
          <w:kern w:val="0"/>
          <w:sz w:val="22"/>
          <w:highlight w:val="none"/>
        </w:rPr>
        <w:t>元。</w:t>
      </w:r>
    </w:p>
    <w:p w14:paraId="170E27EB">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（2）使用要求：专款专用。具体按《广西壮族自治区建设工程安全文明施工措施费及管理细则》（桂建质〔2015〕16号）和</w:t>
      </w:r>
      <w:r>
        <w:rPr>
          <w:rFonts w:hint="eastAsia" w:ascii="宋体" w:hAnsi="宋体" w:cs="宋体"/>
          <w:color w:val="auto"/>
          <w:kern w:val="0"/>
          <w:sz w:val="22"/>
          <w:highlight w:val="none"/>
          <w:u w:val="single"/>
        </w:rPr>
        <w:t xml:space="preserve">   防城港  </w:t>
      </w:r>
      <w:r>
        <w:rPr>
          <w:rFonts w:hint="eastAsia" w:ascii="宋体" w:hAnsi="宋体" w:cs="宋体"/>
          <w:color w:val="auto"/>
          <w:kern w:val="0"/>
          <w:sz w:val="22"/>
          <w:highlight w:val="none"/>
        </w:rPr>
        <w:t>市相关规定执行。</w:t>
      </w:r>
    </w:p>
    <w:p w14:paraId="063E1CC0">
      <w:pPr>
        <w:pStyle w:val="416"/>
        <w:pageBreakBefore w:val="0"/>
        <w:kinsoku/>
        <w:overflowPunct/>
        <w:topLinePunct w:val="0"/>
        <w:bidi w:val="0"/>
        <w:spacing w:line="4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（3）支付约定：</w:t>
      </w:r>
      <w:r>
        <w:rPr>
          <w:rFonts w:hint="eastAsia" w:ascii="宋体" w:hAnsi="宋体" w:cs="宋体"/>
          <w:color w:val="auto"/>
          <w:kern w:val="0"/>
          <w:sz w:val="22"/>
          <w:szCs w:val="22"/>
          <w:highlight w:val="none"/>
          <w:u w:val="single"/>
        </w:rPr>
        <w:t>安全文明施工费与进度款同期支付。（1）但如承包人某个时期的安全文明施工费投入不足或未达到磋商文件和合同要求的，发包人可根据承包人实际投入及履行情况扣除部分费用，此部分费用被扣除后承包人无权要求发包人再支付。（2）发包人如果认为有必要，可以要求承包人提供满足发包人要求的安全投入详细清单</w:t>
      </w:r>
      <w:r>
        <w:rPr>
          <w:rFonts w:hint="eastAsia" w:ascii="宋体" w:hAnsi="宋体" w:cs="宋体"/>
          <w:color w:val="auto"/>
          <w:kern w:val="0"/>
          <w:sz w:val="22"/>
          <w:szCs w:val="22"/>
          <w:highlight w:val="none"/>
        </w:rPr>
        <w:t>。</w:t>
      </w:r>
    </w:p>
    <w:p w14:paraId="4A709027">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（1）、人员基本素质</w:t>
      </w:r>
    </w:p>
    <w:p w14:paraId="44758633">
      <w:pPr>
        <w:pStyle w:val="416"/>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承包商应保证参与本工程人员的基本素质满足下列要求：</w:t>
      </w:r>
    </w:p>
    <w:p w14:paraId="0874CDCD">
      <w:pPr>
        <w:pStyle w:val="416"/>
        <w:pageBreakBefore w:val="0"/>
        <w:numPr>
          <w:ilvl w:val="0"/>
          <w:numId w:val="5"/>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身体健康，无影响工作的残疾、无工作禁忌症、无传染病和其他重大疾病。</w:t>
      </w:r>
    </w:p>
    <w:p w14:paraId="3CE4C52A">
      <w:pPr>
        <w:pStyle w:val="416"/>
        <w:pageBreakBefore w:val="0"/>
        <w:numPr>
          <w:ilvl w:val="0"/>
          <w:numId w:val="5"/>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无刑事案件牵连。</w:t>
      </w:r>
    </w:p>
    <w:p w14:paraId="2DA1AF11">
      <w:pPr>
        <w:pStyle w:val="416"/>
        <w:pageBreakBefore w:val="0"/>
        <w:numPr>
          <w:ilvl w:val="0"/>
          <w:numId w:val="5"/>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无吸毒、酗酒、赌博、嫖娼等恶习。</w:t>
      </w:r>
    </w:p>
    <w:p w14:paraId="64803566">
      <w:pPr>
        <w:pStyle w:val="416"/>
        <w:pageBreakBefore w:val="0"/>
        <w:numPr>
          <w:ilvl w:val="0"/>
          <w:numId w:val="5"/>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文化程度（教育水平）或技能水平与所从事的工种相适应（说明主要工种的文化水平、技能水平要求）。</w:t>
      </w:r>
    </w:p>
    <w:p w14:paraId="622F4340">
      <w:pPr>
        <w:pStyle w:val="416"/>
        <w:pageBreakBefore w:val="0"/>
        <w:numPr>
          <w:ilvl w:val="0"/>
          <w:numId w:val="5"/>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工作经验（经历）与所从事的工种相适应（说明主要工种的工作经验/经历基本要求）</w:t>
      </w:r>
    </w:p>
    <w:p w14:paraId="00FB24EA">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（2）、职业健康与卫生防疫</w:t>
      </w:r>
    </w:p>
    <w:p w14:paraId="3E992A79">
      <w:pPr>
        <w:pStyle w:val="416"/>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承包商应根据发包人要求提供以下文件：</w:t>
      </w:r>
    </w:p>
    <w:p w14:paraId="5B1D15C9">
      <w:pPr>
        <w:pStyle w:val="416"/>
        <w:pageBreakBefore w:val="0"/>
        <w:numPr>
          <w:ilvl w:val="0"/>
          <w:numId w:val="6"/>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承包商应有职工体检制度和健康推进计划，其中应包括工时控制、休息娱乐、体育活动方面的内容。</w:t>
      </w:r>
    </w:p>
    <w:p w14:paraId="4134600C">
      <w:pPr>
        <w:pStyle w:val="416"/>
        <w:pageBreakBefore w:val="0"/>
        <w:numPr>
          <w:ilvl w:val="0"/>
          <w:numId w:val="6"/>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承包商应有特殊健康检查制度，预防有禁忌症患者从事有关职业，如恐高 症患者不得从事高处作业，患有心血管疾病的人员不得从事繁重的体力劳动，特殊工种人员的体检应符合国家的规定。</w:t>
      </w:r>
    </w:p>
    <w:p w14:paraId="0389A543">
      <w:pPr>
        <w:pStyle w:val="416"/>
        <w:pageBreakBefore w:val="0"/>
        <w:numPr>
          <w:ilvl w:val="0"/>
          <w:numId w:val="6"/>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建立卫生防疫措施计划，做好生活区和施工区的卫生防疫工作。有灭蚊、灭鼠和消毒的专项工作计划，有针对性地制订预防SARS、H1N1流感、禽流感、疟疾、霍乱、肠道传染病、肝炎等传染性疾病的措施，有确保饮水卫生、饮食卫生、环境卫生和预防集体食物中毒的措施。</w:t>
      </w:r>
    </w:p>
    <w:p w14:paraId="3CFDB396">
      <w:pPr>
        <w:pStyle w:val="416"/>
        <w:pageBreakBefore w:val="0"/>
        <w:numPr>
          <w:ilvl w:val="0"/>
          <w:numId w:val="6"/>
        </w:numPr>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承包商应服从发包人卫生防疫部门的统一协调和管理。</w:t>
      </w:r>
    </w:p>
    <w:p w14:paraId="57A5C2B9">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（3）、交通、运输安全、环境管理</w:t>
      </w:r>
    </w:p>
    <w:p w14:paraId="21B03F73">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承包商应充分考虑本工程的特点，采取科学的施工工艺和有效的安全防护措施，确保施工期间道路的畅通及安全。</w:t>
      </w:r>
    </w:p>
    <w:p w14:paraId="1F125461">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上山道路的最小曲率半径不得小于15米；最大纵向坡度不得超过12％。</w:t>
      </w:r>
    </w:p>
    <w:p w14:paraId="477F6BEA">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双车道的路面宽度，应保证会车安全。陡长坡道的尽端弯道，不宜采用最小平曲线半径。弯道处会车视距若不能满足要求，则应分设车道。</w:t>
      </w:r>
    </w:p>
    <w:p w14:paraId="53C89856">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山坡填方的弯道、坡度较大的填方地段以及高堤路基路段外侧应设置护栏、挡车墙、挡车防护土坎、安全标志牌等。</w:t>
      </w:r>
    </w:p>
    <w:p w14:paraId="2A989C4D">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上山道路应经常维护，保持道路畅通；上山道路的排水系统经常维护，保持其有效可用。</w:t>
      </w:r>
    </w:p>
    <w:p w14:paraId="1205BA53">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通向装卸地点道路的坡度大于10％时，禁止汽车倒车行驶。</w:t>
      </w:r>
    </w:p>
    <w:p w14:paraId="24B29681">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驾驶员必须严格执行</w:t>
      </w:r>
      <w:r>
        <w:rPr>
          <w:rFonts w:hint="eastAsia" w:ascii="宋体" w:hAnsi="宋体" w:cs="宋体"/>
          <w:color w:val="auto"/>
          <w:sz w:val="22"/>
          <w:szCs w:val="22"/>
          <w:highlight w:val="none"/>
          <w:lang w:val="en-US" w:eastAsia="zh-CN"/>
        </w:rPr>
        <w:t>交通运输部</w:t>
      </w:r>
      <w:r>
        <w:rPr>
          <w:rFonts w:hint="eastAsia" w:ascii="宋体" w:hAnsi="宋体" w:cs="宋体"/>
          <w:color w:val="auto"/>
          <w:sz w:val="22"/>
          <w:szCs w:val="22"/>
          <w:highlight w:val="none"/>
        </w:rPr>
        <w:t>颁布的交通规则和技术操作规程，严禁无证、酒后、超速、超载、抢道、遗洒等违章行为。</w:t>
      </w:r>
    </w:p>
    <w:p w14:paraId="09B2A7BB">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驾驶机动车辆时严禁服用国家管制的精神药品或麻醉药品。</w:t>
      </w:r>
    </w:p>
    <w:p w14:paraId="1733500B">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装车时驾驶员禁止检查、维护车辆。</w:t>
      </w:r>
    </w:p>
    <w:p w14:paraId="42881BD9">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装车时驾驶员不宜离开驾驶室，禁止将头和手臂伸出驾驶室外。</w:t>
      </w:r>
    </w:p>
    <w:p w14:paraId="189DE7E7">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严禁穿拖鞋驾驶车辆，或拖拉工作鞋驾驶车辆。</w:t>
      </w:r>
    </w:p>
    <w:p w14:paraId="6BC60FB1">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卸载作业场地应经常保持平整，并保有3%~5%的反坡。</w:t>
      </w:r>
    </w:p>
    <w:p w14:paraId="300581EB">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卸载作业场地应有专人指挥，在同一地段不准同时进行卸载和推排作业。</w:t>
      </w:r>
    </w:p>
    <w:p w14:paraId="064A0F34">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卸载场地的倒车指挥人员，须穿反光衣、手持指挥小红旗、夜间配手持照明工具。</w:t>
      </w:r>
    </w:p>
    <w:p w14:paraId="67722C32">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车辆外缘至平台临边应保持3米以上距离。</w:t>
      </w:r>
    </w:p>
    <w:p w14:paraId="507F5449">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承包商的车辆必须证照齐全，车容车貌良好、车辆安全附属装置完好；严禁使用报废车辆或无牌无证车辆。</w:t>
      </w:r>
    </w:p>
    <w:p w14:paraId="49A0B8AB">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车辆超长、超宽、超高运输，必须征得发包人的许可。</w:t>
      </w:r>
    </w:p>
    <w:p w14:paraId="4E49F1B7">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承包商的运输车辆必须满足安全要求，刹车系统、灯光系统良好。</w:t>
      </w:r>
    </w:p>
    <w:p w14:paraId="7CCCA898">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载重土石方运输车辆的土、石不得超过车厢边沿。</w:t>
      </w:r>
    </w:p>
    <w:p w14:paraId="56BC3F71">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车辆的装载必须符合车辆装载规定的要求，禁止超高、超宽、超重装载，禁止车辆在道路上的遗洒。</w:t>
      </w:r>
    </w:p>
    <w:p w14:paraId="2522E8E8">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车辆的检查、保养、维修必须有本质的安全防护措施。</w:t>
      </w:r>
    </w:p>
    <w:p w14:paraId="5CC1082E">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车辆在</w:t>
      </w:r>
      <w:r>
        <w:rPr>
          <w:rFonts w:hint="eastAsia" w:ascii="宋体" w:hAnsi="宋体" w:cs="宋体"/>
          <w:color w:val="auto"/>
          <w:sz w:val="22"/>
          <w:szCs w:val="22"/>
          <w:highlight w:val="none"/>
          <w:lang w:val="en-US" w:eastAsia="zh-CN"/>
        </w:rPr>
        <w:t>行驶</w:t>
      </w:r>
      <w:r>
        <w:rPr>
          <w:rFonts w:hint="eastAsia" w:ascii="宋体" w:hAnsi="宋体" w:cs="宋体"/>
          <w:color w:val="auto"/>
          <w:sz w:val="22"/>
          <w:szCs w:val="22"/>
          <w:highlight w:val="none"/>
        </w:rPr>
        <w:t>中故障，必须有警示措施，这些警示措施需符合道路交通安全的规定。</w:t>
      </w:r>
    </w:p>
    <w:p w14:paraId="558016D7">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土石方运输车辆的转向轮胎严禁使用翻新胎或套胎；中、后桥的轮胎使用翻新胎或套胎的，需制定发包人许可的更换标准并严格遵守。</w:t>
      </w:r>
    </w:p>
    <w:p w14:paraId="63D87F54">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承包商必须对施工道路、运输道路进行日常的保养和维护，防止坑洼不平。</w:t>
      </w:r>
    </w:p>
    <w:p w14:paraId="3D68AB66">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承包商应配备洒水车对施工道路、运输道路进行洒水除尘；当洒水除尘效果不能满足发包人的环保要求时，承包商有责任增加洒水车洒水除尘。</w:t>
      </w:r>
    </w:p>
    <w:p w14:paraId="66983B72">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上山道路雨天泥泞、湿滑应停止施工。</w:t>
      </w:r>
    </w:p>
    <w:p w14:paraId="63E62AC6">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车辆在运输时不能装</w:t>
      </w:r>
      <w:r>
        <w:rPr>
          <w:rFonts w:hint="eastAsia" w:ascii="宋体" w:hAnsi="宋体" w:cs="宋体"/>
          <w:color w:val="auto"/>
          <w:sz w:val="22"/>
          <w:szCs w:val="22"/>
          <w:highlight w:val="none"/>
          <w:lang w:val="en-US" w:eastAsia="zh-CN"/>
        </w:rPr>
        <w:t>得</w:t>
      </w:r>
      <w:r>
        <w:rPr>
          <w:rFonts w:hint="eastAsia" w:ascii="宋体" w:hAnsi="宋体" w:cs="宋体"/>
          <w:color w:val="auto"/>
          <w:sz w:val="22"/>
          <w:szCs w:val="22"/>
          <w:highlight w:val="none"/>
        </w:rPr>
        <w:t>太满导致沿路遗</w:t>
      </w:r>
      <w:r>
        <w:rPr>
          <w:rFonts w:hint="eastAsia" w:ascii="宋体" w:hAnsi="宋体" w:cs="宋体"/>
          <w:color w:val="auto"/>
          <w:sz w:val="22"/>
          <w:szCs w:val="22"/>
          <w:highlight w:val="none"/>
          <w:lang w:val="en-US" w:eastAsia="zh-CN"/>
        </w:rPr>
        <w:t>撒</w:t>
      </w:r>
      <w:r>
        <w:rPr>
          <w:rFonts w:hint="eastAsia" w:ascii="宋体" w:hAnsi="宋体" w:cs="宋体"/>
          <w:color w:val="auto"/>
          <w:sz w:val="22"/>
          <w:szCs w:val="22"/>
          <w:highlight w:val="none"/>
        </w:rPr>
        <w:t>，对</w:t>
      </w:r>
      <w:r>
        <w:rPr>
          <w:rFonts w:hint="eastAsia" w:ascii="宋体" w:hAnsi="宋体" w:cs="宋体"/>
          <w:color w:val="auto"/>
          <w:sz w:val="22"/>
          <w:szCs w:val="22"/>
          <w:highlight w:val="none"/>
          <w:lang w:val="en-US" w:eastAsia="zh-CN"/>
        </w:rPr>
        <w:t>撒落</w:t>
      </w:r>
      <w:r>
        <w:rPr>
          <w:rFonts w:hint="eastAsia" w:ascii="宋体" w:hAnsi="宋体" w:cs="宋体"/>
          <w:color w:val="auto"/>
          <w:sz w:val="22"/>
          <w:szCs w:val="22"/>
          <w:highlight w:val="none"/>
        </w:rPr>
        <w:t>的渣料应及时清理。</w:t>
      </w:r>
    </w:p>
    <w:p w14:paraId="194342DE">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车辆在运输过程中应依限速要求行驶，严禁超速、超载。</w:t>
      </w:r>
    </w:p>
    <w:p w14:paraId="11C67EBF">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承包商应建立占用公用道路施工控制程序，实施占道施工许可证管理并得到发包人的书面批准。</w:t>
      </w:r>
    </w:p>
    <w:p w14:paraId="260981CE">
      <w:pPr>
        <w:pStyle w:val="416"/>
        <w:pageBreakBefore w:val="0"/>
        <w:numPr>
          <w:ilvl w:val="0"/>
          <w:numId w:val="7"/>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根据属地管理的原则，对进入施工区的人员和车辆进行统一的协调和管理。</w:t>
      </w:r>
    </w:p>
    <w:p w14:paraId="77499887">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r>
        <w:rPr>
          <w:rFonts w:hint="eastAsia" w:ascii="宋体" w:hAnsi="宋体" w:cs="宋体"/>
          <w:color w:val="auto"/>
          <w:sz w:val="22"/>
          <w:szCs w:val="22"/>
          <w:highlight w:val="none"/>
        </w:rPr>
        <w:t xml:space="preserve"> </w:t>
      </w:r>
      <w:r>
        <w:rPr>
          <w:rFonts w:hint="eastAsia" w:ascii="宋体" w:hAnsi="宋体" w:cs="宋体"/>
          <w:b/>
          <w:color w:val="auto"/>
          <w:sz w:val="22"/>
          <w:szCs w:val="22"/>
          <w:highlight w:val="none"/>
        </w:rPr>
        <w:t>施工队劳务（劳务工）安全、环境管理</w:t>
      </w:r>
    </w:p>
    <w:p w14:paraId="0FBAE68D">
      <w:pPr>
        <w:pStyle w:val="416"/>
        <w:pageBreakBefore w:val="0"/>
        <w:numPr>
          <w:ilvl w:val="0"/>
          <w:numId w:val="8"/>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承包商应向发包人提供施工队伍中分包商、劳务工的信息。这些信息应包括活动的内容、人数、与承包商合作的历史、劳务工来源等。</w:t>
      </w:r>
    </w:p>
    <w:p w14:paraId="55B66BF2">
      <w:pPr>
        <w:pStyle w:val="416"/>
        <w:pageBreakBefore w:val="0"/>
        <w:numPr>
          <w:ilvl w:val="0"/>
          <w:numId w:val="8"/>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承包商应对分包商、施工队、劳务提供单位的安全、环境资质实行有效控制，其安全、环境资质的审查文件应提供给发包人检查。</w:t>
      </w:r>
    </w:p>
    <w:p w14:paraId="638E9447">
      <w:pPr>
        <w:pStyle w:val="416"/>
        <w:pageBreakBefore w:val="0"/>
        <w:numPr>
          <w:ilvl w:val="0"/>
          <w:numId w:val="8"/>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承包商的安全、环境管理组织机构和岗位职责必须覆盖到分包队伍和所有人员。</w:t>
      </w:r>
    </w:p>
    <w:p w14:paraId="782361DB">
      <w:pPr>
        <w:pStyle w:val="416"/>
        <w:pageBreakBefore w:val="0"/>
        <w:numPr>
          <w:ilvl w:val="0"/>
          <w:numId w:val="8"/>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承包商必须确保以下各方面的安全、环境管理：</w:t>
      </w:r>
    </w:p>
    <w:p w14:paraId="5C732ABD">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不得使用童工。</w:t>
      </w:r>
    </w:p>
    <w:p w14:paraId="27CA861F">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保障妇女的劳动保护权益。</w:t>
      </w:r>
    </w:p>
    <w:p w14:paraId="46700BC3">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施工队的劳务工工资按时足量发放，不得克扣、拖延。</w:t>
      </w:r>
    </w:p>
    <w:p w14:paraId="01339B7F">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施工队员工和临时劳务工的工作时间合理，不得超量加班，避免疲劳过度而发生事故。</w:t>
      </w:r>
    </w:p>
    <w:p w14:paraId="401827EC">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为劳务工免费提供满足本合同要求的劳动保护用品。</w:t>
      </w:r>
    </w:p>
    <w:p w14:paraId="5460CF2E">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为施工队劳务工提供符合三防、卫生、消防、安全要求的生活居住条件，并将居住场所和人数以书面形式报给发包人。</w:t>
      </w:r>
    </w:p>
    <w:p w14:paraId="5FC8C716">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必须为劳务人员购买工伤保险或意外伤害保险、办理暂住证，并将证明文件的复印件提交给发包人备案。</w:t>
      </w:r>
    </w:p>
    <w:p w14:paraId="4FA7385F">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必须为劳务人员提供符合安全要求的上下班交通客车。</w:t>
      </w:r>
    </w:p>
    <w:p w14:paraId="20C37B2B">
      <w:pPr>
        <w:pStyle w:val="416"/>
        <w:pageBreakBefore w:val="0"/>
        <w:numPr>
          <w:ilvl w:val="0"/>
          <w:numId w:val="9"/>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劳务工必须和职工一起编队分配工作并进行管理，严禁没有工作经验的劳务工单独承担独立工作。</w:t>
      </w:r>
    </w:p>
    <w:p w14:paraId="0DF36BA4">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（5）、施工临建安全</w:t>
      </w:r>
    </w:p>
    <w:p w14:paraId="5366AE8B">
      <w:pPr>
        <w:pStyle w:val="416"/>
        <w:pageBreakBefore w:val="0"/>
        <w:numPr>
          <w:ilvl w:val="1"/>
          <w:numId w:val="10"/>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承包商禁止擅动现场公用设施，如占据消防通道、非事故情况下动用消防水、拆除安全围栏和标志、揭开沟道、堵塞泄洪道、私接电源、擅自堆放物料等等。</w:t>
      </w:r>
    </w:p>
    <w:p w14:paraId="7ADF8005">
      <w:pPr>
        <w:pStyle w:val="416"/>
        <w:pageBreakBefore w:val="0"/>
        <w:numPr>
          <w:ilvl w:val="1"/>
          <w:numId w:val="10"/>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承包商应维持责任范围内的道路、给排水、厕所、污水处理等基础设施的安全状态。</w:t>
      </w:r>
    </w:p>
    <w:p w14:paraId="58FBEF24">
      <w:pPr>
        <w:pStyle w:val="416"/>
        <w:pageBreakBefore w:val="0"/>
        <w:numPr>
          <w:ilvl w:val="1"/>
          <w:numId w:val="10"/>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在发包人管辖区域内所建立的临建设施，如车间、仓库、加工场地、预制场地等等，必须满足发包人的规划要求，这些临建设施必须具备基本的安全性能，包括抗震、防台、防雷、消防、逃生通道、安全距离、应急照明、通风空调、卫生、安全标志、防盗等性能。对于有特殊风险的厂房，则必须配置专设安全装置。厂房内使用的特种机械，如行车、机床、充电设备等，必须符合国家强制性标准和特种设备的监察要求。存放危险化学品、压缩气体、射线探伤装置和放射源的设施，必须满足分隔存放等安全要求，禁止混放。</w:t>
      </w:r>
    </w:p>
    <w:p w14:paraId="5FA992A2">
      <w:pPr>
        <w:pStyle w:val="416"/>
        <w:pageBreakBefore w:val="0"/>
        <w:numPr>
          <w:ilvl w:val="1"/>
          <w:numId w:val="10"/>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长期使用（超过半年）的临时施工建筑的建设标准应不低于地方规范，建筑设计应报送消防大队进行建筑设计消防审查。禁止使用毛竹、芦席、油毛毡等可燃材料搭制临时工棚和仓库。</w:t>
      </w:r>
    </w:p>
    <w:p w14:paraId="4CAAB97A">
      <w:pPr>
        <w:pStyle w:val="416"/>
        <w:pageBreakBefore w:val="0"/>
        <w:numPr>
          <w:ilvl w:val="1"/>
          <w:numId w:val="10"/>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建立“施工区域安全管理”制度，包括指定施工区域的安全负责人或协调人，建立安全检查制度，包括防火、照明、通风、防雷、防涝、防台风、物料管理、危险品管理、用电安全管理、灭火器材管理、安全警示牌管理、清洁卫生等内容。</w:t>
      </w:r>
    </w:p>
    <w:p w14:paraId="7402E72F">
      <w:pPr>
        <w:pStyle w:val="416"/>
        <w:pageBreakBefore w:val="0"/>
        <w:numPr>
          <w:ilvl w:val="1"/>
          <w:numId w:val="10"/>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禁止使用或出租发包人管辖区域内的设施从事与合同无关的活动，与设施的安全生产条件不符的活动或改做与设施的安全生产条件不符的用途。</w:t>
      </w:r>
    </w:p>
    <w:p w14:paraId="00BEF06E">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（6）、 生活区安全、环境管理</w:t>
      </w:r>
    </w:p>
    <w:p w14:paraId="1DE3C0B3">
      <w:pPr>
        <w:pStyle w:val="416"/>
        <w:pageBreakBefore w:val="0"/>
        <w:numPr>
          <w:ilvl w:val="0"/>
          <w:numId w:val="11"/>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承包商应制定生活营地管理规定（包括劳务工的生活营地）并报发包人备案。</w:t>
      </w:r>
    </w:p>
    <w:p w14:paraId="7A0BB1C0">
      <w:pPr>
        <w:pStyle w:val="416"/>
        <w:pageBreakBefore w:val="0"/>
        <w:numPr>
          <w:ilvl w:val="0"/>
          <w:numId w:val="11"/>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开工前承包商需将所有人员的居住场所和人员数量以书面的形式提交给发包人，发包人方将进行核查，如不满足安全、环境保护要求，将建议整改，在限期内达不到要求的，发包人将不予支付临建经费。</w:t>
      </w:r>
    </w:p>
    <w:p w14:paraId="44944B72">
      <w:pPr>
        <w:pStyle w:val="416"/>
        <w:pageBreakBefore w:val="0"/>
        <w:numPr>
          <w:ilvl w:val="0"/>
          <w:numId w:val="11"/>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施工现场不允许安排生活临建。</w:t>
      </w:r>
    </w:p>
    <w:p w14:paraId="2A5C3F2E">
      <w:pPr>
        <w:pStyle w:val="416"/>
        <w:pageBreakBefore w:val="0"/>
        <w:numPr>
          <w:ilvl w:val="0"/>
          <w:numId w:val="11"/>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承包商的生活临建不允许是工棚、铁皮房、石棉瓦房等不符合三防要求的建筑物，严禁租赁“危房”做生活营地。</w:t>
      </w:r>
    </w:p>
    <w:p w14:paraId="2F09359E">
      <w:pPr>
        <w:pStyle w:val="416"/>
        <w:pageBreakBefore w:val="0"/>
        <w:numPr>
          <w:ilvl w:val="0"/>
          <w:numId w:val="11"/>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生活营地应满足消防、安全用电、卫生防疫、防抗台风、暴雨、雷击等方面的安全条件，并建立相应的管理制度；尤其严格消防管理，禁止封锁逃生通道，禁止使用工作场所、仓库、生活场所“三合一”的设施。</w:t>
      </w:r>
    </w:p>
    <w:p w14:paraId="5B264026">
      <w:pPr>
        <w:pStyle w:val="416"/>
        <w:pageBreakBefore w:val="0"/>
        <w:numPr>
          <w:ilvl w:val="0"/>
          <w:numId w:val="11"/>
        </w:numPr>
        <w:kinsoku/>
        <w:overflowPunct/>
        <w:topLinePunct w:val="0"/>
        <w:autoSpaceDE w:val="0"/>
        <w:autoSpaceDN w:val="0"/>
        <w:bidi w:val="0"/>
        <w:adjustRightInd w:val="0"/>
        <w:spacing w:line="40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承包商的食堂要满足卫生要求，人员要定期体检，不能有传染病；要有消毒、冷藏设施，生、熟食要分开。</w:t>
      </w:r>
    </w:p>
    <w:p w14:paraId="73492C30">
      <w:pPr>
        <w:pStyle w:val="416"/>
        <w:pageBreakBefore w:val="0"/>
        <w:kinsoku/>
        <w:overflowPunct/>
        <w:topLinePunct w:val="0"/>
        <w:bidi w:val="0"/>
        <w:spacing w:line="400" w:lineRule="exac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在采购食品时要注意食品安全，禁止提供变质、过期食品，防止集体食物中毒。</w:t>
      </w:r>
    </w:p>
    <w:p w14:paraId="2C6E3519">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29" w:name="_Toc395382523"/>
      <w:bookmarkStart w:id="230" w:name="_Toc533432746"/>
      <w:bookmarkStart w:id="231" w:name="_Toc12975911"/>
      <w:r>
        <w:rPr>
          <w:rFonts w:hint="eastAsia" w:ascii="宋体" w:hAnsi="宋体" w:cs="宋体"/>
          <w:color w:val="auto"/>
          <w:sz w:val="22"/>
          <w:szCs w:val="22"/>
          <w:highlight w:val="none"/>
        </w:rPr>
        <w:t>6.3 环境保护</w:t>
      </w:r>
      <w:bookmarkEnd w:id="229"/>
      <w:bookmarkEnd w:id="230"/>
      <w:bookmarkEnd w:id="231"/>
    </w:p>
    <w:p w14:paraId="415DFD0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因施工需要，经发包人批准，由承包人办理有关施工场地交通、环卫和施工噪音管理等手续，费用由承包人负责。</w:t>
      </w:r>
    </w:p>
    <w:p w14:paraId="2B3074E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经过城市道路的施工车辆，必须按交警、城管、运输等部门相关规定执行。由于施工车辆造成的道路、环境等污染，其责任和费用均由承包人承担。</w:t>
      </w:r>
    </w:p>
    <w:p w14:paraId="76A7470C">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一、土地资源的保护</w:t>
      </w:r>
    </w:p>
    <w:p w14:paraId="6BBEA3EB">
      <w:pPr>
        <w:pStyle w:val="416"/>
        <w:pageBreakBefore w:val="0"/>
        <w:numPr>
          <w:ilvl w:val="0"/>
          <w:numId w:val="12"/>
        </w:numPr>
        <w:kinsoku/>
        <w:overflowPunct/>
        <w:topLinePunct w:val="0"/>
        <w:bidi w:val="0"/>
        <w:spacing w:line="40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妥善处理废方，山坡弃土应尽量避免破坏或掩埋路基（场地）下侧的林木、农田及其它工程设施。沿河弃土应避免壅塞河道、改变水流方向和抬高水位而淹没或冲毁农田、房屋。应重视弃土堆的复垦，有条件时，宜在弃土堆顶面绿化，或整平成为耕地。</w:t>
      </w:r>
    </w:p>
    <w:p w14:paraId="62D6177A">
      <w:pPr>
        <w:pStyle w:val="416"/>
        <w:pageBreakBefore w:val="0"/>
        <w:numPr>
          <w:ilvl w:val="0"/>
          <w:numId w:val="12"/>
        </w:numPr>
        <w:kinsoku/>
        <w:overflowPunct/>
        <w:topLinePunct w:val="0"/>
        <w:bidi w:val="0"/>
        <w:spacing w:line="40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取土坑应选在高地、荒地上，尽量不占耕地；当必须从耕地取土时，应将表面种植土铲除，集中成堆保存，并在工程交工前做好还地工作。对于深而宽的取土坑，可根据当地需要，用作蓄水池或鱼塘。在多年的经济作物区或重要的绿化带，不得设置取土坑。</w:t>
      </w:r>
    </w:p>
    <w:p w14:paraId="2246892E">
      <w:pPr>
        <w:pStyle w:val="416"/>
        <w:pageBreakBefore w:val="0"/>
        <w:numPr>
          <w:ilvl w:val="0"/>
          <w:numId w:val="12"/>
        </w:numPr>
        <w:kinsoku/>
        <w:overflowPunct/>
        <w:topLinePunct w:val="0"/>
        <w:bidi w:val="0"/>
        <w:spacing w:line="40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在河床采砂砾材料时，必须注意防止对河流状态的改变，并应符合</w:t>
      </w:r>
      <w:r>
        <w:rPr>
          <w:rFonts w:hint="eastAsia" w:ascii="宋体" w:hAnsi="宋体" w:cs="宋体"/>
          <w:color w:val="auto"/>
          <w:sz w:val="22"/>
          <w:szCs w:val="22"/>
          <w:highlight w:val="none"/>
          <w:u w:val="single"/>
          <w:lang w:eastAsia="zh-CN"/>
        </w:rPr>
        <w:t>《中华人民共和国水法》</w:t>
      </w:r>
      <w:r>
        <w:rPr>
          <w:rFonts w:hint="eastAsia" w:ascii="宋体" w:hAnsi="宋体" w:cs="宋体"/>
          <w:color w:val="auto"/>
          <w:sz w:val="22"/>
          <w:szCs w:val="22"/>
          <w:highlight w:val="none"/>
          <w:u w:val="single"/>
        </w:rPr>
        <w:t>的规定，即：“在行洪、排涝河流和航道范围内开采砂石、砂金，必须经河道主管部门批准，按照批准的范围和作业方式开采，涉及航道的，由河道主管部门会同</w:t>
      </w:r>
      <w:r>
        <w:rPr>
          <w:rFonts w:hint="eastAsia" w:ascii="宋体" w:hAnsi="宋体" w:cs="宋体"/>
          <w:color w:val="auto"/>
          <w:sz w:val="22"/>
          <w:szCs w:val="22"/>
          <w:highlight w:val="none"/>
          <w:u w:val="single"/>
          <w:lang w:val="en-US" w:eastAsia="zh-CN"/>
        </w:rPr>
        <w:t>航</w:t>
      </w:r>
      <w:r>
        <w:rPr>
          <w:rFonts w:hint="eastAsia" w:ascii="宋体" w:hAnsi="宋体" w:cs="宋体"/>
          <w:color w:val="auto"/>
          <w:sz w:val="22"/>
          <w:szCs w:val="22"/>
          <w:highlight w:val="none"/>
          <w:u w:val="single"/>
        </w:rPr>
        <w:t>道主管部门批准”的规定。</w:t>
      </w:r>
    </w:p>
    <w:p w14:paraId="3F52DFDB">
      <w:pPr>
        <w:pStyle w:val="416"/>
        <w:pageBreakBefore w:val="0"/>
        <w:numPr>
          <w:ilvl w:val="0"/>
          <w:numId w:val="12"/>
        </w:numPr>
        <w:kinsoku/>
        <w:overflowPunct/>
        <w:topLinePunct w:val="0"/>
        <w:bidi w:val="0"/>
        <w:spacing w:line="40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采石场的位置，应结合环境保护的要求选择，其中包括噪声、爆破引起的地下振动、公共安全问题等。采石场的位置，应征得当地政府及环境管理部门的同意并办理必要的手续。</w:t>
      </w:r>
    </w:p>
    <w:p w14:paraId="7490FE4B">
      <w:pPr>
        <w:pStyle w:val="416"/>
        <w:pageBreakBefore w:val="0"/>
        <w:numPr>
          <w:ilvl w:val="0"/>
          <w:numId w:val="12"/>
        </w:numPr>
        <w:kinsoku/>
        <w:overflowPunct/>
        <w:topLinePunct w:val="0"/>
        <w:bidi w:val="0"/>
        <w:spacing w:line="40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对施工人员加强保护自然资源及野生植物的教育，在雇</w:t>
      </w:r>
      <w:r>
        <w:rPr>
          <w:rFonts w:hint="eastAsia" w:ascii="宋体" w:hAnsi="宋体" w:cs="宋体"/>
          <w:color w:val="auto"/>
          <w:sz w:val="22"/>
          <w:szCs w:val="22"/>
          <w:highlight w:val="none"/>
          <w:u w:val="single"/>
          <w:lang w:val="en-US" w:eastAsia="zh-CN"/>
        </w:rPr>
        <w:t>佣</w:t>
      </w:r>
      <w:r>
        <w:rPr>
          <w:rFonts w:hint="eastAsia" w:ascii="宋体" w:hAnsi="宋体" w:cs="宋体"/>
          <w:color w:val="auto"/>
          <w:sz w:val="22"/>
          <w:szCs w:val="22"/>
          <w:highlight w:val="none"/>
          <w:u w:val="single"/>
        </w:rPr>
        <w:t>合同中规定严禁偷猎和随意砍伐树木。</w:t>
      </w:r>
    </w:p>
    <w:p w14:paraId="584EF6AD">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二、防止水土流失和废料废方处理</w:t>
      </w:r>
    </w:p>
    <w:p w14:paraId="43DC6BBE">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（1）、防水排水</w:t>
      </w:r>
    </w:p>
    <w:p w14:paraId="480AFB68">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1）在施工期间应始终保持工地的良好的排水状态，修建必要的临时排水渠道，并与永久性排水设施相连接，且不得引起淤积和冲刷。</w:t>
      </w:r>
    </w:p>
    <w:p w14:paraId="5DCE74D7">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2）因承包商未设置足够的排水设施致使土方工程遭受破坏时，其责任由承包商自负。</w:t>
      </w:r>
    </w:p>
    <w:p w14:paraId="3FA23ABA">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3）雨季填筑路堤应随挖、随运、随填、随压实，依次进行；每层表面应筑成适当的横坡，使不积水。</w:t>
      </w:r>
    </w:p>
    <w:p w14:paraId="6ED4974E">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（2）、冲刷与淤积</w:t>
      </w:r>
    </w:p>
    <w:p w14:paraId="0E998C30">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1）承包商应采取有效预防措施，防止施工场所占用的土地或临时使用的土地受到冲刷。</w:t>
      </w:r>
    </w:p>
    <w:p w14:paraId="036D4100">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2）承包商应采取有效预防措施，防止从本工程施工中开挖的土石材料，对河流、水道、灌溉或排水系统产生淤积或堵塞。</w:t>
      </w:r>
    </w:p>
    <w:p w14:paraId="6EE5C9B0">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3）施工中的临时排水系统，应能最大限度地减少水土流失及对水文状态的改变。</w:t>
      </w:r>
    </w:p>
    <w:p w14:paraId="7CF06237">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4）开挖或填筑的土质路基边坡应及时采取防护措施，防止雨季到来时水流对坡面的冲刷而影响排水系统的功能，减少对附近水域的污染。</w:t>
      </w:r>
    </w:p>
    <w:p w14:paraId="3871C23B">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5）承包商不管出于任何需要，未经发包人的事先书面同意，不得干扰河道、水道或现有灌溉或排水系统的自然流动，以免导致冲刷与淤积的发生。</w:t>
      </w:r>
    </w:p>
    <w:p w14:paraId="48B40635">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（3）、废料废方的处理</w:t>
      </w:r>
    </w:p>
    <w:p w14:paraId="5BA47067">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1）清理场地的废料和土石方工程的废方处理，不得影响排灌系统及农田水利设施，不得向江河、湖泊、水库和专门堆放地以外的地方</w:t>
      </w:r>
      <w:r>
        <w:rPr>
          <w:rFonts w:hint="eastAsia" w:ascii="宋体" w:hAnsi="宋体" w:cs="宋体"/>
          <w:color w:val="auto"/>
          <w:sz w:val="22"/>
          <w:szCs w:val="22"/>
          <w:highlight w:val="none"/>
          <w:u w:val="single"/>
        </w:rPr>
        <w:t>倾倒</w:t>
      </w:r>
      <w:r>
        <w:rPr>
          <w:rFonts w:hint="eastAsia" w:ascii="宋体" w:hAnsi="宋体" w:cs="宋体"/>
          <w:color w:val="auto"/>
          <w:sz w:val="22"/>
          <w:szCs w:val="22"/>
          <w:highlight w:val="none"/>
          <w:u w:val="single"/>
        </w:rPr>
        <w:t>。应按图纸规定或发包人的指示在适当地点设置弃土场，有条件时，力求少占土地，并对弃土进行整治利用。</w:t>
      </w:r>
    </w:p>
    <w:p w14:paraId="5840969F">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2）当设置弃土堆时，应按相关规定执行。</w:t>
      </w:r>
    </w:p>
    <w:p w14:paraId="5CCD6A43">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3)桥梁施工过程中的泥浆及废弃物等，应在工程完工时</w:t>
      </w:r>
      <w:r>
        <w:rPr>
          <w:rFonts w:hint="eastAsia" w:ascii="宋体" w:hAnsi="宋体" w:cs="宋体"/>
          <w:color w:val="auto"/>
          <w:sz w:val="22"/>
          <w:szCs w:val="22"/>
          <w:highlight w:val="none"/>
          <w:u w:val="single"/>
          <w:lang w:val="en-US" w:eastAsia="zh-CN"/>
        </w:rPr>
        <w:t>及时</w:t>
      </w:r>
      <w:r>
        <w:rPr>
          <w:rFonts w:hint="eastAsia" w:ascii="宋体" w:hAnsi="宋体" w:cs="宋体"/>
          <w:color w:val="auto"/>
          <w:sz w:val="22"/>
          <w:szCs w:val="22"/>
          <w:highlight w:val="none"/>
          <w:u w:val="single"/>
        </w:rPr>
        <w:t>清除干净，以免堵塞河道和妨碍交通，禁止直接排放到原有水系。</w:t>
      </w:r>
    </w:p>
    <w:p w14:paraId="4F466E9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4)挖方工程及隧道工程的大型弃方场地，应采取以下水土保持措施：</w:t>
      </w:r>
    </w:p>
    <w:p w14:paraId="50CA60DE">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a.废方堆放点应统筹安排，堆放点应远离河道，尽量不要压盖植被，尽可能选择荒地；</w:t>
      </w:r>
    </w:p>
    <w:p w14:paraId="5D97D36B">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b.及时对弃方进行压实，并在其表面植被覆盖。可以种植草皮、灌木或树木，达到防止水土流失、美化环境的目的；</w:t>
      </w:r>
    </w:p>
    <w:p w14:paraId="5519C012">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c.尽可能对弃土方整平用作耕地；</w:t>
      </w:r>
    </w:p>
    <w:p w14:paraId="4C68BDB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d.隧道</w:t>
      </w:r>
      <w:r>
        <w:rPr>
          <w:rFonts w:hint="eastAsia" w:ascii="宋体" w:hAnsi="宋体" w:cs="宋体"/>
          <w:color w:val="auto"/>
          <w:sz w:val="22"/>
          <w:szCs w:val="22"/>
          <w:highlight w:val="none"/>
          <w:u w:val="single"/>
          <w:lang w:val="en-US" w:eastAsia="zh-CN"/>
        </w:rPr>
        <w:t>堆</w:t>
      </w:r>
      <w:r>
        <w:rPr>
          <w:rFonts w:hint="eastAsia" w:ascii="宋体" w:hAnsi="宋体" w:cs="宋体"/>
          <w:color w:val="auto"/>
          <w:sz w:val="22"/>
          <w:szCs w:val="22"/>
          <w:highlight w:val="none"/>
          <w:u w:val="single"/>
        </w:rPr>
        <w:t>渣点应选择植被稀疏的荒地，弃渣的下部和边角宜砌筑拦渣坝或墙，以防止水土流失。</w:t>
      </w:r>
    </w:p>
    <w:p w14:paraId="1AC50DA2">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三、防止和减轻水、大气受污染</w:t>
      </w:r>
    </w:p>
    <w:p w14:paraId="7539F366">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（1）、保护水质</w:t>
      </w:r>
    </w:p>
    <w:p w14:paraId="52CEE10B">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1）施工废水、生活污水不得直接排入农田、耕地、灌溉渠和水库。严禁排入饮用水源。</w:t>
      </w:r>
    </w:p>
    <w:p w14:paraId="4E79B421">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2）工程施工区域、砂石料场，在施工期间和完工以后，应妥善处理以减少对河道、溪流的侵蚀，防止沉渣进入河道或溪流。</w:t>
      </w:r>
    </w:p>
    <w:p w14:paraId="2C02762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3）冲洗集料或含有沉积物的操作用水，应采取过滤、沉淀池处理或其它措施，做到达标排放。</w:t>
      </w:r>
    </w:p>
    <w:p w14:paraId="77C5218A">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4）施工期间，施工物料如水泥、油料、化学品等应堆放管理严格，防止在雨季或暴雨将物料随雨水径流排入地表及附近水域造成污染。</w:t>
      </w:r>
    </w:p>
    <w:p w14:paraId="5D24839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5）施工机械应防止严重漏油，禁止机械在动转中产生的油污水未经处理就直接排放，或维修施工机械时油污水直接排放。</w:t>
      </w:r>
    </w:p>
    <w:p w14:paraId="37C6F85E">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(2)、控制扬尘</w:t>
      </w:r>
    </w:p>
    <w:p w14:paraId="38712735">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1）为了减少施工作业产生的灰尘，在施工区域内应随时进行洒水或其他抑尘措施，使不出现明显的降尘。</w:t>
      </w:r>
    </w:p>
    <w:p w14:paraId="78E22660">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2）易于引起粉尘的细料或松散料应予遮盖或适当洒水润湿。运输时应用帆布、盖套及类似遮盖物覆盖。</w:t>
      </w:r>
    </w:p>
    <w:p w14:paraId="187FED6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3）运转时有粉尘发生的施工场地，如水泥混凝土拌和机站(场)、大型轧石机场等投料器均应有防尘设备，在这些场所作业的工作人员，应配备必要的劳保防护用品。</w:t>
      </w:r>
    </w:p>
    <w:p w14:paraId="28A591FE">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4）如果承包商预防措施不力，并已对邻近的河流、湖泊、池塘、农田或卫生环境造成了危害，则由此而引起的一切损失及后果，应</w:t>
      </w:r>
      <w:r>
        <w:rPr>
          <w:rFonts w:hint="eastAsia" w:ascii="宋体" w:hAnsi="宋体" w:cs="宋体"/>
          <w:color w:val="auto"/>
          <w:sz w:val="22"/>
          <w:szCs w:val="22"/>
          <w:highlight w:val="none"/>
          <w:u w:val="single"/>
          <w:lang w:val="en-US" w:eastAsia="zh-CN"/>
        </w:rPr>
        <w:t>由</w:t>
      </w:r>
      <w:r>
        <w:rPr>
          <w:rFonts w:hint="eastAsia" w:ascii="宋体" w:hAnsi="宋体" w:cs="宋体"/>
          <w:color w:val="auto"/>
          <w:sz w:val="22"/>
          <w:szCs w:val="22"/>
          <w:highlight w:val="none"/>
          <w:u w:val="single"/>
        </w:rPr>
        <w:t>承包商负责。</w:t>
      </w:r>
    </w:p>
    <w:p w14:paraId="2D905B5A">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（3）、减少噪声、废气污染</w:t>
      </w:r>
    </w:p>
    <w:p w14:paraId="23C713B2">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1）各种临时设施和场地，如堆料场、加工厂、轧石厂等距居民区不宜小于300 mm，而且应设于居民区主要风向的下风处。</w:t>
      </w:r>
    </w:p>
    <w:p w14:paraId="0EF0844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2）使用机械设备的工艺操作，要尽量减少噪声、废气等污染；建筑施工场地的噪声应符合《建筑施工场界噪声限值》(GB 12523-1990)的规定，并应遵守当地有关部门对夜间施工的规定。</w:t>
      </w:r>
    </w:p>
    <w:p w14:paraId="7EC874E3">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3)如果承包商预防措施不力，并已对邻近区域的环境卫生造成了危害，则由此而引起的一切损失及后果，应</w:t>
      </w:r>
      <w:r>
        <w:rPr>
          <w:rFonts w:hint="eastAsia" w:ascii="宋体" w:hAnsi="宋体" w:cs="宋体"/>
          <w:color w:val="auto"/>
          <w:sz w:val="22"/>
          <w:szCs w:val="22"/>
          <w:highlight w:val="none"/>
          <w:u w:val="single"/>
          <w:lang w:val="en-US" w:eastAsia="zh-CN"/>
        </w:rPr>
        <w:t>由</w:t>
      </w:r>
      <w:r>
        <w:rPr>
          <w:rFonts w:hint="eastAsia" w:ascii="宋体" w:hAnsi="宋体" w:cs="宋体"/>
          <w:color w:val="auto"/>
          <w:sz w:val="22"/>
          <w:szCs w:val="22"/>
          <w:highlight w:val="none"/>
          <w:u w:val="single"/>
        </w:rPr>
        <w:t>承包商负责。</w:t>
      </w:r>
    </w:p>
    <w:p w14:paraId="07037B8B">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四、保护绿色植被</w:t>
      </w:r>
    </w:p>
    <w:p w14:paraId="32892FF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（1）、承包商应尽量保护公路用地范围之外的现有绿色植被。若因修建临时工程破坏了现有的绿色植被，应负责在拆除临时工程时予以恢复。</w:t>
      </w:r>
    </w:p>
    <w:p w14:paraId="27070A8B">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（2）、要保护道路两旁的古树、名木和法定保护的树种，即使处在用地范围内，有可能时也要尽量设法保护。</w:t>
      </w:r>
    </w:p>
    <w:p w14:paraId="60DD6EC6">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（3）、施工期间工程破坏植被的面积应严格控制，除了不可避免的工程占地、砍伐以外，不应再发生其它形式的人为破坏。</w:t>
      </w:r>
    </w:p>
    <w:p w14:paraId="5816C25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p>
    <w:p w14:paraId="528B939B">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232" w:name="_Toc395382524"/>
      <w:bookmarkStart w:id="233" w:name="_Toc12975912"/>
      <w:bookmarkStart w:id="234" w:name="_Toc533432747"/>
      <w:r>
        <w:rPr>
          <w:rFonts w:hint="eastAsia" w:ascii="宋体" w:hAnsi="宋体" w:cs="宋体"/>
          <w:color w:val="auto"/>
          <w:sz w:val="22"/>
          <w:szCs w:val="22"/>
          <w:highlight w:val="none"/>
        </w:rPr>
        <w:t>7. 工期和进度</w:t>
      </w:r>
      <w:bookmarkEnd w:id="232"/>
      <w:bookmarkEnd w:id="233"/>
      <w:bookmarkEnd w:id="234"/>
    </w:p>
    <w:p w14:paraId="6D1FA29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35" w:name="_Toc12975913"/>
      <w:bookmarkStart w:id="236" w:name="_Toc395382525"/>
      <w:bookmarkStart w:id="237" w:name="_Toc533432748"/>
      <w:r>
        <w:rPr>
          <w:rFonts w:hint="eastAsia" w:ascii="宋体" w:hAnsi="宋体" w:cs="宋体"/>
          <w:color w:val="auto"/>
          <w:sz w:val="22"/>
          <w:szCs w:val="22"/>
          <w:highlight w:val="none"/>
        </w:rPr>
        <w:t>7.1 施工组织设计</w:t>
      </w:r>
      <w:bookmarkEnd w:id="235"/>
      <w:bookmarkEnd w:id="236"/>
      <w:bookmarkEnd w:id="237"/>
    </w:p>
    <w:p w14:paraId="1668C4D6">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7.1.1 合</w:t>
      </w:r>
      <w:r>
        <w:rPr>
          <w:rFonts w:hint="eastAsia" w:ascii="宋体" w:hAnsi="宋体" w:cs="宋体"/>
          <w:color w:val="auto"/>
          <w:kern w:val="0"/>
          <w:sz w:val="22"/>
          <w:szCs w:val="22"/>
          <w:highlight w:val="none"/>
        </w:rPr>
        <w:t>同当事人约定的施工组织设计应包括的其他内容：</w:t>
      </w:r>
      <w:r>
        <w:rPr>
          <w:rFonts w:hint="eastAsia" w:ascii="宋体" w:hAnsi="宋体" w:cs="宋体"/>
          <w:color w:val="auto"/>
          <w:sz w:val="22"/>
          <w:szCs w:val="22"/>
          <w:highlight w:val="none"/>
          <w:u w:val="single"/>
        </w:rPr>
        <w:t xml:space="preserve">  按磋商文件约定，磋商文件无约定的按通用合同条款或双方另行约定 。</w:t>
      </w:r>
      <w:r>
        <w:rPr>
          <w:rFonts w:hint="eastAsia" w:ascii="宋体" w:hAnsi="宋体" w:cs="宋体"/>
          <w:b/>
          <w:bCs/>
          <w:color w:val="auto"/>
          <w:sz w:val="22"/>
          <w:szCs w:val="22"/>
          <w:highlight w:val="none"/>
          <w:u w:val="single"/>
        </w:rPr>
        <w:t>如实际施工时发现承包人提供的施工组织设计方案存在缺陷，发包人可要求其对方案进行完善、修改，承包人必须无条件执行，直到发包人、监理人批准通过，承包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38527417">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 xml:space="preserve">7.1.2 </w:t>
      </w:r>
      <w:r>
        <w:rPr>
          <w:rFonts w:hint="eastAsia" w:ascii="宋体" w:hAnsi="宋体" w:cs="宋体"/>
          <w:color w:val="auto"/>
          <w:kern w:val="0"/>
          <w:sz w:val="22"/>
          <w:highlight w:val="none"/>
        </w:rPr>
        <w:t>施工组织设计的提交和修改</w:t>
      </w:r>
    </w:p>
    <w:p w14:paraId="422CFE44">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承包人提交详细施工组织设计的</w:t>
      </w:r>
      <w:r>
        <w:rPr>
          <w:rFonts w:hint="eastAsia" w:ascii="宋体" w:hAnsi="宋体" w:cs="宋体"/>
          <w:color w:val="auto"/>
          <w:kern w:val="0"/>
          <w:sz w:val="22"/>
          <w:highlight w:val="none"/>
        </w:rPr>
        <w:t>期限约定</w:t>
      </w:r>
      <w:r>
        <w:rPr>
          <w:rFonts w:hint="eastAsia" w:ascii="宋体" w:hAnsi="宋体" w:cs="宋体"/>
          <w:color w:val="auto"/>
          <w:kern w:val="0"/>
          <w:sz w:val="22"/>
          <w:highlight w:val="none"/>
        </w:rPr>
        <w:t>：</w:t>
      </w:r>
      <w:r>
        <w:rPr>
          <w:rFonts w:hint="eastAsia" w:ascii="宋体" w:hAnsi="宋体" w:cs="宋体"/>
          <w:color w:val="auto"/>
          <w:sz w:val="22"/>
          <w:highlight w:val="none"/>
          <w:u w:val="single"/>
        </w:rPr>
        <w:t>开工前7天</w:t>
      </w:r>
      <w:r>
        <w:rPr>
          <w:rFonts w:hint="eastAsia" w:ascii="宋体" w:hAnsi="宋体" w:cs="宋体"/>
          <w:color w:val="auto"/>
          <w:sz w:val="22"/>
          <w:highlight w:val="none"/>
        </w:rPr>
        <w:t>。</w:t>
      </w:r>
    </w:p>
    <w:p w14:paraId="087E640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发包人和监理人在收到详细的施工组织设计后确认或提出修改意见的期限：</w:t>
      </w:r>
      <w:r>
        <w:rPr>
          <w:rFonts w:hint="eastAsia" w:ascii="宋体" w:hAnsi="宋体" w:cs="宋体"/>
          <w:color w:val="auto"/>
          <w:sz w:val="22"/>
          <w:highlight w:val="none"/>
          <w:u w:val="single"/>
        </w:rPr>
        <w:t>收到后5天内</w:t>
      </w:r>
      <w:r>
        <w:rPr>
          <w:rFonts w:hint="eastAsia" w:ascii="宋体" w:hAnsi="宋体" w:cs="宋体"/>
          <w:color w:val="auto"/>
          <w:sz w:val="22"/>
          <w:highlight w:val="none"/>
        </w:rPr>
        <w:t>。</w:t>
      </w:r>
    </w:p>
    <w:p w14:paraId="71E80208">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应在合同生效后14天内（但至迟不得晚于开工日期前7天），承包人应编制详细的施工进度计划、施工组织设计和施工方案说明以及详细的分阶段或分项进度计划报送监理人和发包人审查批准，该施工进度计划须涵盖整个工程施工各阶段的详细施工计划安排（包括主要材料采购及人员进场计划）。该详细施工进度计划应采用P3E/C或Project2000以上版本软件编制。监理人和发包人的批准或回复意见，不解除承包人的任何责任。其中，施工组织设计不应对磋商文件的施工组织设计做实质性改变，只能是对其进一步细化。同时，在施工过程中，承包人应按发包人的要求提交发包人认为有必要进一步细化的方案和操作规程的文件。施工组织设计应当说明相应的施工方案、流程、人员组织、技术、设备力量、技术措施、质量保证措施、进度控制措施、安全生产的技术组织措施，经发包人审核批准后执行。施工组织设计中应有明确的施工组织机构图，应建立以其项目经理为核心的进度控制体系，并明确落实包括项目经理、技术负责人、各专业工程师、质检员、安全员在内</w:t>
      </w:r>
      <w:r>
        <w:rPr>
          <w:rFonts w:hint="eastAsia" w:ascii="宋体" w:hAnsi="宋体" w:cs="宋体"/>
          <w:color w:val="auto"/>
          <w:sz w:val="22"/>
          <w:szCs w:val="22"/>
          <w:highlight w:val="none"/>
        </w:rPr>
        <w:t>的具体</w:t>
      </w:r>
      <w:r>
        <w:rPr>
          <w:rFonts w:hint="eastAsia" w:ascii="宋体" w:hAnsi="宋体" w:cs="宋体"/>
          <w:color w:val="auto"/>
          <w:sz w:val="22"/>
          <w:szCs w:val="22"/>
          <w:highlight w:val="none"/>
        </w:rPr>
        <w:t>负责人员。组织机构中必须设置进度控制部门并配置具有相应资历的人员；并且项目经理、质检员、安全员必须是专职人员，不得兼职。</w:t>
      </w:r>
    </w:p>
    <w:p w14:paraId="0A38C77F">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承包人提供的劳力和施工机械应不低于磋商文件或经批准的施工组织设计中承诺的标准,以实现工程进度的需要。承包人应按发包人代表要求的格式和时间填写劳力和施工机械报表并呈送，该报表详细说明承包人及其分包人在各个时期雇用在现场的各类劳力数量、管理职员姓</w:t>
      </w:r>
      <w:r>
        <w:rPr>
          <w:rFonts w:hint="eastAsia" w:ascii="宋体" w:hAnsi="宋体" w:cs="宋体"/>
          <w:color w:val="auto"/>
          <w:sz w:val="22"/>
          <w:szCs w:val="22"/>
          <w:highlight w:val="none"/>
        </w:rPr>
        <w:t>名以</w:t>
      </w:r>
      <w:r>
        <w:rPr>
          <w:rFonts w:hint="eastAsia" w:ascii="宋体" w:hAnsi="宋体" w:cs="宋体"/>
          <w:color w:val="auto"/>
          <w:sz w:val="22"/>
          <w:szCs w:val="22"/>
          <w:highlight w:val="none"/>
        </w:rPr>
        <w:t>及施工机械，包括但不限于名称及识别号码，这些号码应在施工机械的明显位置上，并指示出它是自备的还是租用的。对于承包人投入本工程的施工机械，在发包人要求时，承包人应向发包人提供该施工机械的所有权或使用权归属于承包人的证明。对于承包人投入本工程的劳力，在发包人要求时，承包人应向发包人提供雇佣证明，其中：承包人自有雇员：应提供劳动合同（或聘用合同）或该人员在承包人单位半年以上社保缴费证明；劳务分包人的雇员：应提供劳务分包合同及；劳务分包人的雇员的人身意外伤害保险投保证明。承包人未按要求提供前述机械和人员的真实有效的证明文件的，视为承包人未足额投入劳力和施工机械，发包人有权参照本合同中承包人未能按约定足额投入劳力和施工机械的条款处理。</w:t>
      </w:r>
    </w:p>
    <w:p w14:paraId="3672FAD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38" w:name="_Toc12975914"/>
      <w:bookmarkStart w:id="239" w:name="_Toc395382526"/>
      <w:bookmarkStart w:id="240" w:name="_Toc533432749"/>
      <w:r>
        <w:rPr>
          <w:rFonts w:hint="eastAsia" w:ascii="宋体" w:hAnsi="宋体" w:cs="宋体"/>
          <w:color w:val="auto"/>
          <w:sz w:val="22"/>
          <w:szCs w:val="22"/>
          <w:highlight w:val="none"/>
        </w:rPr>
        <w:t>7.2 施工进度计划</w:t>
      </w:r>
      <w:bookmarkEnd w:id="238"/>
      <w:bookmarkEnd w:id="239"/>
      <w:bookmarkEnd w:id="240"/>
    </w:p>
    <w:p w14:paraId="14FE054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7.2.2 施工进度计划的修订</w:t>
      </w:r>
    </w:p>
    <w:p w14:paraId="2242A0B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发包人和监理人在收到修订的施工进度计划后确认或提出修改意见的期限：</w:t>
      </w:r>
      <w:r>
        <w:rPr>
          <w:rFonts w:hint="eastAsia" w:ascii="宋体" w:hAnsi="宋体" w:cs="宋体"/>
          <w:color w:val="auto"/>
          <w:sz w:val="22"/>
          <w:highlight w:val="none"/>
          <w:u w:val="single"/>
        </w:rPr>
        <w:t>收到后5天内</w:t>
      </w:r>
      <w:r>
        <w:rPr>
          <w:rFonts w:hint="eastAsia" w:ascii="宋体" w:hAnsi="宋体" w:cs="宋体"/>
          <w:color w:val="auto"/>
          <w:sz w:val="22"/>
          <w:highlight w:val="none"/>
        </w:rPr>
        <w:t>。</w:t>
      </w:r>
    </w:p>
    <w:p w14:paraId="7399EDD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41" w:name="_Toc12975915"/>
      <w:bookmarkStart w:id="242" w:name="_Toc395382527"/>
      <w:bookmarkStart w:id="243" w:name="_Toc533432750"/>
      <w:r>
        <w:rPr>
          <w:rFonts w:hint="eastAsia" w:ascii="宋体" w:hAnsi="宋体" w:cs="宋体"/>
          <w:color w:val="auto"/>
          <w:sz w:val="22"/>
          <w:szCs w:val="22"/>
          <w:highlight w:val="none"/>
        </w:rPr>
        <w:t>7.3 开工</w:t>
      </w:r>
      <w:bookmarkEnd w:id="241"/>
      <w:bookmarkEnd w:id="242"/>
      <w:bookmarkEnd w:id="243"/>
    </w:p>
    <w:p w14:paraId="3BA518D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7.3.1 开工准备</w:t>
      </w:r>
    </w:p>
    <w:p w14:paraId="4A686076">
      <w:pPr>
        <w:pStyle w:val="414"/>
        <w:pageBreakBefore w:val="0"/>
        <w:kinsoku/>
        <w:overflowPunct/>
        <w:topLinePunct w:val="0"/>
        <w:bidi w:val="0"/>
        <w:spacing w:line="400" w:lineRule="exact"/>
        <w:ind w:firstLine="426"/>
        <w:jc w:val="left"/>
        <w:rPr>
          <w:rFonts w:hint="eastAsia" w:ascii="宋体" w:hAnsi="宋体" w:cs="宋体"/>
          <w:color w:val="auto"/>
          <w:sz w:val="22"/>
          <w:highlight w:val="none"/>
          <w:u w:val="single"/>
        </w:rPr>
      </w:pPr>
      <w:r>
        <w:rPr>
          <w:rFonts w:hint="eastAsia" w:ascii="宋体" w:hAnsi="宋体" w:cs="宋体"/>
          <w:color w:val="auto"/>
          <w:sz w:val="22"/>
          <w:highlight w:val="none"/>
        </w:rPr>
        <w:t>关于承包人提交</w:t>
      </w:r>
      <w:r>
        <w:rPr>
          <w:rFonts w:hint="eastAsia" w:ascii="宋体" w:hAnsi="宋体" w:cs="宋体"/>
          <w:color w:val="auto"/>
          <w:kern w:val="0"/>
          <w:sz w:val="22"/>
          <w:highlight w:val="none"/>
        </w:rPr>
        <w:t>工程开工报审表的期限：</w:t>
      </w:r>
      <w:r>
        <w:rPr>
          <w:rFonts w:hint="eastAsia" w:ascii="宋体" w:hAnsi="宋体" w:cs="宋体"/>
          <w:color w:val="auto"/>
          <w:sz w:val="22"/>
          <w:highlight w:val="none"/>
          <w:u w:val="single"/>
        </w:rPr>
        <w:t>开工前7天</w:t>
      </w:r>
      <w:r>
        <w:rPr>
          <w:rFonts w:hint="eastAsia" w:ascii="宋体" w:hAnsi="宋体" w:cs="宋体"/>
          <w:color w:val="auto"/>
          <w:sz w:val="22"/>
          <w:highlight w:val="none"/>
        </w:rPr>
        <w:t>。</w:t>
      </w:r>
    </w:p>
    <w:p w14:paraId="2885FC48">
      <w:pPr>
        <w:pStyle w:val="414"/>
        <w:pageBreakBefore w:val="0"/>
        <w:kinsoku/>
        <w:overflowPunct/>
        <w:topLinePunct w:val="0"/>
        <w:bidi w:val="0"/>
        <w:spacing w:line="400" w:lineRule="exact"/>
        <w:ind w:firstLine="426"/>
        <w:jc w:val="left"/>
        <w:rPr>
          <w:rFonts w:hint="eastAsia" w:ascii="宋体" w:hAnsi="宋体" w:cs="宋体"/>
          <w:color w:val="auto"/>
          <w:sz w:val="22"/>
          <w:highlight w:val="none"/>
          <w:u w:val="single"/>
        </w:rPr>
      </w:pPr>
      <w:r>
        <w:rPr>
          <w:rFonts w:hint="eastAsia" w:ascii="宋体" w:hAnsi="宋体" w:cs="宋体"/>
          <w:color w:val="auto"/>
          <w:sz w:val="22"/>
          <w:highlight w:val="none"/>
        </w:rPr>
        <w:t>关于发包人应完成的其他开工准备工作及期限：</w:t>
      </w:r>
      <w:r>
        <w:rPr>
          <w:rFonts w:hint="eastAsia" w:ascii="宋体" w:hAnsi="宋体" w:cs="宋体"/>
          <w:color w:val="auto"/>
          <w:sz w:val="22"/>
          <w:highlight w:val="none"/>
          <w:u w:val="single"/>
        </w:rPr>
        <w:t>开工前7天</w:t>
      </w:r>
      <w:r>
        <w:rPr>
          <w:rFonts w:hint="eastAsia" w:ascii="宋体" w:hAnsi="宋体" w:cs="宋体"/>
          <w:color w:val="auto"/>
          <w:sz w:val="22"/>
          <w:highlight w:val="none"/>
        </w:rPr>
        <w:t>。</w:t>
      </w:r>
    </w:p>
    <w:p w14:paraId="1260E49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关于承包人应完成的其他开工准备工作及期限：</w:t>
      </w:r>
      <w:r>
        <w:rPr>
          <w:rFonts w:hint="eastAsia" w:ascii="宋体" w:hAnsi="宋体" w:cs="宋体"/>
          <w:color w:val="auto"/>
          <w:sz w:val="22"/>
          <w:highlight w:val="none"/>
          <w:u w:val="single"/>
        </w:rPr>
        <w:t>开工前3天</w:t>
      </w:r>
      <w:r>
        <w:rPr>
          <w:rFonts w:hint="eastAsia" w:ascii="宋体" w:hAnsi="宋体" w:cs="宋体"/>
          <w:color w:val="auto"/>
          <w:sz w:val="22"/>
          <w:highlight w:val="none"/>
        </w:rPr>
        <w:t>。</w:t>
      </w:r>
    </w:p>
    <w:p w14:paraId="41900878">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7.3.2 开工通知</w:t>
      </w:r>
    </w:p>
    <w:p w14:paraId="6E9C5F3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因发包人原因造成监理人未能在计划开工日期之日起</w:t>
      </w:r>
      <w:r>
        <w:rPr>
          <w:rFonts w:hint="eastAsia" w:ascii="宋体" w:hAnsi="宋体" w:cs="宋体"/>
          <w:color w:val="auto"/>
          <w:sz w:val="22"/>
          <w:highlight w:val="none"/>
          <w:u w:val="single"/>
        </w:rPr>
        <w:t xml:space="preserve"> 90 </w:t>
      </w:r>
      <w:r>
        <w:rPr>
          <w:rFonts w:hint="eastAsia" w:ascii="宋体" w:hAnsi="宋体" w:cs="宋体"/>
          <w:color w:val="auto"/>
          <w:sz w:val="22"/>
          <w:highlight w:val="none"/>
        </w:rPr>
        <w:t>天内发出开工通知的，承包人有权提出价格调整要求，或者解除合同。</w:t>
      </w:r>
    </w:p>
    <w:p w14:paraId="0CD170B8">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44" w:name="_Toc12975916"/>
      <w:bookmarkStart w:id="245" w:name="_Toc395382528"/>
      <w:bookmarkStart w:id="246" w:name="_Toc533432751"/>
      <w:r>
        <w:rPr>
          <w:rFonts w:hint="eastAsia" w:ascii="宋体" w:hAnsi="宋体" w:cs="宋体"/>
          <w:color w:val="auto"/>
          <w:sz w:val="22"/>
          <w:szCs w:val="22"/>
          <w:highlight w:val="none"/>
        </w:rPr>
        <w:t>7.4 测量放线</w:t>
      </w:r>
      <w:bookmarkEnd w:id="244"/>
      <w:bookmarkEnd w:id="245"/>
      <w:bookmarkEnd w:id="246"/>
    </w:p>
    <w:p w14:paraId="3F097CAF">
      <w:pPr>
        <w:pStyle w:val="414"/>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highlight w:val="none"/>
        </w:rPr>
        <w:t>7.4.1发包人通过监理人向承包人提供测量基准点、基准线和水准点及其书面资料的期限：</w:t>
      </w:r>
      <w:r>
        <w:rPr>
          <w:rFonts w:hint="eastAsia" w:ascii="宋体" w:hAnsi="宋体" w:cs="宋体"/>
          <w:color w:val="auto"/>
          <w:sz w:val="22"/>
          <w:szCs w:val="22"/>
          <w:highlight w:val="none"/>
          <w:u w:val="single"/>
        </w:rPr>
        <w:t>计划开工日期之日起7天内提供测量基准点和水准点，测量基准点和水准点距离本项目最近红线距离小于2km。如承包人需发包人增加测量基准点和水准点时，每增加一个点需向发包人支付1万元</w:t>
      </w:r>
      <w:r>
        <w:rPr>
          <w:rFonts w:hint="eastAsia" w:ascii="宋体" w:hAnsi="宋体" w:cs="宋体"/>
          <w:color w:val="auto"/>
          <w:sz w:val="22"/>
          <w:szCs w:val="22"/>
          <w:highlight w:val="none"/>
        </w:rPr>
        <w:t>。</w:t>
      </w:r>
    </w:p>
    <w:p w14:paraId="1C194979">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47" w:name="_Toc395382529"/>
      <w:bookmarkStart w:id="248" w:name="_Toc12975917"/>
      <w:bookmarkStart w:id="249" w:name="_Toc533432752"/>
      <w:r>
        <w:rPr>
          <w:rFonts w:hint="eastAsia" w:ascii="宋体" w:hAnsi="宋体" w:cs="宋体"/>
          <w:color w:val="auto"/>
          <w:sz w:val="22"/>
          <w:szCs w:val="22"/>
          <w:highlight w:val="none"/>
        </w:rPr>
        <w:t>7.5 工期延误</w:t>
      </w:r>
      <w:bookmarkEnd w:id="247"/>
      <w:bookmarkEnd w:id="248"/>
      <w:bookmarkEnd w:id="249"/>
    </w:p>
    <w:p w14:paraId="1ECC385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7.5.1 因发包人原因导致工期延误</w:t>
      </w:r>
    </w:p>
    <w:p w14:paraId="23DE034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（7）因发包人原因导致工期延误的其他情形：</w:t>
      </w:r>
      <w:r>
        <w:rPr>
          <w:rFonts w:hint="eastAsia" w:ascii="宋体" w:hAnsi="宋体" w:cs="宋体"/>
          <w:color w:val="auto"/>
          <w:sz w:val="22"/>
          <w:highlight w:val="none"/>
          <w:u w:val="single"/>
        </w:rPr>
        <w:t>①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 w:val="22"/>
          <w:highlight w:val="none"/>
        </w:rPr>
        <w:t>。</w:t>
      </w:r>
    </w:p>
    <w:p w14:paraId="45BF522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因发包人原因导致工期延误的，发包人不承担任何费用，不支付承包人合理的利润，工期相应顺延。</w:t>
      </w:r>
    </w:p>
    <w:p w14:paraId="796C995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7.5.2 因承包人原因导致工期延误</w:t>
      </w:r>
    </w:p>
    <w:p w14:paraId="34FE873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双方约定经监理工程师确认，工期相应顺延的情况：</w:t>
      </w:r>
      <w:r>
        <w:rPr>
          <w:rFonts w:hint="eastAsia" w:ascii="宋体" w:hAnsi="宋体" w:cs="宋体"/>
          <w:color w:val="auto"/>
          <w:sz w:val="22"/>
          <w:highlight w:val="none"/>
          <w:u w:val="single"/>
        </w:rPr>
        <w:t xml:space="preserve"> 因发包人原因或不可抗力或不利物质条件造成的工期顺延，其他因承包人原因造成的工期不得相应顺延</w:t>
      </w:r>
      <w:r>
        <w:rPr>
          <w:rFonts w:hint="eastAsia" w:ascii="宋体" w:hAnsi="宋体" w:cs="宋体"/>
          <w:color w:val="auto"/>
          <w:sz w:val="22"/>
          <w:highlight w:val="none"/>
        </w:rPr>
        <w:t>。</w:t>
      </w:r>
    </w:p>
    <w:p w14:paraId="67CF908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因承包人原因造成工期延误，逾期竣工违约金的计算方法为：</w:t>
      </w:r>
      <w:r>
        <w:rPr>
          <w:rFonts w:hint="eastAsia" w:ascii="宋体" w:hAnsi="宋体" w:cs="宋体"/>
          <w:color w:val="auto"/>
          <w:sz w:val="22"/>
          <w:highlight w:val="none"/>
          <w:u w:val="single"/>
        </w:rPr>
        <w:t>非上述原因，承包人不能按合同约定的时间竣工，承包人应承担违约责任。应向发包人支付误期赔偿费（每天赔偿金额为合同价款扣除建安劳保费、发包人材料价款、暂估专业工程、暂列金额后</w:t>
      </w:r>
      <w:r>
        <w:rPr>
          <w:rFonts w:hint="eastAsia" w:ascii="宋体" w:hAnsi="宋体" w:cs="宋体"/>
          <w:color w:val="auto"/>
          <w:sz w:val="22"/>
          <w:highlight w:val="none"/>
          <w:u w:val="single"/>
        </w:rPr>
        <w:t>的万</w:t>
      </w:r>
      <w:r>
        <w:rPr>
          <w:rFonts w:hint="eastAsia" w:ascii="宋体" w:hAnsi="宋体" w:cs="宋体"/>
          <w:color w:val="auto"/>
          <w:sz w:val="22"/>
          <w:highlight w:val="none"/>
          <w:u w:val="single"/>
        </w:rPr>
        <w:t>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5716DBA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因承包人原因造成工期延误，逾期竣工违约金的上限：</w:t>
      </w:r>
      <w:r>
        <w:rPr>
          <w:rFonts w:hint="eastAsia" w:ascii="宋体" w:hAnsi="宋体" w:cs="宋体"/>
          <w:color w:val="auto"/>
          <w:sz w:val="22"/>
          <w:highlight w:val="none"/>
          <w:u w:val="single"/>
        </w:rPr>
        <w:t>合同价扣除建安劳保费、发包人材料价款、暂估专业工程、暂列金额后的 4 %</w:t>
      </w:r>
      <w:r>
        <w:rPr>
          <w:rFonts w:hint="eastAsia" w:ascii="宋体" w:hAnsi="宋体" w:cs="宋体"/>
          <w:color w:val="auto"/>
          <w:sz w:val="22"/>
          <w:highlight w:val="none"/>
        </w:rPr>
        <w:t>。</w:t>
      </w:r>
    </w:p>
    <w:p w14:paraId="765AFE4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施工过程中，因施工单位的原因造成工程进度严重滞后并有可能</w:t>
      </w:r>
      <w:r>
        <w:rPr>
          <w:rFonts w:hint="eastAsia" w:ascii="宋体" w:hAnsi="宋体" w:cs="宋体"/>
          <w:color w:val="auto"/>
          <w:sz w:val="22"/>
          <w:highlight w:val="none"/>
          <w:u w:val="single"/>
        </w:rPr>
        <w:t>导致延误工期的，经</w:t>
      </w:r>
      <w:r>
        <w:rPr>
          <w:rFonts w:hint="eastAsia" w:ascii="宋体" w:hAnsi="宋体" w:cs="宋体"/>
          <w:color w:val="auto"/>
          <w:sz w:val="22"/>
          <w:highlight w:val="none"/>
          <w:u w:val="single"/>
          <w:lang w:val="en-US" w:eastAsia="zh-CN"/>
        </w:rPr>
        <w:t>港口区</w:t>
      </w:r>
      <w:r>
        <w:rPr>
          <w:rFonts w:hint="eastAsia" w:ascii="宋体" w:hAnsi="宋体" w:cs="宋体"/>
          <w:color w:val="auto"/>
          <w:sz w:val="22"/>
          <w:highlight w:val="none"/>
          <w:u w:val="single"/>
        </w:rPr>
        <w:t>人民政府分管领导审定后，业主有权分割部分工程进行发包，单价按成交单位原成交价格执行，如确需上调价格，经分管领导审定，款项从总包单位的工程款扣除；造成施工中断或延误累计超过21天的，经</w:t>
      </w:r>
      <w:r>
        <w:rPr>
          <w:rFonts w:hint="eastAsia" w:ascii="宋体" w:hAnsi="宋体" w:cs="宋体"/>
          <w:color w:val="auto"/>
          <w:sz w:val="22"/>
          <w:highlight w:val="none"/>
          <w:u w:val="single"/>
          <w:lang w:val="en-US" w:eastAsia="zh-CN"/>
        </w:rPr>
        <w:t>港口区</w:t>
      </w:r>
      <w:r>
        <w:rPr>
          <w:rFonts w:hint="eastAsia" w:ascii="宋体" w:hAnsi="宋体" w:cs="宋体"/>
          <w:color w:val="auto"/>
          <w:sz w:val="22"/>
          <w:highlight w:val="none"/>
          <w:u w:val="single"/>
        </w:rPr>
        <w:t>人民政府分管领导审定后，业主有权终止合同，将未完</w:t>
      </w:r>
      <w:r>
        <w:rPr>
          <w:rFonts w:hint="eastAsia" w:ascii="宋体" w:hAnsi="宋体" w:cs="宋体"/>
          <w:color w:val="auto"/>
          <w:sz w:val="22"/>
          <w:highlight w:val="none"/>
          <w:u w:val="single"/>
        </w:rPr>
        <w:t>工工程另行发包，单价按成交单位原成交标价格执行，已完工程经双方验收确认后，待整个工程竣工后结算。</w:t>
      </w:r>
    </w:p>
    <w:p w14:paraId="31BA6C0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50" w:name="_Toc533432753"/>
      <w:bookmarkStart w:id="251" w:name="_Toc395382530"/>
      <w:bookmarkStart w:id="252" w:name="_Toc12975918"/>
      <w:r>
        <w:rPr>
          <w:rFonts w:hint="eastAsia" w:ascii="宋体" w:hAnsi="宋体" w:cs="宋体"/>
          <w:color w:val="auto"/>
          <w:sz w:val="22"/>
          <w:szCs w:val="22"/>
          <w:highlight w:val="none"/>
        </w:rPr>
        <w:t>7.6 不利物质条件</w:t>
      </w:r>
      <w:bookmarkEnd w:id="250"/>
      <w:bookmarkEnd w:id="251"/>
      <w:bookmarkEnd w:id="252"/>
    </w:p>
    <w:p w14:paraId="5035B7D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不利物质条件的其他情形和有关约定：</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50600288">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53" w:name="_Toc533432754"/>
      <w:bookmarkStart w:id="254" w:name="_Toc395382531"/>
      <w:bookmarkStart w:id="255" w:name="_Toc12975919"/>
      <w:r>
        <w:rPr>
          <w:rFonts w:hint="eastAsia" w:ascii="宋体" w:hAnsi="宋体" w:cs="宋体"/>
          <w:color w:val="auto"/>
          <w:sz w:val="22"/>
          <w:szCs w:val="22"/>
          <w:highlight w:val="none"/>
        </w:rPr>
        <w:t>7.7 异常恶劣的气候条件</w:t>
      </w:r>
      <w:bookmarkEnd w:id="253"/>
      <w:bookmarkEnd w:id="254"/>
      <w:bookmarkEnd w:id="255"/>
    </w:p>
    <w:p w14:paraId="1C71D72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发包人和承包人同意以下情形视为异常恶劣的气候条件：</w:t>
      </w:r>
    </w:p>
    <w:p w14:paraId="0C0DBE8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u w:val="single"/>
        </w:rPr>
        <w:t>指本工程所在地30年以上一遇的罕见气候现象</w:t>
      </w:r>
      <w:r>
        <w:rPr>
          <w:rFonts w:hint="eastAsia" w:ascii="宋体" w:hAnsi="宋体" w:cs="宋体"/>
          <w:color w:val="auto"/>
          <w:sz w:val="22"/>
          <w:highlight w:val="none"/>
        </w:rPr>
        <w:t>；</w:t>
      </w:r>
    </w:p>
    <w:p w14:paraId="2057038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1D025DBC">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56" w:name="_Toc395382532"/>
      <w:bookmarkStart w:id="257" w:name="_Toc533432755"/>
      <w:bookmarkStart w:id="258" w:name="_Toc12975920"/>
      <w:r>
        <w:rPr>
          <w:rFonts w:hint="eastAsia" w:ascii="宋体" w:hAnsi="宋体" w:cs="宋体"/>
          <w:color w:val="auto"/>
          <w:sz w:val="22"/>
          <w:szCs w:val="22"/>
          <w:highlight w:val="none"/>
        </w:rPr>
        <w:t>7.8 提前竣工</w:t>
      </w:r>
      <w:bookmarkEnd w:id="256"/>
      <w:bookmarkEnd w:id="257"/>
      <w:bookmarkEnd w:id="258"/>
    </w:p>
    <w:p w14:paraId="27A14D6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7.8.2提前竣工（赶工）增加费的计算方法：</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7F2C38B1">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259" w:name="_Toc533432756"/>
      <w:bookmarkStart w:id="260" w:name="_Toc395382533"/>
      <w:bookmarkStart w:id="261" w:name="_Toc12975921"/>
    </w:p>
    <w:p w14:paraId="3E94248B">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8. 材料与设备</w:t>
      </w:r>
      <w:bookmarkEnd w:id="259"/>
      <w:bookmarkEnd w:id="260"/>
      <w:bookmarkEnd w:id="261"/>
    </w:p>
    <w:p w14:paraId="26E0DFC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62" w:name="_Toc533432757"/>
      <w:bookmarkStart w:id="263" w:name="_Toc395382534"/>
      <w:bookmarkStart w:id="264" w:name="_Toc12975922"/>
      <w:r>
        <w:rPr>
          <w:rFonts w:hint="eastAsia" w:ascii="宋体" w:hAnsi="宋体" w:cs="宋体"/>
          <w:color w:val="auto"/>
          <w:sz w:val="22"/>
          <w:szCs w:val="22"/>
          <w:highlight w:val="none"/>
        </w:rPr>
        <w:t>8.2 承包人采购材料与工程设备</w:t>
      </w:r>
      <w:bookmarkEnd w:id="262"/>
      <w:bookmarkEnd w:id="263"/>
      <w:bookmarkEnd w:id="264"/>
    </w:p>
    <w:p w14:paraId="13561AE7">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 w:val="22"/>
          <w:highlight w:val="none"/>
        </w:rPr>
        <w:t>承包人提供主要材料和工程设备一览表》</w:t>
      </w:r>
      <w:r>
        <w:rPr>
          <w:rFonts w:hint="eastAsia" w:ascii="宋体" w:hAnsi="宋体" w:cs="宋体"/>
          <w:color w:val="auto"/>
          <w:kern w:val="0"/>
          <w:sz w:val="22"/>
          <w:highlight w:val="none"/>
        </w:rPr>
        <w:t>（表-22）见已标价工程量清单。</w:t>
      </w:r>
    </w:p>
    <w:p w14:paraId="498B7A19">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对发包人在磋商时有“参照或相当于**品牌、级别”约定的材料或设备，承包人采购时必须按类似于或优于所约定品牌、等级进行采购，施工期间该部分材料或设备如未超过磋商约定的风险幅度的，结算时按磋商单价支付，不得调整。</w:t>
      </w:r>
    </w:p>
    <w:p w14:paraId="2BDD0B1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65" w:name="_Toc395382535"/>
      <w:bookmarkStart w:id="266" w:name="_Toc533432758"/>
      <w:bookmarkStart w:id="267" w:name="_Toc12975923"/>
      <w:r>
        <w:rPr>
          <w:rFonts w:hint="eastAsia" w:ascii="宋体" w:hAnsi="宋体" w:cs="宋体"/>
          <w:color w:val="auto"/>
          <w:sz w:val="22"/>
          <w:szCs w:val="22"/>
          <w:highlight w:val="none"/>
        </w:rPr>
        <w:t>8.4 材料与工程设备的保管与使用</w:t>
      </w:r>
      <w:bookmarkEnd w:id="265"/>
      <w:bookmarkEnd w:id="266"/>
      <w:bookmarkEnd w:id="267"/>
    </w:p>
    <w:p w14:paraId="09E9BF8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8.4.1发包人供应的材料设备的保管费用的承担：</w:t>
      </w:r>
      <w:r>
        <w:rPr>
          <w:rFonts w:hint="eastAsia" w:ascii="宋体" w:hAnsi="宋体" w:cs="宋体"/>
          <w:color w:val="auto"/>
          <w:sz w:val="22"/>
          <w:highlight w:val="none"/>
          <w:u w:val="single"/>
        </w:rPr>
        <w:t>由承包人承担</w:t>
      </w:r>
      <w:r>
        <w:rPr>
          <w:rFonts w:hint="eastAsia" w:ascii="宋体" w:hAnsi="宋体" w:cs="宋体"/>
          <w:color w:val="auto"/>
          <w:sz w:val="22"/>
          <w:highlight w:val="none"/>
        </w:rPr>
        <w:t>。</w:t>
      </w:r>
    </w:p>
    <w:p w14:paraId="2C1CD6B6">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68" w:name="_Toc12975924"/>
      <w:bookmarkStart w:id="269" w:name="_Toc395382536"/>
      <w:bookmarkStart w:id="270" w:name="_Toc533432759"/>
      <w:r>
        <w:rPr>
          <w:rFonts w:hint="eastAsia" w:ascii="宋体" w:hAnsi="宋体" w:cs="宋体"/>
          <w:color w:val="auto"/>
          <w:sz w:val="22"/>
          <w:szCs w:val="22"/>
          <w:highlight w:val="none"/>
        </w:rPr>
        <w:t>8.6 样品</w:t>
      </w:r>
      <w:bookmarkEnd w:id="268"/>
      <w:bookmarkEnd w:id="269"/>
      <w:bookmarkEnd w:id="270"/>
    </w:p>
    <w:p w14:paraId="2F68D38A">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8.6.1 样品的报送与封存</w:t>
      </w:r>
    </w:p>
    <w:p w14:paraId="3A9989A7">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需要承包人报送样品的材料或工程设备，样品的种类、名称、规格、数量要求：</w:t>
      </w:r>
      <w:r>
        <w:rPr>
          <w:rFonts w:hint="eastAsia" w:ascii="宋体" w:hAnsi="宋体" w:cs="宋体"/>
          <w:color w:val="auto"/>
          <w:sz w:val="22"/>
          <w:highlight w:val="none"/>
          <w:u w:val="single"/>
        </w:rPr>
        <w:t>主要材料涉及品种、款式、颜色等方面内容的，承包人应提交准备合格的材料样品送发包人选定。</w:t>
      </w:r>
    </w:p>
    <w:p w14:paraId="2E809769">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71" w:name="_Toc12975925"/>
      <w:bookmarkStart w:id="272" w:name="_Toc533432760"/>
      <w:bookmarkStart w:id="273" w:name="_Toc395382537"/>
      <w:r>
        <w:rPr>
          <w:rFonts w:hint="eastAsia" w:ascii="宋体" w:hAnsi="宋体" w:cs="宋体"/>
          <w:color w:val="auto"/>
          <w:sz w:val="22"/>
          <w:szCs w:val="22"/>
          <w:highlight w:val="none"/>
        </w:rPr>
        <w:t>8.8 施工设备和临时设施</w:t>
      </w:r>
      <w:bookmarkEnd w:id="271"/>
      <w:bookmarkEnd w:id="272"/>
      <w:bookmarkEnd w:id="273"/>
    </w:p>
    <w:p w14:paraId="641043BC">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8.8.1 承包人提供的施工设备和临时设施</w:t>
      </w:r>
    </w:p>
    <w:p w14:paraId="70DBB0CB">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w:t>
      </w:r>
    </w:p>
    <w:p w14:paraId="3412021C">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关于修建临时设施费用承担的约定：</w:t>
      </w:r>
    </w:p>
    <w:p w14:paraId="73A3A4A6">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①承包人的临时用地（含项目部驻地等）租用费（含拆迁补偿）、临时用地的环保、恢复、临时用地的青苗补偿及地面附着物拆除等费用均由承包人负责，以上费用在磋商报价中综合考虑,</w:t>
      </w:r>
      <w:r>
        <w:rPr>
          <w:rFonts w:hint="eastAsia" w:ascii="宋体" w:hAnsi="宋体" w:cs="宋体"/>
          <w:color w:val="auto"/>
          <w:kern w:val="0"/>
          <w:sz w:val="22"/>
          <w:highlight w:val="none"/>
          <w:u w:val="single"/>
        </w:rPr>
        <w:t>费用总价包干，由于承包人预估费用低于实际费用，不足部分由承包人补齐。承包人不得以预估费用低于实际费用或实际情况发生变化为由向发包人提出费用补偿。</w:t>
      </w:r>
    </w:p>
    <w:p w14:paraId="7AAA61FE">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②承包人负责合同实施期间其合同段内临时交通道路（含场内道路及场外连接公共交通道路）和交通设施的修建、维修、养护和交通管理工作，并承担一切费用，</w:t>
      </w:r>
      <w:r>
        <w:rPr>
          <w:rFonts w:hint="eastAsia" w:ascii="宋体" w:hAnsi="宋体" w:cs="宋体"/>
          <w:color w:val="auto"/>
          <w:kern w:val="0"/>
          <w:sz w:val="22"/>
          <w:highlight w:val="none"/>
          <w:u w:val="single"/>
        </w:rPr>
        <w:t>费用总价包干，由于承包人预估费用低于实际费用，不足部分由承包人补齐。承包人不得以预估费用低于实际费用或实际情况发生变化为由向发包人提出费用补偿。</w:t>
      </w:r>
    </w:p>
    <w:p w14:paraId="786D7843">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245FB9">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8.8.2 发包人提供的施工设备和临时设施</w:t>
      </w:r>
    </w:p>
    <w:p w14:paraId="6EA1E719">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发包人提供的施工设备和临时设施：</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7C9353A0">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发包人提供的施工设备和临时设施的运行、维护、拆除、清运费用的承担人：</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68772160">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274" w:name="_Toc395382538"/>
      <w:bookmarkStart w:id="275" w:name="_Toc12975926"/>
      <w:bookmarkStart w:id="276" w:name="_Toc533432761"/>
      <w:r>
        <w:rPr>
          <w:rFonts w:hint="eastAsia" w:ascii="宋体" w:hAnsi="宋体" w:cs="宋体"/>
          <w:color w:val="auto"/>
          <w:sz w:val="22"/>
          <w:szCs w:val="22"/>
          <w:highlight w:val="none"/>
        </w:rPr>
        <w:t>9. 试验与检验</w:t>
      </w:r>
      <w:bookmarkEnd w:id="274"/>
      <w:bookmarkEnd w:id="275"/>
      <w:bookmarkEnd w:id="276"/>
    </w:p>
    <w:p w14:paraId="26A0A056">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77" w:name="_Toc12975927"/>
      <w:bookmarkStart w:id="278" w:name="_Toc395382539"/>
      <w:bookmarkStart w:id="279" w:name="_Toc533432762"/>
      <w:r>
        <w:rPr>
          <w:rFonts w:hint="eastAsia" w:ascii="宋体" w:hAnsi="宋体" w:cs="宋体"/>
          <w:color w:val="auto"/>
          <w:sz w:val="22"/>
          <w:szCs w:val="22"/>
          <w:highlight w:val="none"/>
        </w:rPr>
        <w:t>9.1 试验设备与试验人员</w:t>
      </w:r>
      <w:bookmarkEnd w:id="277"/>
      <w:bookmarkEnd w:id="278"/>
      <w:bookmarkEnd w:id="279"/>
    </w:p>
    <w:p w14:paraId="63E6E43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9.1.2 试验设备</w:t>
      </w:r>
    </w:p>
    <w:p w14:paraId="724B6F1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施工现场需要配置的试验场所：</w:t>
      </w:r>
      <w:r>
        <w:rPr>
          <w:rFonts w:hint="eastAsia" w:ascii="宋体" w:hAnsi="宋体" w:cs="宋体"/>
          <w:color w:val="auto"/>
          <w:sz w:val="22"/>
          <w:highlight w:val="none"/>
          <w:u w:val="single"/>
        </w:rPr>
        <w:t>按有关规定执行</w:t>
      </w:r>
      <w:r>
        <w:rPr>
          <w:rFonts w:hint="eastAsia" w:ascii="宋体" w:hAnsi="宋体" w:cs="宋体"/>
          <w:color w:val="auto"/>
          <w:sz w:val="22"/>
          <w:highlight w:val="none"/>
        </w:rPr>
        <w:t>。</w:t>
      </w:r>
    </w:p>
    <w:p w14:paraId="5E3A38B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施工现场需要配备的试验设备：</w:t>
      </w:r>
      <w:r>
        <w:rPr>
          <w:rFonts w:hint="eastAsia" w:ascii="宋体" w:hAnsi="宋体" w:cs="宋体"/>
          <w:color w:val="auto"/>
          <w:sz w:val="22"/>
          <w:highlight w:val="none"/>
          <w:u w:val="single"/>
        </w:rPr>
        <w:t>按有关规定执行</w:t>
      </w:r>
      <w:r>
        <w:rPr>
          <w:rFonts w:hint="eastAsia" w:ascii="宋体" w:hAnsi="宋体" w:cs="宋体"/>
          <w:color w:val="auto"/>
          <w:sz w:val="22"/>
          <w:highlight w:val="none"/>
        </w:rPr>
        <w:t>。</w:t>
      </w:r>
    </w:p>
    <w:p w14:paraId="450D8AB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施工现场需要具备的其他试验条件：</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3F3A0C0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80" w:name="_Toc395382540"/>
      <w:bookmarkStart w:id="281" w:name="_Toc12975928"/>
      <w:bookmarkStart w:id="282" w:name="_Toc533432763"/>
      <w:r>
        <w:rPr>
          <w:rFonts w:hint="eastAsia" w:ascii="宋体" w:hAnsi="宋体" w:cs="宋体"/>
          <w:color w:val="auto"/>
          <w:sz w:val="22"/>
          <w:szCs w:val="22"/>
          <w:highlight w:val="none"/>
        </w:rPr>
        <w:t>9.4 现场工艺试验</w:t>
      </w:r>
      <w:bookmarkEnd w:id="280"/>
      <w:bookmarkEnd w:id="281"/>
      <w:bookmarkEnd w:id="282"/>
      <w:r>
        <w:rPr>
          <w:rFonts w:hint="eastAsia" w:ascii="宋体" w:hAnsi="宋体" w:cs="宋体"/>
          <w:color w:val="auto"/>
          <w:sz w:val="22"/>
          <w:szCs w:val="22"/>
          <w:highlight w:val="none"/>
        </w:rPr>
        <w:t xml:space="preserve"> </w:t>
      </w:r>
    </w:p>
    <w:p w14:paraId="57601C1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现场工艺试验的有关约定：</w:t>
      </w:r>
      <w:r>
        <w:rPr>
          <w:rFonts w:hint="eastAsia" w:ascii="宋体" w:hAnsi="宋体" w:cs="宋体"/>
          <w:color w:val="auto"/>
          <w:sz w:val="22"/>
          <w:highlight w:val="none"/>
          <w:u w:val="single"/>
        </w:rPr>
        <w:t>按有关规定执行</w:t>
      </w:r>
      <w:r>
        <w:rPr>
          <w:rFonts w:hint="eastAsia" w:ascii="宋体" w:hAnsi="宋体" w:cs="宋体"/>
          <w:color w:val="auto"/>
          <w:sz w:val="22"/>
          <w:highlight w:val="none"/>
        </w:rPr>
        <w:t>。</w:t>
      </w:r>
    </w:p>
    <w:p w14:paraId="5997EE8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83" w:name="_Toc533432764"/>
      <w:bookmarkStart w:id="284" w:name="_Toc395382541"/>
      <w:bookmarkStart w:id="285" w:name="_Toc12975929"/>
      <w:r>
        <w:rPr>
          <w:rFonts w:hint="eastAsia" w:ascii="宋体" w:hAnsi="宋体" w:cs="宋体"/>
          <w:color w:val="auto"/>
          <w:sz w:val="22"/>
          <w:szCs w:val="22"/>
          <w:highlight w:val="none"/>
        </w:rPr>
        <w:t>9.5 检验费用</w:t>
      </w:r>
      <w:bookmarkEnd w:id="283"/>
      <w:bookmarkEnd w:id="284"/>
      <w:bookmarkEnd w:id="285"/>
    </w:p>
    <w:p w14:paraId="123475E4">
      <w:pPr>
        <w:pStyle w:val="414"/>
        <w:pageBreakBefore w:val="0"/>
        <w:kinsoku/>
        <w:overflowPunct/>
        <w:topLinePunct w:val="0"/>
        <w:bidi w:val="0"/>
        <w:spacing w:line="400" w:lineRule="exact"/>
        <w:ind w:firstLine="431" w:firstLineChars="196"/>
        <w:rPr>
          <w:rFonts w:hint="eastAsia" w:ascii="宋体" w:hAnsi="宋体" w:cs="宋体"/>
          <w:color w:val="auto"/>
          <w:sz w:val="22"/>
          <w:highlight w:val="none"/>
        </w:rPr>
      </w:pPr>
      <w:r>
        <w:rPr>
          <w:rFonts w:hint="eastAsia" w:ascii="宋体" w:hAnsi="宋体" w:cs="宋体"/>
          <w:color w:val="auto"/>
          <w:sz w:val="22"/>
          <w:highlight w:val="none"/>
        </w:rPr>
        <w:t>根据《建设工程质量检测管理办法》（住房和城乡建设部令第57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D0CD9">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286" w:name="_Toc395382542"/>
      <w:bookmarkStart w:id="287" w:name="_Toc12975930"/>
      <w:bookmarkStart w:id="288" w:name="_Toc533432765"/>
      <w:r>
        <w:rPr>
          <w:rFonts w:hint="eastAsia" w:ascii="宋体" w:hAnsi="宋体" w:cs="宋体"/>
          <w:color w:val="auto"/>
          <w:sz w:val="22"/>
          <w:szCs w:val="22"/>
          <w:highlight w:val="none"/>
        </w:rPr>
        <w:t>10. 变更</w:t>
      </w:r>
      <w:bookmarkEnd w:id="286"/>
      <w:bookmarkEnd w:id="287"/>
      <w:bookmarkEnd w:id="288"/>
    </w:p>
    <w:p w14:paraId="7374D6B2">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89" w:name="_Toc12975931"/>
      <w:bookmarkStart w:id="290" w:name="_Toc533432766"/>
      <w:bookmarkStart w:id="291" w:name="_Toc395382543"/>
      <w:r>
        <w:rPr>
          <w:rFonts w:hint="eastAsia" w:ascii="宋体" w:hAnsi="宋体" w:cs="宋体"/>
          <w:color w:val="auto"/>
          <w:sz w:val="22"/>
          <w:szCs w:val="22"/>
          <w:highlight w:val="none"/>
        </w:rPr>
        <w:t>10.1 变更的范围</w:t>
      </w:r>
      <w:bookmarkEnd w:id="289"/>
      <w:bookmarkEnd w:id="290"/>
      <w:bookmarkEnd w:id="291"/>
    </w:p>
    <w:p w14:paraId="30007A02">
      <w:pPr>
        <w:pStyle w:val="416"/>
        <w:pageBreakBefore w:val="0"/>
        <w:kinsoku/>
        <w:overflowPunct/>
        <w:topLinePunct w:val="0"/>
        <w:autoSpaceDE w:val="0"/>
        <w:autoSpaceDN w:val="0"/>
        <w:bidi w:val="0"/>
        <w:adjustRightIn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关于变更的范围的约定：</w:t>
      </w:r>
    </w:p>
    <w:p w14:paraId="3F341817">
      <w:pPr>
        <w:pStyle w:val="416"/>
        <w:pageBreakBefore w:val="0"/>
        <w:kinsoku/>
        <w:overflowPunct/>
        <w:topLinePunct w:val="0"/>
        <w:autoSpaceDE w:val="0"/>
        <w:autoSpaceDN w:val="0"/>
        <w:bidi w:val="0"/>
        <w:adjustRightInd w:val="0"/>
        <w:spacing w:line="400" w:lineRule="exact"/>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增加以下内容：</w:t>
      </w:r>
    </w:p>
    <w:p w14:paraId="010B0A3A">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发包人可以以书面的形式通知承包人暂停执行本合同或本合同范围内的任何部分，也可以以书面的形式通知承包人将要暂停的工作内容和暂停生效的日期；承包人应从这一生效日起暂停所述工作内容，但应继续执行未被暂停的其他工作。</w:t>
      </w:r>
    </w:p>
    <w:p w14:paraId="25390669">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发包人可以以书面的形式通知承包人取消（或变更）执行本合同范围内的任何部分，也可以以书面的形式通知承包人将要取消（或变更）的工作内容和暂停生效的日期；承包人应从这一生效日起取消（或变更）所述工作内容，但应继续执行未被取消（或变更）的其他工作。</w:t>
      </w:r>
    </w:p>
    <w:p w14:paraId="0BEDCE98">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尽管合同有其他约定，尽管变更或增加部分与本合同无实质性关联，发包人根据自身需要，需要由承包人承担其相关施工，承包人不得拒绝。发包人发出的变更指令，承包人必须执行，承包人必须考虑其磋商报价的平衡性，不得以变更项目子目单价低或超出施工能力范围等为由拒绝施工，也不得以变更或者增加部分不属于本合同范围为由而拒绝执行。经发包人催告后3天仍不执行或不完全执行指令的，视承包人违约，发包人根据变更或增加部分的总费用及事情的重要性对承包人进行罚款，罚款金额1～5万元/次。</w:t>
      </w:r>
    </w:p>
    <w:p w14:paraId="1640D358">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（4）不属于变更范围的包括但不限于以下内容：</w:t>
      </w:r>
    </w:p>
    <w:p w14:paraId="6F20833F">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①如果工程量的增减并不是执行发包人按本条规定发出的变更指示的结果，而是由于实际工程量超过或少于工程量清单中开列的数量，则此类增减不需要任何变更指示。</w:t>
      </w:r>
    </w:p>
    <w:p w14:paraId="59778787">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②工程图纸和现场条件没有发生变化，承包人在磋商阶段也未提出澄清，但在施工阶段因现场情况（包括但不限于地质条件限制、场地限制、安全要求限制等）不能完成施工或不能按期完成整个工程，需要修改图纸或施工方案（包括施工工艺、施工设备、施工方法和施工顺序等），不构成变更。因此导致费用增加或工期延长时，发包人不承担任何相关费用，相关费用及损失由承包人承担，工期亦不予顺延。</w:t>
      </w:r>
    </w:p>
    <w:p w14:paraId="081A9A1A">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③承包人为了便于组织施工，或为了施工安全、避免干扰等原因需采取相应的技术措施而提出的局部变更设计，不构成变更。但局部变更设计须经发包人的批准，且由此而增加的费用应由承包人承担。</w:t>
      </w:r>
    </w:p>
    <w:p w14:paraId="3879B831">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④若竣工图与发包人在施工过程中确认的施工图及工程变更不一致，则发包人对竣工图的接收或确认不能证明发包人同意上述不一致之处的施工，也不构成本条约定的变更，因上述不一致而增加的费用由承包人承担。</w:t>
      </w:r>
    </w:p>
    <w:p w14:paraId="1E9F53C8">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⑤承包人编制的商务标取费与技术标的施工方案不能一一对应的，如工程图纸没有发生实质性变化，但按照技术标的施工方案不能完成施工或不能按期完成整个工程，需要修改施工方案（包括施工工艺、施工设备、施工方法和施工顺序等），不构成变更。因此导致费用增加或工期延长时，发包人不承担任何相关费用，相关费用及损失由承包人承担，工期亦不予顺延。</w:t>
      </w:r>
    </w:p>
    <w:p w14:paraId="4B180367">
      <w:pPr>
        <w:pStyle w:val="416"/>
        <w:pageBreakBefore w:val="0"/>
        <w:kinsoku/>
        <w:overflowPunct/>
        <w:topLinePunct w:val="0"/>
        <w:bidi w:val="0"/>
        <w:spacing w:line="400" w:lineRule="exact"/>
        <w:ind w:firstLine="42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⑥如工程图纸没有发生实质性变化，不管图纸和工程量清单中是否有描述，承包人在磋商阶段也未提出澄清，但为完成工程图所发生的任何措施项目均不构成变更。</w:t>
      </w:r>
    </w:p>
    <w:p w14:paraId="751497A6">
      <w:pPr>
        <w:pStyle w:val="416"/>
        <w:pageBreakBefore w:val="0"/>
        <w:kinsoku/>
        <w:overflowPunct/>
        <w:topLinePunct w:val="0"/>
        <w:bidi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⑦本项目施工用水、用电由承包人自理，承包人应在磋商阶段通过实地考察水电接入点位置及用电容量，如通过自发电或其他方式取得时，均不构成变更。</w:t>
      </w:r>
    </w:p>
    <w:p w14:paraId="06BAB86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92" w:name="_Toc395382544"/>
      <w:bookmarkStart w:id="293" w:name="_Toc533432767"/>
      <w:bookmarkStart w:id="294" w:name="_Toc12975932"/>
      <w:r>
        <w:rPr>
          <w:rFonts w:hint="eastAsia" w:ascii="宋体" w:hAnsi="宋体" w:cs="宋体"/>
          <w:color w:val="auto"/>
          <w:sz w:val="22"/>
          <w:szCs w:val="22"/>
          <w:highlight w:val="none"/>
        </w:rPr>
        <w:t>10.3 变更程序</w:t>
      </w:r>
      <w:bookmarkEnd w:id="292"/>
      <w:bookmarkEnd w:id="293"/>
      <w:bookmarkEnd w:id="294"/>
    </w:p>
    <w:p w14:paraId="758D61F9">
      <w:pPr>
        <w:pStyle w:val="418"/>
        <w:pageBreakBefore w:val="0"/>
        <w:kinsoku/>
        <w:overflowPunct/>
        <w:topLinePunct w:val="0"/>
        <w:bidi w:val="0"/>
        <w:spacing w:line="400" w:lineRule="exact"/>
        <w:ind w:firstLine="462" w:firstLineChars="210"/>
        <w:rPr>
          <w:rFonts w:hint="eastAsia" w:hAnsi="宋体" w:cs="宋体"/>
          <w:bCs/>
          <w:color w:val="auto"/>
          <w:sz w:val="22"/>
          <w:szCs w:val="22"/>
          <w:highlight w:val="none"/>
        </w:rPr>
      </w:pPr>
      <w:r>
        <w:rPr>
          <w:rFonts w:hint="eastAsia" w:hAnsi="宋体" w:cs="宋体"/>
          <w:bCs/>
          <w:color w:val="auto"/>
          <w:sz w:val="22"/>
          <w:szCs w:val="22"/>
          <w:highlight w:val="none"/>
        </w:rPr>
        <w:t>10.3.1 国有投资项目：</w:t>
      </w:r>
    </w:p>
    <w:p w14:paraId="3F4F3C21">
      <w:pPr>
        <w:pStyle w:val="418"/>
        <w:pageBreakBefore w:val="0"/>
        <w:kinsoku/>
        <w:overflowPunct/>
        <w:topLinePunct w:val="0"/>
        <w:bidi w:val="0"/>
        <w:spacing w:line="400" w:lineRule="exact"/>
        <w:ind w:firstLine="462" w:firstLineChars="210"/>
        <w:rPr>
          <w:rFonts w:hint="eastAsia" w:hAnsi="宋体" w:cs="宋体"/>
          <w:bCs/>
          <w:color w:val="auto"/>
          <w:sz w:val="22"/>
          <w:szCs w:val="22"/>
          <w:highlight w:val="none"/>
        </w:rPr>
      </w:pPr>
      <w:r>
        <w:rPr>
          <w:rFonts w:hint="eastAsia" w:hAnsi="宋体" w:cs="宋体"/>
          <w:bCs/>
          <w:color w:val="auto"/>
          <w:sz w:val="22"/>
          <w:szCs w:val="22"/>
          <w:highlight w:val="none"/>
        </w:rPr>
        <w:t>⑴设计变更和工程签证，按各市政府或相关部门的规定办理。属不可抗力（自然灾害、突发事件等）造成变更的，按特事特办原则予以办理。</w:t>
      </w:r>
    </w:p>
    <w:p w14:paraId="5D0BB120">
      <w:pPr>
        <w:pStyle w:val="418"/>
        <w:pageBreakBefore w:val="0"/>
        <w:kinsoku/>
        <w:overflowPunct/>
        <w:topLinePunct w:val="0"/>
        <w:bidi w:val="0"/>
        <w:spacing w:line="400" w:lineRule="exact"/>
        <w:ind w:firstLine="462" w:firstLineChars="210"/>
        <w:rPr>
          <w:rFonts w:hint="eastAsia" w:hAnsi="宋体" w:cs="宋体"/>
          <w:bCs/>
          <w:color w:val="auto"/>
          <w:sz w:val="22"/>
          <w:szCs w:val="22"/>
          <w:highlight w:val="none"/>
        </w:rPr>
      </w:pPr>
      <w:r>
        <w:rPr>
          <w:rFonts w:hint="eastAsia" w:hAnsi="宋体" w:cs="宋体"/>
          <w:bCs/>
          <w:color w:val="auto"/>
          <w:sz w:val="22"/>
          <w:szCs w:val="22"/>
          <w:highlight w:val="none"/>
        </w:rPr>
        <w:t>⑵建设单位在实施项目过程中，若发生单价变动，由建设单位、监理单位、施工单位及其他相关单位共同商定并签字确认。</w:t>
      </w:r>
    </w:p>
    <w:p w14:paraId="19CE0BDE">
      <w:pPr>
        <w:pStyle w:val="414"/>
        <w:pageBreakBefore w:val="0"/>
        <w:kinsoku/>
        <w:overflowPunct/>
        <w:topLinePunct w:val="0"/>
        <w:bidi w:val="0"/>
        <w:spacing w:line="400" w:lineRule="exact"/>
        <w:ind w:firstLine="440" w:firstLineChars="200"/>
        <w:jc w:val="left"/>
        <w:rPr>
          <w:rFonts w:hint="eastAsia" w:ascii="宋体" w:hAnsi="宋体" w:cs="宋体"/>
          <w:bCs/>
          <w:color w:val="auto"/>
          <w:sz w:val="22"/>
          <w:highlight w:val="none"/>
        </w:rPr>
      </w:pPr>
      <w:r>
        <w:rPr>
          <w:rFonts w:hint="eastAsia" w:ascii="宋体" w:hAnsi="宋体" w:cs="宋体"/>
          <w:bCs/>
          <w:color w:val="auto"/>
          <w:sz w:val="22"/>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63070183">
      <w:pPr>
        <w:pStyle w:val="416"/>
        <w:pageBreakBefore w:val="0"/>
        <w:kinsoku/>
        <w:overflowPunct/>
        <w:topLinePunct w:val="0"/>
        <w:bidi w:val="0"/>
        <w:spacing w:line="40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（4）</w:t>
      </w:r>
      <w:r>
        <w:rPr>
          <w:rFonts w:hint="eastAsia" w:ascii="宋体" w:hAnsi="宋体" w:cs="宋体"/>
          <w:color w:val="auto"/>
          <w:sz w:val="22"/>
          <w:szCs w:val="22"/>
          <w:highlight w:val="none"/>
          <w:u w:val="single"/>
        </w:rPr>
        <w:t>所有设计变更，双方均应办理变更前签证，需要变更的工程（或新增工程），由设计单位、监理单位对变更理由和变更内容提出审核意见后报发包人，由发包人向相关审批部门报告，相关审批部门批复意见后方可实施。变更造价累计超出工程施工合同价中建安工程费用总和的</w:t>
      </w:r>
      <w:r>
        <w:rPr>
          <w:rFonts w:hint="eastAsia" w:ascii="宋体" w:hAnsi="宋体" w:cs="宋体"/>
          <w:color w:val="auto"/>
          <w:sz w:val="22"/>
          <w:szCs w:val="22"/>
          <w:highlight w:val="none"/>
          <w:u w:val="single"/>
        </w:rPr>
        <w:t>10%</w:t>
      </w:r>
      <w:r>
        <w:rPr>
          <w:rFonts w:hint="eastAsia" w:ascii="宋体" w:hAnsi="宋体" w:cs="宋体"/>
          <w:color w:val="auto"/>
          <w:sz w:val="22"/>
          <w:szCs w:val="22"/>
          <w:highlight w:val="none"/>
          <w:u w:val="single"/>
        </w:rPr>
        <w:t>，由设计单位、监理单位及发包人提出审核意见，经发包人或项目委托后，经发包人集体研究，主要负责人签字后，</w:t>
      </w:r>
      <w:r>
        <w:rPr>
          <w:rFonts w:hint="eastAsia" w:ascii="宋体" w:hAnsi="宋体" w:cs="宋体"/>
          <w:bCs/>
          <w:color w:val="auto"/>
          <w:sz w:val="22"/>
          <w:szCs w:val="22"/>
          <w:highlight w:val="none"/>
          <w:u w:val="single"/>
        </w:rPr>
        <w:t>报相关审批部门批准后须报市人民政府备案方可实施</w:t>
      </w:r>
      <w:r>
        <w:rPr>
          <w:rFonts w:hint="eastAsia" w:ascii="宋体" w:hAnsi="宋体" w:cs="宋体"/>
          <w:color w:val="auto"/>
          <w:sz w:val="22"/>
          <w:szCs w:val="22"/>
          <w:highlight w:val="none"/>
          <w:u w:val="single"/>
        </w:rPr>
        <w:t>。项目变更后总投资超过概算批复的，必须报投资审批部门同意调整概算方可实施。</w:t>
      </w:r>
    </w:p>
    <w:p w14:paraId="0560F3DF">
      <w:pPr>
        <w:pStyle w:val="414"/>
        <w:pageBreakBefore w:val="0"/>
        <w:kinsoku/>
        <w:overflowPunct/>
        <w:topLinePunct w:val="0"/>
        <w:bidi w:val="0"/>
        <w:spacing w:line="400" w:lineRule="exact"/>
        <w:ind w:firstLine="440" w:firstLineChars="200"/>
        <w:jc w:val="left"/>
        <w:rPr>
          <w:rFonts w:hint="eastAsia" w:ascii="宋体" w:hAnsi="宋体" w:cs="宋体"/>
          <w:bCs/>
          <w:color w:val="auto"/>
          <w:sz w:val="22"/>
          <w:highlight w:val="none"/>
          <w:u w:val="single"/>
        </w:rPr>
      </w:pPr>
      <w:r>
        <w:rPr>
          <w:rFonts w:hint="eastAsia" w:ascii="宋体" w:hAnsi="宋体" w:cs="宋体"/>
          <w:bCs/>
          <w:color w:val="auto"/>
          <w:sz w:val="22"/>
          <w:highlight w:val="none"/>
        </w:rPr>
        <w:t>10.3.2 非国有投资项目：</w:t>
      </w:r>
      <w:r>
        <w:rPr>
          <w:rFonts w:hint="eastAsia" w:ascii="宋体" w:hAnsi="宋体" w:cs="宋体"/>
          <w:bCs/>
          <w:color w:val="auto"/>
          <w:sz w:val="22"/>
          <w:highlight w:val="none"/>
          <w:u w:val="single"/>
        </w:rPr>
        <w:t xml:space="preserve">  /  </w:t>
      </w:r>
      <w:r>
        <w:rPr>
          <w:rFonts w:hint="eastAsia" w:ascii="宋体" w:hAnsi="宋体" w:cs="宋体"/>
          <w:bCs/>
          <w:color w:val="auto"/>
          <w:sz w:val="22"/>
          <w:highlight w:val="none"/>
          <w:u w:val="none"/>
        </w:rPr>
        <w:t>。</w:t>
      </w:r>
    </w:p>
    <w:p w14:paraId="1C2C57BF">
      <w:pPr>
        <w:pStyle w:val="416"/>
        <w:pageBreakBefore w:val="0"/>
        <w:kinsoku/>
        <w:overflowPunct/>
        <w:topLinePunct w:val="0"/>
        <w:autoSpaceDE w:val="0"/>
        <w:autoSpaceDN w:val="0"/>
        <w:bidi w:val="0"/>
        <w:adjustRightInd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bCs/>
          <w:color w:val="auto"/>
          <w:sz w:val="22"/>
          <w:szCs w:val="22"/>
          <w:highlight w:val="none"/>
        </w:rPr>
        <w:t>变更的提出</w:t>
      </w:r>
    </w:p>
    <w:p w14:paraId="095C1537">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1）在合同履行过程中，发包人向承包人发出指令后，如果承包人认为该指令属于变更的，承包人应当在收到指令之日起14天内，向监理人提出变更建议书。变更建议书应当阐明变更原因、依据、内容，并同时提供图纸/施工方案等相关技术资料及变更报价书。</w:t>
      </w:r>
    </w:p>
    <w:p w14:paraId="1F2901E0">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2）监理人收到承包人报送的变更建议书后，认为变更不成立的可将变更建议书直接退回承包人；若监理人认为变更成立的，则应上报发包人审查，发包人认为变更不成立的，应在收到监理人报送的意见书后14天内向承包人发出书面通知；发包人认为变更是否成立不明确或需要承包人进一步提交资料的，发包人应书面通知承包人补充资料。承包人应在收到发包人通知之日起14天内提交补充资料，发包人收到承包人提交的补充资料后28天内，应当向承包人发出正式变更令或变更不成立的书面通知。</w:t>
      </w:r>
    </w:p>
    <w:p w14:paraId="4C3794D5">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（3）尽管合同有其他约定，但承包人未在收到指令</w:t>
      </w:r>
      <w:r>
        <w:rPr>
          <w:rFonts w:hint="eastAsia" w:ascii="宋体" w:hAnsi="宋体" w:cs="宋体"/>
          <w:color w:val="auto"/>
          <w:sz w:val="22"/>
          <w:szCs w:val="22"/>
          <w:highlight w:val="none"/>
          <w:u w:val="single"/>
        </w:rPr>
        <w:t>（包括但不限于书面指令、口头指令、会议纪要等形式）</w:t>
      </w:r>
      <w:r>
        <w:rPr>
          <w:rFonts w:hint="eastAsia" w:ascii="宋体" w:hAnsi="宋体" w:cs="宋体"/>
          <w:bCs/>
          <w:color w:val="auto"/>
          <w:sz w:val="22"/>
          <w:szCs w:val="22"/>
          <w:highlight w:val="none"/>
        </w:rPr>
        <w:t>之日起14天内向监理人提出变更建议书的，则视为该指令并不涉及费用增加或工期顺延，或承包人放弃要求补偿由于该指令而导致的费用增加和工期顺延等一切权利。</w:t>
      </w:r>
    </w:p>
    <w:p w14:paraId="163C3BC8">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（4）承包人未在收到发包人要求补充资料的书面通知之日起14天内向发包人提交补充资料的，则视为承包人放弃要求补偿由于发包人指令而导致的费用增加和工期顺延等一切权利。</w:t>
      </w:r>
    </w:p>
    <w:p w14:paraId="150669A0">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（5）承包人在收到发包人发出的正式变更令或变更不成立的书面通知之日起14天内，未向发包人提出书面异议的，则视为承包人对正式变更令或书面通知的认可。</w:t>
      </w:r>
    </w:p>
    <w:p w14:paraId="5988EFCA">
      <w:pPr>
        <w:pStyle w:val="416"/>
        <w:pageBreakBefore w:val="0"/>
        <w:kinsoku/>
        <w:overflowPunct/>
        <w:topLinePunct w:val="0"/>
        <w:bidi w:val="0"/>
        <w:spacing w:line="400" w:lineRule="exact"/>
        <w:ind w:firstLine="440" w:firstLineChars="200"/>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（6）竣工验收证书签发后，承包人无权就工程竣工证书签发前发包人的任何指令要求增加费用。</w:t>
      </w:r>
    </w:p>
    <w:p w14:paraId="5A5050B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95" w:name="_Toc12975933"/>
      <w:bookmarkStart w:id="296" w:name="_Toc533432768"/>
      <w:bookmarkStart w:id="297" w:name="_Toc395382545"/>
      <w:r>
        <w:rPr>
          <w:rFonts w:hint="eastAsia" w:ascii="宋体" w:hAnsi="宋体" w:cs="宋体"/>
          <w:color w:val="auto"/>
          <w:sz w:val="22"/>
          <w:szCs w:val="22"/>
          <w:highlight w:val="none"/>
        </w:rPr>
        <w:t>10.4 变更估价</w:t>
      </w:r>
      <w:bookmarkEnd w:id="295"/>
      <w:bookmarkEnd w:id="296"/>
      <w:bookmarkEnd w:id="297"/>
    </w:p>
    <w:p w14:paraId="37F6CFB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10.4.1 变更估价原则</w:t>
      </w:r>
    </w:p>
    <w:p w14:paraId="1D0308C0">
      <w:pPr>
        <w:pStyle w:val="416"/>
        <w:pageBreakBefore w:val="0"/>
        <w:kinsoku/>
        <w:overflowPunct/>
        <w:topLinePunct w:val="0"/>
        <w:bidi w:val="0"/>
        <w:spacing w:line="400" w:lineRule="exact"/>
        <w:jc w:val="left"/>
        <w:rPr>
          <w:rFonts w:hint="eastAsia" w:ascii="宋体" w:hAnsi="宋体" w:eastAsia="宋体" w:cs="宋体"/>
          <w:bCs/>
          <w:color w:val="auto"/>
          <w:sz w:val="22"/>
          <w:szCs w:val="22"/>
          <w:highlight w:val="none"/>
          <w:u w:val="single"/>
          <w:lang w:eastAsia="zh-CN"/>
        </w:rPr>
      </w:pPr>
      <w:r>
        <w:rPr>
          <w:rFonts w:hint="eastAsia" w:ascii="宋体" w:hAnsi="宋体" w:cs="宋体"/>
          <w:color w:val="auto"/>
          <w:sz w:val="22"/>
          <w:szCs w:val="22"/>
          <w:highlight w:val="none"/>
        </w:rPr>
        <w:t xml:space="preserve">关于变更估价的约定:  </w:t>
      </w:r>
      <w:bookmarkStart w:id="298" w:name="_Toc251051742"/>
      <w:r>
        <w:rPr>
          <w:rFonts w:hint="eastAsia" w:ascii="宋体" w:hAnsi="宋体" w:cs="宋体"/>
          <w:color w:val="auto"/>
          <w:sz w:val="22"/>
          <w:szCs w:val="22"/>
          <w:highlight w:val="none"/>
        </w:rPr>
        <w:t xml:space="preserve"> </w:t>
      </w:r>
      <w:r>
        <w:rPr>
          <w:rFonts w:hint="eastAsia" w:ascii="宋体" w:hAnsi="宋体" w:cs="宋体"/>
          <w:bCs/>
          <w:color w:val="auto"/>
          <w:sz w:val="22"/>
          <w:szCs w:val="22"/>
          <w:highlight w:val="none"/>
          <w:u w:val="single"/>
        </w:rPr>
        <w:t>合同中已有适用于变更工程的价格，按合同中已有的价格变更合同价格；合同中只有类似于变更工程的价格，可以参照类似价格变更合同价款。需要变更的工程（或新增工程），由设计单位、监理单位对变更</w:t>
      </w:r>
      <w:r>
        <w:rPr>
          <w:rFonts w:hint="eastAsia" w:ascii="宋体" w:hAnsi="宋体" w:cs="宋体"/>
          <w:bCs/>
          <w:color w:val="auto"/>
          <w:sz w:val="22"/>
          <w:szCs w:val="22"/>
          <w:highlight w:val="none"/>
          <w:u w:val="single"/>
        </w:rPr>
        <w:t>理由和变更内容提出审核意见后报发包人，由发包人向相关审批部门报告，相关审批部门批复后方可实施。合同中没有适用或类似于变更工程的价格，待竣工后由发包人一并报区财政局（投资评审中心）进行结算。变更造价累计超出工程施工合同价中建安工程费用总和的</w:t>
      </w:r>
      <w:r>
        <w:rPr>
          <w:rFonts w:hint="eastAsia" w:ascii="宋体" w:hAnsi="宋体" w:cs="宋体"/>
          <w:bCs/>
          <w:color w:val="auto"/>
          <w:sz w:val="22"/>
          <w:szCs w:val="22"/>
          <w:highlight w:val="none"/>
          <w:u w:val="single"/>
        </w:rPr>
        <w:t>10%</w:t>
      </w:r>
      <w:r>
        <w:rPr>
          <w:rFonts w:hint="eastAsia" w:ascii="宋体" w:hAnsi="宋体" w:cs="宋体"/>
          <w:bCs/>
          <w:color w:val="auto"/>
          <w:sz w:val="22"/>
          <w:szCs w:val="22"/>
          <w:highlight w:val="none"/>
          <w:u w:val="single"/>
        </w:rPr>
        <w:t>，由设计单位、监理单位及发包人提出审核意见，经项目业主或项目委托后，经建设单位集体研究，主要负责人签字后，报相关审批部门批准后须报区人民政府备案方可实</w:t>
      </w:r>
      <w:r>
        <w:rPr>
          <w:rFonts w:hint="eastAsia" w:ascii="宋体" w:hAnsi="宋体" w:cs="宋体"/>
          <w:bCs/>
          <w:color w:val="auto"/>
          <w:sz w:val="22"/>
          <w:szCs w:val="22"/>
          <w:highlight w:val="none"/>
          <w:u w:val="single"/>
        </w:rPr>
        <w:t>施。项目变更后总投资超过概算批复的，必须报投资审批部门同意调整概算方可实施。变更导致实际完成的变更工程量与已标价的工程量清单或预算书中列明的该项目工程量变化幅度无论多大，均不调整单价</w:t>
      </w:r>
      <w:r>
        <w:rPr>
          <w:rFonts w:hint="eastAsia" w:ascii="宋体" w:hAnsi="宋体" w:cs="宋体"/>
          <w:bCs/>
          <w:color w:val="auto"/>
          <w:sz w:val="22"/>
          <w:szCs w:val="22"/>
          <w:highlight w:val="none"/>
          <w:u w:val="single"/>
          <w:lang w:eastAsia="zh-CN"/>
        </w:rPr>
        <w:t>。</w:t>
      </w:r>
    </w:p>
    <w:p w14:paraId="6BB75E6F">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u w:val="single"/>
        </w:rPr>
        <w:t>尽管合同有其他约定，但依据承包人报价中同类（或相似）项目的标准，若高于定额标准时按定额取费标准计取；或在按本合同规定确定新单价时，如果计算出的新单价明显高于市场价，发包人可按以下任一原则对单价进行重新计算：</w:t>
      </w:r>
    </w:p>
    <w:p w14:paraId="669ACFEF">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u w:val="single"/>
        </w:rPr>
        <w:t>1）按照本项规定的新单价计算原则计算出与变更类似项目的价格（类似项目是指都为土石方工程、或基础工程、或钢结构工程、或门窗工程），类似项目合同中价格与按变更原则计算价格之比为变更单价的下浮率，按新单价的计算原则计算出变更新单价再乘以下浮率即为变更单价。</w:t>
      </w:r>
    </w:p>
    <w:p w14:paraId="33638429">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u w:val="single"/>
        </w:rPr>
        <w:t>2）发包人有权从报价分析的材料/设备单价、广西或防城港市工程造价管理部门等发布的该变更发生期内“信息价”、市场调研得出的市场价或采购发票价中任选一项作为建立新单价的依据，或通过补偿同类材料差额建立新单价，承包人不能对此提出异议（发包人变更过程中指定采购厂家的除外）。</w:t>
      </w:r>
    </w:p>
    <w:p w14:paraId="67DB72AC">
      <w:pPr>
        <w:pStyle w:val="416"/>
        <w:pageBreakBefore w:val="0"/>
        <w:kinsoku/>
        <w:overflowPunct/>
        <w:topLinePunct w:val="0"/>
        <w:bidi w:val="0"/>
        <w:spacing w:line="400" w:lineRule="exact"/>
        <w:ind w:firstLine="440" w:firstLineChars="200"/>
        <w:jc w:val="left"/>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u w:val="single"/>
        </w:rPr>
        <w:t>3）在市场调研得出的市场价、或承包人以前类似磋商报价、或发包人正在执行的其他项目类似的磋商报价、或广西或防城港市工程造价管理部门等发布的信息价的基础上调整。</w:t>
      </w:r>
    </w:p>
    <w:p w14:paraId="32952C9C">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bCs/>
          <w:color w:val="auto"/>
          <w:sz w:val="22"/>
          <w:szCs w:val="22"/>
          <w:highlight w:val="none"/>
          <w:u w:val="single"/>
        </w:rPr>
        <w:t>4）在确定新单价的过程中，</w:t>
      </w:r>
      <w:r>
        <w:rPr>
          <w:rFonts w:hint="eastAsia" w:ascii="宋体" w:hAnsi="宋体" w:cs="宋体"/>
          <w:bCs/>
          <w:color w:val="auto"/>
          <w:sz w:val="22"/>
          <w:szCs w:val="22"/>
          <w:highlight w:val="none"/>
          <w:u w:val="single"/>
        </w:rPr>
        <w:t>涉及单项材料/设备价格，</w:t>
      </w:r>
      <w:r>
        <w:rPr>
          <w:rFonts w:hint="eastAsia" w:ascii="宋体" w:hAnsi="宋体" w:cs="宋体"/>
          <w:bCs/>
          <w:color w:val="auto"/>
          <w:sz w:val="22"/>
          <w:szCs w:val="22"/>
          <w:highlight w:val="none"/>
          <w:u w:val="single"/>
        </w:rPr>
        <w:t>承包人及时将采购策略和计划告知发包人并得到发包人同意后再开展采购工作，发包人视情况可参与采购全过程；当材料/设备价格达到依法必需招标时，由发包人和承包人以招标的方式选择供应商或分包人。</w:t>
      </w:r>
      <w:bookmarkEnd w:id="298"/>
    </w:p>
    <w:p w14:paraId="513F972B">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299" w:name="_Toc533432769"/>
      <w:bookmarkStart w:id="300" w:name="_Toc12975934"/>
      <w:bookmarkStart w:id="301" w:name="_Toc395382546"/>
      <w:r>
        <w:rPr>
          <w:rFonts w:hint="eastAsia" w:ascii="宋体" w:hAnsi="宋体" w:cs="宋体"/>
          <w:color w:val="auto"/>
          <w:sz w:val="22"/>
          <w:szCs w:val="22"/>
          <w:highlight w:val="none"/>
        </w:rPr>
        <w:t>10.5 承包人的合理化建议</w:t>
      </w:r>
      <w:bookmarkEnd w:id="299"/>
      <w:bookmarkEnd w:id="300"/>
      <w:bookmarkEnd w:id="301"/>
    </w:p>
    <w:p w14:paraId="263A5EC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监理人审查承包人合理化建议的期限：</w:t>
      </w:r>
      <w:r>
        <w:rPr>
          <w:rFonts w:hint="eastAsia" w:ascii="宋体" w:hAnsi="宋体" w:cs="宋体"/>
          <w:color w:val="auto"/>
          <w:sz w:val="22"/>
          <w:highlight w:val="none"/>
          <w:u w:val="single"/>
        </w:rPr>
        <w:t>7天内</w:t>
      </w:r>
      <w:r>
        <w:rPr>
          <w:rFonts w:hint="eastAsia" w:ascii="宋体" w:hAnsi="宋体" w:cs="宋体"/>
          <w:color w:val="auto"/>
          <w:sz w:val="22"/>
          <w:highlight w:val="none"/>
        </w:rPr>
        <w:t>。</w:t>
      </w:r>
    </w:p>
    <w:p w14:paraId="1139373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发包人审批承包人合理化建议的期限：</w:t>
      </w:r>
      <w:r>
        <w:rPr>
          <w:rFonts w:hint="eastAsia" w:ascii="宋体" w:hAnsi="宋体" w:cs="宋体"/>
          <w:color w:val="auto"/>
          <w:sz w:val="22"/>
          <w:highlight w:val="none"/>
          <w:u w:val="single"/>
        </w:rPr>
        <w:t>7天内</w:t>
      </w:r>
      <w:r>
        <w:rPr>
          <w:rFonts w:hint="eastAsia" w:ascii="宋体" w:hAnsi="宋体" w:cs="宋体"/>
          <w:color w:val="auto"/>
          <w:sz w:val="22"/>
          <w:highlight w:val="none"/>
        </w:rPr>
        <w:t>。</w:t>
      </w:r>
    </w:p>
    <w:p w14:paraId="127A625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承包人提出的合理化建议降低了合同价格或者提高了工程经济效益的奖励的方法和金额为</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396D94A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02" w:name="_Toc395382547"/>
      <w:bookmarkStart w:id="303" w:name="_Toc533432770"/>
      <w:bookmarkStart w:id="304" w:name="_Toc12975935"/>
      <w:r>
        <w:rPr>
          <w:rFonts w:hint="eastAsia" w:ascii="宋体" w:hAnsi="宋体" w:cs="宋体"/>
          <w:color w:val="auto"/>
          <w:sz w:val="22"/>
          <w:szCs w:val="22"/>
          <w:highlight w:val="none"/>
        </w:rPr>
        <w:t>10.7 暂估价</w:t>
      </w:r>
      <w:bookmarkEnd w:id="302"/>
      <w:bookmarkEnd w:id="303"/>
      <w:bookmarkEnd w:id="304"/>
    </w:p>
    <w:p w14:paraId="327248F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暂估价材料和工程设备的明细详见已标价工程量清单《</w:t>
      </w:r>
      <w:r>
        <w:rPr>
          <w:rFonts w:hint="eastAsia" w:ascii="宋体" w:hAnsi="宋体" w:cs="宋体"/>
          <w:color w:val="auto"/>
          <w:sz w:val="22"/>
          <w:highlight w:val="none"/>
        </w:rPr>
        <w:t>材料（工程设备）暂估价格及调整表》</w:t>
      </w:r>
      <w:r>
        <w:rPr>
          <w:rFonts w:hint="eastAsia" w:ascii="宋体" w:hAnsi="宋体" w:cs="宋体"/>
          <w:color w:val="auto"/>
          <w:kern w:val="0"/>
          <w:sz w:val="22"/>
          <w:highlight w:val="none"/>
        </w:rPr>
        <w:t>（表12-2）和《</w:t>
      </w:r>
      <w:r>
        <w:rPr>
          <w:rFonts w:hint="eastAsia" w:ascii="宋体" w:hAnsi="宋体" w:cs="宋体"/>
          <w:color w:val="auto"/>
          <w:sz w:val="22"/>
          <w:highlight w:val="none"/>
        </w:rPr>
        <w:t>专业工程暂估价表》（</w:t>
      </w:r>
      <w:r>
        <w:rPr>
          <w:rFonts w:hint="eastAsia" w:ascii="宋体" w:hAnsi="宋体" w:cs="宋体"/>
          <w:color w:val="auto"/>
          <w:kern w:val="0"/>
          <w:sz w:val="22"/>
          <w:highlight w:val="none"/>
        </w:rPr>
        <w:t>表12-3）。</w:t>
      </w:r>
    </w:p>
    <w:p w14:paraId="11F3C22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10.7.1 依法必须招标的暂估价项目</w:t>
      </w:r>
    </w:p>
    <w:p w14:paraId="20ADC23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对于依法必须招标的暂估价项目的确认和批准采取第</w:t>
      </w:r>
      <w:r>
        <w:rPr>
          <w:rFonts w:hint="eastAsia" w:ascii="宋体" w:hAnsi="宋体" w:cs="宋体"/>
          <w:color w:val="auto"/>
          <w:sz w:val="22"/>
          <w:highlight w:val="none"/>
          <w:u w:val="single"/>
        </w:rPr>
        <w:t xml:space="preserve">  1  </w:t>
      </w:r>
      <w:r>
        <w:rPr>
          <w:rFonts w:hint="eastAsia" w:ascii="宋体" w:hAnsi="宋体" w:cs="宋体"/>
          <w:color w:val="auto"/>
          <w:sz w:val="22"/>
          <w:highlight w:val="none"/>
        </w:rPr>
        <w:t>种方式确定。</w:t>
      </w:r>
    </w:p>
    <w:p w14:paraId="6C00987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10.7.2 不属于依法必须招标的暂估价项目</w:t>
      </w:r>
    </w:p>
    <w:p w14:paraId="48A817B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对于不属于依法必须招标的暂估价项目的确认和批准采取第</w:t>
      </w:r>
      <w:r>
        <w:rPr>
          <w:rFonts w:hint="eastAsia" w:ascii="宋体" w:hAnsi="宋体" w:cs="宋体"/>
          <w:color w:val="auto"/>
          <w:sz w:val="22"/>
          <w:highlight w:val="none"/>
          <w:u w:val="single"/>
        </w:rPr>
        <w:t xml:space="preserve">  2 </w:t>
      </w:r>
      <w:r>
        <w:rPr>
          <w:rFonts w:hint="eastAsia" w:ascii="宋体" w:hAnsi="宋体" w:cs="宋体"/>
          <w:color w:val="auto"/>
          <w:sz w:val="22"/>
          <w:highlight w:val="none"/>
        </w:rPr>
        <w:t xml:space="preserve"> 种方式确定。</w:t>
      </w:r>
    </w:p>
    <w:p w14:paraId="6F8DA58E">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第3种方式：</w:t>
      </w:r>
      <w:r>
        <w:rPr>
          <w:rFonts w:hint="eastAsia" w:ascii="宋体" w:hAnsi="宋体" w:cs="宋体"/>
          <w:color w:val="auto"/>
          <w:kern w:val="0"/>
          <w:sz w:val="22"/>
          <w:highlight w:val="none"/>
        </w:rPr>
        <w:t>承包人直接实施的暂估价项目</w:t>
      </w:r>
    </w:p>
    <w:p w14:paraId="08DF77E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承包人直接实施的暂估价项目的约定：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0617673D">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05" w:name="_Toc395382548"/>
      <w:bookmarkStart w:id="306" w:name="_Toc12975936"/>
      <w:bookmarkStart w:id="307" w:name="_Toc533432771"/>
      <w:r>
        <w:rPr>
          <w:rFonts w:hint="eastAsia" w:ascii="宋体" w:hAnsi="宋体" w:cs="宋体"/>
          <w:color w:val="auto"/>
          <w:sz w:val="22"/>
          <w:szCs w:val="22"/>
          <w:highlight w:val="none"/>
        </w:rPr>
        <w:t>10.8 暂列金额</w:t>
      </w:r>
      <w:bookmarkEnd w:id="305"/>
      <w:bookmarkEnd w:id="306"/>
      <w:bookmarkEnd w:id="307"/>
    </w:p>
    <w:p w14:paraId="2BC5BC09">
      <w:pPr>
        <w:pStyle w:val="417"/>
        <w:pageBreakBefore w:val="0"/>
        <w:kinsoku/>
        <w:overflowPunct/>
        <w:topLinePunct w:val="0"/>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合同当事人关于暂列金额使用的约定：</w:t>
      </w:r>
    </w:p>
    <w:p w14:paraId="1A32D22A">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合同当事人关于暂列金额使用的约定：</w:t>
      </w:r>
      <w:r>
        <w:rPr>
          <w:rFonts w:hint="eastAsia" w:ascii="宋体" w:hAnsi="宋体" w:cs="宋体"/>
          <w:bCs/>
          <w:color w:val="auto"/>
          <w:sz w:val="22"/>
          <w:highlight w:val="none"/>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r>
        <w:rPr>
          <w:rFonts w:hint="eastAsia" w:ascii="宋体" w:hAnsi="宋体" w:cs="宋体"/>
          <w:color w:val="auto"/>
          <w:kern w:val="0"/>
          <w:sz w:val="22"/>
          <w:highlight w:val="none"/>
        </w:rPr>
        <w:t>。</w:t>
      </w:r>
    </w:p>
    <w:p w14:paraId="48A8DD0E">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08" w:name="_Toc395382549"/>
      <w:bookmarkStart w:id="309" w:name="_Toc12975937"/>
      <w:bookmarkStart w:id="310" w:name="_Toc533432772"/>
      <w:r>
        <w:rPr>
          <w:rFonts w:hint="eastAsia" w:ascii="宋体" w:hAnsi="宋体" w:cs="宋体"/>
          <w:color w:val="auto"/>
          <w:sz w:val="22"/>
          <w:szCs w:val="22"/>
          <w:highlight w:val="none"/>
        </w:rPr>
        <w:t>11. 价格调整</w:t>
      </w:r>
      <w:bookmarkEnd w:id="308"/>
      <w:bookmarkEnd w:id="309"/>
      <w:bookmarkEnd w:id="310"/>
    </w:p>
    <w:p w14:paraId="3D057D8C">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11" w:name="_Toc395382550"/>
      <w:bookmarkStart w:id="312" w:name="_Toc533432773"/>
      <w:bookmarkStart w:id="313" w:name="_Toc12975938"/>
      <w:r>
        <w:rPr>
          <w:rFonts w:hint="eastAsia" w:ascii="宋体" w:hAnsi="宋体" w:cs="宋体"/>
          <w:color w:val="auto"/>
          <w:sz w:val="22"/>
          <w:szCs w:val="22"/>
          <w:highlight w:val="none"/>
        </w:rPr>
        <w:t>11.1 市场价格波动引起的调整</w:t>
      </w:r>
      <w:bookmarkEnd w:id="311"/>
      <w:bookmarkEnd w:id="312"/>
      <w:bookmarkEnd w:id="313"/>
    </w:p>
    <w:p w14:paraId="5117B9F1">
      <w:pPr>
        <w:pStyle w:val="419"/>
        <w:pageBreakBefore w:val="0"/>
        <w:kinsoku/>
        <w:overflowPunct/>
        <w:topLinePunct w:val="0"/>
        <w:bidi w:val="0"/>
        <w:spacing w:line="400" w:lineRule="exact"/>
        <w:ind w:firstLine="416" w:firstLineChars="200"/>
        <w:rPr>
          <w:rFonts w:hint="eastAsia" w:ascii="宋体" w:hAnsi="宋体" w:cs="宋体"/>
          <w:color w:val="auto"/>
          <w:sz w:val="22"/>
          <w:highlight w:val="none"/>
        </w:rPr>
      </w:pPr>
      <w:r>
        <w:rPr>
          <w:rFonts w:hint="eastAsia" w:ascii="宋体" w:hAnsi="宋体" w:cs="宋体"/>
          <w:color w:val="auto"/>
          <w:spacing w:val="-6"/>
          <w:kern w:val="0"/>
          <w:sz w:val="22"/>
          <w:highlight w:val="none"/>
        </w:rPr>
        <w:t>采用可调价格形式的工程项目价格调整的条件是：主要材</w:t>
      </w:r>
      <w:r>
        <w:rPr>
          <w:rFonts w:hint="eastAsia" w:ascii="宋体" w:hAnsi="宋体" w:cs="宋体"/>
          <w:color w:val="auto"/>
          <w:spacing w:val="-6"/>
          <w:kern w:val="0"/>
          <w:sz w:val="22"/>
          <w:highlight w:val="none"/>
        </w:rPr>
        <w:t>料价格上涨或下调超过</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5%时（价格以当期防城港市建设工程造价信息为准），可对超出</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5%的部分进行协商调价，</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5%（含</w:t>
      </w:r>
      <w:r>
        <w:rPr>
          <w:rFonts w:hint="eastAsia" w:ascii="宋体" w:hAnsi="宋体" w:cs="宋体"/>
          <w:color w:val="auto"/>
          <w:spacing w:val="-6"/>
          <w:kern w:val="0"/>
          <w:sz w:val="22"/>
          <w:highlight w:val="none"/>
          <w:lang w:val="en-US" w:eastAsia="zh-CN"/>
        </w:rPr>
        <w:t>1</w:t>
      </w:r>
      <w:r>
        <w:rPr>
          <w:rFonts w:hint="eastAsia" w:ascii="宋体" w:hAnsi="宋体" w:cs="宋体"/>
          <w:color w:val="auto"/>
          <w:spacing w:val="-6"/>
          <w:kern w:val="0"/>
          <w:sz w:val="22"/>
          <w:highlight w:val="none"/>
        </w:rPr>
        <w:t>5%）以内部分不做调整。</w:t>
      </w:r>
    </w:p>
    <w:p w14:paraId="0AC9BF1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市场价格波动是否调整合同价格的约定：</w:t>
      </w:r>
      <w:r>
        <w:rPr>
          <w:rFonts w:hint="eastAsia" w:ascii="宋体" w:hAnsi="宋体" w:cs="宋体"/>
          <w:color w:val="auto"/>
          <w:sz w:val="22"/>
          <w:highlight w:val="none"/>
          <w:u w:val="single"/>
        </w:rPr>
        <w:t>调整</w:t>
      </w:r>
      <w:r>
        <w:rPr>
          <w:rFonts w:hint="eastAsia" w:ascii="宋体" w:hAnsi="宋体" w:cs="宋体"/>
          <w:color w:val="auto"/>
          <w:sz w:val="22"/>
          <w:highlight w:val="none"/>
          <w:u w:val="none"/>
        </w:rPr>
        <w:t>。</w:t>
      </w:r>
    </w:p>
    <w:p w14:paraId="13C1570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因市场价格波动调整合同价格，采用以下第</w:t>
      </w:r>
      <w:r>
        <w:rPr>
          <w:rFonts w:hint="eastAsia" w:ascii="宋体" w:hAnsi="宋体" w:cs="宋体"/>
          <w:color w:val="auto"/>
          <w:sz w:val="22"/>
          <w:highlight w:val="none"/>
          <w:u w:val="single"/>
        </w:rPr>
        <w:t xml:space="preserve"> 3 </w:t>
      </w:r>
      <w:r>
        <w:rPr>
          <w:rFonts w:hint="eastAsia" w:ascii="宋体" w:hAnsi="宋体" w:cs="宋体"/>
          <w:color w:val="auto"/>
          <w:sz w:val="22"/>
          <w:highlight w:val="none"/>
        </w:rPr>
        <w:t>种方式对合同价格进行调整：</w:t>
      </w:r>
    </w:p>
    <w:p w14:paraId="3F86263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第1种方式：采用价格指数进行价格调整。</w:t>
      </w:r>
    </w:p>
    <w:p w14:paraId="1B44EAA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关于各可调因子、定值和变值权重，以及基本价格指数及其来源的约定：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0CE77B6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第2种方式：采用造价信息进行价格调整。</w:t>
      </w:r>
    </w:p>
    <w:p w14:paraId="7331BA4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（1）允许调整的主要材料（设备）、基期价格、风险系数、磋商报价：详见《承包人提供主要材料和设备一览表》。</w:t>
      </w:r>
    </w:p>
    <w:p w14:paraId="319FB6F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（2）主要材料确认价：</w:t>
      </w:r>
    </w:p>
    <w:p w14:paraId="735F855E">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按施工期间《</w:t>
      </w:r>
      <w:r>
        <w:rPr>
          <w:rFonts w:hint="eastAsia" w:ascii="宋体" w:hAnsi="宋体" w:cs="宋体"/>
          <w:color w:val="auto"/>
          <w:sz w:val="22"/>
          <w:highlight w:val="none"/>
          <w:u w:val="single"/>
        </w:rPr>
        <w:t xml:space="preserve"> 防城港 </w:t>
      </w:r>
      <w:r>
        <w:rPr>
          <w:rFonts w:hint="eastAsia" w:ascii="宋体" w:hAnsi="宋体" w:cs="宋体"/>
          <w:color w:val="auto"/>
          <w:sz w:val="22"/>
          <w:highlight w:val="none"/>
        </w:rPr>
        <w:t>市建设工程造价信息》加权平均计算，信息价没有的按</w:t>
      </w:r>
      <w:r>
        <w:rPr>
          <w:rFonts w:hint="eastAsia" w:ascii="宋体" w:hAnsi="宋体" w:cs="宋体"/>
          <w:color w:val="auto"/>
          <w:sz w:val="22"/>
          <w:highlight w:val="none"/>
          <w:lang w:eastAsia="zh-CN"/>
        </w:rPr>
        <w:t>通用合同条款</w:t>
      </w:r>
      <w:r>
        <w:rPr>
          <w:rFonts w:hint="eastAsia" w:ascii="宋体" w:hAnsi="宋体" w:cs="宋体"/>
          <w:color w:val="auto"/>
          <w:sz w:val="22"/>
          <w:highlight w:val="none"/>
        </w:rPr>
        <w:t>规定确定。</w:t>
      </w:r>
    </w:p>
    <w:p w14:paraId="088035D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（3）价差计算方法：</w:t>
      </w:r>
    </w:p>
    <w:p w14:paraId="61B019C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①《承包人提供主要材料和设备一览表》中载明的材料磋商报价低于基准价格的：合同履行期间材料单价涨幅以基准价格为基础超过约定的风险范围时，或材料单价跌幅以磋商报价为基础超过约定的风险范围时，其超过部分据实调整。</w:t>
      </w:r>
    </w:p>
    <w:p w14:paraId="7831941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②承包人在《承包人提供主要材料和设备一览表》中载明的材料和设备磋商的风险范围时，材料和设备单价涨幅以磋商报价为基础超过约定的风险范围时，其超过部分据实调整。</w:t>
      </w:r>
    </w:p>
    <w:p w14:paraId="69BF28D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③承包人在《承包人提供主要材料和设备一览表》中载明的材料和设备单价等于基准单价的：合同履行期间材料和 设备单价涨跌幅以基准单价为基础超过约定的风险范围时，其超过部分据实调整。</w:t>
      </w:r>
    </w:p>
    <w:p w14:paraId="21BA2B43">
      <w:pPr>
        <w:pStyle w:val="414"/>
        <w:pageBreakBefore w:val="0"/>
        <w:kinsoku/>
        <w:overflowPunct/>
        <w:topLinePunct w:val="0"/>
        <w:bidi w:val="0"/>
        <w:spacing w:line="400" w:lineRule="exact"/>
        <w:ind w:firstLine="645"/>
        <w:jc w:val="left"/>
        <w:rPr>
          <w:rFonts w:hint="eastAsia" w:ascii="宋体" w:hAnsi="宋体" w:cs="宋体"/>
          <w:color w:val="auto"/>
          <w:sz w:val="22"/>
          <w:highlight w:val="none"/>
        </w:rPr>
      </w:pPr>
      <w:r>
        <w:rPr>
          <w:rFonts w:hint="eastAsia" w:ascii="宋体" w:hAnsi="宋体" w:cs="宋体"/>
          <w:color w:val="auto"/>
          <w:sz w:val="22"/>
          <w:highlight w:val="none"/>
        </w:rPr>
        <w:t>第3种方式：</w:t>
      </w:r>
      <w:r>
        <w:rPr>
          <w:rFonts w:hint="eastAsia" w:ascii="宋体" w:hAnsi="宋体" w:cs="宋体"/>
          <w:color w:val="auto"/>
          <w:sz w:val="22"/>
          <w:highlight w:val="none"/>
          <w:u w:val="single"/>
        </w:rPr>
        <w:t>在合同工期范围内，乙方须承担主</w:t>
      </w:r>
      <w:r>
        <w:rPr>
          <w:rFonts w:hint="eastAsia" w:ascii="宋体" w:hAnsi="宋体" w:cs="宋体"/>
          <w:color w:val="auto"/>
          <w:sz w:val="22"/>
          <w:highlight w:val="none"/>
          <w:u w:val="single"/>
        </w:rPr>
        <w:t>要材料±</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5%以内（含±</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5%）的材料价格风险， 超出±</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5%的部分甲乙双方协商调价，以磋商控制价采用的</w:t>
      </w:r>
      <w:r>
        <w:rPr>
          <w:rFonts w:hint="eastAsia" w:ascii="宋体" w:hAnsi="宋体" w:cs="宋体"/>
          <w:color w:val="auto"/>
          <w:sz w:val="22"/>
          <w:highlight w:val="none"/>
          <w:u w:val="single"/>
        </w:rPr>
        <w:t>《防城港市建设工程造价信息》上发布的市场价格信息确定为基准材料价格</w:t>
      </w:r>
      <w:r>
        <w:rPr>
          <w:rFonts w:hint="eastAsia" w:ascii="宋体" w:hAnsi="宋体" w:cs="宋体"/>
          <w:color w:val="auto"/>
          <w:sz w:val="22"/>
          <w:highlight w:val="none"/>
        </w:rPr>
        <w:t xml:space="preserve"> 。</w:t>
      </w:r>
    </w:p>
    <w:p w14:paraId="0EF2C19B">
      <w:pPr>
        <w:pStyle w:val="414"/>
        <w:pageBreakBefore w:val="0"/>
        <w:kinsoku/>
        <w:overflowPunct/>
        <w:topLinePunct w:val="0"/>
        <w:bidi w:val="0"/>
        <w:spacing w:line="400" w:lineRule="exact"/>
        <w:jc w:val="left"/>
        <w:rPr>
          <w:rFonts w:hint="eastAsia" w:ascii="宋体" w:hAnsi="宋体" w:cs="宋体"/>
          <w:b/>
          <w:bCs/>
          <w:color w:val="auto"/>
          <w:sz w:val="22"/>
          <w:highlight w:val="none"/>
        </w:rPr>
      </w:pPr>
      <w:r>
        <w:rPr>
          <w:rFonts w:hint="eastAsia" w:ascii="宋体" w:hAnsi="宋体" w:cs="宋体"/>
          <w:b/>
          <w:bCs/>
          <w:color w:val="auto"/>
          <w:sz w:val="22"/>
          <w:highlight w:val="none"/>
        </w:rPr>
        <w:t xml:space="preserve">11.2 不平衡报价调整方式 </w:t>
      </w:r>
    </w:p>
    <w:p w14:paraId="33B17791">
      <w:pPr>
        <w:pStyle w:val="414"/>
        <w:pageBreakBefore w:val="0"/>
        <w:kinsoku/>
        <w:overflowPunct/>
        <w:topLinePunct w:val="0"/>
        <w:bidi w:val="0"/>
        <w:spacing w:line="400" w:lineRule="exact"/>
        <w:jc w:val="left"/>
        <w:rPr>
          <w:rFonts w:hint="eastAsia" w:ascii="宋体" w:hAnsi="宋体" w:cs="宋体"/>
          <w:color w:val="auto"/>
          <w:sz w:val="22"/>
          <w:highlight w:val="none"/>
        </w:rPr>
      </w:pPr>
      <w:r>
        <w:rPr>
          <w:rFonts w:hint="eastAsia" w:ascii="宋体" w:hAnsi="宋体" w:cs="宋体"/>
          <w:color w:val="auto"/>
          <w:sz w:val="22"/>
          <w:highlight w:val="none"/>
        </w:rPr>
        <w:t xml:space="preserve">    按防住建发〔2016〕31号文《防城港市政府投资项目房屋建筑和市政基础设施工程严重不平衡报价修正暂行办法》的规定进行修正。</w:t>
      </w:r>
    </w:p>
    <w:p w14:paraId="0F25298C">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14" w:name="_Toc12975939"/>
      <w:bookmarkStart w:id="315" w:name="_Toc395382551"/>
      <w:bookmarkStart w:id="316" w:name="_Toc533432774"/>
      <w:r>
        <w:rPr>
          <w:rFonts w:hint="eastAsia" w:ascii="宋体" w:hAnsi="宋体" w:cs="宋体"/>
          <w:color w:val="auto"/>
          <w:sz w:val="22"/>
          <w:szCs w:val="22"/>
          <w:highlight w:val="none"/>
        </w:rPr>
        <w:t>12. 合同价格、计量与支付</w:t>
      </w:r>
      <w:bookmarkEnd w:id="314"/>
      <w:bookmarkEnd w:id="315"/>
      <w:bookmarkEnd w:id="316"/>
    </w:p>
    <w:p w14:paraId="1611F154">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17" w:name="_Toc395382552"/>
      <w:bookmarkStart w:id="318" w:name="_Toc12975940"/>
      <w:bookmarkStart w:id="319" w:name="_Toc533432775"/>
      <w:r>
        <w:rPr>
          <w:rFonts w:hint="eastAsia" w:ascii="宋体" w:hAnsi="宋体" w:cs="宋体"/>
          <w:color w:val="auto"/>
          <w:sz w:val="22"/>
          <w:szCs w:val="22"/>
          <w:highlight w:val="none"/>
        </w:rPr>
        <w:t>12.1 合同价格形式</w:t>
      </w:r>
      <w:bookmarkEnd w:id="317"/>
      <w:bookmarkEnd w:id="318"/>
      <w:bookmarkEnd w:id="319"/>
    </w:p>
    <w:p w14:paraId="793F3EBC">
      <w:pPr>
        <w:pStyle w:val="414"/>
        <w:pageBreakBefore w:val="0"/>
        <w:kinsoku/>
        <w:overflowPunct/>
        <w:topLinePunct w:val="0"/>
        <w:bidi w:val="0"/>
        <w:spacing w:line="400" w:lineRule="exact"/>
        <w:rPr>
          <w:rFonts w:hint="eastAsia" w:ascii="宋体" w:hAnsi="宋体" w:cs="宋体"/>
          <w:color w:val="auto"/>
          <w:sz w:val="22"/>
          <w:highlight w:val="none"/>
        </w:rPr>
      </w:pPr>
      <w:r>
        <w:rPr>
          <w:rFonts w:hint="eastAsia" w:ascii="宋体" w:hAnsi="宋体" w:cs="宋体"/>
          <w:color w:val="auto"/>
          <w:sz w:val="22"/>
          <w:highlight w:val="none"/>
        </w:rPr>
        <w:t xml:space="preserve">     本工程采用</w:t>
      </w:r>
      <w:r>
        <w:rPr>
          <w:rFonts w:hint="eastAsia" w:ascii="宋体" w:hAnsi="宋体" w:cs="宋体"/>
          <w:color w:val="auto"/>
          <w:sz w:val="22"/>
          <w:highlight w:val="none"/>
          <w:u w:val="single"/>
        </w:rPr>
        <w:t xml:space="preserve"> </w:t>
      </w:r>
      <w:r>
        <w:rPr>
          <w:rFonts w:hint="eastAsia" w:ascii="宋体" w:hAnsi="宋体" w:cs="宋体"/>
          <w:b/>
          <w:bCs/>
          <w:color w:val="auto"/>
          <w:sz w:val="22"/>
          <w:highlight w:val="none"/>
          <w:u w:val="single"/>
        </w:rPr>
        <w:t xml:space="preserve"> </w:t>
      </w:r>
      <w:r>
        <w:rPr>
          <w:rFonts w:hint="eastAsia" w:ascii="宋体" w:hAnsi="宋体" w:cs="宋体"/>
          <w:b/>
          <w:bCs/>
          <w:color w:val="auto"/>
          <w:sz w:val="22"/>
          <w:highlight w:val="none"/>
          <w:u w:val="single"/>
          <w:lang w:val="en-US" w:eastAsia="zh-CN"/>
        </w:rPr>
        <w:t>总价包干</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合同价格形式。</w:t>
      </w:r>
    </w:p>
    <w:p w14:paraId="4E7E52B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（1）单价合同。</w:t>
      </w:r>
    </w:p>
    <w:p w14:paraId="0A4AD20E">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单价合同采用固定综合单价方式确定，工程量按实际结算。</w:t>
      </w:r>
    </w:p>
    <w:p w14:paraId="726380D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综合单价包含的风险范围：</w:t>
      </w:r>
      <w:r>
        <w:rPr>
          <w:rFonts w:hint="eastAsia" w:ascii="宋体" w:hAnsi="宋体" w:cs="宋体"/>
          <w:color w:val="auto"/>
          <w:sz w:val="22"/>
          <w:highlight w:val="none"/>
          <w:u w:val="single"/>
        </w:rPr>
        <w:t>除工程变更、本工程约定的市场价格波动风险和政策性（颁布单位为地级市以上（不包含地级市）单位颁布的文件才属于政策性文件）调整以外的其他风险</w:t>
      </w:r>
      <w:r>
        <w:rPr>
          <w:rFonts w:hint="eastAsia" w:ascii="宋体" w:hAnsi="宋体" w:cs="宋体"/>
          <w:color w:val="auto"/>
          <w:sz w:val="22"/>
          <w:highlight w:val="none"/>
        </w:rPr>
        <w:t>。</w:t>
      </w:r>
    </w:p>
    <w:p w14:paraId="289028C9">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风险范围以外合同价格的调整方法：</w:t>
      </w:r>
    </w:p>
    <w:p w14:paraId="3875D3D8">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①工程变更：按10.4.1变更估价原则的约定调整。</w:t>
      </w:r>
    </w:p>
    <w:p w14:paraId="596FF45C">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②政策性调整：按自治区建设行政主管部门颁布的文件执行。</w:t>
      </w:r>
    </w:p>
    <w:p w14:paraId="7C1609C6">
      <w:pPr>
        <w:pStyle w:val="418"/>
        <w:pageBreakBefore w:val="0"/>
        <w:kinsoku/>
        <w:overflowPunct/>
        <w:topLinePunct w:val="0"/>
        <w:bidi w:val="0"/>
        <w:spacing w:line="400" w:lineRule="exact"/>
        <w:ind w:firstLine="462" w:firstLineChars="210"/>
        <w:rPr>
          <w:rFonts w:hint="eastAsia" w:hAnsi="宋体" w:cs="宋体"/>
          <w:color w:val="auto"/>
          <w:sz w:val="22"/>
          <w:szCs w:val="22"/>
          <w:highlight w:val="none"/>
        </w:rPr>
      </w:pPr>
      <w:r>
        <w:rPr>
          <w:rFonts w:hint="eastAsia" w:hAnsi="宋体" w:cs="宋体"/>
          <w:color w:val="auto"/>
          <w:sz w:val="22"/>
          <w:szCs w:val="22"/>
          <w:highlight w:val="none"/>
        </w:rPr>
        <w:t>③材料价格风险：按11.1的约定调整。</w:t>
      </w:r>
    </w:p>
    <w:p w14:paraId="65B16CC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④其它：</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4D728F4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（2）总价合同。</w:t>
      </w:r>
    </w:p>
    <w:p w14:paraId="3CF51D0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总价包含的风险范围：</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1D7909D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风险范围以外合同价格的调整方法：</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1F8C182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（3）其他价格方式：</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1B2AA439">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20" w:name="_Toc12975941"/>
      <w:bookmarkStart w:id="321" w:name="_Toc533432776"/>
      <w:bookmarkStart w:id="322" w:name="_Toc395382553"/>
      <w:r>
        <w:rPr>
          <w:rFonts w:hint="eastAsia" w:ascii="宋体" w:hAnsi="宋体" w:cs="宋体"/>
          <w:color w:val="auto"/>
          <w:sz w:val="22"/>
          <w:szCs w:val="22"/>
          <w:highlight w:val="none"/>
        </w:rPr>
        <w:t>12.2 预付款</w:t>
      </w:r>
      <w:bookmarkEnd w:id="320"/>
      <w:bookmarkEnd w:id="321"/>
      <w:bookmarkEnd w:id="322"/>
    </w:p>
    <w:p w14:paraId="11C241B3">
      <w:pPr>
        <w:pStyle w:val="40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12.2.1在以下方式中选择其一，作为双方对预付款保函的约定。</w:t>
      </w:r>
    </w:p>
    <w:p w14:paraId="6CB8E44C">
      <w:pPr>
        <w:pStyle w:val="406"/>
        <w:pageBreakBefore w:val="0"/>
        <w:kinsoku/>
        <w:overflowPunct/>
        <w:topLinePunct w:val="0"/>
        <w:bidi w:val="0"/>
        <w:spacing w:line="400" w:lineRule="exact"/>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承包人不提交预付款保函。</w:t>
      </w:r>
    </w:p>
    <w:p w14:paraId="4D19B3F8">
      <w:pPr>
        <w:pStyle w:val="40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承包人提交预付款保函的格式、金额</w:t>
      </w:r>
      <w:r>
        <w:rPr>
          <w:rFonts w:hint="eastAsia" w:ascii="宋体" w:hAnsi="宋体" w:cs="宋体"/>
          <w:color w:val="auto"/>
          <w:sz w:val="22"/>
          <w:szCs w:val="22"/>
          <w:highlight w:val="none"/>
        </w:rPr>
        <w:t>和时</w:t>
      </w:r>
      <w:r>
        <w:rPr>
          <w:rFonts w:hint="eastAsia" w:ascii="宋体" w:hAnsi="宋体" w:cs="宋体"/>
          <w:color w:val="auto"/>
          <w:sz w:val="22"/>
          <w:szCs w:val="22"/>
          <w:highlight w:val="none"/>
          <w:lang w:val="en-US" w:eastAsia="zh-CN"/>
        </w:rPr>
        <w:t>间</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拨付预付款前，预付款担保的形式银行转账、电汇或网上支付、银行保函、工程担保、工程保证保险。</w:t>
      </w:r>
    </w:p>
    <w:p w14:paraId="3F2DFB8A">
      <w:pPr>
        <w:pStyle w:val="40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12.2.2预付款</w:t>
      </w:r>
    </w:p>
    <w:p w14:paraId="3B11561C">
      <w:pPr>
        <w:pStyle w:val="40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12.2.3</w:t>
      </w:r>
      <w:r>
        <w:rPr>
          <w:rFonts w:hint="eastAsia" w:ascii="宋体" w:hAnsi="宋体" w:cs="宋体"/>
          <w:color w:val="auto"/>
          <w:sz w:val="22"/>
          <w:szCs w:val="22"/>
          <w:highlight w:val="none"/>
        </w:rPr>
        <w:t xml:space="preserve"> 预付款金额</w:t>
      </w:r>
    </w:p>
    <w:p w14:paraId="5F10000E">
      <w:pPr>
        <w:pStyle w:val="406"/>
        <w:pageBreakBefore w:val="0"/>
        <w:kinsoku/>
        <w:overflowPunct/>
        <w:topLinePunct w:val="0"/>
        <w:bidi w:val="0"/>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预付款金额与支付：</w:t>
      </w:r>
      <w:r>
        <w:rPr>
          <w:rFonts w:hint="eastAsia" w:ascii="宋体" w:hAnsi="宋体" w:cs="宋体"/>
          <w:color w:val="auto"/>
          <w:sz w:val="22"/>
          <w:szCs w:val="22"/>
          <w:highlight w:val="none"/>
          <w:u w:val="single"/>
        </w:rPr>
        <w:t>合同价的</w:t>
      </w: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0%</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w:t>
      </w:r>
    </w:p>
    <w:p w14:paraId="22B4CC45">
      <w:pPr>
        <w:pStyle w:val="40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担保的形式：</w:t>
      </w:r>
      <w:r>
        <w:rPr>
          <w:rFonts w:hint="eastAsia" w:ascii="宋体" w:hAnsi="宋体" w:cs="宋体"/>
          <w:color w:val="auto"/>
          <w:sz w:val="22"/>
          <w:szCs w:val="22"/>
          <w:highlight w:val="none"/>
          <w:u w:val="single"/>
        </w:rPr>
        <w:t>担保可以银行保函、担保、工程保证保险等方式缴纳，严禁要求只能以现金方式缴纳的行为。</w:t>
      </w:r>
    </w:p>
    <w:p w14:paraId="087B5BEB">
      <w:pPr>
        <w:pStyle w:val="406"/>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szCs w:val="22"/>
          <w:highlight w:val="none"/>
          <w:u w:val="none" w:color="000000"/>
          <w:lang w:val="zh-TW" w:eastAsia="zh-TW"/>
        </w:rPr>
        <w:t>1</w:t>
      </w:r>
      <w:r>
        <w:rPr>
          <w:rFonts w:hint="eastAsia" w:ascii="宋体" w:hAnsi="宋体" w:cs="宋体"/>
          <w:color w:val="auto"/>
          <w:kern w:val="0"/>
          <w:sz w:val="22"/>
          <w:szCs w:val="22"/>
          <w:highlight w:val="none"/>
          <w:u w:val="none" w:color="000000"/>
        </w:rPr>
        <w:t>2</w:t>
      </w:r>
      <w:r>
        <w:rPr>
          <w:rFonts w:hint="eastAsia" w:ascii="宋体" w:hAnsi="宋体" w:cs="宋体"/>
          <w:color w:val="auto"/>
          <w:kern w:val="0"/>
          <w:sz w:val="22"/>
          <w:szCs w:val="22"/>
          <w:highlight w:val="none"/>
          <w:u w:val="none" w:color="000000"/>
          <w:lang w:val="zh-TW" w:eastAsia="zh-TW"/>
        </w:rPr>
        <w:t>.2.</w:t>
      </w:r>
      <w:r>
        <w:rPr>
          <w:rFonts w:hint="eastAsia" w:ascii="宋体" w:hAnsi="宋体" w:cs="宋体"/>
          <w:color w:val="auto"/>
          <w:kern w:val="0"/>
          <w:sz w:val="22"/>
          <w:szCs w:val="22"/>
          <w:highlight w:val="none"/>
          <w:u w:val="none" w:color="000000"/>
        </w:rPr>
        <w:t>4</w:t>
      </w:r>
      <w:r>
        <w:rPr>
          <w:rFonts w:hint="eastAsia" w:ascii="宋体" w:hAnsi="宋体" w:cs="宋体"/>
          <w:color w:val="auto"/>
          <w:kern w:val="0"/>
          <w:sz w:val="22"/>
          <w:szCs w:val="22"/>
          <w:highlight w:val="none"/>
          <w:lang w:val="zh-TW" w:eastAsia="zh-TW"/>
        </w:rPr>
        <w:t>预付款抵扣的</w:t>
      </w:r>
      <w:r>
        <w:rPr>
          <w:rFonts w:hint="eastAsia" w:ascii="宋体" w:hAnsi="宋体" w:cs="宋体"/>
          <w:color w:val="auto"/>
          <w:kern w:val="0"/>
          <w:sz w:val="22"/>
          <w:szCs w:val="22"/>
          <w:highlight w:val="none"/>
          <w:lang w:val="zh-TW"/>
        </w:rPr>
        <w:t>方式</w:t>
      </w:r>
      <w:r>
        <w:rPr>
          <w:rFonts w:hint="eastAsia" w:ascii="宋体" w:hAnsi="宋体" w:cs="宋体"/>
          <w:color w:val="auto"/>
          <w:kern w:val="0"/>
          <w:sz w:val="22"/>
          <w:szCs w:val="22"/>
          <w:highlight w:val="none"/>
          <w:lang w:val="zh-TW" w:eastAsia="zh-TW"/>
        </w:rPr>
        <w:t>、</w:t>
      </w:r>
      <w:r>
        <w:rPr>
          <w:rFonts w:hint="eastAsia" w:ascii="宋体" w:hAnsi="宋体" w:cs="宋体"/>
          <w:color w:val="auto"/>
          <w:kern w:val="0"/>
          <w:sz w:val="22"/>
          <w:szCs w:val="22"/>
          <w:highlight w:val="none"/>
          <w:lang w:val="zh-TW"/>
        </w:rPr>
        <w:t>抵扣比例和抵扣时间安排：</w:t>
      </w:r>
      <w:r>
        <w:rPr>
          <w:rFonts w:hint="eastAsia" w:ascii="宋体" w:hAnsi="宋体" w:cs="宋体"/>
          <w:color w:val="auto"/>
          <w:kern w:val="0"/>
          <w:sz w:val="22"/>
          <w:szCs w:val="22"/>
          <w:highlight w:val="none"/>
          <w:u w:val="single"/>
          <w:lang w:val="en-US" w:eastAsia="zh-CN"/>
        </w:rPr>
        <w:t>分两次扣完，每次扣</w:t>
      </w:r>
      <w:r>
        <w:rPr>
          <w:rFonts w:hint="eastAsia" w:ascii="宋体" w:hAnsi="宋体" w:cs="宋体"/>
          <w:color w:val="auto"/>
          <w:kern w:val="0"/>
          <w:sz w:val="22"/>
          <w:szCs w:val="22"/>
          <w:highlight w:val="none"/>
          <w:u w:val="single"/>
        </w:rPr>
        <w:t>50%</w:t>
      </w:r>
      <w:r>
        <w:rPr>
          <w:rFonts w:hint="eastAsia" w:ascii="宋体" w:hAnsi="宋体" w:cs="宋体"/>
          <w:color w:val="auto"/>
          <w:kern w:val="0"/>
          <w:sz w:val="22"/>
          <w:szCs w:val="22"/>
          <w:highlight w:val="none"/>
          <w:u w:val="none"/>
        </w:rPr>
        <w:t>。</w:t>
      </w:r>
    </w:p>
    <w:p w14:paraId="58AADD73">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23" w:name="_Toc12975942"/>
      <w:bookmarkStart w:id="324" w:name="_Toc533432777"/>
      <w:bookmarkStart w:id="325" w:name="_Toc395382554"/>
      <w:r>
        <w:rPr>
          <w:rFonts w:hint="eastAsia" w:ascii="宋体" w:hAnsi="宋体" w:cs="宋体"/>
          <w:color w:val="auto"/>
          <w:sz w:val="22"/>
          <w:szCs w:val="22"/>
          <w:highlight w:val="none"/>
        </w:rPr>
        <w:t>12.3 计量</w:t>
      </w:r>
      <w:bookmarkEnd w:id="323"/>
      <w:bookmarkEnd w:id="324"/>
      <w:bookmarkEnd w:id="325"/>
    </w:p>
    <w:p w14:paraId="1DC7A01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12.3.1 计量原则</w:t>
      </w:r>
    </w:p>
    <w:p w14:paraId="5F6A1F8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none"/>
        </w:rPr>
      </w:pPr>
      <w:r>
        <w:rPr>
          <w:rFonts w:hint="eastAsia" w:ascii="宋体" w:hAnsi="宋体" w:cs="宋体"/>
          <w:color w:val="auto"/>
          <w:sz w:val="22"/>
          <w:highlight w:val="none"/>
        </w:rPr>
        <w:t>工程量计算规则：本工程量清单依据（1）《建设工程工程量清单计价规范》广西壮族自治区实施细则（GB50500-2013）；《建设工程工程量计算规范》广西壮族自治区实施细则（GB50854~GB50862-2013）；2024年《广西壮族自治区建筑装饰装修工程消耗量定额》；2023年《广西壮族自治区安装工程消耗量定额》；2024年《广西壮族自治区建筑拆除工程消耗量定额》及其配套费用定额；2013年《广西壮族自治区安装拆除工程消耗量定额》及其配套费用定额：2016年《广西壮族自治区建设工程费用定额》；《自治区住房城乡建设厅关于调整建设工程定额人工费及有关费率的通知》（桂建标（2023）7号）；《自治区住房城乡建设厅关于建筑业实施营业税改征增值税后广西壮族自治区建设工程计价依据调整的通知》（桂建标（2016）17号）；《自治区住房城乡建设厅关于印发广西壮族自治区房屋建筑和市政基础设施工程安全生产责任保险计价规定的通知》（桂建发（2023)6号)；《关于调整建设工程计价增值税税率的通知》（桂建标（2019）12号）等有关规定及相关资料、磋商文件、施工图等编制</w:t>
      </w:r>
      <w:r>
        <w:rPr>
          <w:rFonts w:hint="eastAsia" w:ascii="宋体" w:hAnsi="宋体" w:cs="宋体"/>
          <w:color w:val="auto"/>
          <w:sz w:val="22"/>
          <w:highlight w:val="none"/>
          <w:u w:val="none"/>
        </w:rPr>
        <w:t>，如有不明之处，应以监理工程师或造价管理部门指定的计量方法为准，费率取中值。</w:t>
      </w:r>
    </w:p>
    <w:p w14:paraId="6C64A63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12.3.2 计量周期</w:t>
      </w:r>
    </w:p>
    <w:p w14:paraId="59693FE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关于计量周期的约定：</w:t>
      </w:r>
      <w:r>
        <w:rPr>
          <w:rFonts w:hint="eastAsia" w:ascii="宋体" w:hAnsi="宋体" w:cs="宋体"/>
          <w:color w:val="auto"/>
          <w:sz w:val="22"/>
          <w:highlight w:val="none"/>
          <w:u w:val="single"/>
        </w:rPr>
        <w:t>按月计量，每月25日前</w:t>
      </w:r>
      <w:r>
        <w:rPr>
          <w:rFonts w:hint="eastAsia" w:ascii="宋体" w:hAnsi="宋体" w:cs="宋体"/>
          <w:color w:val="auto"/>
          <w:sz w:val="22"/>
          <w:highlight w:val="none"/>
        </w:rPr>
        <w:t>。</w:t>
      </w:r>
    </w:p>
    <w:p w14:paraId="5476BC0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12.3.3 单价合同的计量</w:t>
      </w:r>
    </w:p>
    <w:p w14:paraId="09C2DD0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关于单价合同计量的约定：</w:t>
      </w:r>
    </w:p>
    <w:p w14:paraId="6CE2CFEC">
      <w:pPr>
        <w:pStyle w:val="414"/>
        <w:pageBreakBefore w:val="0"/>
        <w:kinsoku/>
        <w:overflowPunct/>
        <w:topLinePunct w:val="0"/>
        <w:bidi w:val="0"/>
        <w:spacing w:line="400" w:lineRule="exact"/>
        <w:ind w:firstLine="462" w:firstLineChars="210"/>
        <w:rPr>
          <w:rFonts w:hint="eastAsia" w:ascii="宋体" w:hAnsi="宋体" w:cs="宋体"/>
          <w:color w:val="auto"/>
          <w:sz w:val="22"/>
          <w:highlight w:val="none"/>
        </w:rPr>
      </w:pPr>
      <w:r>
        <w:rPr>
          <w:rFonts w:hint="eastAsia" w:ascii="宋体" w:hAnsi="宋体" w:cs="宋体"/>
          <w:color w:val="auto"/>
          <w:sz w:val="22"/>
          <w:highlight w:val="none"/>
        </w:rPr>
        <w:t>(1) 工程量清单所列的工程量，不能作为承包人按合同履行其责任依据，实际施工中发生的工程量增加或减少并不影响承包人履行合同的责任，工程结算以完成的实际工程量为准。</w:t>
      </w:r>
    </w:p>
    <w:p w14:paraId="6BE4B1EB">
      <w:pPr>
        <w:pStyle w:val="414"/>
        <w:pageBreakBefore w:val="0"/>
        <w:kinsoku/>
        <w:overflowPunct/>
        <w:topLinePunct w:val="0"/>
        <w:bidi w:val="0"/>
        <w:spacing w:line="400" w:lineRule="exact"/>
        <w:ind w:firstLine="462" w:firstLineChars="210"/>
        <w:rPr>
          <w:rFonts w:hint="eastAsia" w:ascii="宋体" w:hAnsi="宋体" w:cs="宋体"/>
          <w:color w:val="auto"/>
          <w:sz w:val="22"/>
          <w:highlight w:val="none"/>
        </w:rPr>
      </w:pPr>
      <w:r>
        <w:rPr>
          <w:rFonts w:hint="eastAsia" w:ascii="宋体" w:hAnsi="宋体" w:cs="宋体"/>
          <w:color w:val="auto"/>
          <w:sz w:val="22"/>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1F01773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12.3.4 总价合同的计量</w:t>
      </w:r>
    </w:p>
    <w:p w14:paraId="137F1A6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关于总价合同计量的约定：除工程变更外，原图纸范围内的工程量不得按实计量。进度款按支付分解表支付，按</w:t>
      </w:r>
      <w:r>
        <w:rPr>
          <w:rFonts w:hint="eastAsia" w:ascii="宋体" w:hAnsi="宋体" w:cs="宋体"/>
          <w:color w:val="auto"/>
          <w:sz w:val="22"/>
          <w:highlight w:val="none"/>
          <w:lang w:eastAsia="zh-CN"/>
        </w:rPr>
        <w:t>通用合同条款</w:t>
      </w:r>
      <w:r>
        <w:rPr>
          <w:rFonts w:hint="eastAsia" w:ascii="宋体" w:hAnsi="宋体" w:cs="宋体"/>
          <w:color w:val="auto"/>
          <w:sz w:val="22"/>
          <w:highlight w:val="none"/>
        </w:rPr>
        <w:t>第</w:t>
      </w:r>
      <w:r>
        <w:rPr>
          <w:rFonts w:hint="eastAsia" w:ascii="宋体" w:hAnsi="宋体" w:cs="宋体"/>
          <w:color w:val="auto"/>
          <w:kern w:val="0"/>
          <w:sz w:val="22"/>
          <w:highlight w:val="none"/>
        </w:rPr>
        <w:t>12.3.4</w:t>
      </w:r>
      <w:r>
        <w:rPr>
          <w:rFonts w:hint="eastAsia" w:ascii="宋体" w:hAnsi="宋体" w:cs="宋体"/>
          <w:color w:val="auto"/>
          <w:sz w:val="22"/>
          <w:highlight w:val="none"/>
        </w:rPr>
        <w:t>项</w:t>
      </w:r>
      <w:r>
        <w:rPr>
          <w:rFonts w:hint="eastAsia" w:ascii="宋体" w:hAnsi="宋体" w:cs="宋体"/>
          <w:color w:val="auto"/>
          <w:kern w:val="0"/>
          <w:sz w:val="22"/>
          <w:highlight w:val="none"/>
        </w:rPr>
        <w:t>〔总价合同的计量〕</w:t>
      </w:r>
      <w:r>
        <w:rPr>
          <w:rFonts w:hint="eastAsia" w:ascii="宋体" w:hAnsi="宋体" w:cs="宋体"/>
          <w:color w:val="auto"/>
          <w:sz w:val="22"/>
          <w:highlight w:val="none"/>
        </w:rPr>
        <w:t>约定进行计量，但</w:t>
      </w:r>
      <w:r>
        <w:rPr>
          <w:rFonts w:hint="eastAsia" w:ascii="宋体" w:hAnsi="宋体" w:cs="宋体"/>
          <w:color w:val="auto"/>
          <w:kern w:val="0"/>
          <w:sz w:val="22"/>
          <w:highlight w:val="none"/>
        </w:rPr>
        <w:t>合同价款按照支付分解表进行支付。</w:t>
      </w:r>
    </w:p>
    <w:p w14:paraId="3AA5E9D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12.3.6 其他价格形式合同的计量</w:t>
      </w:r>
    </w:p>
    <w:p w14:paraId="4C44180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其他价格形式的计量方式和程序：</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1303D532">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26" w:name="_Toc533432778"/>
      <w:bookmarkStart w:id="327" w:name="_Toc12975943"/>
      <w:bookmarkStart w:id="328" w:name="_Toc395382555"/>
      <w:r>
        <w:rPr>
          <w:rFonts w:hint="eastAsia" w:ascii="宋体" w:hAnsi="宋体" w:cs="宋体"/>
          <w:color w:val="auto"/>
          <w:sz w:val="22"/>
          <w:szCs w:val="22"/>
          <w:highlight w:val="none"/>
        </w:rPr>
        <w:t>12.4 工程进度款支付</w:t>
      </w:r>
      <w:bookmarkEnd w:id="326"/>
      <w:bookmarkEnd w:id="327"/>
      <w:bookmarkEnd w:id="328"/>
    </w:p>
    <w:p w14:paraId="3972777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12.4.1 付款周期</w:t>
      </w:r>
    </w:p>
    <w:p w14:paraId="518B58A5">
      <w:pPr>
        <w:pStyle w:val="416"/>
        <w:pageBreakBefore w:val="0"/>
        <w:kinsoku/>
        <w:overflowPunct/>
        <w:topLinePunct w:val="0"/>
        <w:bidi w:val="0"/>
        <w:spacing w:line="400" w:lineRule="exact"/>
        <w:ind w:firstLine="420"/>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关于付款周期的</w:t>
      </w:r>
      <w:r>
        <w:rPr>
          <w:rFonts w:hint="eastAsia" w:ascii="宋体" w:hAnsi="宋体" w:cs="宋体"/>
          <w:color w:val="auto"/>
          <w:sz w:val="22"/>
          <w:szCs w:val="22"/>
          <w:highlight w:val="none"/>
        </w:rPr>
        <w:t>约定：</w:t>
      </w:r>
      <w:r>
        <w:rPr>
          <w:rFonts w:hint="eastAsia" w:ascii="宋体" w:hAnsi="宋体" w:cs="宋体"/>
          <w:b/>
          <w:color w:val="auto"/>
          <w:sz w:val="22"/>
          <w:szCs w:val="22"/>
          <w:highlight w:val="none"/>
          <w:u w:val="single"/>
        </w:rPr>
        <w:t>每月</w:t>
      </w:r>
      <w:r>
        <w:rPr>
          <w:rFonts w:hint="eastAsia" w:ascii="宋体" w:hAnsi="宋体" w:cs="宋体"/>
          <w:b/>
          <w:color w:val="auto"/>
          <w:sz w:val="22"/>
          <w:szCs w:val="22"/>
          <w:highlight w:val="none"/>
          <w:u w:val="single"/>
          <w:lang w:val="en-US" w:eastAsia="zh-CN"/>
        </w:rPr>
        <w:t>20-</w:t>
      </w:r>
      <w:r>
        <w:rPr>
          <w:rFonts w:hint="eastAsia" w:ascii="宋体" w:hAnsi="宋体" w:cs="宋体"/>
          <w:b/>
          <w:color w:val="auto"/>
          <w:sz w:val="22"/>
          <w:szCs w:val="22"/>
          <w:highlight w:val="none"/>
          <w:u w:val="single"/>
        </w:rPr>
        <w:t>25日</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lang w:val="en-US" w:eastAsia="zh-CN"/>
        </w:rPr>
        <w:t>逾期不提交的待下月同期再提交</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承包人应向发包人提交当月工程完成工程形象进度报表，同时在进度报表中附</w:t>
      </w:r>
      <w:r>
        <w:rPr>
          <w:rFonts w:hint="eastAsia" w:ascii="宋体" w:hAnsi="宋体" w:cs="宋体"/>
          <w:b/>
          <w:color w:val="auto"/>
          <w:sz w:val="22"/>
          <w:szCs w:val="22"/>
          <w:highlight w:val="none"/>
          <w:u w:val="single"/>
          <w:lang w:eastAsia="zh-CN"/>
        </w:rPr>
        <w:t>上</w:t>
      </w:r>
      <w:r>
        <w:rPr>
          <w:rFonts w:hint="eastAsia" w:ascii="宋体" w:hAnsi="宋体" w:cs="宋体"/>
          <w:b/>
          <w:color w:val="auto"/>
          <w:sz w:val="22"/>
          <w:szCs w:val="22"/>
          <w:highlight w:val="none"/>
          <w:u w:val="single"/>
        </w:rPr>
        <w:t>农民工工资支付计划并提交上一期农民工工资支付情况表</w:t>
      </w:r>
      <w:r>
        <w:rPr>
          <w:rFonts w:hint="eastAsia" w:ascii="宋体" w:hAnsi="宋体" w:cs="宋体"/>
          <w:b/>
          <w:color w:val="auto"/>
          <w:sz w:val="22"/>
          <w:szCs w:val="22"/>
          <w:highlight w:val="none"/>
          <w:u w:val="single"/>
          <w:lang w:val="en-US" w:eastAsia="zh-CN"/>
        </w:rPr>
        <w:t>以及项目原材料进场登记表（附件17、18）</w:t>
      </w:r>
      <w:r>
        <w:rPr>
          <w:rFonts w:hint="eastAsia" w:ascii="宋体" w:hAnsi="宋体" w:cs="宋体"/>
          <w:b/>
          <w:color w:val="auto"/>
          <w:sz w:val="22"/>
          <w:szCs w:val="22"/>
          <w:highlight w:val="none"/>
          <w:u w:val="single"/>
        </w:rPr>
        <w:t>，经建设单位核实后，合同内按每月完成工程量的80%支付工程进度款；在工程竣工结算</w:t>
      </w:r>
      <w:r>
        <w:rPr>
          <w:rFonts w:hint="eastAsia" w:ascii="宋体" w:hAnsi="宋体" w:cs="宋体"/>
          <w:b/>
          <w:color w:val="auto"/>
          <w:sz w:val="22"/>
          <w:szCs w:val="22"/>
          <w:highlight w:val="none"/>
          <w:u w:val="single"/>
          <w:lang w:val="en-US" w:eastAsia="zh-CN"/>
        </w:rPr>
        <w:t>评审</w:t>
      </w:r>
      <w:r>
        <w:rPr>
          <w:rFonts w:hint="eastAsia" w:ascii="宋体" w:hAnsi="宋体" w:cs="宋体"/>
          <w:b/>
          <w:color w:val="auto"/>
          <w:sz w:val="22"/>
          <w:szCs w:val="22"/>
          <w:highlight w:val="none"/>
          <w:u w:val="single"/>
        </w:rPr>
        <w:t>后支付至工程款总额的97%，总额的3%作为质量保证金，质保金在缺陷责任期满后21个工作日内一次性无息付清。合同外工程款待工程竣工结算后一并支付</w:t>
      </w:r>
      <w:r>
        <w:rPr>
          <w:rFonts w:hint="eastAsia" w:ascii="宋体" w:hAnsi="宋体" w:cs="宋体"/>
          <w:b/>
          <w:color w:val="auto"/>
          <w:sz w:val="22"/>
          <w:szCs w:val="22"/>
          <w:highlight w:val="none"/>
          <w:u w:val="none"/>
        </w:rPr>
        <w:t>。</w:t>
      </w:r>
    </w:p>
    <w:p w14:paraId="04F879F3">
      <w:pPr>
        <w:pStyle w:val="416"/>
        <w:pageBreakBefore w:val="0"/>
        <w:kinsoku/>
        <w:overflowPunct/>
        <w:topLinePunct w:val="0"/>
        <w:bidi w:val="0"/>
        <w:spacing w:line="400" w:lineRule="exact"/>
        <w:ind w:firstLine="420"/>
        <w:rPr>
          <w:rFonts w:hint="default" w:ascii="宋体" w:hAnsi="宋体" w:eastAsia="宋体" w:cs="宋体"/>
          <w:b/>
          <w:color w:val="auto"/>
          <w:sz w:val="22"/>
          <w:szCs w:val="22"/>
          <w:highlight w:val="none"/>
          <w:u w:val="single"/>
          <w:lang w:val="en-US" w:eastAsia="zh-CN"/>
        </w:rPr>
      </w:pPr>
      <w:r>
        <w:rPr>
          <w:rFonts w:hint="eastAsia" w:ascii="宋体" w:hAnsi="宋体" w:cs="宋体"/>
          <w:b/>
          <w:color w:val="auto"/>
          <w:sz w:val="22"/>
          <w:szCs w:val="22"/>
          <w:highlight w:val="none"/>
          <w:u w:val="single"/>
          <w:lang w:val="en-US" w:eastAsia="zh-CN"/>
        </w:rPr>
        <w:t>防城港市港口区财政局拨付相关款项后7个工作日内完成支付。</w:t>
      </w:r>
    </w:p>
    <w:p w14:paraId="7F81B9E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12.4.2 进度付款申请单的编制</w:t>
      </w:r>
    </w:p>
    <w:p w14:paraId="413E875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关于进度付款申请单编制的约定：</w:t>
      </w:r>
      <w:r>
        <w:rPr>
          <w:rFonts w:hint="eastAsia" w:ascii="宋体" w:hAnsi="宋体" w:cs="宋体"/>
          <w:color w:val="auto"/>
          <w:sz w:val="22"/>
          <w:highlight w:val="none"/>
          <w:u w:val="single"/>
        </w:rPr>
        <w:t>按</w:t>
      </w:r>
      <w:r>
        <w:rPr>
          <w:rFonts w:hint="eastAsia" w:ascii="宋体" w:hAnsi="宋体" w:cs="宋体"/>
          <w:color w:val="auto"/>
          <w:sz w:val="22"/>
          <w:highlight w:val="none"/>
          <w:u w:val="single"/>
          <w:lang w:eastAsia="zh-CN"/>
        </w:rPr>
        <w:t>通用合同条款</w:t>
      </w:r>
      <w:r>
        <w:rPr>
          <w:rFonts w:hint="eastAsia" w:ascii="宋体" w:hAnsi="宋体" w:cs="宋体"/>
          <w:color w:val="auto"/>
          <w:sz w:val="22"/>
          <w:highlight w:val="none"/>
          <w:u w:val="single"/>
        </w:rPr>
        <w:t xml:space="preserve">执行  </w:t>
      </w:r>
      <w:r>
        <w:rPr>
          <w:rFonts w:hint="eastAsia" w:ascii="宋体" w:hAnsi="宋体" w:cs="宋体"/>
          <w:color w:val="auto"/>
          <w:sz w:val="22"/>
          <w:highlight w:val="none"/>
        </w:rPr>
        <w:t>。</w:t>
      </w:r>
    </w:p>
    <w:p w14:paraId="478BBE2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12.4.3 进度付款申请单的提交</w:t>
      </w:r>
    </w:p>
    <w:p w14:paraId="3F5DA08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（1）单价合同进度付款申请单提交的约定：</w:t>
      </w:r>
      <w:r>
        <w:rPr>
          <w:rFonts w:hint="eastAsia" w:ascii="宋体" w:hAnsi="宋体" w:cs="宋体"/>
          <w:color w:val="auto"/>
          <w:sz w:val="22"/>
          <w:highlight w:val="none"/>
          <w:u w:val="single"/>
        </w:rPr>
        <w:t>按</w:t>
      </w:r>
      <w:r>
        <w:rPr>
          <w:rFonts w:hint="eastAsia" w:ascii="宋体" w:hAnsi="宋体" w:cs="宋体"/>
          <w:color w:val="auto"/>
          <w:sz w:val="22"/>
          <w:highlight w:val="none"/>
          <w:u w:val="single"/>
          <w:lang w:eastAsia="zh-CN"/>
        </w:rPr>
        <w:t>通用合同条款</w:t>
      </w:r>
      <w:r>
        <w:rPr>
          <w:rFonts w:hint="eastAsia" w:ascii="宋体" w:hAnsi="宋体" w:cs="宋体"/>
          <w:color w:val="auto"/>
          <w:sz w:val="22"/>
          <w:highlight w:val="none"/>
          <w:u w:val="single"/>
        </w:rPr>
        <w:t>执行</w:t>
      </w:r>
      <w:r>
        <w:rPr>
          <w:rFonts w:hint="eastAsia" w:ascii="宋体" w:hAnsi="宋体" w:cs="宋体"/>
          <w:bCs/>
          <w:color w:val="auto"/>
          <w:sz w:val="22"/>
          <w:highlight w:val="none"/>
          <w:u w:val="single"/>
        </w:rPr>
        <w:t xml:space="preserve"> </w:t>
      </w:r>
      <w:r>
        <w:rPr>
          <w:rFonts w:hint="eastAsia" w:ascii="宋体" w:hAnsi="宋体" w:cs="宋体"/>
          <w:color w:val="auto"/>
          <w:sz w:val="22"/>
          <w:highlight w:val="none"/>
        </w:rPr>
        <w:t>。</w:t>
      </w:r>
    </w:p>
    <w:p w14:paraId="1E27D45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（2）总价合同进度付款申请单提交的约定：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662BFD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（3）其他价格形式合同进度付款申请单提交的约定：</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57AB078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12.4.4 进度款审核和支付</w:t>
      </w:r>
    </w:p>
    <w:p w14:paraId="6922D8A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（1）监理人审查并报送发包人的期限：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50AF60D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发包人完成审批并签发进度款支付证书的期限：</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7CF5B85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（2）发包人支付进度款的期限：</w:t>
      </w:r>
      <w:r>
        <w:rPr>
          <w:rFonts w:hint="eastAsia" w:ascii="宋体" w:hAnsi="宋体" w:cs="宋体"/>
          <w:color w:val="auto"/>
          <w:sz w:val="22"/>
          <w:highlight w:val="none"/>
          <w:u w:val="single"/>
        </w:rPr>
        <w:t>按专用合同条款执行</w:t>
      </w:r>
      <w:r>
        <w:rPr>
          <w:rFonts w:hint="eastAsia" w:ascii="宋体" w:hAnsi="宋体" w:cs="宋体"/>
          <w:color w:val="auto"/>
          <w:sz w:val="22"/>
          <w:highlight w:val="none"/>
        </w:rPr>
        <w:t>。</w:t>
      </w:r>
    </w:p>
    <w:p w14:paraId="15930A52">
      <w:pPr>
        <w:pStyle w:val="414"/>
        <w:pageBreakBefore w:val="0"/>
        <w:kinsoku/>
        <w:overflowPunct/>
        <w:topLinePunct w:val="0"/>
        <w:bidi w:val="0"/>
        <w:spacing w:line="400" w:lineRule="exact"/>
        <w:ind w:firstLine="550" w:firstLineChars="250"/>
        <w:jc w:val="left"/>
        <w:rPr>
          <w:rFonts w:hint="eastAsia" w:ascii="宋体" w:hAnsi="宋体" w:cs="宋体"/>
          <w:color w:val="auto"/>
          <w:sz w:val="22"/>
          <w:highlight w:val="none"/>
        </w:rPr>
      </w:pPr>
      <w:r>
        <w:rPr>
          <w:rFonts w:hint="eastAsia" w:ascii="宋体" w:hAnsi="宋体" w:cs="宋体"/>
          <w:color w:val="auto"/>
          <w:sz w:val="22"/>
          <w:highlight w:val="none"/>
        </w:rPr>
        <w:t>发包人逾期支付进度款的违约金的计算方式：</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272AE078">
      <w:pPr>
        <w:pStyle w:val="414"/>
        <w:pageBreakBefore w:val="0"/>
        <w:kinsoku/>
        <w:overflowPunct/>
        <w:topLinePunct w:val="0"/>
        <w:bidi w:val="0"/>
        <w:spacing w:line="400" w:lineRule="exact"/>
        <w:ind w:firstLine="550" w:firstLineChars="250"/>
        <w:jc w:val="left"/>
        <w:rPr>
          <w:rFonts w:hint="eastAsia" w:ascii="宋体" w:hAnsi="宋体" w:cs="宋体"/>
          <w:color w:val="auto"/>
          <w:sz w:val="22"/>
          <w:highlight w:val="none"/>
        </w:rPr>
      </w:pPr>
      <w:r>
        <w:rPr>
          <w:rFonts w:hint="eastAsia" w:ascii="宋体" w:hAnsi="宋体" w:cs="宋体"/>
          <w:color w:val="auto"/>
          <w:sz w:val="22"/>
          <w:highlight w:val="none"/>
        </w:rPr>
        <w:t>进度款支付方式：</w:t>
      </w:r>
      <w:r>
        <w:rPr>
          <w:rFonts w:hint="eastAsia" w:ascii="宋体" w:hAnsi="宋体" w:cs="宋体"/>
          <w:color w:val="auto"/>
          <w:sz w:val="22"/>
          <w:highlight w:val="none"/>
          <w:u w:val="single"/>
        </w:rPr>
        <w:t>银行转账</w:t>
      </w:r>
      <w:r>
        <w:rPr>
          <w:rFonts w:hint="eastAsia" w:ascii="宋体" w:hAnsi="宋体" w:cs="宋体"/>
          <w:color w:val="auto"/>
          <w:sz w:val="22"/>
          <w:highlight w:val="none"/>
        </w:rPr>
        <w:t>。</w:t>
      </w:r>
    </w:p>
    <w:p w14:paraId="03991509">
      <w:pPr>
        <w:pStyle w:val="414"/>
        <w:pageBreakBefore w:val="0"/>
        <w:kinsoku/>
        <w:overflowPunct/>
        <w:topLinePunct w:val="0"/>
        <w:bidi w:val="0"/>
        <w:spacing w:line="400" w:lineRule="exact"/>
        <w:ind w:firstLine="550" w:firstLineChars="250"/>
        <w:jc w:val="left"/>
        <w:rPr>
          <w:rFonts w:hint="eastAsia" w:ascii="宋体" w:hAnsi="宋体" w:cs="宋体"/>
          <w:color w:val="auto"/>
          <w:sz w:val="22"/>
          <w:highlight w:val="none"/>
        </w:rPr>
      </w:pPr>
      <w:r>
        <w:rPr>
          <w:rFonts w:hint="eastAsia" w:ascii="宋体" w:hAnsi="宋体" w:cs="宋体"/>
          <w:color w:val="auto"/>
          <w:sz w:val="22"/>
          <w:highlight w:val="none"/>
        </w:rPr>
        <w:t>12.4.6 支付分解表的编制</w:t>
      </w:r>
    </w:p>
    <w:p w14:paraId="4DD6FF80">
      <w:pPr>
        <w:pStyle w:val="414"/>
        <w:pageBreakBefore w:val="0"/>
        <w:kinsoku/>
        <w:overflowPunct/>
        <w:topLinePunct w:val="0"/>
        <w:bidi w:val="0"/>
        <w:spacing w:line="400" w:lineRule="exact"/>
        <w:ind w:firstLine="550" w:firstLineChars="250"/>
        <w:jc w:val="left"/>
        <w:rPr>
          <w:rFonts w:hint="eastAsia" w:ascii="宋体" w:hAnsi="宋体" w:cs="宋体"/>
          <w:color w:val="auto"/>
          <w:sz w:val="22"/>
          <w:highlight w:val="none"/>
          <w:u w:val="single"/>
        </w:rPr>
      </w:pPr>
      <w:r>
        <w:rPr>
          <w:rFonts w:hint="eastAsia" w:ascii="宋体" w:hAnsi="宋体" w:cs="宋体"/>
          <w:color w:val="auto"/>
          <w:sz w:val="22"/>
          <w:highlight w:val="none"/>
        </w:rPr>
        <w:t>2. 总价合同支付分解表的编制与审批：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78E50087">
      <w:pPr>
        <w:pStyle w:val="414"/>
        <w:pageBreakBefore w:val="0"/>
        <w:kinsoku/>
        <w:overflowPunct/>
        <w:topLinePunct w:val="0"/>
        <w:bidi w:val="0"/>
        <w:spacing w:line="400" w:lineRule="exact"/>
        <w:ind w:firstLine="550" w:firstLineChars="250"/>
        <w:jc w:val="left"/>
        <w:rPr>
          <w:rFonts w:hint="eastAsia" w:ascii="宋体" w:hAnsi="宋体" w:cs="宋体"/>
          <w:color w:val="auto"/>
          <w:sz w:val="22"/>
          <w:highlight w:val="none"/>
          <w:u w:val="single"/>
        </w:rPr>
      </w:pPr>
      <w:r>
        <w:rPr>
          <w:rFonts w:hint="eastAsia" w:ascii="宋体" w:hAnsi="宋体" w:cs="宋体"/>
          <w:color w:val="auto"/>
          <w:sz w:val="22"/>
          <w:highlight w:val="none"/>
        </w:rPr>
        <w:t>3. 单价合同的总价项目支付分解表的编制与审批：总价项目不采用支付分解表的方式计算，而按《建设工程工程量清单计价规范（GB50500-2013）广西壮族自治区实施细则》的规定执行。</w:t>
      </w:r>
    </w:p>
    <w:p w14:paraId="78C9F0E6">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29" w:name="_Toc533432779"/>
      <w:bookmarkStart w:id="330" w:name="_Toc12975944"/>
      <w:bookmarkStart w:id="331" w:name="_Toc395382556"/>
      <w:r>
        <w:rPr>
          <w:rFonts w:hint="eastAsia" w:ascii="宋体" w:hAnsi="宋体" w:cs="宋体"/>
          <w:color w:val="auto"/>
          <w:sz w:val="22"/>
          <w:szCs w:val="22"/>
          <w:highlight w:val="none"/>
        </w:rPr>
        <w:t>13. 验收和工程试车</w:t>
      </w:r>
      <w:bookmarkEnd w:id="329"/>
      <w:bookmarkEnd w:id="330"/>
      <w:bookmarkEnd w:id="331"/>
    </w:p>
    <w:p w14:paraId="5CCB556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32" w:name="_Toc533432780"/>
      <w:bookmarkStart w:id="333" w:name="_Toc395382557"/>
      <w:bookmarkStart w:id="334" w:name="_Toc12975945"/>
      <w:r>
        <w:rPr>
          <w:rFonts w:hint="eastAsia" w:ascii="宋体" w:hAnsi="宋体" w:cs="宋体"/>
          <w:color w:val="auto"/>
          <w:sz w:val="22"/>
          <w:szCs w:val="22"/>
          <w:highlight w:val="none"/>
        </w:rPr>
        <w:t>13.1 分部分项工程验收</w:t>
      </w:r>
      <w:bookmarkEnd w:id="332"/>
      <w:bookmarkEnd w:id="333"/>
      <w:bookmarkEnd w:id="334"/>
    </w:p>
    <w:p w14:paraId="1A8775F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13.1.2监理人不能按时进行验收时，应提前</w:t>
      </w:r>
      <w:r>
        <w:rPr>
          <w:rFonts w:hint="eastAsia" w:ascii="宋体" w:hAnsi="宋体" w:cs="宋体"/>
          <w:color w:val="auto"/>
          <w:sz w:val="22"/>
          <w:highlight w:val="none"/>
          <w:u w:val="single"/>
        </w:rPr>
        <w:t xml:space="preserve">  24 </w:t>
      </w:r>
      <w:r>
        <w:rPr>
          <w:rFonts w:hint="eastAsia" w:ascii="宋体" w:hAnsi="宋体" w:cs="宋体"/>
          <w:color w:val="auto"/>
          <w:sz w:val="22"/>
          <w:highlight w:val="none"/>
        </w:rPr>
        <w:t>小时提交书面延期要求。</w:t>
      </w:r>
    </w:p>
    <w:p w14:paraId="2FC0152C">
      <w:pPr>
        <w:pStyle w:val="414"/>
        <w:pageBreakBefore w:val="0"/>
        <w:kinsoku/>
        <w:overflowPunct/>
        <w:topLinePunct w:val="0"/>
        <w:bidi w:val="0"/>
        <w:spacing w:line="400" w:lineRule="exact"/>
        <w:ind w:firstLine="440" w:firstLineChars="200"/>
        <w:jc w:val="left"/>
        <w:rPr>
          <w:rFonts w:hint="eastAsia" w:ascii="宋体" w:hAnsi="宋体" w:cs="宋体"/>
          <w:b/>
          <w:color w:val="auto"/>
          <w:sz w:val="22"/>
          <w:highlight w:val="none"/>
        </w:rPr>
      </w:pPr>
      <w:r>
        <w:rPr>
          <w:rFonts w:hint="eastAsia" w:ascii="宋体" w:hAnsi="宋体" w:cs="宋体"/>
          <w:color w:val="auto"/>
          <w:sz w:val="22"/>
          <w:highlight w:val="none"/>
        </w:rPr>
        <w:t>关于延期最长不得超过：</w:t>
      </w:r>
      <w:r>
        <w:rPr>
          <w:rFonts w:hint="eastAsia" w:ascii="宋体" w:hAnsi="宋体" w:cs="宋体"/>
          <w:color w:val="auto"/>
          <w:sz w:val="22"/>
          <w:highlight w:val="none"/>
          <w:u w:val="single"/>
        </w:rPr>
        <w:t xml:space="preserve"> 48 </w:t>
      </w:r>
      <w:r>
        <w:rPr>
          <w:rFonts w:hint="eastAsia" w:ascii="宋体" w:hAnsi="宋体" w:cs="宋体"/>
          <w:color w:val="auto"/>
          <w:sz w:val="22"/>
          <w:highlight w:val="none"/>
        </w:rPr>
        <w:t>小时。</w:t>
      </w:r>
    </w:p>
    <w:p w14:paraId="141BF58A">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35" w:name="_Toc533432781"/>
      <w:bookmarkStart w:id="336" w:name="_Toc395382558"/>
      <w:bookmarkStart w:id="337" w:name="_Toc12975946"/>
      <w:r>
        <w:rPr>
          <w:rFonts w:hint="eastAsia" w:ascii="宋体" w:hAnsi="宋体" w:cs="宋体"/>
          <w:color w:val="auto"/>
          <w:sz w:val="22"/>
          <w:szCs w:val="22"/>
          <w:highlight w:val="none"/>
        </w:rPr>
        <w:t>13.2 竣工验收</w:t>
      </w:r>
      <w:bookmarkEnd w:id="335"/>
      <w:bookmarkEnd w:id="336"/>
      <w:bookmarkEnd w:id="337"/>
    </w:p>
    <w:p w14:paraId="71801B5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13.2.1竣工验收条件</w:t>
      </w:r>
    </w:p>
    <w:p w14:paraId="7A5531E9">
      <w:pPr>
        <w:pStyle w:val="416"/>
        <w:pageBreakBefore w:val="0"/>
        <w:kinsoku/>
        <w:overflowPunct/>
        <w:topLinePunct w:val="0"/>
        <w:bidi w:val="0"/>
        <w:spacing w:line="400" w:lineRule="exact"/>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 w:val="22"/>
          <w:szCs w:val="22"/>
          <w:highlight w:val="none"/>
          <w:u w:val="single"/>
        </w:rPr>
        <w:t xml:space="preserve"> </w:t>
      </w:r>
      <w:r>
        <w:rPr>
          <w:rFonts w:hint="eastAsia" w:ascii="宋体" w:hAnsi="宋体" w:cs="宋体"/>
          <w:bCs/>
          <w:color w:val="auto"/>
          <w:sz w:val="22"/>
          <w:szCs w:val="22"/>
          <w:highlight w:val="none"/>
          <w:u w:val="single"/>
        </w:rPr>
        <w:t>（1）竣工资料（含竣工图，竣工图编制费已含在签约合同价中。）移交时间：工程竣工验收合格后30天内。（2）承包人应协助发包人办理城建档案馆手续，与城建档案馆手续未办理完成，视为承包人的合同义务未履行完毕</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386B2A9">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竣工验收资料的份数：</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4</w:t>
      </w:r>
      <w:r>
        <w:rPr>
          <w:rFonts w:hint="eastAsia" w:ascii="宋体" w:hAnsi="宋体" w:cs="宋体"/>
          <w:color w:val="auto"/>
          <w:sz w:val="22"/>
          <w:highlight w:val="none"/>
          <w:u w:val="single"/>
        </w:rPr>
        <w:t xml:space="preserve">套及满足相关要求 </w:t>
      </w:r>
      <w:r>
        <w:rPr>
          <w:rFonts w:hint="eastAsia" w:ascii="宋体" w:hAnsi="宋体" w:cs="宋体"/>
          <w:color w:val="auto"/>
          <w:sz w:val="22"/>
          <w:highlight w:val="none"/>
        </w:rPr>
        <w:t>。</w:t>
      </w:r>
    </w:p>
    <w:p w14:paraId="234823D6">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bCs/>
          <w:color w:val="auto"/>
          <w:sz w:val="22"/>
          <w:highlight w:val="none"/>
        </w:rPr>
        <w:t>承包人提供竣工图的约定：</w:t>
      </w:r>
      <w:r>
        <w:rPr>
          <w:rFonts w:hint="eastAsia" w:ascii="宋体" w:hAnsi="宋体" w:cs="宋体"/>
          <w:bCs/>
          <w:color w:val="auto"/>
          <w:sz w:val="22"/>
          <w:highlight w:val="none"/>
          <w:u w:val="single"/>
        </w:rPr>
        <w:t>竣工验收正式通过后5天（工程造价在500万元以下含500万元）、10天（工程造价在500万元至1000万元之间含1000万元）、15天（工程造价在1000万元以上），提供竣工图的数量分别为2套、4套、6套。</w:t>
      </w:r>
    </w:p>
    <w:p w14:paraId="7CEC8A3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13.2.2竣工验收程序</w:t>
      </w:r>
    </w:p>
    <w:p w14:paraId="559ECF84">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关于竣工验收程序的约定：</w:t>
      </w:r>
      <w:r>
        <w:rPr>
          <w:rFonts w:hint="eastAsia" w:ascii="宋体" w:hAnsi="宋体" w:cs="宋体"/>
          <w:color w:val="auto"/>
          <w:sz w:val="22"/>
          <w:highlight w:val="none"/>
          <w:u w:val="single"/>
        </w:rPr>
        <w:t>竣工验收正式通过后30天，提供竣工图的数量为6套及满足当地档案</w:t>
      </w:r>
      <w:r>
        <w:rPr>
          <w:rFonts w:hint="eastAsia" w:ascii="宋体" w:hAnsi="宋体" w:cs="宋体"/>
          <w:color w:val="auto"/>
          <w:sz w:val="22"/>
          <w:highlight w:val="none"/>
          <w:u w:val="single"/>
        </w:rPr>
        <w:t>要求</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同时提供相应的电子扫描版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rPr>
        <w:t>。</w:t>
      </w:r>
    </w:p>
    <w:p w14:paraId="20DEC8A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发包人不按照本项约定组织竣工验收、颁发工程接收证书的违约金的计算方法：</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2C85252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13.2.5移交、接收全部与部分工程</w:t>
      </w:r>
    </w:p>
    <w:p w14:paraId="3B31FA81">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承包人向发包人移交工程的期限：</w:t>
      </w:r>
      <w:r>
        <w:rPr>
          <w:rFonts w:hint="eastAsia" w:ascii="宋体" w:hAnsi="宋体" w:cs="宋体"/>
          <w:color w:val="auto"/>
          <w:sz w:val="22"/>
          <w:highlight w:val="none"/>
          <w:u w:val="single"/>
        </w:rPr>
        <w:t xml:space="preserve">  按通用合同条款执行。</w:t>
      </w:r>
    </w:p>
    <w:p w14:paraId="6E32DBF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发包人未按本合同约定接收全部或部分工程的，违约金的计算方法为：</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7BEC589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承包人未按时移交工程的，违约金的计算方法为：</w:t>
      </w:r>
      <w:r>
        <w:rPr>
          <w:rFonts w:hint="eastAsia" w:ascii="宋体" w:hAnsi="宋体" w:cs="宋体"/>
          <w:color w:val="auto"/>
          <w:sz w:val="22"/>
          <w:highlight w:val="none"/>
          <w:u w:val="single"/>
        </w:rPr>
        <w:t xml:space="preserve"> 按通用合同条款执行 </w:t>
      </w:r>
      <w:r>
        <w:rPr>
          <w:rFonts w:hint="eastAsia" w:ascii="宋体" w:hAnsi="宋体" w:cs="宋体"/>
          <w:color w:val="auto"/>
          <w:sz w:val="22"/>
          <w:highlight w:val="none"/>
        </w:rPr>
        <w:t>。</w:t>
      </w:r>
    </w:p>
    <w:p w14:paraId="7AABC9C1">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38" w:name="_Toc12975947"/>
      <w:bookmarkStart w:id="339" w:name="_Toc533432782"/>
      <w:bookmarkStart w:id="340" w:name="_Toc395382559"/>
      <w:r>
        <w:rPr>
          <w:rFonts w:hint="eastAsia" w:ascii="宋体" w:hAnsi="宋体" w:cs="宋体"/>
          <w:color w:val="auto"/>
          <w:sz w:val="22"/>
          <w:szCs w:val="22"/>
          <w:highlight w:val="none"/>
        </w:rPr>
        <w:t>13.3 工程试车</w:t>
      </w:r>
      <w:bookmarkEnd w:id="338"/>
      <w:bookmarkEnd w:id="339"/>
      <w:bookmarkEnd w:id="340"/>
    </w:p>
    <w:p w14:paraId="28A729A7">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13.3.1 试车程序</w:t>
      </w:r>
    </w:p>
    <w:p w14:paraId="490E2DA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工程试车内容：</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11B0FD21">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（1）单机无负荷试车费用由</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承担；</w:t>
      </w:r>
    </w:p>
    <w:p w14:paraId="7945A8FA">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（2）无负荷联动试车费用由</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承担。</w:t>
      </w:r>
    </w:p>
    <w:p w14:paraId="35AACAF4">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13.3.3 投料试车</w:t>
      </w:r>
    </w:p>
    <w:p w14:paraId="34EE0DF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关于投料试车相关事项的约定：</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37BD54E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41" w:name="_Toc12975948"/>
      <w:bookmarkStart w:id="342" w:name="_Toc395382560"/>
      <w:bookmarkStart w:id="343" w:name="_Toc533432783"/>
      <w:r>
        <w:rPr>
          <w:rFonts w:hint="eastAsia" w:ascii="宋体" w:hAnsi="宋体" w:cs="宋体"/>
          <w:color w:val="auto"/>
          <w:sz w:val="22"/>
          <w:szCs w:val="22"/>
          <w:highlight w:val="none"/>
        </w:rPr>
        <w:t>13.6 竣工退场</w:t>
      </w:r>
      <w:bookmarkEnd w:id="341"/>
      <w:bookmarkEnd w:id="342"/>
      <w:bookmarkEnd w:id="343"/>
    </w:p>
    <w:p w14:paraId="1A8881A1">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13.6.1 竣工退场</w:t>
      </w:r>
    </w:p>
    <w:p w14:paraId="25E3E003">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承包人完成竣工退场的期限：</w:t>
      </w:r>
      <w:r>
        <w:rPr>
          <w:rFonts w:hint="eastAsia" w:ascii="宋体" w:hAnsi="宋体" w:cs="宋体"/>
          <w:color w:val="auto"/>
          <w:sz w:val="22"/>
          <w:highlight w:val="none"/>
          <w:u w:val="single"/>
        </w:rPr>
        <w:t xml:space="preserve"> 竣工验收合格后28天或收到解除合同通知后7天内</w:t>
      </w:r>
      <w:r>
        <w:rPr>
          <w:rFonts w:hint="eastAsia" w:ascii="宋体" w:hAnsi="宋体" w:cs="宋体"/>
          <w:color w:val="auto"/>
          <w:kern w:val="0"/>
          <w:sz w:val="22"/>
          <w:highlight w:val="none"/>
        </w:rPr>
        <w:t>。</w:t>
      </w:r>
    </w:p>
    <w:p w14:paraId="202D8793">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44" w:name="_Toc12975949"/>
      <w:bookmarkStart w:id="345" w:name="_Toc395382561"/>
      <w:bookmarkStart w:id="346" w:name="_Toc533432784"/>
      <w:r>
        <w:rPr>
          <w:rFonts w:hint="eastAsia" w:ascii="宋体" w:hAnsi="宋体" w:cs="宋体"/>
          <w:color w:val="auto"/>
          <w:sz w:val="22"/>
          <w:szCs w:val="22"/>
          <w:highlight w:val="none"/>
        </w:rPr>
        <w:t>14. 竣工结算</w:t>
      </w:r>
      <w:bookmarkEnd w:id="344"/>
      <w:bookmarkEnd w:id="345"/>
      <w:bookmarkEnd w:id="346"/>
    </w:p>
    <w:p w14:paraId="6A532F7C">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47" w:name="_Toc395382562"/>
      <w:bookmarkStart w:id="348" w:name="_Toc12975950"/>
      <w:bookmarkStart w:id="349" w:name="_Toc533432785"/>
      <w:r>
        <w:rPr>
          <w:rFonts w:hint="eastAsia" w:ascii="宋体" w:hAnsi="宋体" w:cs="宋体"/>
          <w:color w:val="auto"/>
          <w:sz w:val="22"/>
          <w:szCs w:val="22"/>
          <w:highlight w:val="none"/>
        </w:rPr>
        <w:t>14.1 竣工付款申请</w:t>
      </w:r>
      <w:bookmarkEnd w:id="347"/>
      <w:bookmarkEnd w:id="348"/>
      <w:bookmarkEnd w:id="349"/>
    </w:p>
    <w:p w14:paraId="300440C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承包人提交竣工付款申请单的期限：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rPr>
        <w:t>。</w:t>
      </w:r>
    </w:p>
    <w:p w14:paraId="1288ED9E">
      <w:pPr>
        <w:pStyle w:val="414"/>
        <w:pageBreakBefore w:val="0"/>
        <w:kinsoku/>
        <w:overflowPunct/>
        <w:topLinePunct w:val="0"/>
        <w:bidi w:val="0"/>
        <w:spacing w:line="400" w:lineRule="exact"/>
        <w:ind w:firstLine="440" w:firstLineChars="200"/>
        <w:jc w:val="left"/>
        <w:rPr>
          <w:rFonts w:hint="eastAsia" w:ascii="宋体" w:hAnsi="宋体" w:cs="宋体"/>
          <w:b/>
          <w:color w:val="auto"/>
          <w:sz w:val="22"/>
          <w:szCs w:val="22"/>
          <w:highlight w:val="none"/>
        </w:rPr>
      </w:pPr>
      <w:r>
        <w:rPr>
          <w:rFonts w:hint="eastAsia" w:ascii="宋体" w:hAnsi="宋体" w:cs="宋体"/>
          <w:color w:val="auto"/>
          <w:sz w:val="22"/>
          <w:highlight w:val="none"/>
        </w:rPr>
        <w:t>竣工付款申请单应包括的内容：</w:t>
      </w:r>
      <w:r>
        <w:rPr>
          <w:rFonts w:hint="eastAsia" w:ascii="宋体" w:hAnsi="宋体" w:cs="宋体"/>
          <w:color w:val="auto"/>
          <w:sz w:val="22"/>
          <w:highlight w:val="none"/>
          <w:u w:val="single"/>
        </w:rPr>
        <w:t xml:space="preserve">（1）竣工结算合同价格；（2）发包人已支付承包人的款项；（3）应扣留的质量保证金；（4）发包人应支付承包人的合同价款 </w:t>
      </w:r>
      <w:r>
        <w:rPr>
          <w:rFonts w:hint="eastAsia" w:ascii="宋体" w:hAnsi="宋体" w:cs="宋体"/>
          <w:color w:val="auto"/>
          <w:sz w:val="22"/>
          <w:highlight w:val="none"/>
        </w:rPr>
        <w:t>。</w:t>
      </w:r>
    </w:p>
    <w:p w14:paraId="33EF80F5">
      <w:pPr>
        <w:pStyle w:val="416"/>
        <w:pageBreakBefore w:val="0"/>
        <w:kinsoku/>
        <w:overflowPunct/>
        <w:topLinePunct w:val="0"/>
        <w:bidi w:val="0"/>
        <w:spacing w:line="400" w:lineRule="exact"/>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增加以下内容：</w:t>
      </w:r>
    </w:p>
    <w:p w14:paraId="222AAC7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竣工结算申请单资料清单应包括的内容：</w:t>
      </w:r>
      <w:r>
        <w:rPr>
          <w:rFonts w:hint="eastAsia" w:ascii="宋体" w:hAnsi="宋体" w:cs="宋体"/>
          <w:color w:val="auto"/>
          <w:sz w:val="22"/>
          <w:szCs w:val="22"/>
          <w:highlight w:val="none"/>
          <w:u w:val="single"/>
        </w:rPr>
        <w:t>（1）结算申请函（2）完整施工图；（3）竣工图(含电子版）；（4）结算书(含软件版）；（5）设计变更情况及批件；（6）工程洽商记录；（7）现场签证单；（8）磋商文件；（9）施工合同；（10）开工报告；（11）原材料试验报告；（12）竣工验收记录及质量评定结果；（13）成交通知书；（14）隐蔽工程记录；(15)计量资料；（16）依据当地相关</w:t>
      </w:r>
      <w:r>
        <w:rPr>
          <w:rFonts w:hint="eastAsia" w:ascii="宋体" w:hAnsi="宋体" w:cs="宋体"/>
          <w:color w:val="auto"/>
          <w:sz w:val="22"/>
          <w:szCs w:val="22"/>
          <w:highlight w:val="none"/>
          <w:u w:val="single"/>
          <w:lang w:val="en-US" w:eastAsia="zh-CN"/>
        </w:rPr>
        <w:t>部门</w:t>
      </w:r>
      <w:r>
        <w:rPr>
          <w:rFonts w:hint="eastAsia" w:ascii="宋体" w:hAnsi="宋体" w:cs="宋体"/>
          <w:color w:val="auto"/>
          <w:sz w:val="22"/>
          <w:szCs w:val="22"/>
          <w:highlight w:val="none"/>
          <w:u w:val="single"/>
        </w:rPr>
        <w:t>要求提供的其他材料</w:t>
      </w:r>
      <w:r>
        <w:rPr>
          <w:rFonts w:hint="eastAsia" w:ascii="宋体" w:hAnsi="宋体" w:cs="宋体"/>
          <w:color w:val="auto"/>
          <w:sz w:val="22"/>
          <w:szCs w:val="22"/>
          <w:highlight w:val="none"/>
          <w:u w:val="none"/>
        </w:rPr>
        <w:t>。</w:t>
      </w:r>
    </w:p>
    <w:p w14:paraId="0B6C1380">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50" w:name="_Toc533432786"/>
      <w:bookmarkStart w:id="351" w:name="_Toc395382563"/>
      <w:bookmarkStart w:id="352" w:name="_Toc12975951"/>
      <w:r>
        <w:rPr>
          <w:rFonts w:hint="eastAsia" w:ascii="宋体" w:hAnsi="宋体" w:cs="宋体"/>
          <w:color w:val="auto"/>
          <w:sz w:val="22"/>
          <w:szCs w:val="22"/>
          <w:highlight w:val="none"/>
        </w:rPr>
        <w:t>14.2 竣工结算审核</w:t>
      </w:r>
      <w:bookmarkEnd w:id="350"/>
      <w:bookmarkEnd w:id="351"/>
      <w:bookmarkEnd w:id="352"/>
    </w:p>
    <w:p w14:paraId="4433B58E">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发包人审批竣工付款申请单的</w:t>
      </w:r>
      <w:r>
        <w:rPr>
          <w:rFonts w:hint="eastAsia" w:ascii="宋体" w:hAnsi="宋体" w:cs="宋体"/>
          <w:color w:val="auto"/>
          <w:sz w:val="22"/>
          <w:highlight w:val="none"/>
        </w:rPr>
        <w:t>期限：</w:t>
      </w:r>
      <w:r>
        <w:rPr>
          <w:rFonts w:hint="eastAsia" w:ascii="宋体" w:hAnsi="宋体" w:cs="宋体"/>
          <w:color w:val="auto"/>
          <w:sz w:val="22"/>
          <w:highlight w:val="none"/>
          <w:u w:val="single"/>
          <w:lang w:val="en-US" w:eastAsia="zh-CN"/>
        </w:rPr>
        <w:t>双方约定</w:t>
      </w:r>
      <w:r>
        <w:rPr>
          <w:rFonts w:hint="eastAsia" w:ascii="宋体" w:hAnsi="宋体" w:cs="宋体"/>
          <w:color w:val="auto"/>
          <w:sz w:val="22"/>
          <w:highlight w:val="none"/>
          <w:u w:val="single"/>
        </w:rPr>
        <w:t>。</w:t>
      </w:r>
    </w:p>
    <w:p w14:paraId="3A1FED7B">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bCs/>
          <w:color w:val="auto"/>
          <w:sz w:val="22"/>
          <w:highlight w:val="none"/>
        </w:rPr>
        <w:t>因承包人提供的结算资料不完整而需要补充或承包人不按时对账耽误时间时，审查时间应相应顺延</w:t>
      </w:r>
      <w:r>
        <w:rPr>
          <w:rFonts w:hint="eastAsia" w:ascii="宋体" w:hAnsi="宋体" w:cs="宋体"/>
          <w:color w:val="auto"/>
          <w:sz w:val="22"/>
          <w:highlight w:val="none"/>
        </w:rPr>
        <w:t>。</w:t>
      </w:r>
    </w:p>
    <w:p w14:paraId="1EB84570">
      <w:pPr>
        <w:pStyle w:val="414"/>
        <w:pageBreakBefore w:val="0"/>
        <w:kinsoku/>
        <w:overflowPunct/>
        <w:topLinePunct w:val="0"/>
        <w:bidi w:val="0"/>
        <w:spacing w:line="400" w:lineRule="exact"/>
        <w:ind w:firstLine="431" w:firstLineChars="196"/>
        <w:rPr>
          <w:rFonts w:hint="eastAsia" w:ascii="宋体" w:hAnsi="宋体" w:cs="宋体"/>
          <w:bCs/>
          <w:color w:val="auto"/>
          <w:sz w:val="22"/>
          <w:highlight w:val="none"/>
        </w:rPr>
      </w:pPr>
      <w:r>
        <w:rPr>
          <w:rFonts w:hint="eastAsia" w:ascii="宋体" w:hAnsi="宋体" w:cs="宋体"/>
          <w:bCs/>
          <w:color w:val="auto"/>
          <w:sz w:val="22"/>
          <w:highlight w:val="none"/>
        </w:rPr>
        <w:t>结算审核约定：</w:t>
      </w:r>
    </w:p>
    <w:p w14:paraId="5B771859">
      <w:pPr>
        <w:pStyle w:val="416"/>
        <w:pageBreakBefore w:val="0"/>
        <w:numPr>
          <w:ilvl w:val="0"/>
          <w:numId w:val="13"/>
        </w:numPr>
        <w:kinsoku/>
        <w:overflowPunct/>
        <w:topLinePunct w:val="0"/>
        <w:bidi w:val="0"/>
        <w:spacing w:line="400" w:lineRule="exact"/>
        <w:ind w:firstLine="433" w:firstLineChars="196"/>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工程竣工验收报告经发包人认可后14天内，承包人向发包人递交竣工验收合格资料及完整的结算资料和报告，双方按照协议书约定的合同价款及专用条款约定的合同价调整内容，进行工程竣工结算。</w:t>
      </w:r>
    </w:p>
    <w:p w14:paraId="1443183C">
      <w:pPr>
        <w:pStyle w:val="416"/>
        <w:pageBreakBefore w:val="0"/>
        <w:numPr>
          <w:ilvl w:val="0"/>
          <w:numId w:val="0"/>
        </w:numPr>
        <w:kinsoku/>
        <w:overflowPunct/>
        <w:topLinePunct w:val="0"/>
        <w:bidi w:val="0"/>
        <w:spacing w:line="400" w:lineRule="exact"/>
        <w:ind w:firstLine="442" w:firstLineChars="200"/>
        <w:rPr>
          <w:rFonts w:hint="default" w:ascii="宋体" w:hAnsi="宋体" w:eastAsia="宋体" w:cs="宋体"/>
          <w:bCs/>
          <w:color w:val="auto"/>
          <w:sz w:val="22"/>
          <w:szCs w:val="22"/>
          <w:highlight w:val="none"/>
          <w:lang w:val="en-US" w:eastAsia="zh-CN"/>
        </w:rPr>
      </w:pPr>
      <w:r>
        <w:rPr>
          <w:rFonts w:hint="eastAsia" w:ascii="宋体" w:hAnsi="宋体" w:cs="宋体"/>
          <w:b/>
          <w:bCs w:val="0"/>
          <w:color w:val="auto"/>
          <w:sz w:val="22"/>
          <w:szCs w:val="22"/>
          <w:highlight w:val="none"/>
        </w:rPr>
        <w:t>2、工程结算经</w:t>
      </w:r>
      <w:r>
        <w:rPr>
          <w:rFonts w:hint="eastAsia" w:ascii="宋体" w:hAnsi="宋体" w:cs="宋体"/>
          <w:b/>
          <w:bCs w:val="0"/>
          <w:color w:val="auto"/>
          <w:sz w:val="22"/>
          <w:szCs w:val="22"/>
          <w:highlight w:val="none"/>
          <w:u w:val="single"/>
          <w:lang w:val="en-US" w:eastAsia="zh-CN"/>
        </w:rPr>
        <w:t>港口区财评中心</w:t>
      </w:r>
      <w:r>
        <w:rPr>
          <w:rFonts w:hint="eastAsia" w:ascii="宋体" w:hAnsi="宋体" w:cs="宋体"/>
          <w:b/>
          <w:bCs w:val="0"/>
          <w:color w:val="auto"/>
          <w:sz w:val="22"/>
          <w:szCs w:val="22"/>
          <w:highlight w:val="none"/>
        </w:rPr>
        <w:t>核减（增）率在8%以上时，因核减（增）部分产生的审核费用由承包人负担。</w:t>
      </w:r>
      <w:r>
        <w:rPr>
          <w:rFonts w:hint="eastAsia" w:ascii="宋体" w:hAnsi="宋体" w:cs="宋体"/>
          <w:b/>
          <w:bCs w:val="0"/>
          <w:color w:val="auto"/>
          <w:sz w:val="22"/>
          <w:szCs w:val="22"/>
          <w:highlight w:val="none"/>
          <w:lang w:val="en-US" w:eastAsia="zh-CN"/>
        </w:rPr>
        <w:t>3.承包方逾期超过60天未完整提供竣工结算资料进行工程结算评审的，视为自动放弃工程结算并放弃剩余工程款。</w:t>
      </w:r>
    </w:p>
    <w:p w14:paraId="53A6A50C">
      <w:pPr>
        <w:pStyle w:val="416"/>
        <w:pageBreakBefore w:val="0"/>
        <w:kinsoku/>
        <w:overflowPunct/>
        <w:topLinePunct w:val="0"/>
        <w:bidi w:val="0"/>
        <w:spacing w:line="400" w:lineRule="exact"/>
        <w:ind w:firstLine="442" w:firstLineChars="200"/>
        <w:jc w:val="left"/>
        <w:rPr>
          <w:rFonts w:hint="eastAsia" w:ascii="宋体" w:hAnsi="宋体" w:cs="宋体"/>
          <w:color w:val="auto"/>
          <w:sz w:val="22"/>
          <w:szCs w:val="22"/>
          <w:highlight w:val="none"/>
        </w:rPr>
      </w:pPr>
      <w:r>
        <w:rPr>
          <w:rFonts w:hint="eastAsia" w:ascii="宋体" w:hAnsi="宋体" w:cs="宋体"/>
          <w:b/>
          <w:bCs w:val="0"/>
          <w:color w:val="auto"/>
          <w:sz w:val="22"/>
          <w:szCs w:val="22"/>
          <w:highlight w:val="none"/>
          <w:u w:val="single"/>
        </w:rPr>
        <w:t>政府投资工程的结算</w:t>
      </w:r>
      <w:r>
        <w:rPr>
          <w:rFonts w:hint="eastAsia" w:ascii="宋体" w:hAnsi="宋体" w:cs="宋体"/>
          <w:b/>
          <w:bCs w:val="0"/>
          <w:color w:val="auto"/>
          <w:sz w:val="22"/>
          <w:szCs w:val="22"/>
          <w:highlight w:val="none"/>
          <w:u w:val="single"/>
          <w:lang w:val="en-US" w:eastAsia="zh-CN"/>
        </w:rPr>
        <w:t>如</w:t>
      </w:r>
      <w:r>
        <w:rPr>
          <w:rFonts w:hint="eastAsia" w:ascii="宋体" w:hAnsi="宋体" w:cs="宋体"/>
          <w:b/>
          <w:bCs w:val="0"/>
          <w:color w:val="auto"/>
          <w:sz w:val="22"/>
          <w:szCs w:val="22"/>
          <w:highlight w:val="none"/>
          <w:u w:val="single"/>
        </w:rPr>
        <w:t>需</w:t>
      </w:r>
      <w:r>
        <w:rPr>
          <w:rFonts w:hint="eastAsia" w:ascii="宋体" w:hAnsi="宋体" w:cs="宋体"/>
          <w:b/>
          <w:bCs w:val="0"/>
          <w:color w:val="auto"/>
          <w:sz w:val="22"/>
          <w:szCs w:val="22"/>
          <w:highlight w:val="none"/>
          <w:u w:val="single"/>
          <w:lang w:val="en-US" w:eastAsia="zh-CN"/>
        </w:rPr>
        <w:t>港口区财评中心</w:t>
      </w:r>
      <w:r>
        <w:rPr>
          <w:rFonts w:hint="eastAsia" w:ascii="宋体" w:hAnsi="宋体" w:cs="宋体"/>
          <w:b/>
          <w:bCs w:val="0"/>
          <w:color w:val="auto"/>
          <w:sz w:val="22"/>
          <w:szCs w:val="22"/>
          <w:highlight w:val="none"/>
          <w:u w:val="single"/>
        </w:rPr>
        <w:t>审定，最终结算金额以</w:t>
      </w:r>
      <w:r>
        <w:rPr>
          <w:rFonts w:hint="eastAsia" w:ascii="宋体" w:hAnsi="宋体" w:cs="宋体"/>
          <w:b/>
          <w:bCs w:val="0"/>
          <w:color w:val="auto"/>
          <w:sz w:val="22"/>
          <w:szCs w:val="22"/>
          <w:highlight w:val="none"/>
          <w:u w:val="single"/>
          <w:lang w:val="en-US" w:eastAsia="zh-CN"/>
        </w:rPr>
        <w:t>港口区财评中心出具的评审报告</w:t>
      </w:r>
      <w:r>
        <w:rPr>
          <w:rFonts w:hint="eastAsia" w:ascii="宋体" w:hAnsi="宋体" w:cs="宋体"/>
          <w:b/>
          <w:bCs w:val="0"/>
          <w:color w:val="auto"/>
          <w:sz w:val="22"/>
          <w:szCs w:val="22"/>
          <w:highlight w:val="none"/>
          <w:u w:val="single"/>
        </w:rPr>
        <w:t>为准，不能以</w:t>
      </w:r>
      <w:r>
        <w:rPr>
          <w:rFonts w:hint="eastAsia" w:ascii="宋体" w:hAnsi="宋体" w:cs="宋体"/>
          <w:b/>
          <w:bCs w:val="0"/>
          <w:color w:val="auto"/>
          <w:sz w:val="22"/>
          <w:szCs w:val="22"/>
          <w:highlight w:val="none"/>
          <w:u w:val="single"/>
          <w:lang w:val="en-US" w:eastAsia="zh-CN"/>
        </w:rPr>
        <w:t>承包人编制的结果或发</w:t>
      </w:r>
      <w:r>
        <w:rPr>
          <w:rFonts w:hint="eastAsia" w:ascii="宋体" w:hAnsi="宋体" w:cs="宋体"/>
          <w:b/>
          <w:bCs w:val="0"/>
          <w:color w:val="auto"/>
          <w:sz w:val="22"/>
          <w:szCs w:val="22"/>
          <w:highlight w:val="none"/>
          <w:u w:val="single"/>
        </w:rPr>
        <w:t>包人审核的结果作为要求支付的依据。</w:t>
      </w:r>
      <w:r>
        <w:rPr>
          <w:rFonts w:hint="eastAsia" w:ascii="宋体" w:hAnsi="宋体" w:cs="宋体"/>
          <w:b/>
          <w:bCs w:val="0"/>
          <w:color w:val="auto"/>
          <w:sz w:val="22"/>
          <w:szCs w:val="22"/>
          <w:highlight w:val="none"/>
          <w:u w:val="single"/>
          <w:lang w:val="en-US" w:eastAsia="zh-CN"/>
        </w:rPr>
        <w:t>港口区财评中心</w:t>
      </w:r>
      <w:r>
        <w:rPr>
          <w:rFonts w:hint="eastAsia" w:ascii="宋体" w:hAnsi="宋体" w:cs="宋体"/>
          <w:b/>
          <w:bCs w:val="0"/>
          <w:color w:val="auto"/>
          <w:sz w:val="22"/>
          <w:szCs w:val="22"/>
          <w:highlight w:val="none"/>
          <w:u w:val="single"/>
        </w:rPr>
        <w:t>处理相关事宜需要一定时间，发包人不承担因</w:t>
      </w:r>
      <w:r>
        <w:rPr>
          <w:rFonts w:hint="eastAsia" w:ascii="宋体" w:hAnsi="宋体" w:cs="宋体"/>
          <w:b/>
          <w:bCs w:val="0"/>
          <w:color w:val="auto"/>
          <w:sz w:val="22"/>
          <w:szCs w:val="22"/>
          <w:highlight w:val="none"/>
          <w:u w:val="single"/>
          <w:lang w:val="en-US" w:eastAsia="zh-CN"/>
        </w:rPr>
        <w:t>港口区财评中心评审时间</w:t>
      </w:r>
      <w:r>
        <w:rPr>
          <w:rFonts w:hint="eastAsia" w:ascii="宋体" w:hAnsi="宋体" w:cs="宋体"/>
          <w:b/>
          <w:bCs w:val="0"/>
          <w:color w:val="auto"/>
          <w:sz w:val="22"/>
          <w:szCs w:val="22"/>
          <w:highlight w:val="none"/>
          <w:u w:val="single"/>
        </w:rPr>
        <w:t>引起的任何责任。</w:t>
      </w:r>
    </w:p>
    <w:p w14:paraId="7EBB99D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发包人完成竣工付款的期限：</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双方约定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714F47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关于竣工付款证书异议部分复核的方式和程序：</w:t>
      </w:r>
      <w:r>
        <w:rPr>
          <w:rFonts w:hint="eastAsia" w:ascii="宋体" w:hAnsi="宋体" w:cs="宋体"/>
          <w:color w:val="auto"/>
          <w:sz w:val="22"/>
          <w:highlight w:val="none"/>
          <w:u w:val="single"/>
        </w:rPr>
        <w:t xml:space="preserve">按通用合同条款执行 </w:t>
      </w:r>
      <w:r>
        <w:rPr>
          <w:rFonts w:hint="eastAsia" w:ascii="宋体" w:hAnsi="宋体" w:cs="宋体"/>
          <w:color w:val="auto"/>
          <w:sz w:val="22"/>
          <w:highlight w:val="none"/>
        </w:rPr>
        <w:t>。</w:t>
      </w:r>
    </w:p>
    <w:p w14:paraId="5BB38D2D">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53" w:name="_Toc395382564"/>
      <w:bookmarkStart w:id="354" w:name="_Toc12975952"/>
      <w:bookmarkStart w:id="355" w:name="_Toc533432787"/>
      <w:r>
        <w:rPr>
          <w:rFonts w:hint="eastAsia" w:ascii="宋体" w:hAnsi="宋体" w:cs="宋体"/>
          <w:color w:val="auto"/>
          <w:sz w:val="22"/>
          <w:szCs w:val="22"/>
          <w:highlight w:val="none"/>
        </w:rPr>
        <w:t>14.4 最终结清</w:t>
      </w:r>
      <w:bookmarkEnd w:id="353"/>
      <w:bookmarkEnd w:id="354"/>
      <w:bookmarkEnd w:id="355"/>
    </w:p>
    <w:p w14:paraId="7583E8F9">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14.4.1 最终结清申请单</w:t>
      </w:r>
    </w:p>
    <w:p w14:paraId="4D363DC8">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承包人提交最终结清申请单的份数：</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四份</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3051239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承包人提交最终结算申请单的期限：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rPr>
        <w:t xml:space="preserve">。 </w:t>
      </w:r>
    </w:p>
    <w:p w14:paraId="44164175">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14.4.2 最终结清证书和支付</w:t>
      </w:r>
    </w:p>
    <w:p w14:paraId="70FAB1CF">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（1）发包人完成最终结清申请单的审批并颁发最终结清证书的期限：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rPr>
        <w:t>。</w:t>
      </w:r>
    </w:p>
    <w:p w14:paraId="553AABC0">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（2）发包人完成支付的期限：</w:t>
      </w:r>
      <w:r>
        <w:rPr>
          <w:rFonts w:hint="eastAsia" w:ascii="宋体" w:hAnsi="宋体" w:cs="宋体"/>
          <w:color w:val="auto"/>
          <w:sz w:val="22"/>
          <w:highlight w:val="none"/>
          <w:u w:val="single"/>
        </w:rPr>
        <w:t>质量保证金的返还：工程交付使用至质量缺陷期满后无工程质量问题的，质量缺陷</w:t>
      </w:r>
      <w:r>
        <w:rPr>
          <w:rFonts w:hint="eastAsia" w:ascii="宋体" w:hAnsi="宋体" w:cs="宋体"/>
          <w:color w:val="auto"/>
          <w:sz w:val="22"/>
          <w:highlight w:val="none"/>
          <w:u w:val="single"/>
        </w:rPr>
        <w:t>期满后</w:t>
      </w:r>
      <w:r>
        <w:rPr>
          <w:rFonts w:hint="eastAsia" w:ascii="宋体" w:hAnsi="宋体" w:cs="宋体"/>
          <w:color w:val="auto"/>
          <w:sz w:val="22"/>
          <w:highlight w:val="none"/>
          <w:u w:val="single"/>
          <w:lang w:val="en-US" w:eastAsia="zh-CN"/>
        </w:rPr>
        <w:t>承包方提交书面申请起</w:t>
      </w:r>
      <w:r>
        <w:rPr>
          <w:rFonts w:hint="eastAsia" w:ascii="宋体" w:hAnsi="宋体" w:cs="宋体"/>
          <w:color w:val="auto"/>
          <w:sz w:val="22"/>
          <w:highlight w:val="none"/>
          <w:u w:val="single"/>
        </w:rPr>
        <w:t>15个工作日内</w:t>
      </w:r>
      <w:r>
        <w:rPr>
          <w:rFonts w:hint="eastAsia" w:ascii="宋体" w:hAnsi="宋体" w:cs="宋体"/>
          <w:color w:val="auto"/>
          <w:sz w:val="22"/>
          <w:highlight w:val="none"/>
          <w:u w:val="single"/>
          <w:lang w:val="en-US" w:eastAsia="zh-CN"/>
        </w:rPr>
        <w:t>发包人按程序</w:t>
      </w:r>
      <w:r>
        <w:rPr>
          <w:rFonts w:hint="eastAsia" w:ascii="宋体" w:hAnsi="宋体" w:cs="宋体"/>
          <w:color w:val="auto"/>
          <w:sz w:val="22"/>
          <w:highlight w:val="none"/>
          <w:u w:val="single"/>
        </w:rPr>
        <w:t>退还 （</w:t>
      </w:r>
      <w:r>
        <w:rPr>
          <w:rFonts w:hint="eastAsia" w:ascii="宋体" w:hAnsi="宋体" w:cs="宋体"/>
          <w:color w:val="auto"/>
          <w:sz w:val="22"/>
          <w:highlight w:val="none"/>
          <w:u w:val="single"/>
        </w:rPr>
        <w:t xml:space="preserve">无息） </w:t>
      </w:r>
      <w:r>
        <w:rPr>
          <w:rFonts w:hint="eastAsia" w:ascii="宋体" w:hAnsi="宋体" w:cs="宋体"/>
          <w:color w:val="auto"/>
          <w:sz w:val="22"/>
          <w:highlight w:val="none"/>
        </w:rPr>
        <w:t>。</w:t>
      </w:r>
    </w:p>
    <w:p w14:paraId="5D160899">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56" w:name="_Toc533432788"/>
      <w:bookmarkStart w:id="357" w:name="_Toc395382565"/>
      <w:bookmarkStart w:id="358" w:name="_Toc12975953"/>
      <w:r>
        <w:rPr>
          <w:rFonts w:hint="eastAsia" w:ascii="宋体" w:hAnsi="宋体" w:cs="宋体"/>
          <w:color w:val="auto"/>
          <w:sz w:val="22"/>
          <w:szCs w:val="22"/>
          <w:highlight w:val="none"/>
        </w:rPr>
        <w:t>15. 缺陷责任期与保修</w:t>
      </w:r>
      <w:bookmarkEnd w:id="356"/>
      <w:bookmarkEnd w:id="357"/>
      <w:bookmarkEnd w:id="358"/>
    </w:p>
    <w:p w14:paraId="4E30C55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59" w:name="_Toc395382566"/>
      <w:bookmarkStart w:id="360" w:name="_Toc533432789"/>
      <w:bookmarkStart w:id="361" w:name="_Toc12975954"/>
      <w:r>
        <w:rPr>
          <w:rFonts w:hint="eastAsia" w:ascii="宋体" w:hAnsi="宋体" w:cs="宋体"/>
          <w:color w:val="auto"/>
          <w:sz w:val="22"/>
          <w:szCs w:val="22"/>
          <w:highlight w:val="none"/>
        </w:rPr>
        <w:t>15.2 缺陷责任期</w:t>
      </w:r>
      <w:bookmarkEnd w:id="359"/>
      <w:bookmarkEnd w:id="360"/>
      <w:bookmarkEnd w:id="361"/>
    </w:p>
    <w:p w14:paraId="1B43AB5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缺陷责任期的具体期限：</w:t>
      </w:r>
      <w:r>
        <w:rPr>
          <w:rFonts w:hint="eastAsia" w:ascii="宋体" w:hAnsi="宋体" w:cs="宋体"/>
          <w:color w:val="auto"/>
          <w:sz w:val="22"/>
          <w:highlight w:val="none"/>
          <w:u w:val="single"/>
        </w:rPr>
        <w:t>24个月</w:t>
      </w:r>
      <w:r>
        <w:rPr>
          <w:rFonts w:hint="eastAsia" w:ascii="宋体" w:hAnsi="宋体" w:cs="宋体"/>
          <w:color w:val="auto"/>
          <w:sz w:val="22"/>
          <w:highlight w:val="none"/>
        </w:rPr>
        <w:t>。</w:t>
      </w:r>
    </w:p>
    <w:p w14:paraId="58A9E698">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62" w:name="_Toc12975955"/>
      <w:bookmarkStart w:id="363" w:name="_Toc395382567"/>
      <w:bookmarkStart w:id="364" w:name="_Toc533432790"/>
      <w:r>
        <w:rPr>
          <w:rFonts w:hint="eastAsia" w:ascii="宋体" w:hAnsi="宋体" w:cs="宋体"/>
          <w:color w:val="auto"/>
          <w:sz w:val="22"/>
          <w:szCs w:val="22"/>
          <w:highlight w:val="none"/>
        </w:rPr>
        <w:t>15.3 质量保证金</w:t>
      </w:r>
      <w:bookmarkEnd w:id="362"/>
      <w:bookmarkEnd w:id="363"/>
      <w:bookmarkEnd w:id="364"/>
    </w:p>
    <w:p w14:paraId="6EE8CD7A">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关于是否扣留质量保证金的约定：</w:t>
      </w:r>
      <w:r>
        <w:rPr>
          <w:rFonts w:hint="eastAsia" w:ascii="宋体" w:hAnsi="宋体" w:cs="宋体"/>
          <w:color w:val="auto"/>
          <w:sz w:val="22"/>
          <w:highlight w:val="none"/>
          <w:u w:val="single"/>
        </w:rPr>
        <w:t>扣留</w:t>
      </w:r>
      <w:r>
        <w:rPr>
          <w:rFonts w:hint="eastAsia" w:ascii="宋体" w:hAnsi="宋体" w:cs="宋体"/>
          <w:color w:val="auto"/>
          <w:sz w:val="22"/>
          <w:highlight w:val="none"/>
        </w:rPr>
        <w:t>。</w:t>
      </w:r>
    </w:p>
    <w:p w14:paraId="732579B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15.3.1 承包人提供质量保证金的方式</w:t>
      </w:r>
    </w:p>
    <w:p w14:paraId="057CEF43">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质量保证金采用以下第</w:t>
      </w:r>
      <w:r>
        <w:rPr>
          <w:rFonts w:hint="eastAsia" w:ascii="宋体" w:hAnsi="宋体" w:cs="宋体"/>
          <w:color w:val="auto"/>
          <w:sz w:val="22"/>
          <w:highlight w:val="none"/>
          <w:u w:val="single"/>
        </w:rPr>
        <w:t>（2）</w:t>
      </w:r>
      <w:r>
        <w:rPr>
          <w:rFonts w:hint="eastAsia" w:ascii="宋体" w:hAnsi="宋体" w:cs="宋体"/>
          <w:color w:val="auto"/>
          <w:sz w:val="22"/>
          <w:highlight w:val="none"/>
        </w:rPr>
        <w:t>种方式：</w:t>
      </w:r>
    </w:p>
    <w:p w14:paraId="30E255B9">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（1）质量保证金保函，保证金额为：</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17AB0CBD">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bCs/>
          <w:color w:val="auto"/>
          <w:sz w:val="22"/>
          <w:highlight w:val="none"/>
        </w:rPr>
        <w:t>发包人按工程价款结算总额的</w:t>
      </w:r>
      <w:r>
        <w:rPr>
          <w:rFonts w:hint="eastAsia" w:ascii="宋体" w:hAnsi="宋体" w:cs="宋体"/>
          <w:bCs/>
          <w:color w:val="auto"/>
          <w:sz w:val="22"/>
          <w:highlight w:val="none"/>
          <w:u w:val="single"/>
        </w:rPr>
        <w:t xml:space="preserve">  3 </w:t>
      </w:r>
      <w:r>
        <w:rPr>
          <w:rFonts w:hint="eastAsia" w:ascii="宋体" w:hAnsi="宋体" w:cs="宋体"/>
          <w:bCs/>
          <w:color w:val="auto"/>
          <w:sz w:val="22"/>
          <w:highlight w:val="none"/>
        </w:rPr>
        <w:t>%预留工程质量保修金，待缺陷责任期满后返还</w:t>
      </w:r>
      <w:r>
        <w:rPr>
          <w:rFonts w:hint="eastAsia" w:ascii="宋体" w:hAnsi="宋体" w:cs="宋体"/>
          <w:color w:val="auto"/>
          <w:kern w:val="0"/>
          <w:sz w:val="22"/>
          <w:highlight w:val="none"/>
        </w:rPr>
        <w:t>；</w:t>
      </w:r>
    </w:p>
    <w:p w14:paraId="47C12B2E">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（3）其他方式：</w:t>
      </w:r>
      <w:r>
        <w:rPr>
          <w:rFonts w:hint="eastAsia" w:ascii="宋体" w:hAnsi="宋体" w:cs="宋体"/>
          <w:bCs/>
          <w:color w:val="auto"/>
          <w:sz w:val="22"/>
          <w:highlight w:val="none"/>
          <w:u w:val="single"/>
          <w:lang w:val="en-US" w:eastAsia="zh-CN"/>
        </w:rPr>
        <w:t xml:space="preserve"> </w:t>
      </w:r>
      <w:r>
        <w:rPr>
          <w:rFonts w:hint="eastAsia" w:ascii="宋体" w:hAnsi="宋体" w:cs="宋体"/>
          <w:bCs/>
          <w:color w:val="auto"/>
          <w:sz w:val="22"/>
          <w:highlight w:val="none"/>
          <w:u w:val="single"/>
        </w:rPr>
        <w:t xml:space="preserve"> /  </w:t>
      </w:r>
      <w:r>
        <w:rPr>
          <w:rFonts w:hint="eastAsia" w:ascii="宋体" w:hAnsi="宋体" w:cs="宋体"/>
          <w:bCs/>
          <w:color w:val="auto"/>
          <w:sz w:val="22"/>
          <w:highlight w:val="none"/>
        </w:rPr>
        <w:t>。</w:t>
      </w:r>
    </w:p>
    <w:p w14:paraId="6D33773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15.3.2 质量保证金的扣留</w:t>
      </w:r>
    </w:p>
    <w:p w14:paraId="6375FF7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质量保证金的扣留采取以下第</w:t>
      </w:r>
      <w:r>
        <w:rPr>
          <w:rFonts w:hint="eastAsia" w:ascii="宋体" w:hAnsi="宋体" w:cs="宋体"/>
          <w:color w:val="auto"/>
          <w:sz w:val="22"/>
          <w:highlight w:val="none"/>
          <w:u w:val="single"/>
        </w:rPr>
        <w:t>（2）</w:t>
      </w:r>
      <w:r>
        <w:rPr>
          <w:rFonts w:hint="eastAsia" w:ascii="宋体" w:hAnsi="宋体" w:cs="宋体"/>
          <w:color w:val="auto"/>
          <w:sz w:val="22"/>
          <w:highlight w:val="none"/>
        </w:rPr>
        <w:t>种方式：</w:t>
      </w:r>
    </w:p>
    <w:p w14:paraId="0EC312E0">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（1）在支付工程进度款时逐次扣留，在此情形下，质量保证金的计算基数不包括预付款的支付、扣回以及价格调整的金额；</w:t>
      </w:r>
    </w:p>
    <w:p w14:paraId="17628E5B">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（2）工程竣工结算时一次性扣留质量保证金；</w:t>
      </w:r>
    </w:p>
    <w:p w14:paraId="45EB5CFA">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（3）其他扣留方式:</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73E89AB6">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highlight w:val="none"/>
        </w:rPr>
        <w:t>关于质量保证金的补充约定：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w:t>
      </w:r>
    </w:p>
    <w:p w14:paraId="68187EF0">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65" w:name="_Toc533432791"/>
      <w:bookmarkStart w:id="366" w:name="_Toc395382568"/>
      <w:bookmarkStart w:id="367" w:name="_Toc12975956"/>
      <w:r>
        <w:rPr>
          <w:rFonts w:hint="eastAsia" w:ascii="宋体" w:hAnsi="宋体" w:cs="宋体"/>
          <w:color w:val="auto"/>
          <w:sz w:val="22"/>
          <w:szCs w:val="22"/>
          <w:highlight w:val="none"/>
        </w:rPr>
        <w:t>15.4 保修</w:t>
      </w:r>
      <w:bookmarkEnd w:id="365"/>
      <w:bookmarkEnd w:id="366"/>
      <w:bookmarkEnd w:id="367"/>
    </w:p>
    <w:p w14:paraId="6F375CB4">
      <w:pPr>
        <w:pStyle w:val="414"/>
        <w:pageBreakBefore w:val="0"/>
        <w:kinsoku/>
        <w:overflowPunct/>
        <w:topLinePunct w:val="0"/>
        <w:bidi w:val="0"/>
        <w:spacing w:line="400" w:lineRule="exact"/>
        <w:ind w:firstLine="429" w:firstLineChars="195"/>
        <w:jc w:val="left"/>
        <w:rPr>
          <w:rFonts w:hint="eastAsia" w:ascii="宋体" w:hAnsi="宋体" w:cs="宋体"/>
          <w:color w:val="auto"/>
          <w:sz w:val="22"/>
          <w:highlight w:val="none"/>
        </w:rPr>
      </w:pPr>
      <w:r>
        <w:rPr>
          <w:rFonts w:hint="eastAsia" w:ascii="宋体" w:hAnsi="宋体" w:cs="宋体"/>
          <w:color w:val="auto"/>
          <w:sz w:val="22"/>
          <w:highlight w:val="none"/>
        </w:rPr>
        <w:t>15.4.1 保修责任</w:t>
      </w:r>
    </w:p>
    <w:p w14:paraId="2FBEB477">
      <w:pPr>
        <w:pStyle w:val="414"/>
        <w:pageBreakBefore w:val="0"/>
        <w:kinsoku/>
        <w:overflowPunct/>
        <w:topLinePunct w:val="0"/>
        <w:bidi w:val="0"/>
        <w:spacing w:line="400" w:lineRule="exact"/>
        <w:ind w:firstLine="429" w:firstLineChars="195"/>
        <w:jc w:val="left"/>
        <w:rPr>
          <w:rFonts w:hint="eastAsia" w:ascii="宋体" w:hAnsi="宋体" w:cs="宋体"/>
          <w:color w:val="auto"/>
          <w:kern w:val="0"/>
          <w:sz w:val="22"/>
          <w:highlight w:val="none"/>
        </w:rPr>
      </w:pPr>
      <w:r>
        <w:rPr>
          <w:rFonts w:hint="eastAsia" w:ascii="宋体" w:hAnsi="宋体" w:cs="宋体"/>
          <w:color w:val="auto"/>
          <w:sz w:val="22"/>
          <w:highlight w:val="none"/>
        </w:rPr>
        <w:t>工程保修期为：</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见工程质量保修书</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57840A94">
      <w:pPr>
        <w:pStyle w:val="414"/>
        <w:pageBreakBefore w:val="0"/>
        <w:kinsoku/>
        <w:overflowPunct/>
        <w:topLinePunct w:val="0"/>
        <w:bidi w:val="0"/>
        <w:spacing w:line="400" w:lineRule="exact"/>
        <w:ind w:firstLine="429" w:firstLineChars="195"/>
        <w:jc w:val="left"/>
        <w:rPr>
          <w:rFonts w:hint="eastAsia" w:ascii="宋体" w:hAnsi="宋体" w:cs="宋体"/>
          <w:color w:val="auto"/>
          <w:kern w:val="0"/>
          <w:sz w:val="22"/>
          <w:highlight w:val="none"/>
          <w:u w:val="single"/>
        </w:rPr>
      </w:pPr>
      <w:r>
        <w:rPr>
          <w:rFonts w:hint="eastAsia" w:ascii="宋体" w:hAnsi="宋体" w:cs="宋体"/>
          <w:color w:val="auto"/>
          <w:sz w:val="22"/>
          <w:highlight w:val="none"/>
        </w:rPr>
        <w:t>工程质量保修书具体内容见合同附件</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p>
    <w:p w14:paraId="36B47776">
      <w:pPr>
        <w:pStyle w:val="414"/>
        <w:pageBreakBefore w:val="0"/>
        <w:kinsoku/>
        <w:overflowPunct/>
        <w:topLinePunct w:val="0"/>
        <w:bidi w:val="0"/>
        <w:spacing w:line="400" w:lineRule="exact"/>
        <w:ind w:firstLine="429" w:firstLineChars="195"/>
        <w:jc w:val="left"/>
        <w:rPr>
          <w:rFonts w:hint="eastAsia" w:ascii="宋体" w:hAnsi="宋体" w:cs="宋体"/>
          <w:color w:val="auto"/>
          <w:sz w:val="22"/>
          <w:highlight w:val="none"/>
        </w:rPr>
      </w:pPr>
      <w:r>
        <w:rPr>
          <w:rFonts w:hint="eastAsia" w:ascii="宋体" w:hAnsi="宋体" w:cs="宋体"/>
          <w:color w:val="auto"/>
          <w:sz w:val="22"/>
          <w:highlight w:val="none"/>
        </w:rPr>
        <w:t>15.4.3 修复通知</w:t>
      </w:r>
    </w:p>
    <w:p w14:paraId="1B3A8133">
      <w:pPr>
        <w:pStyle w:val="414"/>
        <w:pageBreakBefore w:val="0"/>
        <w:kinsoku/>
        <w:overflowPunct/>
        <w:topLinePunct w:val="0"/>
        <w:bidi w:val="0"/>
        <w:spacing w:line="400" w:lineRule="exact"/>
        <w:ind w:firstLine="429" w:firstLineChars="195"/>
        <w:jc w:val="left"/>
        <w:rPr>
          <w:rFonts w:hint="eastAsia" w:ascii="宋体" w:hAnsi="宋体" w:cs="宋体"/>
          <w:color w:val="auto"/>
          <w:kern w:val="0"/>
          <w:sz w:val="22"/>
          <w:highlight w:val="none"/>
          <w:u w:val="single"/>
        </w:rPr>
      </w:pPr>
      <w:r>
        <w:rPr>
          <w:rFonts w:hint="eastAsia" w:ascii="宋体" w:hAnsi="宋体" w:cs="宋体"/>
          <w:color w:val="auto"/>
          <w:kern w:val="0"/>
          <w:sz w:val="22"/>
          <w:highlight w:val="none"/>
        </w:rPr>
        <w:t>承包人收到保修通知并到达工程现场的合理时间：</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收到通</w:t>
      </w:r>
      <w:r>
        <w:rPr>
          <w:rFonts w:hint="eastAsia" w:ascii="宋体" w:hAnsi="宋体" w:cs="宋体"/>
          <w:color w:val="auto"/>
          <w:kern w:val="0"/>
          <w:sz w:val="22"/>
          <w:highlight w:val="none"/>
          <w:u w:val="single"/>
        </w:rPr>
        <w:t>知后</w:t>
      </w:r>
      <w:r>
        <w:rPr>
          <w:rFonts w:hint="eastAsia" w:ascii="宋体" w:hAnsi="宋体" w:cs="宋体"/>
          <w:color w:val="auto"/>
          <w:kern w:val="0"/>
          <w:sz w:val="22"/>
          <w:highlight w:val="none"/>
          <w:u w:val="single"/>
          <w:lang w:val="en-US" w:eastAsia="zh-CN"/>
        </w:rPr>
        <w:t>48</w:t>
      </w:r>
      <w:r>
        <w:rPr>
          <w:rFonts w:hint="eastAsia" w:ascii="宋体" w:hAnsi="宋体" w:cs="宋体"/>
          <w:color w:val="auto"/>
          <w:kern w:val="0"/>
          <w:sz w:val="22"/>
          <w:highlight w:val="none"/>
          <w:u w:val="single"/>
        </w:rPr>
        <w:t>小时内</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7F5E1C22">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68" w:name="_Toc12975957"/>
      <w:bookmarkStart w:id="369" w:name="_Toc533432792"/>
      <w:bookmarkStart w:id="370" w:name="_Toc395382569"/>
    </w:p>
    <w:p w14:paraId="6679FE0A">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16. 违约</w:t>
      </w:r>
      <w:bookmarkEnd w:id="368"/>
      <w:bookmarkEnd w:id="369"/>
      <w:bookmarkEnd w:id="370"/>
    </w:p>
    <w:p w14:paraId="5D3C39AB">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71" w:name="_Toc395382570"/>
      <w:bookmarkStart w:id="372" w:name="_Toc533432793"/>
      <w:bookmarkStart w:id="373" w:name="_Toc12975958"/>
      <w:r>
        <w:rPr>
          <w:rFonts w:hint="eastAsia" w:ascii="宋体" w:hAnsi="宋体" w:cs="宋体"/>
          <w:color w:val="auto"/>
          <w:sz w:val="22"/>
          <w:szCs w:val="22"/>
          <w:highlight w:val="none"/>
        </w:rPr>
        <w:t>16.1 发包人违约</w:t>
      </w:r>
      <w:bookmarkEnd w:id="371"/>
      <w:bookmarkEnd w:id="372"/>
      <w:bookmarkEnd w:id="373"/>
    </w:p>
    <w:p w14:paraId="7250AF0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16.1.1发包人违约的情形</w:t>
      </w:r>
    </w:p>
    <w:p w14:paraId="6588C998">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发包人违约的其他情形：</w:t>
      </w:r>
      <w:r>
        <w:rPr>
          <w:rFonts w:hint="eastAsia" w:ascii="宋体" w:hAnsi="宋体" w:cs="宋体"/>
          <w:color w:val="auto"/>
          <w:kern w:val="0"/>
          <w:sz w:val="22"/>
          <w:highlight w:val="none"/>
          <w:u w:val="single"/>
        </w:rPr>
        <w:t xml:space="preserve">无 </w:t>
      </w:r>
      <w:r>
        <w:rPr>
          <w:rFonts w:hint="eastAsia" w:ascii="宋体" w:hAnsi="宋体" w:cs="宋体"/>
          <w:color w:val="auto"/>
          <w:kern w:val="0"/>
          <w:sz w:val="22"/>
          <w:highlight w:val="none"/>
        </w:rPr>
        <w:t>。</w:t>
      </w:r>
    </w:p>
    <w:p w14:paraId="78824069">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16.1.2 发包人违约的责任</w:t>
      </w:r>
    </w:p>
    <w:p w14:paraId="53ED4FCF">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发包人违约责任的承担方式和计算方法：</w:t>
      </w:r>
    </w:p>
    <w:p w14:paraId="00202C60">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kern w:val="0"/>
          <w:sz w:val="22"/>
          <w:highlight w:val="none"/>
        </w:rPr>
        <w:t>（1）因发包人原因未能在计划开工日期前7天内下达开工通知的违约责任：</w:t>
      </w:r>
      <w:r>
        <w:rPr>
          <w:rFonts w:hint="eastAsia" w:ascii="宋体" w:hAnsi="宋体" w:cs="宋体"/>
          <w:color w:val="auto"/>
          <w:kern w:val="0"/>
          <w:sz w:val="22"/>
          <w:highlight w:val="none"/>
          <w:u w:val="single"/>
        </w:rPr>
        <w:t xml:space="preserve"> 工期顺延 </w:t>
      </w:r>
      <w:r>
        <w:rPr>
          <w:rFonts w:hint="eastAsia" w:ascii="宋体" w:hAnsi="宋体" w:cs="宋体"/>
          <w:color w:val="auto"/>
          <w:kern w:val="0"/>
          <w:sz w:val="22"/>
          <w:highlight w:val="none"/>
        </w:rPr>
        <w:t>。</w:t>
      </w:r>
    </w:p>
    <w:p w14:paraId="5851A198">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（2）因发包人原因未能按合同约定支付合同价款的违约责任：</w:t>
      </w:r>
      <w:r>
        <w:rPr>
          <w:rFonts w:hint="eastAsia" w:ascii="宋体" w:hAnsi="宋体" w:cs="宋体"/>
          <w:color w:val="auto"/>
          <w:kern w:val="0"/>
          <w:sz w:val="22"/>
          <w:highlight w:val="none"/>
          <w:u w:val="single"/>
        </w:rPr>
        <w:t>无</w:t>
      </w:r>
      <w:r>
        <w:rPr>
          <w:rFonts w:hint="eastAsia" w:ascii="宋体" w:hAnsi="宋体" w:cs="宋体"/>
          <w:color w:val="auto"/>
          <w:kern w:val="0"/>
          <w:sz w:val="22"/>
          <w:highlight w:val="none"/>
        </w:rPr>
        <w:t>。</w:t>
      </w:r>
    </w:p>
    <w:p w14:paraId="2A0089C5">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（3）发包人违反第10.1款〔变更的范围〕第（2）项约定，自行实施被取消的工作或转由他人实施的违约责任：</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无</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36F8056B">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工期顺延</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74B20815">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kern w:val="0"/>
          <w:sz w:val="22"/>
          <w:highlight w:val="none"/>
        </w:rPr>
        <w:t>（5）因发包人违反合同约定造成暂停施工的违约责任：</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工期顺延</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5838B488">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（6）发包人无正当理由没有在约定期限内发出复工指示，导致承包人无法复工的违约责任：</w:t>
      </w:r>
      <w:r>
        <w:rPr>
          <w:rFonts w:hint="eastAsia" w:ascii="宋体" w:hAnsi="宋体" w:cs="宋体"/>
          <w:color w:val="auto"/>
          <w:kern w:val="0"/>
          <w:sz w:val="22"/>
          <w:highlight w:val="none"/>
          <w:u w:val="single"/>
        </w:rPr>
        <w:t xml:space="preserve"> 工期顺延</w:t>
      </w:r>
      <w:r>
        <w:rPr>
          <w:rFonts w:hint="eastAsia" w:ascii="宋体" w:hAnsi="宋体" w:cs="宋体"/>
          <w:color w:val="auto"/>
          <w:kern w:val="0"/>
          <w:sz w:val="22"/>
          <w:highlight w:val="none"/>
        </w:rPr>
        <w:t>。</w:t>
      </w:r>
    </w:p>
    <w:p w14:paraId="22A2320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（7）其他：</w:t>
      </w:r>
      <w:r>
        <w:rPr>
          <w:rFonts w:hint="eastAsia" w:ascii="宋体" w:hAnsi="宋体" w:cs="宋体"/>
          <w:color w:val="auto"/>
          <w:kern w:val="0"/>
          <w:sz w:val="22"/>
          <w:highlight w:val="none"/>
          <w:u w:val="single"/>
        </w:rPr>
        <w:t xml:space="preserve">无 </w:t>
      </w:r>
      <w:r>
        <w:rPr>
          <w:rFonts w:hint="eastAsia" w:ascii="宋体" w:hAnsi="宋体" w:cs="宋体"/>
          <w:color w:val="auto"/>
          <w:kern w:val="0"/>
          <w:sz w:val="22"/>
          <w:highlight w:val="none"/>
        </w:rPr>
        <w:t>。</w:t>
      </w:r>
    </w:p>
    <w:p w14:paraId="1DDC665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16.1.3 因发包人违约解除合同</w:t>
      </w:r>
    </w:p>
    <w:p w14:paraId="35CCE442">
      <w:pPr>
        <w:pStyle w:val="415"/>
        <w:pageBreakBefore w:val="0"/>
        <w:kinsoku/>
        <w:overflowPunct/>
        <w:topLinePunct w:val="0"/>
        <w:bidi w:val="0"/>
        <w:spacing w:line="400" w:lineRule="exact"/>
        <w:ind w:firstLine="440" w:firstLineChars="200"/>
        <w:rPr>
          <w:rFonts w:hint="eastAsia" w:ascii="宋体" w:hAnsi="宋体" w:cs="宋体"/>
          <w:b w:val="0"/>
          <w:bCs w:val="0"/>
          <w:color w:val="auto"/>
          <w:kern w:val="0"/>
          <w:sz w:val="22"/>
          <w:szCs w:val="22"/>
          <w:highlight w:val="none"/>
        </w:rPr>
      </w:pPr>
      <w:bookmarkStart w:id="374" w:name="_Toc533432794"/>
      <w:bookmarkStart w:id="375" w:name="_Toc12975959"/>
      <w:bookmarkStart w:id="376" w:name="_Toc395382571"/>
      <w:r>
        <w:rPr>
          <w:rFonts w:hint="eastAsia" w:ascii="宋体" w:hAnsi="宋体" w:cs="宋体"/>
          <w:b w:val="0"/>
          <w:bCs w:val="0"/>
          <w:color w:val="auto"/>
          <w:kern w:val="0"/>
          <w:sz w:val="22"/>
          <w:szCs w:val="22"/>
          <w:highlight w:val="none"/>
        </w:rPr>
        <w:t>承包人按16.1.1项〔发包人违约的情形〕约定暂停施工满</w:t>
      </w:r>
      <w:r>
        <w:rPr>
          <w:rFonts w:hint="eastAsia" w:ascii="宋体" w:hAnsi="宋体" w:cs="宋体"/>
          <w:b w:val="0"/>
          <w:bCs w:val="0"/>
          <w:color w:val="auto"/>
          <w:kern w:val="0"/>
          <w:sz w:val="22"/>
          <w:szCs w:val="22"/>
          <w:highlight w:val="none"/>
          <w:u w:val="single"/>
        </w:rPr>
        <w:t>84</w:t>
      </w:r>
      <w:r>
        <w:rPr>
          <w:rFonts w:hint="eastAsia" w:ascii="宋体" w:hAnsi="宋体" w:cs="宋体"/>
          <w:b w:val="0"/>
          <w:bCs w:val="0"/>
          <w:color w:val="auto"/>
          <w:kern w:val="0"/>
          <w:sz w:val="22"/>
          <w:szCs w:val="22"/>
          <w:highlight w:val="none"/>
        </w:rPr>
        <w:t>天后发包人仍不纠正其违约行为并致使合同目的不能实现的，承包人有权解除合同。</w:t>
      </w:r>
      <w:bookmarkEnd w:id="374"/>
      <w:bookmarkEnd w:id="375"/>
    </w:p>
    <w:p w14:paraId="1B37BFEA">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77" w:name="_Toc533432795"/>
      <w:bookmarkStart w:id="378" w:name="_Toc12975960"/>
      <w:r>
        <w:rPr>
          <w:rFonts w:hint="eastAsia" w:ascii="宋体" w:hAnsi="宋体" w:cs="宋体"/>
          <w:color w:val="auto"/>
          <w:sz w:val="22"/>
          <w:szCs w:val="22"/>
          <w:highlight w:val="none"/>
        </w:rPr>
        <w:t>16.2 承包人违约</w:t>
      </w:r>
      <w:bookmarkEnd w:id="376"/>
      <w:bookmarkEnd w:id="377"/>
      <w:bookmarkEnd w:id="378"/>
    </w:p>
    <w:p w14:paraId="5BE33126">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16.2.1 承包人违约的情形</w:t>
      </w:r>
    </w:p>
    <w:p w14:paraId="05B0ABEA">
      <w:pPr>
        <w:pStyle w:val="416"/>
        <w:pageBreakBefore w:val="0"/>
        <w:kinsoku/>
        <w:overflowPunct/>
        <w:topLinePunct w:val="0"/>
        <w:bidi w:val="0"/>
        <w:spacing w:line="40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承包人违约的其他情形：</w:t>
      </w:r>
    </w:p>
    <w:p w14:paraId="72311A0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（9）承包人未经发包人、监理人事先同意，擅自更换合同工程项目经理、技术负责人或其他主要管理人员</w:t>
      </w:r>
      <w:r>
        <w:rPr>
          <w:rFonts w:hint="eastAsia" w:ascii="宋体" w:hAnsi="宋体" w:cs="宋体"/>
          <w:color w:val="auto"/>
          <w:sz w:val="22"/>
          <w:szCs w:val="22"/>
          <w:highlight w:val="none"/>
          <w:u w:val="none"/>
        </w:rPr>
        <w:t>。</w:t>
      </w:r>
    </w:p>
    <w:p w14:paraId="60FB99A5">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（10）将工程预付款、进度款以及发包人支付用于本项目的其他费用挪作他用。</w:t>
      </w:r>
    </w:p>
    <w:p w14:paraId="61398440">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5B9EBD95">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（12）承包人违反第8.5款的约定使用了不合格的材料或工程设备或工程质量达不到标准要求等造成安全质量事故。</w:t>
      </w:r>
    </w:p>
    <w:p w14:paraId="05317FA5">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（13）合同工程竣工后，经两次验收仍不能达到合同约定的质量标准。</w:t>
      </w:r>
    </w:p>
    <w:p w14:paraId="6FE5EE13">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14）承包人拒绝执行发包人或监理人发出的关于本工程的指令的；或以磋商工程量清单中的措施项目出现错误、缺项、漏项情况为由，拒绝执行相应部分内容施工的；或以变更或增加部分与本合同无实质性关联为由，拒绝执行的；或以变更增加部分子目单价低为由拒绝执行的；或超出以变更增加部分子目施工能力范围等为由拒绝执行的；或拒绝执行合同约定的其他情形的。</w:t>
      </w:r>
    </w:p>
    <w:p w14:paraId="3D46D60C">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（15）如果承包人或承包人的工作人员（不论承包人是否知晓）以贿赂或变相贿赂的方式，谋取不当利益或损害发包人权益的。</w:t>
      </w:r>
    </w:p>
    <w:p w14:paraId="6572DF38">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（16) 未经验收或验收不合格，擅自进行隐蔽工程的覆盖或其他工程下道工序的施工，或验收合格后到隐蔽施工前对通过隐蔽验收的合格部分有任何改动。</w:t>
      </w:r>
    </w:p>
    <w:p w14:paraId="677E77B3">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（17）承包人在缺陷责任期内，未能对缺陷责任期内发生的缺陷进行修复而又拒绝按发包人或监理人指示再进行修补或同一部位出现二次以上维修的。</w:t>
      </w:r>
    </w:p>
    <w:p w14:paraId="1ABBC1F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（18）承包人无法定或合同约定依据，而未能按期开工、暂停施工或以暂停施工相威胁，连续或累计超过7天（含7天）。</w:t>
      </w:r>
    </w:p>
    <w:p w14:paraId="66E0B24F">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（19）承包人逾期竣工超过60天（含60天）或磋商文件承诺的节点或修改的施工组织设计承诺的节点逾期超过30天（含30天）。</w:t>
      </w:r>
    </w:p>
    <w:p w14:paraId="5A6EDC88">
      <w:pPr>
        <w:pStyle w:val="416"/>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szCs w:val="22"/>
          <w:highlight w:val="none"/>
          <w:u w:val="single"/>
        </w:rPr>
        <w:t>（20）承包人的雇员或其分包人的雇员、或承包人的供应商扰乱发包人生产、生活秩序的。</w:t>
      </w:r>
    </w:p>
    <w:p w14:paraId="347A1F5D">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16.2.2承包人违约的责任</w:t>
      </w:r>
    </w:p>
    <w:p w14:paraId="5ACEF661">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承包人违约责任的承担方式和计算方法：</w:t>
      </w:r>
    </w:p>
    <w:p w14:paraId="68836C62">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（1）对承包人违约的处理</w:t>
      </w:r>
    </w:p>
    <w:p w14:paraId="25990C54">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1）承包人发生本合同《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》及《专用条款》第16.2.1项中</w:t>
      </w:r>
      <w:r>
        <w:rPr>
          <w:rFonts w:hint="eastAsia" w:ascii="宋体" w:hAnsi="宋体" w:cs="宋体"/>
          <w:color w:val="auto"/>
          <w:sz w:val="22"/>
          <w:szCs w:val="22"/>
          <w:highlight w:val="none"/>
        </w:rPr>
        <w:t>（1）、（3）、（4）、（7）、（8）、（9）、（12）、（18）、（19）、（20）目约定的违约情况时</w:t>
      </w:r>
      <w:r>
        <w:rPr>
          <w:rFonts w:hint="eastAsia" w:ascii="宋体" w:hAnsi="宋体" w:cs="宋体"/>
          <w:color w:val="auto"/>
          <w:sz w:val="22"/>
          <w:szCs w:val="22"/>
          <w:highlight w:val="none"/>
        </w:rPr>
        <w:t>，除按照专用条款的约定支付违约金外，发包人可通知承包人立即解除合同，承包人应承担由此给发包人造成的一切损失。</w:t>
      </w:r>
    </w:p>
    <w:p w14:paraId="51741741">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承包人发生第16.2.1项中（13）的违约情况时，如合同工程第一次验收不合格，承包人应将不符合质量标准的部分进行整改直至符合标准，费用由承包人承担。如第二次仍验收不合格的，发包人有权立即解除合同，并另行委托他人重建或修复，重建或修复费用由承包人承担，发包人有权直接从应付或拟付承包人的任何款项中扣除。同时，承包人应按专用条款的约定支付违约金及赔偿损失。</w:t>
      </w:r>
    </w:p>
    <w:p w14:paraId="444C5C08">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承包人发生第16.2.1项中（14）的违约情况时，承包人应按专用条款的约定支付违约金，且因承包人未在指定时间内执行的，发包人可自行将该部分工程或全部工程交由第三方实施，因此额外支出的费用及造成的工期延误责任均由承包人承担。如该工程是对已标价工程量清单内已有工作子目或类似子目变更的，则由此额外产生的费用及款项，发包人有权从应付或拟付给承包人的任何款项中直接扣除；如该工程在已标价工程量清单内没有相同或类似规定的，则该工程实际产生的工程款较按第10.4计算的工程款或较按第10.4计算出的款项而多出的款项或费用将从应付或拟付给承包人的任何款项中直接扣除。同时，发包人有权解除本合同。</w:t>
      </w:r>
    </w:p>
    <w:p w14:paraId="70871980">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承包人发生第16.2.1项中（15）的违约情况时，发包人将根据相关法律规定及合同约定追究承包人的法律责任，承包人因此等行为获得的额外费用必须退还发包人，造成的工程损害、发包人的经济损失的，承包人应负一切责任，并</w:t>
      </w:r>
      <w:r>
        <w:rPr>
          <w:rFonts w:hint="eastAsia" w:ascii="宋体" w:hAnsi="宋体" w:cs="宋体"/>
          <w:color w:val="auto"/>
          <w:sz w:val="22"/>
          <w:szCs w:val="22"/>
          <w:highlight w:val="none"/>
        </w:rPr>
        <w:t>予</w:t>
      </w:r>
      <w:r>
        <w:rPr>
          <w:rFonts w:hint="eastAsia" w:ascii="宋体" w:hAnsi="宋体" w:cs="宋体"/>
          <w:color w:val="auto"/>
          <w:sz w:val="22"/>
          <w:szCs w:val="22"/>
          <w:highlight w:val="none"/>
          <w:lang w:val="en-US" w:eastAsia="zh-CN"/>
        </w:rPr>
        <w:t>以</w:t>
      </w:r>
      <w:r>
        <w:rPr>
          <w:rFonts w:hint="eastAsia" w:ascii="宋体" w:hAnsi="宋体" w:cs="宋体"/>
          <w:color w:val="auto"/>
          <w:sz w:val="22"/>
          <w:szCs w:val="22"/>
          <w:highlight w:val="none"/>
        </w:rPr>
        <w:t>赔偿。情节严重者，发包人并有权解除本合同。</w:t>
      </w:r>
    </w:p>
    <w:p w14:paraId="1BB05CF3">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承包人发生除第16.2.1项中（1）、（3）、（4）、（7）、（8）、（9）、（12）、（13）、（14）、（15）、（18）、（19）、（20）目约定以外的其他违约情况时，承包人均须按照专用条款的约定支付违约金，发包人即可直接向承包人发出解除合同的通知，并可向承包人发出整改通知，要求承包人在指定的期限内自费改正。如承包人在指定期限内整改但仍然造成工期延误的，承包人还应按本合同约定承担工期延误责任；如承包人未在指定期限内整改的，发包人可向承包人发出调换项目部（包括但不限于所有管理人员）的通知，如果承包人不执行或项目部调换后仍然不能履约，发包人则可向承包人发出解除合同通知。</w:t>
      </w:r>
    </w:p>
    <w:p w14:paraId="4B6C9822">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6）承包人按上述约定承担违约责任后，在合同未解除的情况下，发包人仍要求承包人继续履行本合同的，承包人应当继续履行合同。</w:t>
      </w:r>
    </w:p>
    <w:p w14:paraId="7ADAEF2B">
      <w:pPr>
        <w:pStyle w:val="416"/>
        <w:pageBreakBefore w:val="0"/>
        <w:kinsoku/>
        <w:overflowPunct/>
        <w:topLinePunct w:val="0"/>
        <w:bidi w:val="0"/>
        <w:spacing w:line="400" w:lineRule="exact"/>
        <w:ind w:firstLine="480" w:firstLineChars="200"/>
        <w:jc w:val="left"/>
        <w:rPr>
          <w:rFonts w:hint="eastAsia" w:ascii="Arial Unicode MS" w:hAnsi="Arial Unicode MS" w:eastAsia="Arial Unicode MS" w:cs="Arial Unicode MS"/>
          <w:b/>
          <w:bCs/>
          <w:color w:val="auto"/>
          <w:sz w:val="24"/>
          <w:szCs w:val="24"/>
          <w:highlight w:val="none"/>
        </w:rPr>
      </w:pPr>
      <w:r>
        <w:rPr>
          <w:rFonts w:hint="eastAsia" w:ascii="Arial Unicode MS" w:hAnsi="Arial Unicode MS" w:eastAsia="Arial Unicode MS" w:cs="Arial Unicode MS"/>
          <w:b/>
          <w:bCs/>
          <w:color w:val="auto"/>
          <w:sz w:val="24"/>
          <w:szCs w:val="24"/>
          <w:highlight w:val="none"/>
        </w:rPr>
        <w:t>7）承包人发生</w:t>
      </w:r>
      <w:r>
        <w:rPr>
          <w:rFonts w:hint="eastAsia" w:ascii="Arial Unicode MS" w:hAnsi="Arial Unicode MS" w:eastAsia="Arial Unicode MS" w:cs="Arial Unicode MS"/>
          <w:b/>
          <w:bCs/>
          <w:color w:val="auto"/>
          <w:sz w:val="24"/>
          <w:szCs w:val="24"/>
          <w:highlight w:val="none"/>
          <w:lang w:eastAsia="zh-CN"/>
        </w:rPr>
        <w:t>通用合同条款</w:t>
      </w:r>
      <w:r>
        <w:rPr>
          <w:rFonts w:hint="eastAsia" w:ascii="Arial Unicode MS" w:hAnsi="Arial Unicode MS" w:eastAsia="Arial Unicode MS" w:cs="Arial Unicode MS"/>
          <w:b/>
          <w:bCs/>
          <w:color w:val="auto"/>
          <w:sz w:val="24"/>
          <w:szCs w:val="24"/>
          <w:highlight w:val="none"/>
        </w:rPr>
        <w:t>和专用条款第16.2.2约定的违约情况时，无论发包人是否解除合同，发包人均有权向承包人课以专用合同条款中规定的违约金，并由发包人将其违约行为</w:t>
      </w:r>
      <w:r>
        <w:rPr>
          <w:rFonts w:hint="eastAsia" w:ascii="Arial Unicode MS" w:hAnsi="Arial Unicode MS" w:eastAsia="Arial Unicode MS" w:cs="Arial Unicode MS"/>
          <w:b/>
          <w:bCs/>
          <w:color w:val="auto"/>
          <w:sz w:val="24"/>
          <w:szCs w:val="24"/>
          <w:highlight w:val="none"/>
          <w:lang w:val="en-US" w:eastAsia="zh-CN"/>
        </w:rPr>
        <w:t>告知</w:t>
      </w:r>
      <w:r>
        <w:rPr>
          <w:rFonts w:hint="eastAsia" w:ascii="Arial Unicode MS" w:hAnsi="Arial Unicode MS" w:eastAsia="Arial Unicode MS" w:cs="Arial Unicode MS"/>
          <w:b/>
          <w:bCs/>
          <w:color w:val="auto"/>
          <w:sz w:val="24"/>
          <w:szCs w:val="24"/>
          <w:highlight w:val="none"/>
        </w:rPr>
        <w:t>防城港市港口区住建主管部门，作为</w:t>
      </w:r>
      <w:r>
        <w:rPr>
          <w:rFonts w:hint="eastAsia" w:ascii="Arial Unicode MS" w:hAnsi="Arial Unicode MS" w:eastAsia="Arial Unicode MS" w:cs="Arial Unicode MS"/>
          <w:b/>
          <w:bCs/>
          <w:color w:val="auto"/>
          <w:sz w:val="24"/>
          <w:szCs w:val="24"/>
          <w:highlight w:val="none"/>
          <w:lang w:val="en-US" w:eastAsia="zh-CN"/>
        </w:rPr>
        <w:t>承包方</w:t>
      </w:r>
      <w:r>
        <w:rPr>
          <w:rFonts w:hint="eastAsia" w:ascii="Arial Unicode MS" w:hAnsi="Arial Unicode MS" w:eastAsia="Arial Unicode MS" w:cs="Arial Unicode MS"/>
          <w:b/>
          <w:bCs/>
          <w:color w:val="auto"/>
          <w:sz w:val="24"/>
          <w:szCs w:val="24"/>
          <w:highlight w:val="none"/>
        </w:rPr>
        <w:t>不良记录纳入建筑市场信用信息管理系统。</w:t>
      </w:r>
    </w:p>
    <w:p w14:paraId="684B49C0">
      <w:pPr>
        <w:pStyle w:val="416"/>
        <w:pageBreakBefore w:val="0"/>
        <w:kinsoku/>
        <w:overflowPunct/>
        <w:topLinePunct w:val="0"/>
        <w:bidi w:val="0"/>
        <w:spacing w:line="400" w:lineRule="exact"/>
        <w:ind w:firstLine="480" w:firstLineChars="200"/>
        <w:jc w:val="left"/>
        <w:rPr>
          <w:rFonts w:hint="eastAsia" w:ascii="Arial Unicode MS" w:hAnsi="Arial Unicode MS" w:eastAsia="Arial Unicode MS" w:cs="Arial Unicode MS"/>
          <w:b/>
          <w:bCs/>
          <w:color w:val="auto"/>
          <w:sz w:val="24"/>
          <w:szCs w:val="24"/>
          <w:highlight w:val="none"/>
        </w:rPr>
      </w:pPr>
      <w:r>
        <w:rPr>
          <w:rFonts w:hint="eastAsia" w:ascii="Arial Unicode MS" w:hAnsi="Arial Unicode MS" w:eastAsia="Arial Unicode MS" w:cs="Arial Unicode MS"/>
          <w:b/>
          <w:bCs/>
          <w:color w:val="auto"/>
          <w:sz w:val="24"/>
          <w:szCs w:val="24"/>
          <w:highlight w:val="none"/>
        </w:rPr>
        <w:t>8）承包人不得以任何理由迟缓工程建设，如承包方不主动作为，不推进工程进度，造成项目无法按时竣工投入使用，影响学校正常教学秩序，发包人有权将</w:t>
      </w:r>
      <w:r>
        <w:rPr>
          <w:rFonts w:hint="eastAsia" w:ascii="Arial Unicode MS" w:hAnsi="Arial Unicode MS" w:eastAsia="Arial Unicode MS" w:cs="Arial Unicode MS"/>
          <w:b/>
          <w:bCs/>
          <w:color w:val="auto"/>
          <w:sz w:val="24"/>
          <w:szCs w:val="24"/>
          <w:highlight w:val="none"/>
          <w:lang w:val="en-US" w:eastAsia="zh-CN"/>
        </w:rPr>
        <w:t>承包</w:t>
      </w:r>
      <w:r>
        <w:rPr>
          <w:rFonts w:hint="eastAsia" w:ascii="Arial Unicode MS" w:hAnsi="Arial Unicode MS" w:eastAsia="Arial Unicode MS" w:cs="Arial Unicode MS"/>
          <w:b/>
          <w:bCs/>
          <w:color w:val="auto"/>
          <w:sz w:val="24"/>
          <w:szCs w:val="24"/>
          <w:highlight w:val="none"/>
        </w:rPr>
        <w:t>人纳入黑名单，</w:t>
      </w:r>
      <w:r>
        <w:rPr>
          <w:rFonts w:hint="eastAsia" w:ascii="Arial Unicode MS" w:hAnsi="Arial Unicode MS" w:eastAsia="Arial Unicode MS" w:cs="Arial Unicode MS"/>
          <w:b/>
          <w:bCs/>
          <w:color w:val="auto"/>
          <w:sz w:val="24"/>
          <w:szCs w:val="24"/>
          <w:highlight w:val="none"/>
          <w:lang w:val="en-US" w:eastAsia="zh-CN"/>
        </w:rPr>
        <w:t>五</w:t>
      </w:r>
      <w:r>
        <w:rPr>
          <w:rFonts w:hint="eastAsia" w:ascii="Arial Unicode MS" w:hAnsi="Arial Unicode MS" w:eastAsia="Arial Unicode MS" w:cs="Arial Unicode MS"/>
          <w:b/>
          <w:bCs/>
          <w:color w:val="auto"/>
          <w:sz w:val="24"/>
          <w:szCs w:val="24"/>
          <w:highlight w:val="none"/>
        </w:rPr>
        <w:t>年内不得参与包括但不限于港口区教育系统的基建项目工程承包活动。</w:t>
      </w:r>
    </w:p>
    <w:p w14:paraId="748BBD8A">
      <w:pPr>
        <w:pStyle w:val="416"/>
        <w:pageBreakBefore w:val="0"/>
        <w:kinsoku/>
        <w:overflowPunct/>
        <w:topLinePunct w:val="0"/>
        <w:bidi w:val="0"/>
        <w:spacing w:line="400" w:lineRule="exact"/>
        <w:ind w:firstLine="480" w:firstLineChars="200"/>
        <w:jc w:val="left"/>
        <w:rPr>
          <w:rFonts w:hint="default" w:ascii="宋体" w:hAnsi="宋体" w:eastAsia="宋体" w:cs="宋体"/>
          <w:b/>
          <w:bCs/>
          <w:color w:val="auto"/>
          <w:sz w:val="24"/>
          <w:szCs w:val="24"/>
          <w:highlight w:val="none"/>
          <w:lang w:val="en-US" w:eastAsia="zh-CN"/>
        </w:rPr>
      </w:pPr>
      <w:r>
        <w:rPr>
          <w:rFonts w:hint="eastAsia" w:ascii="Arial Unicode MS" w:hAnsi="Arial Unicode MS" w:eastAsia="Arial Unicode MS" w:cs="Arial Unicode MS"/>
          <w:b/>
          <w:bCs/>
          <w:color w:val="auto"/>
          <w:sz w:val="24"/>
          <w:szCs w:val="24"/>
          <w:highlight w:val="none"/>
          <w:lang w:val="en-US" w:eastAsia="zh-CN"/>
        </w:rPr>
        <w:t>9）承包方要按时足额支付人工工资。因承包方原因拖欠人工工资的，一经发现，</w:t>
      </w:r>
      <w:r>
        <w:rPr>
          <w:rFonts w:hint="eastAsia" w:ascii="Arial Unicode MS" w:hAnsi="Arial Unicode MS" w:eastAsia="Arial Unicode MS" w:cs="Arial Unicode MS"/>
          <w:b/>
          <w:bCs/>
          <w:color w:val="auto"/>
          <w:sz w:val="24"/>
          <w:szCs w:val="24"/>
          <w:highlight w:val="none"/>
        </w:rPr>
        <w:t>发包人有权将</w:t>
      </w:r>
      <w:r>
        <w:rPr>
          <w:rFonts w:hint="eastAsia" w:ascii="Arial Unicode MS" w:hAnsi="Arial Unicode MS" w:eastAsia="Arial Unicode MS" w:cs="Arial Unicode MS"/>
          <w:b/>
          <w:bCs/>
          <w:color w:val="auto"/>
          <w:sz w:val="24"/>
          <w:szCs w:val="24"/>
          <w:highlight w:val="none"/>
          <w:lang w:val="en-US" w:eastAsia="zh-CN"/>
        </w:rPr>
        <w:t>承包</w:t>
      </w:r>
      <w:r>
        <w:rPr>
          <w:rFonts w:hint="eastAsia" w:ascii="Arial Unicode MS" w:hAnsi="Arial Unicode MS" w:eastAsia="Arial Unicode MS" w:cs="Arial Unicode MS"/>
          <w:b/>
          <w:bCs/>
          <w:color w:val="auto"/>
          <w:sz w:val="24"/>
          <w:szCs w:val="24"/>
          <w:highlight w:val="none"/>
        </w:rPr>
        <w:t>人纳入黑名单，</w:t>
      </w:r>
      <w:r>
        <w:rPr>
          <w:rFonts w:hint="eastAsia" w:ascii="Arial Unicode MS" w:hAnsi="Arial Unicode MS" w:eastAsia="Arial Unicode MS" w:cs="Arial Unicode MS"/>
          <w:b/>
          <w:bCs/>
          <w:color w:val="auto"/>
          <w:sz w:val="24"/>
          <w:szCs w:val="24"/>
          <w:highlight w:val="none"/>
          <w:lang w:val="en-US" w:eastAsia="zh-CN"/>
        </w:rPr>
        <w:t>五</w:t>
      </w:r>
      <w:r>
        <w:rPr>
          <w:rFonts w:hint="eastAsia" w:ascii="Arial Unicode MS" w:hAnsi="Arial Unicode MS" w:eastAsia="Arial Unicode MS" w:cs="Arial Unicode MS"/>
          <w:b/>
          <w:bCs/>
          <w:color w:val="auto"/>
          <w:sz w:val="24"/>
          <w:szCs w:val="24"/>
          <w:highlight w:val="none"/>
        </w:rPr>
        <w:t>年内不得参与包括但不限于港口区教育系统的基建项目工程承包活动</w:t>
      </w:r>
      <w:r>
        <w:rPr>
          <w:rFonts w:hint="eastAsia" w:ascii="Arial Unicode MS" w:hAnsi="Arial Unicode MS" w:eastAsia="Arial Unicode MS" w:cs="Arial Unicode MS"/>
          <w:b/>
          <w:bCs/>
          <w:color w:val="auto"/>
          <w:sz w:val="24"/>
          <w:szCs w:val="24"/>
          <w:highlight w:val="none"/>
          <w:lang w:eastAsia="zh-CN"/>
        </w:rPr>
        <w:t>，</w:t>
      </w:r>
      <w:r>
        <w:rPr>
          <w:rFonts w:hint="eastAsia" w:ascii="Arial Unicode MS" w:hAnsi="Arial Unicode MS" w:eastAsia="Arial Unicode MS" w:cs="Arial Unicode MS"/>
          <w:b/>
          <w:bCs/>
          <w:color w:val="auto"/>
          <w:sz w:val="24"/>
          <w:szCs w:val="24"/>
          <w:highlight w:val="none"/>
        </w:rPr>
        <w:t>并由发包人将其违约行为</w:t>
      </w:r>
      <w:r>
        <w:rPr>
          <w:rFonts w:hint="eastAsia" w:ascii="Arial Unicode MS" w:hAnsi="Arial Unicode MS" w:eastAsia="Arial Unicode MS" w:cs="Arial Unicode MS"/>
          <w:b/>
          <w:bCs/>
          <w:color w:val="auto"/>
          <w:sz w:val="24"/>
          <w:szCs w:val="24"/>
          <w:highlight w:val="none"/>
          <w:lang w:val="en-US" w:eastAsia="zh-CN"/>
        </w:rPr>
        <w:t>告知</w:t>
      </w:r>
      <w:r>
        <w:rPr>
          <w:rFonts w:hint="eastAsia" w:ascii="Arial Unicode MS" w:hAnsi="Arial Unicode MS" w:eastAsia="Arial Unicode MS" w:cs="Arial Unicode MS"/>
          <w:b/>
          <w:bCs/>
          <w:color w:val="auto"/>
          <w:sz w:val="24"/>
          <w:szCs w:val="24"/>
          <w:highlight w:val="none"/>
        </w:rPr>
        <w:t>防城港市港口区住房和城乡建设局，作为</w:t>
      </w:r>
      <w:r>
        <w:rPr>
          <w:rFonts w:hint="eastAsia" w:ascii="Arial Unicode MS" w:hAnsi="Arial Unicode MS" w:eastAsia="Arial Unicode MS" w:cs="Arial Unicode MS"/>
          <w:b/>
          <w:bCs/>
          <w:color w:val="auto"/>
          <w:sz w:val="24"/>
          <w:szCs w:val="24"/>
          <w:highlight w:val="none"/>
          <w:lang w:val="en-US" w:eastAsia="zh-CN"/>
        </w:rPr>
        <w:t>承包方</w:t>
      </w:r>
      <w:r>
        <w:rPr>
          <w:rFonts w:hint="eastAsia" w:ascii="Arial Unicode MS" w:hAnsi="Arial Unicode MS" w:eastAsia="Arial Unicode MS" w:cs="Arial Unicode MS"/>
          <w:b/>
          <w:bCs/>
          <w:color w:val="auto"/>
          <w:sz w:val="24"/>
          <w:szCs w:val="24"/>
          <w:highlight w:val="none"/>
        </w:rPr>
        <w:t>不良记录纳入建筑市场信用信息管理系统。</w:t>
      </w:r>
    </w:p>
    <w:p w14:paraId="0947212D">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（2）承包人违约责任的承担方式：</w:t>
      </w:r>
    </w:p>
    <w:p w14:paraId="3157A1B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1）承包人未按本合同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第16.2.1项中（2）、（3）、（11）、（12）、（17）条内容完成的，承包人无条件返工处理，修复至工程质量要求并承担相关费用，并在发包人规定的时间内完成返工，否则发包人有权扣罚该分项工程</w:t>
      </w:r>
      <w:r>
        <w:rPr>
          <w:rFonts w:hint="eastAsia" w:ascii="宋体" w:hAnsi="宋体" w:cs="宋体"/>
          <w:color w:val="auto"/>
          <w:sz w:val="22"/>
          <w:szCs w:val="22"/>
          <w:highlight w:val="none"/>
          <w:u w:val="single"/>
        </w:rPr>
        <w:t>10%</w:t>
      </w:r>
      <w:r>
        <w:rPr>
          <w:rFonts w:hint="eastAsia" w:ascii="宋体" w:hAnsi="宋体" w:cs="宋体"/>
          <w:color w:val="auto"/>
          <w:sz w:val="22"/>
          <w:szCs w:val="22"/>
          <w:highlight w:val="none"/>
        </w:rPr>
        <w:t>的工程款作为处罚。</w:t>
      </w:r>
    </w:p>
    <w:p w14:paraId="1E99982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2）承包人有本合同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第16.2.1（6）、（13）条情形的，或经监理人检验认为修复质量不合格而承包人拒绝再进行修补的，发包人将扣除承包人全部质量保修金。</w:t>
      </w:r>
    </w:p>
    <w:p w14:paraId="3BE13BFD">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承包人有本专用合同条款3.2、3.3条违约责任的，发包人有权扣除承包人的违约金。违约金金额均在计量支付款内扣除。监理人预先下发含有罚款意向的指令，如承包人不及时采取措施纠正，则在指令下达后十五天下发罚款通知书（不再陈述罚款理由）。</w:t>
      </w:r>
    </w:p>
    <w:p w14:paraId="075ACAEC">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承包人有本专用合同条款3.2、3.3条违约责任的，发包人有权扣除承包人的违约金。承包人在合同期内，完成合同约定的全部工程，且质量合格，在本工程施工竣工验收后十五天内可申请返还一半罚款，返还金额由监理人审核，发包人批准；其余罚款(违约金)不得返还。罚款(违约金)返还时不包括银行利息。</w:t>
      </w:r>
    </w:p>
    <w:p w14:paraId="6A6493A6">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b/>
          <w:color w:val="auto"/>
          <w:sz w:val="22"/>
          <w:szCs w:val="22"/>
          <w:highlight w:val="none"/>
        </w:rPr>
        <w:t xml:space="preserve">增加承包人违约金计算方法： </w:t>
      </w:r>
    </w:p>
    <w:p w14:paraId="3502A384">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1）、解除合同的撤场规定</w:t>
      </w:r>
    </w:p>
    <w:p w14:paraId="44AD7779">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每逾期一天撤场，承包人应向发包人支付违约金10万元。</w:t>
      </w:r>
    </w:p>
    <w:p w14:paraId="4EABFA57">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2）、承包人违约金的支付情形及标准</w:t>
      </w:r>
    </w:p>
    <w:p w14:paraId="0A61A868">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承包人应当支付违约金的情形包括但不限于：</w:t>
      </w:r>
    </w:p>
    <w:p w14:paraId="42208FA2">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承包人违反上述约定，将合同的全部或部分合同工作非法转包或违法分包给其他人，或私自将合同的全部或部分权利或义务转移给其他人，发包人有权解除合同并有权要求承包人支付转包或违法分包合同价款</w:t>
      </w:r>
      <w:r>
        <w:rPr>
          <w:rFonts w:hint="eastAsia" w:ascii="宋体" w:hAnsi="宋体" w:cs="宋体"/>
          <w:color w:val="auto"/>
          <w:sz w:val="22"/>
          <w:szCs w:val="22"/>
          <w:highlight w:val="none"/>
          <w:u w:val="single"/>
        </w:rPr>
        <w:t>10%</w:t>
      </w:r>
      <w:r>
        <w:rPr>
          <w:rFonts w:hint="eastAsia" w:ascii="宋体" w:hAnsi="宋体" w:cs="宋体"/>
          <w:color w:val="auto"/>
          <w:sz w:val="22"/>
          <w:szCs w:val="22"/>
          <w:highlight w:val="none"/>
        </w:rPr>
        <w:t>的违约金。</w:t>
      </w:r>
    </w:p>
    <w:p w14:paraId="44EC7AC3">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上述约定使用了不合格的材料或工程设备又拒绝清除不合格的材料或工程设备，或因使用了不合格的材料或工程设备导致工程质量达不到标准要求又拒绝清除或修复不合格工程，每发生一次，承包人应向发包人支付1万元违约金。</w:t>
      </w:r>
    </w:p>
    <w:p w14:paraId="12D62C3D">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将工程预付款、进度款以及发包人支付用于本项目的其他费用挪作他用，每发现一次，承包人应当向发包人支付10万元违约金。</w:t>
      </w:r>
    </w:p>
    <w:p w14:paraId="085D9EB9">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违反上述约定，未经监理人批准，私自将已进入施工场地的施工设备、临时设施或材料设备撤离施工场地或将材料设备用于其它工程项目的，每发现一次，发包人有权要求承包人向发包人支付1万元违约金。</w:t>
      </w:r>
    </w:p>
    <w:p w14:paraId="0013A979">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擅自更换项目经理、技术负责人或其他主要管理人员的，应当向发包人支付违约金；未经发包人书面同意，承包人未按磋商文件确定的人员向本工程派驻项目经理（或技术负责人、其它主要管理人员）的或项目经理（或技术负责人类、其它主要管理人员）每季度实际在场时间少于规定时间累计达22天的，视为承包人擅自更换项目经理（或技术负责人、其它主要管理人员）。其中，擅自更换项目经理违约金为人民币30万元/人/次，擅自更换技术负责人的违约金为人民币30万元/人/次，擅自更换其它主要管理人员的违约金为人民币10万元/人/次。发包人同意（或要求）更换项目总工程师、施工负责人的，发包人将向承包人扣罚10万元违约金。</w:t>
      </w:r>
    </w:p>
    <w:p w14:paraId="3C6401BC">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承包人违反上述约定使用了不合格的材料或工程设备或工程质量达不到标准要求等造成安全质量事故，每发生一次，承包人应向发包人支付10万元违约金。</w:t>
      </w:r>
    </w:p>
    <w:p w14:paraId="726A10BB">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合同工程第一次验收不合格，承包人应向发包人支付数额不低于签约合同价0.1%的违约金，该约定的违约金不能弥补实际损失的，承包人应补充赔偿不足部分。如第二次仍验收不合格的，承包人还应再次向发包人支付数额不低于签约合同价2%的违约金。</w:t>
      </w:r>
    </w:p>
    <w:p w14:paraId="7B3C6EFC">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承包人拒绝执行发包人或监理人发出的关于本工程的指令，承包人应当向发包人支付违约金1万元/次。</w:t>
      </w:r>
    </w:p>
    <w:p w14:paraId="3CA49C44">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若发包人或监理人发现未经验收或验收不合格，承包人擅自进行隐蔽工程覆盖或其他工程下一道工序的施工，或验收合格后到隐蔽施工前对通过隐蔽验收的合格部分有任何改动，每发现一处，承包人应向发包人支付违约金20万元/处，且承包人必须拆除重建，因此支出的费用及造成的工期延误责任均由承包人承担。</w:t>
      </w:r>
    </w:p>
    <w:p w14:paraId="30EF1022">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承包人在缺陷责任期内，未能对缺陷责任期内发生的缺陷进行修复而又拒绝按发包人或监理人指示再进行修补或同一部位出现二次以上维修的，每发生一次，承包人应向发包人支付1万元违约金。</w:t>
      </w:r>
    </w:p>
    <w:p w14:paraId="1E8F181D">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承包人未经发包人同意的暂停施工的违约金：每停工一天，应按照签约合同价的千分之一向发包人支付违约金。</w:t>
      </w:r>
    </w:p>
    <w:p w14:paraId="029733E9">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在施工现场内或因承包人原因或因承包人的分包人原因或因供应商原因发生伤亡事故的，承包人按照重伤一人5万元、死亡一人100万元的标准向发包人支付违约金。</w:t>
      </w:r>
    </w:p>
    <w:p w14:paraId="489C71D5">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发生承包人知识产权侵权事故后，承包人未按约定的时间进行处理，每发生一次，承包人应当向发包人支付违约金100万元，发包人有权自行处理有关纠纷，发包人因此遭受的赔偿、损害、费用及损失，发包人有权从签约合同价中直接扣回。</w:t>
      </w:r>
    </w:p>
    <w:p w14:paraId="4A5602BD">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出现承包人、承包人的分包人或供应商的人员通过非理性行为（包括但不限于自伤、自残、自杀行为、阻塞交通、阻碍施工管理、围堵、攻击发包人（包括但不限于与发包人有正常业务往来）的人员、车辆、办公场所、静坐、游行等各种有碍发包人正常工作秩序、生活秩序和声誉的行为）向发包人施加压力的，按照下列标准向发包人支付违约金：</w:t>
      </w:r>
    </w:p>
    <w:p w14:paraId="045E1728">
      <w:pPr>
        <w:pStyle w:val="416"/>
        <w:pageBreakBefore w:val="0"/>
        <w:numPr>
          <w:ilvl w:val="0"/>
          <w:numId w:val="0"/>
        </w:numPr>
        <w:kinsoku/>
        <w:overflowPunct/>
        <w:topLinePunct w:val="0"/>
        <w:bidi w:val="0"/>
        <w:spacing w:line="400" w:lineRule="exact"/>
        <w:ind w:left="420" w:left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①</w:t>
      </w:r>
      <w:r>
        <w:rPr>
          <w:rFonts w:hint="eastAsia" w:ascii="宋体" w:hAnsi="宋体" w:cs="宋体"/>
          <w:color w:val="auto"/>
          <w:sz w:val="22"/>
          <w:szCs w:val="22"/>
          <w:highlight w:val="none"/>
        </w:rPr>
        <w:t>现3</w:t>
      </w:r>
      <w:r>
        <w:rPr>
          <w:rFonts w:hint="eastAsia" w:ascii="宋体" w:hAnsi="宋体" w:cs="宋体"/>
          <w:color w:val="auto"/>
          <w:sz w:val="22"/>
          <w:szCs w:val="22"/>
          <w:highlight w:val="none"/>
        </w:rPr>
        <w:t>人以下的人员参与的非理性行为，承包人每次向发包人支付违约金5万元；</w:t>
      </w:r>
    </w:p>
    <w:p w14:paraId="753E6998">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②出现3人以上10人以下的人员参与的非理性行为，承包人每次向发包人支付违约金30万元；</w:t>
      </w:r>
    </w:p>
    <w:p w14:paraId="1B24CB02">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③出现10人以上的大规模的非理性行为且未出现严重后果的，承包人每次向发包人支付违约金50万元；</w:t>
      </w:r>
    </w:p>
    <w:p w14:paraId="30076B2E">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④无论人数的多少但造成严重后果(指有下列情形之一：被新闻媒体负面报道、或被政府通报、或发生人员死亡、重伤，或发生重大财产损失，或其它造成恶劣社会影响)的非理性行为，承包人除每次应向发包人支付违约金100万元外，还应按本合同的其他约定承担相应的责任；</w:t>
      </w:r>
    </w:p>
    <w:p w14:paraId="1315732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⑤与本项目有关的承包人的人员（或与本项目有关的承包人的人员指使其他人）出现打架斗殴的行为时，无论人数的多少，承包人除每次应向发包人支付违约金50万元外，还应按本合同的其他约定或国家法律法规承担相应的责任。</w:t>
      </w:r>
    </w:p>
    <w:p w14:paraId="20833214">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承包人的项目经理及技术负责人签署的文件和资料不得代签，一经发现，监理人和发包人有权拒收并视为承包人违约，承包人每次向发包人支付违约金10万元。</w:t>
      </w:r>
    </w:p>
    <w:p w14:paraId="6467BFF4">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不履行或不全面履行总承包管理与配合服务的责任和义务，或监理人接到各分包工程承包人对承包人管理配合服务不到位的投诉，经监理人和发包人确认，发包人有权暂扣施工总承包服务费直至监理人和发包人满意。</w:t>
      </w:r>
    </w:p>
    <w:p w14:paraId="28A63270">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承包人未按照法律法规、政府要求、发包人要求、承包人的施工组织设计采取安全文明施工措施的，应负责整改，并且每发现一次，应向发包人支付违约金1000元。</w:t>
      </w:r>
    </w:p>
    <w:p w14:paraId="5F286F5B">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未经发包人许可，各类挖掘机、汽车、搅拌站、砼输送泵、塔吊等主要施工设备未按时进场，或承包人未按监理人或发包人书面要求的时间增加或更换施工设备，则每台机械每延误一天，承包人应向发包人支付违约金1000元。</w:t>
      </w:r>
    </w:p>
    <w:p w14:paraId="6EA0E0C3">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承包人违反合同的违约金：</w:t>
      </w:r>
    </w:p>
    <w:p w14:paraId="7DF033EA">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 被当地政府部门勒令停工整顿的，以实际停工的天数，每天1万元的标准向发包人支付违约金；</w:t>
      </w:r>
    </w:p>
    <w:p w14:paraId="1F61640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②被新闻媒体曝光给工程或发包人带来负面影响、经济损失的，每被曝光一次10万元；</w:t>
      </w:r>
    </w:p>
    <w:p w14:paraId="29380866">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③承包人及其分包人的行为，根据现场例会确定或现场管理规定检查，应当接受处罚的，相应的处罚额即为违约金。</w:t>
      </w:r>
    </w:p>
    <w:p w14:paraId="676014A8">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若承包人的劳务人员投入不足，每违约一天，承包人应按照每天100 元/人的标准向发包人支付违约金。</w:t>
      </w:r>
    </w:p>
    <w:p w14:paraId="766E7007">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提交的价款调整、计量、结算及其价款支付请求高估冒算的，或对分包合同的价款调整、计量和结算及其价款支付请求审核不力的，如承包人的申报或对分包/分供的审核额与经发包人最终核定额超过5%时，超出部分按10%计算违约金。</w:t>
      </w:r>
    </w:p>
    <w:p w14:paraId="468B30BD">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未按期提交竣工结算报告文件和相应的支持文件结算，每逾期一天，应按照签约合同价的0.1%向发包人支付违约金。</w:t>
      </w:r>
    </w:p>
    <w:p w14:paraId="129CDF1B">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承包人未按约定的时间进行竣工清场或承包人未按约定的时间将工程或资料移交给发包人，每逾期一天，应按照签约合同价的0.1%向发包人支付违约金。</w:t>
      </w:r>
    </w:p>
    <w:p w14:paraId="2362F37D">
      <w:pPr>
        <w:pStyle w:val="416"/>
        <w:pageBreakBefore w:val="0"/>
        <w:numPr>
          <w:ilvl w:val="0"/>
          <w:numId w:val="14"/>
        </w:numPr>
        <w:kinsoku/>
        <w:overflowPunct/>
        <w:topLinePunct w:val="0"/>
        <w:bidi w:val="0"/>
        <w:spacing w:line="40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若承包人发生廉政违纪行为时，向发包人支付违约金每次10万元或按相关协议执行。</w:t>
      </w:r>
    </w:p>
    <w:p w14:paraId="34C84649">
      <w:pPr>
        <w:pStyle w:val="416"/>
        <w:pageBreakBefore w:val="0"/>
        <w:numPr>
          <w:ilvl w:val="0"/>
          <w:numId w:val="14"/>
        </w:numPr>
        <w:kinsoku/>
        <w:overflowPunct/>
        <w:topLinePunct w:val="0"/>
        <w:bidi w:val="0"/>
        <w:spacing w:line="400" w:lineRule="exact"/>
        <w:ind w:left="0" w:firstLine="442" w:firstLineChars="200"/>
        <w:rPr>
          <w:rFonts w:hint="eastAsia" w:ascii="宋体" w:hAnsi="宋体" w:cs="宋体"/>
          <w:b/>
          <w:color w:val="auto"/>
          <w:kern w:val="0"/>
          <w:sz w:val="22"/>
          <w:szCs w:val="22"/>
          <w:highlight w:val="none"/>
        </w:rPr>
      </w:pPr>
      <w:r>
        <w:rPr>
          <w:rFonts w:hint="eastAsia" w:ascii="宋体" w:hAnsi="宋体" w:cs="宋体"/>
          <w:b/>
          <w:color w:val="auto"/>
          <w:sz w:val="22"/>
          <w:szCs w:val="22"/>
          <w:highlight w:val="none"/>
        </w:rPr>
        <w:t>因承包人原因造成工期延误，逾期竣工违约金的计算方法为：每逾期一天，承包人应向发包人支付违约金</w:t>
      </w:r>
      <w:r>
        <w:rPr>
          <w:rFonts w:hint="eastAsia" w:ascii="宋体" w:hAnsi="宋体" w:cs="宋体"/>
          <w:b/>
          <w:color w:val="auto"/>
          <w:sz w:val="22"/>
          <w:szCs w:val="22"/>
          <w:highlight w:val="none"/>
          <w:lang w:val="en-US" w:eastAsia="zh-CN"/>
        </w:rPr>
        <w:t>1仟</w:t>
      </w:r>
      <w:r>
        <w:rPr>
          <w:rFonts w:hint="eastAsia" w:ascii="宋体" w:hAnsi="宋体" w:cs="宋体"/>
          <w:b/>
          <w:color w:val="auto"/>
          <w:sz w:val="22"/>
          <w:szCs w:val="22"/>
          <w:highlight w:val="none"/>
        </w:rPr>
        <w:t>元。</w:t>
      </w:r>
    </w:p>
    <w:p w14:paraId="2C16CB6C">
      <w:pPr>
        <w:pStyle w:val="416"/>
        <w:pageBreakBefore w:val="0"/>
        <w:kinsoku/>
        <w:overflowPunct/>
        <w:topLinePunct w:val="0"/>
        <w:bidi w:val="0"/>
        <w:spacing w:line="40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（3）尽管本条前面各款有其他规定（供应商在磋商文件中有其他承诺的除外），但</w:t>
      </w:r>
      <w:r>
        <w:rPr>
          <w:rFonts w:hint="eastAsia" w:ascii="宋体" w:hAnsi="宋体" w:cs="宋体"/>
          <w:color w:val="auto"/>
          <w:sz w:val="22"/>
          <w:szCs w:val="22"/>
          <w:highlight w:val="none"/>
        </w:rPr>
        <w:t>逾期竣工违约金</w:t>
      </w:r>
      <w:r>
        <w:rPr>
          <w:rFonts w:hint="eastAsia" w:ascii="宋体" w:hAnsi="宋体" w:cs="宋体"/>
          <w:color w:val="auto"/>
          <w:kern w:val="0"/>
          <w:sz w:val="22"/>
          <w:szCs w:val="22"/>
          <w:highlight w:val="none"/>
        </w:rPr>
        <w:t>累计总量不应超过合同总价的10%；当违约金累计超过10%后，甲方保留进一步索赔或终止合同的权利。如供应商另有承诺的，可叠加处罚。</w:t>
      </w:r>
    </w:p>
    <w:p w14:paraId="252362ED">
      <w:pPr>
        <w:pStyle w:val="416"/>
        <w:pageBreakBefore w:val="0"/>
        <w:kinsoku/>
        <w:overflowPunct/>
        <w:topLinePunct w:val="0"/>
        <w:bidi w:val="0"/>
        <w:spacing w:line="40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16.2.3 因承包人违约解除合同</w:t>
      </w:r>
    </w:p>
    <w:p w14:paraId="62D491F9">
      <w:pPr>
        <w:pStyle w:val="416"/>
        <w:pageBreakBefore w:val="0"/>
        <w:kinsoku/>
        <w:overflowPunct/>
        <w:topLinePunct w:val="0"/>
        <w:bidi w:val="0"/>
        <w:spacing w:line="400" w:lineRule="exact"/>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lang w:eastAsia="zh-CN"/>
        </w:rPr>
        <w:t>通用合同条款</w:t>
      </w:r>
      <w:r>
        <w:rPr>
          <w:rFonts w:hint="eastAsia" w:ascii="宋体" w:hAnsi="宋体" w:cs="宋体"/>
          <w:b/>
          <w:color w:val="auto"/>
          <w:sz w:val="22"/>
          <w:szCs w:val="22"/>
          <w:highlight w:val="none"/>
        </w:rPr>
        <w:t>内容和如下条款有冲突时，以如下条款为准）：</w:t>
      </w:r>
    </w:p>
    <w:p w14:paraId="44292CE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（1）关于承包人违约解除合同的特别约定：</w:t>
      </w:r>
      <w:r>
        <w:rPr>
          <w:rFonts w:hint="eastAsia" w:ascii="宋体" w:hAnsi="宋体" w:cs="宋体"/>
          <w:color w:val="auto"/>
          <w:sz w:val="22"/>
          <w:szCs w:val="22"/>
          <w:highlight w:val="none"/>
          <w:u w:val="single"/>
        </w:rPr>
        <w:t>承包人有违反以下情况之一的，发包人有权解除合同。</w:t>
      </w:r>
    </w:p>
    <w:p w14:paraId="71DC4F8B">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1)承包人无正当理由不按开工通知的要求及时进场组织施工和不按签订协议书时商定的进度计划有效地开展施工准备，造成工期延误的；</w:t>
      </w:r>
    </w:p>
    <w:p w14:paraId="0229DA7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2)承包人违反本合同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第3.5条规定私自将合同或合同的任何部分或任何权利转让给其他人，或私自将工程或工程的一部分分包出去的；</w:t>
      </w:r>
    </w:p>
    <w:p w14:paraId="311E65D9">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3)未经监理人批准，承包人私自将已按磋商文件承诺进入工地的工程设备、施工设备、临时工程或材料撤离工地的；</w:t>
      </w:r>
    </w:p>
    <w:p w14:paraId="3DF08F11">
      <w:pPr>
        <w:pStyle w:val="416"/>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4)由于承包人原因拒绝按合同进度计划及时完成合同约定的工程，而又未采取有效措施赶上进度，造成工期延误的；</w:t>
      </w:r>
    </w:p>
    <w:p w14:paraId="177F5CF7">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5)承包人否认合同有效或拒绝履行合同约定的承包人义务，或由于法律、财务等原因导致承包人无法继续履行或实质上已停止履行合同的义务的；</w:t>
      </w:r>
    </w:p>
    <w:p w14:paraId="582E392A">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6)成交通知书发出之日起三十日内，承包人无法按合同约定及磋商文件的承诺进场经发包人认可的全部人员和机械的；</w:t>
      </w:r>
    </w:p>
    <w:p w14:paraId="304DC0ED">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7）承包人在施工过程中违反国家有关法律、法规的；</w:t>
      </w:r>
    </w:p>
    <w:p w14:paraId="235D9319">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8）承包人明确表示或者以其行为表明不履行合同主要义务的；</w:t>
      </w:r>
    </w:p>
    <w:p w14:paraId="41A75AF1">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9）监理人发出整改通知后，承包人在指定的合理期限内仍不纠正违约行为并致使合同目的不能实现的；</w:t>
      </w:r>
    </w:p>
    <w:p w14:paraId="45A8FC88">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10）承包人未经发包人、监理人事先同意，擅自更换合同工程项目经理、技术负责人或其他主要管理人员；</w:t>
      </w:r>
    </w:p>
    <w:p w14:paraId="5C99A562">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11）无正当理由，出现三次不执行本合同10.2中所述内容的情形的。</w:t>
      </w:r>
    </w:p>
    <w:p w14:paraId="54193B92">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2"/>
          <w:szCs w:val="22"/>
          <w:highlight w:val="none"/>
          <w:u w:val="single"/>
        </w:rPr>
        <w:t>材料按照合同价格或市场价支付承包人，设备根据交付时的新旧程度折价支付承包人，临时工程按照剩余工程占合同总价的比例支付承包人，承包人文件和由承包人或以其名义编制的其他文件的费用免费提供给发包人使用。</w:t>
      </w:r>
    </w:p>
    <w:p w14:paraId="1376CD75">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（2）合同解除后的结算与支付</w:t>
      </w:r>
    </w:p>
    <w:p w14:paraId="58FFBAA7">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1）承包人应在接到合同解除通知后的28天内向监理人和发包人提交全套的已施工/在施工技术文件资料的同时，应提交一份合同解除结算报告文件，包括：</w:t>
      </w:r>
    </w:p>
    <w:p w14:paraId="4F75A144">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 已完成工程量；</w:t>
      </w:r>
    </w:p>
    <w:p w14:paraId="134E0BCA">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 已经验收送抵现场的各类材料、设备清单及其价款；</w:t>
      </w:r>
    </w:p>
    <w:p w14:paraId="333E5B40">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 依据合同承包人认为应由发包人承担的其它费用；</w:t>
      </w:r>
    </w:p>
    <w:p w14:paraId="0EED002D">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④ 支持上述①至③项的证明文件资料。</w:t>
      </w:r>
    </w:p>
    <w:p w14:paraId="543DF727">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2）发包人在收到上述资料后，参照本合同专用条款第14.2款竣工结算的约定计算已完工程价款。</w:t>
      </w:r>
    </w:p>
    <w:p w14:paraId="7EAD9D70">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 合同解除后，由发包人确定承包人实际完成工作的价值，以及承包人已提供的材料、施工设备、工程设备和临时工程等的价值。</w:t>
      </w:r>
    </w:p>
    <w:p w14:paraId="13D1283D">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 合同解除后，发包人应暂停对承包人的一切付款，查清各项付款和已扣款金额，包括承包人应支付的违约金。</w:t>
      </w:r>
    </w:p>
    <w:p w14:paraId="2BBB97E2">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 合同解除后，发包人可按第19.4款的约定向承包人索赔由于解除合同给发包人造成的损失，索赔的金额可在签署结算协议时，在结算额中直接扣除，并保留向承包人继续追索的权利。</w:t>
      </w:r>
    </w:p>
    <w:p w14:paraId="236B483E">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④ 合同双方确认上述往来款项后，签订合同解除结算协议，按结算协议结清全部合同款项。</w:t>
      </w:r>
    </w:p>
    <w:p w14:paraId="005855FC">
      <w:pPr>
        <w:pStyle w:val="416"/>
        <w:pageBreakBefore w:val="0"/>
        <w:kinsoku/>
        <w:overflowPunct/>
        <w:topLinePunct w:val="0"/>
        <w:bidi w:val="0"/>
        <w:snapToGrid w:val="0"/>
        <w:spacing w:line="40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⑤ 发包人和承包人未能就解除合同后的达成一致协议而形成争议的，按第20条的约定办理。</w:t>
      </w:r>
    </w:p>
    <w:p w14:paraId="56257AEE">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（3）解除合同的撤场规定</w:t>
      </w:r>
    </w:p>
    <w:p w14:paraId="3502ADCC">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承包人违约而发包人解除合同的，承包人应在收到解除合同通知后，立即妥善做好已完工程和已购材料设备的保护和移交工作，并在发包人要求的期限内无条件将施工人员及现场的材料设备全部撤离施工现场，承包人撤出施工场地时应遵守第13.6项的约定。每逾期一天撤场，承包人应按专用条款约定的标准向发包人支付违约金，此违约金可在发包人应付或拟付给承包人的任何款项中直接扣除。</w:t>
      </w:r>
    </w:p>
    <w:p w14:paraId="32C91501">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2）如承包人拒不按期撤场或在规定的撤场期限届满后 7 天内仍未完成撤场的，发包人有权自行或委托第三方直接将承包人驱逐出施工现场；届时，发包人可随时变卖承包人在施工现场的施工机械、临时工程和未使用的材料，并直接用变卖的款项冲抵撤场所产生的全部费用，不足部分可在应付或拟付给承包人的任何款项中直接扣除。</w:t>
      </w:r>
    </w:p>
    <w:p w14:paraId="55CD3DB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（4）合同解除后材料设备及相关协议利益的处理</w:t>
      </w:r>
    </w:p>
    <w:p w14:paraId="5F5B16C9">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承包人违约而发包人解除合同，但如果发包人通知将自行或委托第三方继续完成该工程的，承包人则应当按照发包人的指示妥善保管现场已购材料设备及施工装备、临时设施等直至将该等材料设备全部转交发包人或其他第三方，而不得擅自将该等材料设备运出现场。</w:t>
      </w:r>
    </w:p>
    <w:p w14:paraId="4D0B8D74">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协议利益的转让：如发包人决定继续使用承包人租用的施工设备、已订货但未到货的材料设备、临时设施、已采购的服务或其他权益的，发包人有权要求承包人将其为实施合同而签订的工程或劳务分包协议、材料和设备的订货协议、施工设备租赁协议或任何服务协议及利益以原有条件转让给发包人或发包人指定的其他承包人，并在解除合同后的 14 天内，依法办理转让手续，承包人应当全力配合。</w:t>
      </w:r>
    </w:p>
    <w:p w14:paraId="58A3DC89">
      <w:pPr>
        <w:pStyle w:val="416"/>
        <w:pageBreakBefore w:val="0"/>
        <w:kinsoku/>
        <w:overflowPunct/>
        <w:topLinePunct w:val="0"/>
        <w:bidi w:val="0"/>
        <w:spacing w:line="40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3）发包人受让承包人的协议利益并不免除承包人应承担的违约责任，也不影响发包人根据合同约定享有的索赔权利。</w:t>
      </w:r>
    </w:p>
    <w:p w14:paraId="65681708">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379" w:name="_Toc12975961"/>
      <w:bookmarkStart w:id="380" w:name="_Toc395382572"/>
      <w:bookmarkStart w:id="381" w:name="_Toc533432796"/>
      <w:r>
        <w:rPr>
          <w:rFonts w:hint="eastAsia" w:ascii="宋体" w:hAnsi="宋体" w:cs="宋体"/>
          <w:color w:val="auto"/>
          <w:sz w:val="22"/>
          <w:szCs w:val="22"/>
          <w:highlight w:val="none"/>
        </w:rPr>
        <w:t>17. 不可抗力</w:t>
      </w:r>
      <w:bookmarkEnd w:id="379"/>
      <w:bookmarkEnd w:id="380"/>
      <w:bookmarkEnd w:id="381"/>
      <w:r>
        <w:rPr>
          <w:rFonts w:hint="eastAsia" w:ascii="宋体" w:hAnsi="宋体" w:cs="宋体"/>
          <w:color w:val="auto"/>
          <w:sz w:val="22"/>
          <w:szCs w:val="22"/>
          <w:highlight w:val="none"/>
        </w:rPr>
        <w:t xml:space="preserve"> </w:t>
      </w:r>
    </w:p>
    <w:p w14:paraId="7140EEA7">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82" w:name="_Toc12975962"/>
      <w:bookmarkStart w:id="383" w:name="_Toc533432797"/>
      <w:bookmarkStart w:id="384" w:name="_Toc395382573"/>
      <w:r>
        <w:rPr>
          <w:rFonts w:hint="eastAsia" w:ascii="宋体" w:hAnsi="宋体" w:cs="宋体"/>
          <w:color w:val="auto"/>
          <w:sz w:val="22"/>
          <w:szCs w:val="22"/>
          <w:highlight w:val="none"/>
        </w:rPr>
        <w:t>17.1 不可抗力的确认</w:t>
      </w:r>
      <w:bookmarkEnd w:id="382"/>
      <w:bookmarkEnd w:id="383"/>
      <w:bookmarkEnd w:id="384"/>
    </w:p>
    <w:p w14:paraId="317C5D8F">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highlight w:val="none"/>
        </w:rPr>
        <w:t>除通用合同条款约定的不可抗力事件之外，视为不可抗力的其他情形：</w:t>
      </w:r>
      <w:r>
        <w:rPr>
          <w:rFonts w:hint="eastAsia" w:ascii="宋体" w:hAnsi="宋体" w:cs="宋体"/>
          <w:color w:val="auto"/>
          <w:sz w:val="22"/>
          <w:highlight w:val="none"/>
          <w:u w:val="single"/>
        </w:rPr>
        <w:t>地震、海啸、瘟疫、骚乱、戒严、暴动、战争及13级以上台风，但由于承包人及其分包商的雇员的原因引起的骚乱及其他灾难性事件不属于不可抗力</w:t>
      </w:r>
      <w:r>
        <w:rPr>
          <w:rFonts w:hint="eastAsia" w:ascii="宋体" w:hAnsi="宋体" w:cs="宋体"/>
          <w:color w:val="auto"/>
          <w:kern w:val="0"/>
          <w:sz w:val="22"/>
          <w:highlight w:val="none"/>
          <w:u w:val="single"/>
        </w:rPr>
        <w:t>。</w:t>
      </w:r>
    </w:p>
    <w:p w14:paraId="26880645">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85" w:name="_Toc12975963"/>
      <w:bookmarkStart w:id="386" w:name="_Toc533432798"/>
      <w:r>
        <w:rPr>
          <w:rFonts w:hint="eastAsia" w:ascii="宋体" w:hAnsi="宋体" w:cs="宋体"/>
          <w:color w:val="auto"/>
          <w:sz w:val="22"/>
          <w:szCs w:val="22"/>
          <w:highlight w:val="none"/>
        </w:rPr>
        <w:t>17.2不可抗力的通知</w:t>
      </w:r>
      <w:bookmarkEnd w:id="385"/>
      <w:bookmarkEnd w:id="386"/>
    </w:p>
    <w:p w14:paraId="41469C75">
      <w:pPr>
        <w:pStyle w:val="414"/>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不可抗力因素出现，承包人应立即采取措施并向发包人方通报受灾情况，在不可抗力因素引起的损害终止后三日内向发包人报告损失情况和清理、修复的费用。若灾害呈间歇形式继续发生，承包人应每隔三天向发包人报告一次灾害情况，直至灾害结束。发包人应对灾情处理提供必要条件。</w:t>
      </w:r>
    </w:p>
    <w:p w14:paraId="6D04CC49">
      <w:pPr>
        <w:pStyle w:val="414"/>
        <w:pageBreakBefore w:val="0"/>
        <w:kinsoku/>
        <w:overflowPunct/>
        <w:topLinePunct w:val="0"/>
        <w:bidi w:val="0"/>
        <w:spacing w:line="400" w:lineRule="exact"/>
        <w:rPr>
          <w:rFonts w:hint="eastAsia" w:ascii="宋体" w:hAnsi="宋体" w:cs="宋体"/>
          <w:b/>
          <w:bCs/>
          <w:color w:val="auto"/>
          <w:sz w:val="22"/>
          <w:highlight w:val="none"/>
        </w:rPr>
      </w:pPr>
      <w:r>
        <w:rPr>
          <w:rFonts w:hint="eastAsia" w:ascii="宋体" w:hAnsi="宋体" w:cs="宋体"/>
          <w:b/>
          <w:bCs/>
          <w:color w:val="auto"/>
          <w:sz w:val="22"/>
          <w:highlight w:val="none"/>
        </w:rPr>
        <w:t>17.3不可抗力后果的承担</w:t>
      </w:r>
      <w:bookmarkStart w:id="387" w:name="_Toc395382574"/>
    </w:p>
    <w:p w14:paraId="434B872B">
      <w:pPr>
        <w:pStyle w:val="414"/>
        <w:pageBreakBefore w:val="0"/>
        <w:kinsoku/>
        <w:overflowPunct/>
        <w:topLinePunct w:val="0"/>
        <w:bidi w:val="0"/>
        <w:spacing w:line="400" w:lineRule="exact"/>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因灾害发生的费用由双方分别承担，其中：</w:t>
      </w:r>
    </w:p>
    <w:p w14:paraId="66C6B28C">
      <w:pPr>
        <w:pStyle w:val="414"/>
        <w:pageBreakBefore w:val="0"/>
        <w:kinsoku/>
        <w:overflowPunct/>
        <w:topLinePunct w:val="0"/>
        <w:bidi w:val="0"/>
        <w:spacing w:line="40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（1）工程本身的损害由发包人承担；</w:t>
      </w:r>
    </w:p>
    <w:p w14:paraId="22E45753">
      <w:pPr>
        <w:pStyle w:val="414"/>
        <w:pageBreakBefore w:val="0"/>
        <w:kinsoku/>
        <w:overflowPunct/>
        <w:topLinePunct w:val="0"/>
        <w:bidi w:val="0"/>
        <w:spacing w:line="40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（2）人员伤亡由其所属单位负责并承担相应费用；</w:t>
      </w:r>
    </w:p>
    <w:p w14:paraId="31ADC07B">
      <w:pPr>
        <w:pStyle w:val="414"/>
        <w:pageBreakBefore w:val="0"/>
        <w:kinsoku/>
        <w:overflowPunct/>
        <w:topLinePunct w:val="0"/>
        <w:bidi w:val="0"/>
        <w:spacing w:line="40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（3）造成施工现场承包人临时设施损坏和修复费用，由承包人承担；</w:t>
      </w:r>
    </w:p>
    <w:p w14:paraId="7C67793E">
      <w:pPr>
        <w:pStyle w:val="414"/>
        <w:pageBreakBefore w:val="0"/>
        <w:kinsoku/>
        <w:overflowPunct/>
        <w:topLinePunct w:val="0"/>
        <w:bidi w:val="0"/>
        <w:spacing w:line="400" w:lineRule="exac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（4）承包人设备、机械、车辆等现场施工用具及人员停、窝工、机械、设备停置损失，由承包人承担；</w:t>
      </w:r>
    </w:p>
    <w:p w14:paraId="53CB287A">
      <w:pPr>
        <w:pStyle w:val="414"/>
        <w:pageBreakBefore w:val="0"/>
        <w:kinsoku/>
        <w:overflowPunct/>
        <w:topLinePunct w:val="0"/>
        <w:bidi w:val="0"/>
        <w:spacing w:line="400" w:lineRule="exact"/>
        <w:ind w:firstLine="440"/>
        <w:rPr>
          <w:rFonts w:hint="eastAsia" w:ascii="宋体" w:hAnsi="宋体" w:cs="宋体"/>
          <w:color w:val="auto"/>
          <w:kern w:val="0"/>
          <w:sz w:val="22"/>
          <w:highlight w:val="none"/>
        </w:rPr>
      </w:pPr>
      <w:r>
        <w:rPr>
          <w:rFonts w:hint="eastAsia" w:ascii="宋体" w:hAnsi="宋体" w:cs="宋体"/>
          <w:color w:val="auto"/>
          <w:kern w:val="0"/>
          <w:sz w:val="22"/>
          <w:highlight w:val="none"/>
        </w:rPr>
        <w:t>（5）清理、修理工作的责任与费用的承担：由承包人承担。</w:t>
      </w:r>
    </w:p>
    <w:p w14:paraId="3295ACC8">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17.3.2 不可抗力导致的人员伤亡、财产损失、费用增加和（或）工期延误等后果，由合同当事人按以下原则承担：</w:t>
      </w:r>
    </w:p>
    <w:p w14:paraId="346EA5D2">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（1）永久工程、已运至施工现场的甲供材料和甲供的工程设备的损坏，以及因工程损坏造成的第三人人员伤亡和财产损失由发包人承担。已运至施工现场的承包人采购材料的损坏由承包人承担。</w:t>
      </w:r>
    </w:p>
    <w:p w14:paraId="750C6027">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（2）承包人施工设备的损坏由承包人承担。</w:t>
      </w:r>
    </w:p>
    <w:p w14:paraId="4DCCF30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（3）发包人和承包人承担各自人员伤亡和财产的损失。</w:t>
      </w:r>
    </w:p>
    <w:p w14:paraId="39EAA8D3">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（4）因不可抗力影响承包人履行合同约定的义务，已经引起或将引起工期延误的，应当顺延工期，由此导致承包人停工的费用损失由承包人承担，停工期间必须支付的工人工资由承包人承担。</w:t>
      </w:r>
    </w:p>
    <w:p w14:paraId="41C9D5E4">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（5）因不可抗力引起或将引起工期延误，发包人要求赶工的，由此增加的赶工费用由发包人承担。</w:t>
      </w:r>
    </w:p>
    <w:p w14:paraId="58E665C1">
      <w:pPr>
        <w:pStyle w:val="416"/>
        <w:pageBreakBefore w:val="0"/>
        <w:kinsoku/>
        <w:overflowPunct/>
        <w:topLinePunct w:val="0"/>
        <w:bidi w:val="0"/>
        <w:spacing w:line="400" w:lineRule="exact"/>
        <w:ind w:firstLine="440" w:firstLineChars="200"/>
        <w:rPr>
          <w:rFonts w:hint="eastAsia" w:ascii="宋体" w:hAnsi="宋体" w:cs="宋体"/>
          <w:color w:val="auto"/>
          <w:kern w:val="0"/>
          <w:sz w:val="22"/>
          <w:highlight w:val="none"/>
        </w:rPr>
      </w:pPr>
      <w:r>
        <w:rPr>
          <w:rFonts w:hint="eastAsia" w:ascii="宋体" w:hAnsi="宋体" w:cs="宋体"/>
          <w:color w:val="auto"/>
          <w:sz w:val="22"/>
          <w:szCs w:val="22"/>
          <w:highlight w:val="none"/>
        </w:rPr>
        <w:t>（6）承包人在停工期间按照发包人要求照管、清理和修复工程的费用由发包人承担。</w:t>
      </w:r>
    </w:p>
    <w:p w14:paraId="0051EC26">
      <w:pPr>
        <w:pStyle w:val="414"/>
        <w:pageBreakBefore w:val="0"/>
        <w:kinsoku/>
        <w:overflowPunct/>
        <w:topLinePunct w:val="0"/>
        <w:bidi w:val="0"/>
        <w:spacing w:line="400" w:lineRule="exact"/>
        <w:rPr>
          <w:rFonts w:hint="eastAsia" w:ascii="宋体" w:hAnsi="宋体" w:cs="宋体"/>
          <w:b/>
          <w:bCs/>
          <w:color w:val="auto"/>
          <w:sz w:val="22"/>
          <w:highlight w:val="none"/>
        </w:rPr>
      </w:pPr>
      <w:r>
        <w:rPr>
          <w:rFonts w:hint="eastAsia" w:ascii="宋体" w:hAnsi="宋体" w:cs="宋体"/>
          <w:b/>
          <w:bCs/>
          <w:color w:val="auto"/>
          <w:sz w:val="22"/>
          <w:highlight w:val="none"/>
        </w:rPr>
        <w:t>17.4 因不可抗力解除合同</w:t>
      </w:r>
      <w:bookmarkEnd w:id="387"/>
    </w:p>
    <w:p w14:paraId="6065842C">
      <w:pPr>
        <w:pStyle w:val="413"/>
        <w:pageBreakBefore w:val="0"/>
        <w:kinsoku/>
        <w:overflowPunct/>
        <w:topLinePunct w:val="0"/>
        <w:bidi w:val="0"/>
        <w:spacing w:before="0" w:after="0" w:line="400" w:lineRule="exact"/>
        <w:ind w:firstLine="440" w:firstLineChars="200"/>
        <w:rPr>
          <w:rFonts w:hint="eastAsia" w:ascii="宋体" w:hAnsi="宋体" w:cs="宋体"/>
          <w:b w:val="0"/>
          <w:bCs w:val="0"/>
          <w:color w:val="auto"/>
          <w:sz w:val="22"/>
          <w:szCs w:val="22"/>
          <w:highlight w:val="none"/>
        </w:rPr>
      </w:pPr>
      <w:bookmarkStart w:id="388" w:name="_Toc395382575"/>
      <w:bookmarkStart w:id="389" w:name="_Toc533432799"/>
      <w:bookmarkStart w:id="390" w:name="_Toc12975964"/>
      <w:r>
        <w:rPr>
          <w:rFonts w:hint="eastAsia" w:ascii="宋体" w:hAnsi="宋体" w:cs="宋体"/>
          <w:b w:val="0"/>
          <w:bCs w:val="0"/>
          <w:color w:val="auto"/>
          <w:sz w:val="22"/>
          <w:szCs w:val="22"/>
          <w:highlight w:val="none"/>
        </w:rPr>
        <w:t>合同解除后，发包人应在商定或确定发包人应支付款项后</w:t>
      </w:r>
      <w:r>
        <w:rPr>
          <w:rFonts w:hint="eastAsia" w:ascii="宋体" w:hAnsi="宋体" w:cs="宋体"/>
          <w:b w:val="0"/>
          <w:bCs w:val="0"/>
          <w:color w:val="auto"/>
          <w:sz w:val="22"/>
          <w:szCs w:val="22"/>
          <w:highlight w:val="none"/>
          <w:u w:val="single"/>
        </w:rPr>
        <w:t xml:space="preserve">  120   </w:t>
      </w:r>
      <w:r>
        <w:rPr>
          <w:rFonts w:hint="eastAsia" w:ascii="宋体" w:hAnsi="宋体" w:cs="宋体"/>
          <w:b w:val="0"/>
          <w:bCs w:val="0"/>
          <w:color w:val="auto"/>
          <w:sz w:val="22"/>
          <w:szCs w:val="22"/>
          <w:highlight w:val="none"/>
        </w:rPr>
        <w:t>天内完成款项的支付。应支付款项以审计部门出具的审计报告为准。</w:t>
      </w:r>
    </w:p>
    <w:p w14:paraId="4F0DBFC9">
      <w:pPr>
        <w:pStyle w:val="413"/>
        <w:pageBreakBefore w:val="0"/>
        <w:kinsoku/>
        <w:overflowPunct/>
        <w:topLinePunct w:val="0"/>
        <w:bidi w:val="0"/>
        <w:spacing w:before="0" w:after="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 保险</w:t>
      </w:r>
      <w:bookmarkEnd w:id="388"/>
      <w:bookmarkEnd w:id="389"/>
      <w:bookmarkEnd w:id="390"/>
    </w:p>
    <w:p w14:paraId="32358D73">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91" w:name="_Toc395382576"/>
      <w:bookmarkStart w:id="392" w:name="_Toc12975965"/>
      <w:bookmarkStart w:id="393" w:name="_Toc533432800"/>
      <w:r>
        <w:rPr>
          <w:rFonts w:hint="eastAsia" w:ascii="宋体" w:hAnsi="宋体" w:cs="宋体"/>
          <w:color w:val="auto"/>
          <w:sz w:val="22"/>
          <w:szCs w:val="22"/>
          <w:highlight w:val="none"/>
        </w:rPr>
        <w:t>18.1 工程保险</w:t>
      </w:r>
      <w:bookmarkEnd w:id="391"/>
      <w:bookmarkEnd w:id="392"/>
      <w:bookmarkEnd w:id="393"/>
    </w:p>
    <w:p w14:paraId="61C5D9E2">
      <w:pPr>
        <w:pStyle w:val="416"/>
        <w:pageBreakBefore w:val="0"/>
        <w:kinsoku/>
        <w:overflowPunct/>
        <w:topLinePunct w:val="0"/>
        <w:bidi w:val="0"/>
        <w:spacing w:line="400" w:lineRule="exact"/>
        <w:ind w:firstLine="440" w:firstLineChars="200"/>
        <w:jc w:val="left"/>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关于工程保险的特别约定：</w:t>
      </w:r>
      <w:r>
        <w:rPr>
          <w:rFonts w:hint="eastAsia" w:ascii="宋体" w:hAnsi="宋体" w:cs="宋体"/>
          <w:color w:val="auto"/>
          <w:kern w:val="0"/>
          <w:sz w:val="22"/>
          <w:szCs w:val="22"/>
          <w:highlight w:val="none"/>
          <w:u w:val="single"/>
        </w:rPr>
        <w:t xml:space="preserve"> </w:t>
      </w:r>
      <w:r>
        <w:rPr>
          <w:rFonts w:hint="eastAsia" w:ascii="宋体" w:hAnsi="宋体" w:cs="宋体"/>
          <w:b/>
          <w:color w:val="auto"/>
          <w:sz w:val="22"/>
          <w:szCs w:val="22"/>
          <w:highlight w:val="none"/>
          <w:u w:val="single"/>
        </w:rPr>
        <w:t>本项目工程一切险（或安装工程一切险）和第三者责任险由发包人委托承包人投保，费用总价包干，承包人预估费用低于实际费用，不足部分由承包人补齐；因承包人不投保或投保不足造成的损失全部由承包人承担，与发包人无关</w:t>
      </w:r>
      <w:r>
        <w:rPr>
          <w:rFonts w:hint="eastAsia" w:ascii="宋体" w:hAnsi="宋体" w:cs="宋体"/>
          <w:b/>
          <w:color w:val="auto"/>
          <w:kern w:val="0"/>
          <w:sz w:val="22"/>
          <w:szCs w:val="22"/>
          <w:highlight w:val="none"/>
          <w:u w:val="single"/>
        </w:rPr>
        <w:t>。</w:t>
      </w:r>
    </w:p>
    <w:p w14:paraId="542FDAC8">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394" w:name="_Toc533432801"/>
      <w:bookmarkStart w:id="395" w:name="_Toc395382577"/>
      <w:bookmarkStart w:id="396" w:name="_Toc12975966"/>
      <w:r>
        <w:rPr>
          <w:rFonts w:hint="eastAsia" w:ascii="宋体" w:hAnsi="宋体" w:cs="宋体"/>
          <w:color w:val="auto"/>
          <w:sz w:val="22"/>
          <w:szCs w:val="22"/>
          <w:highlight w:val="none"/>
        </w:rPr>
        <w:t>18.3 其他保险</w:t>
      </w:r>
      <w:bookmarkEnd w:id="394"/>
      <w:bookmarkEnd w:id="395"/>
      <w:bookmarkEnd w:id="396"/>
    </w:p>
    <w:p w14:paraId="5957D66E">
      <w:pPr>
        <w:pStyle w:val="414"/>
        <w:pageBreakBefore w:val="0"/>
        <w:kinsoku/>
        <w:overflowPunct/>
        <w:topLinePunct w:val="0"/>
        <w:bidi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关于其他保险的约定：</w:t>
      </w:r>
      <w:r>
        <w:rPr>
          <w:rFonts w:hint="eastAsia" w:ascii="宋体" w:hAnsi="宋体" w:cs="宋体"/>
          <w:bCs/>
          <w:color w:val="auto"/>
          <w:sz w:val="22"/>
          <w:highlight w:val="none"/>
          <w:u w:val="single"/>
        </w:rPr>
        <w:t xml:space="preserve">  承包人必须为施工现场从事施工的作业人员和管理人员办理意外伤害保险，并支付其保费，保险期限为项目建设</w:t>
      </w:r>
      <w:r>
        <w:rPr>
          <w:rFonts w:hint="eastAsia" w:ascii="宋体" w:hAnsi="宋体" w:cs="宋体"/>
          <w:bCs/>
          <w:color w:val="auto"/>
          <w:sz w:val="22"/>
          <w:highlight w:val="none"/>
          <w:u w:val="single"/>
        </w:rPr>
        <w:t>期内</w:t>
      </w:r>
      <w:r>
        <w:rPr>
          <w:rFonts w:hint="eastAsia" w:ascii="宋体" w:hAnsi="宋体" w:cs="宋体"/>
          <w:bCs/>
          <w:color w:val="auto"/>
          <w:sz w:val="22"/>
          <w:highlight w:val="none"/>
          <w:u w:val="single"/>
          <w:lang w:eastAsia="zh-CN"/>
        </w:rPr>
        <w:t>（</w:t>
      </w:r>
      <w:r>
        <w:rPr>
          <w:rFonts w:hint="eastAsia" w:ascii="宋体" w:hAnsi="宋体" w:cs="宋体"/>
          <w:bCs/>
          <w:color w:val="auto"/>
          <w:sz w:val="22"/>
          <w:highlight w:val="none"/>
          <w:u w:val="single"/>
          <w:lang w:val="en-US" w:eastAsia="zh-CN"/>
        </w:rPr>
        <w:t>开工令发出7日内由承包人提供相关凭证</w:t>
      </w:r>
      <w:r>
        <w:rPr>
          <w:rFonts w:hint="eastAsia" w:ascii="宋体" w:hAnsi="宋体" w:cs="宋体"/>
          <w:bCs/>
          <w:color w:val="auto"/>
          <w:sz w:val="22"/>
          <w:highlight w:val="none"/>
          <w:u w:val="single"/>
          <w:lang w:eastAsia="zh-CN"/>
        </w:rPr>
        <w:t>）</w:t>
      </w:r>
      <w:r>
        <w:rPr>
          <w:rFonts w:hint="eastAsia" w:ascii="宋体" w:hAnsi="宋体" w:cs="宋体"/>
          <w:bCs/>
          <w:color w:val="auto"/>
          <w:sz w:val="22"/>
          <w:highlight w:val="none"/>
        </w:rPr>
        <w:t>。</w:t>
      </w:r>
    </w:p>
    <w:p w14:paraId="7A736519">
      <w:pPr>
        <w:pStyle w:val="414"/>
        <w:pageBreakBefore w:val="0"/>
        <w:kinsoku/>
        <w:overflowPunct/>
        <w:topLinePunct w:val="0"/>
        <w:bidi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cs="宋体"/>
          <w:color w:val="auto"/>
          <w:sz w:val="22"/>
          <w:highlight w:val="none"/>
        </w:rPr>
        <w:t>承包人是否应为其施工设备等办理财产保险：</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u w:val="single"/>
        </w:rPr>
        <w:t xml:space="preserve">承包人自行考虑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bookmarkStart w:id="397" w:name="_Toc513041358"/>
      <w:bookmarkStart w:id="398" w:name="_Toc54862578"/>
      <w:bookmarkStart w:id="399" w:name="_Toc529202612"/>
    </w:p>
    <w:p w14:paraId="26B22434">
      <w:pPr>
        <w:pStyle w:val="417"/>
        <w:pageBreakBefore w:val="0"/>
        <w:kinsoku/>
        <w:overflowPunct/>
        <w:topLinePunct w:val="0"/>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18.6未按约定投保的补救</w:t>
      </w:r>
      <w:bookmarkEnd w:id="397"/>
      <w:bookmarkEnd w:id="398"/>
      <w:bookmarkEnd w:id="399"/>
    </w:p>
    <w:p w14:paraId="09693F19">
      <w:pPr>
        <w:pStyle w:val="416"/>
        <w:pageBreakBefore w:val="0"/>
        <w:kinsoku/>
        <w:overflowPunct/>
        <w:topLinePunct w:val="0"/>
        <w:bidi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18.6.1投保工程保险产生的相关费用包含在本合同中，费用总价包干，承包人可以自主决定本项目是否办理</w:t>
      </w:r>
      <w:r>
        <w:rPr>
          <w:rFonts w:hint="eastAsia" w:ascii="宋体" w:hAnsi="宋体" w:cs="宋体"/>
          <w:b/>
          <w:color w:val="auto"/>
          <w:sz w:val="22"/>
          <w:szCs w:val="22"/>
          <w:highlight w:val="none"/>
          <w:u w:val="single"/>
        </w:rPr>
        <w:t>建筑工程一切险（或安装工程一切险）和第三者责任险</w:t>
      </w:r>
      <w:r>
        <w:rPr>
          <w:rFonts w:hint="eastAsia" w:ascii="宋体" w:hAnsi="宋体" w:cs="宋体"/>
          <w:color w:val="auto"/>
          <w:sz w:val="22"/>
          <w:szCs w:val="22"/>
          <w:highlight w:val="none"/>
        </w:rPr>
        <w:t>。但由于承包人的原因，造成未按合同约定办理保险，或未能使保险持续有效的，导致损失未能得到足额赔偿的，由承包人负责补足。</w:t>
      </w:r>
    </w:p>
    <w:p w14:paraId="32091FEB">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400" w:name="_Toc395382578"/>
      <w:bookmarkStart w:id="401" w:name="_Toc12975967"/>
      <w:bookmarkStart w:id="402" w:name="_Toc533432802"/>
      <w:r>
        <w:rPr>
          <w:rFonts w:hint="eastAsia" w:ascii="宋体" w:hAnsi="宋体" w:cs="宋体"/>
          <w:color w:val="auto"/>
          <w:sz w:val="22"/>
          <w:szCs w:val="22"/>
          <w:highlight w:val="none"/>
        </w:rPr>
        <w:t>18.7 通知义务</w:t>
      </w:r>
      <w:bookmarkEnd w:id="400"/>
      <w:bookmarkEnd w:id="401"/>
      <w:bookmarkEnd w:id="402"/>
    </w:p>
    <w:p w14:paraId="1C426598">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关于变更保险合同时的通知义务的约定：</w:t>
      </w:r>
      <w:r>
        <w:rPr>
          <w:rFonts w:hint="eastAsia" w:ascii="宋体" w:hAnsi="宋体" w:cs="宋体"/>
          <w:color w:val="auto"/>
          <w:kern w:val="0"/>
          <w:sz w:val="22"/>
          <w:highlight w:val="none"/>
          <w:u w:val="single"/>
        </w:rPr>
        <w:t>按通用合同条款执行</w:t>
      </w:r>
      <w:r>
        <w:rPr>
          <w:rFonts w:hint="eastAsia" w:ascii="宋体" w:hAnsi="宋体" w:cs="宋体"/>
          <w:color w:val="auto"/>
          <w:sz w:val="22"/>
          <w:highlight w:val="none"/>
        </w:rPr>
        <w:t>。</w:t>
      </w:r>
    </w:p>
    <w:p w14:paraId="32A31A79">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403" w:name="_Toc395382579"/>
      <w:bookmarkStart w:id="404" w:name="_Toc12975968"/>
      <w:bookmarkStart w:id="405" w:name="_Toc533432803"/>
    </w:p>
    <w:p w14:paraId="738BE0B1">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20. 争议解决</w:t>
      </w:r>
      <w:bookmarkEnd w:id="403"/>
      <w:bookmarkEnd w:id="404"/>
      <w:bookmarkEnd w:id="405"/>
    </w:p>
    <w:p w14:paraId="487A2F1D">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406" w:name="_Toc395382580"/>
      <w:bookmarkStart w:id="407" w:name="_Toc12975969"/>
      <w:bookmarkStart w:id="408" w:name="_Toc533432804"/>
      <w:r>
        <w:rPr>
          <w:rFonts w:hint="eastAsia" w:ascii="宋体" w:hAnsi="宋体" w:cs="宋体"/>
          <w:color w:val="auto"/>
          <w:sz w:val="22"/>
          <w:szCs w:val="22"/>
          <w:highlight w:val="none"/>
        </w:rPr>
        <w:t>20.3 争议评审</w:t>
      </w:r>
      <w:bookmarkEnd w:id="406"/>
      <w:bookmarkEnd w:id="407"/>
      <w:bookmarkEnd w:id="408"/>
    </w:p>
    <w:p w14:paraId="202085F4">
      <w:pPr>
        <w:pStyle w:val="414"/>
        <w:pageBreakBefore w:val="0"/>
        <w:kinsoku/>
        <w:overflowPunct/>
        <w:topLinePunct w:val="0"/>
        <w:bidi w:val="0"/>
        <w:spacing w:line="400" w:lineRule="exact"/>
        <w:ind w:firstLine="330" w:firstLineChars="150"/>
        <w:jc w:val="left"/>
        <w:rPr>
          <w:rFonts w:hint="eastAsia" w:ascii="宋体" w:hAnsi="宋体" w:cs="宋体"/>
          <w:color w:val="auto"/>
          <w:sz w:val="22"/>
          <w:highlight w:val="none"/>
          <w:u w:val="single"/>
        </w:rPr>
      </w:pPr>
      <w:r>
        <w:rPr>
          <w:rFonts w:hint="eastAsia" w:ascii="宋体" w:hAnsi="宋体" w:cs="宋体"/>
          <w:color w:val="auto"/>
          <w:sz w:val="22"/>
          <w:highlight w:val="none"/>
        </w:rPr>
        <w:t>合同当事人是否同意将工程争议提交争议评审小组决定：</w:t>
      </w:r>
      <w:r>
        <w:rPr>
          <w:rFonts w:hint="eastAsia" w:ascii="宋体" w:hAnsi="宋体" w:cs="宋体"/>
          <w:color w:val="auto"/>
          <w:sz w:val="22"/>
          <w:highlight w:val="none"/>
          <w:u w:val="single"/>
        </w:rPr>
        <w:t xml:space="preserve"> 否，双方约定，在履行合同进程中产生争议时，请工程所在地建设行政主管部门进行调解，调解不成时，向工程所在地人民法院起诉</w:t>
      </w:r>
      <w:r>
        <w:rPr>
          <w:rFonts w:hint="eastAsia" w:ascii="宋体" w:hAnsi="宋体" w:cs="宋体"/>
          <w:color w:val="auto"/>
          <w:sz w:val="22"/>
          <w:highlight w:val="none"/>
        </w:rPr>
        <w:t>。</w:t>
      </w:r>
    </w:p>
    <w:p w14:paraId="38120B22">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20.3.1 争议评审小组的确定</w:t>
      </w:r>
    </w:p>
    <w:p w14:paraId="50CA9858">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争议评审小组成员的确定：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31478459">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选定争议评审员的期限：</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02DA12C1">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争议评审小组成员的报酬承担方式：</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31152A47">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其他事项的约定：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1FB49AB4">
      <w:pPr>
        <w:pStyle w:val="414"/>
        <w:pageBreakBefore w:val="0"/>
        <w:kinsoku/>
        <w:overflowPunct/>
        <w:topLinePunct w:val="0"/>
        <w:autoSpaceDE w:val="0"/>
        <w:autoSpaceDN w:val="0"/>
        <w:bidi w:val="0"/>
        <w:adjustRightInd w:val="0"/>
        <w:spacing w:line="40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20.3.2 争议评审小组的决定</w:t>
      </w:r>
    </w:p>
    <w:p w14:paraId="3E2BF61C">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合同当事人关于本项的约定：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5578FC8C">
      <w:pPr>
        <w:pStyle w:val="415"/>
        <w:pageBreakBefore w:val="0"/>
        <w:kinsoku/>
        <w:overflowPunct/>
        <w:topLinePunct w:val="0"/>
        <w:bidi w:val="0"/>
        <w:spacing w:line="400" w:lineRule="exact"/>
        <w:rPr>
          <w:rFonts w:hint="eastAsia" w:ascii="宋体" w:hAnsi="宋体" w:cs="宋体"/>
          <w:color w:val="auto"/>
          <w:sz w:val="22"/>
          <w:szCs w:val="22"/>
          <w:highlight w:val="none"/>
        </w:rPr>
      </w:pPr>
      <w:bookmarkStart w:id="409" w:name="_Toc12975970"/>
      <w:bookmarkStart w:id="410" w:name="_Toc395382581"/>
      <w:bookmarkStart w:id="411" w:name="_Toc533432805"/>
      <w:r>
        <w:rPr>
          <w:rFonts w:hint="eastAsia" w:ascii="宋体" w:hAnsi="宋体" w:cs="宋体"/>
          <w:color w:val="auto"/>
          <w:sz w:val="22"/>
          <w:szCs w:val="22"/>
          <w:highlight w:val="none"/>
        </w:rPr>
        <w:t>20.4 仲裁或诉讼</w:t>
      </w:r>
      <w:bookmarkEnd w:id="409"/>
      <w:bookmarkEnd w:id="410"/>
      <w:bookmarkEnd w:id="411"/>
    </w:p>
    <w:p w14:paraId="442AE570">
      <w:pPr>
        <w:pStyle w:val="414"/>
        <w:pageBreakBefore w:val="0"/>
        <w:kinsoku/>
        <w:overflowPunct/>
        <w:topLinePunct w:val="0"/>
        <w:bidi w:val="0"/>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因合同及合同有关事项发生的争议，按下列第</w:t>
      </w:r>
      <w:r>
        <w:rPr>
          <w:rFonts w:hint="eastAsia" w:ascii="宋体" w:hAnsi="宋体" w:cs="宋体"/>
          <w:color w:val="auto"/>
          <w:sz w:val="22"/>
          <w:highlight w:val="none"/>
          <w:u w:val="single"/>
        </w:rPr>
        <w:t>（2）</w:t>
      </w:r>
      <w:r>
        <w:rPr>
          <w:rFonts w:hint="eastAsia" w:ascii="宋体" w:hAnsi="宋体" w:cs="宋体"/>
          <w:color w:val="auto"/>
          <w:sz w:val="22"/>
          <w:highlight w:val="none"/>
        </w:rPr>
        <w:t>种方式解决：</w:t>
      </w:r>
    </w:p>
    <w:p w14:paraId="0BB12F6B">
      <w:pPr>
        <w:pStyle w:val="414"/>
        <w:pageBreakBefore w:val="0"/>
        <w:numPr>
          <w:ilvl w:val="0"/>
          <w:numId w:val="15"/>
        </w:numPr>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提请</w:t>
      </w:r>
      <w:r>
        <w:rPr>
          <w:rFonts w:hint="eastAsia" w:ascii="宋体" w:hAnsi="宋体" w:cs="宋体"/>
          <w:color w:val="auto"/>
          <w:sz w:val="22"/>
          <w:highlight w:val="none"/>
          <w:u w:val="single"/>
        </w:rPr>
        <w:t xml:space="preserve">防城港 </w:t>
      </w:r>
      <w:r>
        <w:rPr>
          <w:rFonts w:hint="eastAsia" w:ascii="宋体" w:hAnsi="宋体" w:cs="宋体"/>
          <w:color w:val="auto"/>
          <w:sz w:val="22"/>
          <w:highlight w:val="none"/>
        </w:rPr>
        <w:t>仲裁委员会按照该会仲裁规则进行仲裁，仲裁裁决是终局的，对合同双方均有约束力。</w:t>
      </w:r>
    </w:p>
    <w:p w14:paraId="766C6F8D">
      <w:pPr>
        <w:pStyle w:val="414"/>
        <w:pageBreakBefore w:val="0"/>
        <w:kinsoku/>
        <w:overflowPunct/>
        <w:topLinePunct w:val="0"/>
        <w:bidi w:val="0"/>
        <w:spacing w:line="40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（2）向</w:t>
      </w:r>
      <w:r>
        <w:rPr>
          <w:rFonts w:hint="eastAsia" w:ascii="宋体" w:hAnsi="宋体" w:cs="宋体"/>
          <w:color w:val="auto"/>
          <w:sz w:val="22"/>
          <w:highlight w:val="none"/>
          <w:u w:val="single"/>
        </w:rPr>
        <w:t>工程所在地</w:t>
      </w:r>
      <w:r>
        <w:rPr>
          <w:rFonts w:hint="eastAsia" w:ascii="宋体" w:hAnsi="宋体" w:cs="宋体"/>
          <w:color w:val="auto"/>
          <w:sz w:val="22"/>
          <w:highlight w:val="none"/>
        </w:rPr>
        <w:t>人民法院起诉。</w:t>
      </w:r>
    </w:p>
    <w:p w14:paraId="37AD31F4">
      <w:pPr>
        <w:pStyle w:val="413"/>
        <w:pageBreakBefore w:val="0"/>
        <w:kinsoku/>
        <w:overflowPunct/>
        <w:topLinePunct w:val="0"/>
        <w:bidi w:val="0"/>
        <w:spacing w:before="0" w:after="0" w:line="400" w:lineRule="exact"/>
        <w:rPr>
          <w:rFonts w:hint="eastAsia" w:ascii="宋体" w:hAnsi="宋体" w:cs="宋体"/>
          <w:color w:val="auto"/>
          <w:sz w:val="22"/>
          <w:szCs w:val="22"/>
          <w:highlight w:val="none"/>
        </w:rPr>
      </w:pPr>
      <w:bookmarkStart w:id="412" w:name="_Toc12975971"/>
      <w:bookmarkStart w:id="413" w:name="_Toc533432806"/>
      <w:bookmarkStart w:id="414" w:name="_Toc373227779"/>
      <w:bookmarkStart w:id="415" w:name="_Toc373478426"/>
      <w:bookmarkStart w:id="416" w:name="_Toc395382582"/>
      <w:bookmarkStart w:id="417" w:name="_Toc389065344"/>
      <w:r>
        <w:rPr>
          <w:rFonts w:hint="eastAsia" w:ascii="宋体" w:hAnsi="宋体" w:cs="宋体"/>
          <w:color w:val="auto"/>
          <w:sz w:val="22"/>
          <w:szCs w:val="22"/>
          <w:highlight w:val="none"/>
        </w:rPr>
        <w:t>21. 补充条款</w:t>
      </w:r>
      <w:bookmarkEnd w:id="412"/>
      <w:bookmarkEnd w:id="413"/>
      <w:bookmarkEnd w:id="414"/>
      <w:bookmarkEnd w:id="415"/>
      <w:bookmarkEnd w:id="416"/>
      <w:bookmarkEnd w:id="417"/>
    </w:p>
    <w:p w14:paraId="636684D5">
      <w:pPr>
        <w:pStyle w:val="409"/>
        <w:pageBreakBefore w:val="0"/>
        <w:kinsoku/>
        <w:overflowPunct/>
        <w:topLinePunct w:val="0"/>
        <w:bidi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21.1承包人有以下情况之一者，将视为违约，发包人有权采取以下措施处理，并视情节轻重</w:t>
      </w:r>
      <w:r>
        <w:rPr>
          <w:rFonts w:hint="eastAsia" w:ascii="宋体" w:hAnsi="宋体" w:cs="宋体"/>
          <w:color w:val="auto"/>
          <w:sz w:val="22"/>
          <w:szCs w:val="22"/>
          <w:highlight w:val="none"/>
          <w:lang w:val="en-US" w:eastAsia="zh-CN"/>
        </w:rPr>
        <w:t>处以</w:t>
      </w:r>
      <w:r>
        <w:rPr>
          <w:rFonts w:hint="eastAsia" w:ascii="宋体" w:hAnsi="宋体" w:cs="宋体"/>
          <w:color w:val="auto"/>
          <w:sz w:val="22"/>
          <w:szCs w:val="22"/>
          <w:highlight w:val="none"/>
        </w:rPr>
        <w:t>违约处罚金。</w:t>
      </w:r>
    </w:p>
    <w:p w14:paraId="1FC7D36F">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21.1.1合同签订之日起十五日内，承包人无法按合同约定及磋商文件的承诺进场经监理工程师认可的全部人员和机械时，视为违约，发包人有权解除合同，发包人有权另行发包工程。</w:t>
      </w:r>
    </w:p>
    <w:p w14:paraId="1088DF9E">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21.1.2尽管主要机械的数量、型号，应与合同相符，若监理工程师认为合同约定的进场机械不能满足施工进度要求，有权指令承包人增加机械投入，承包人不得拒绝。</w:t>
      </w:r>
    </w:p>
    <w:p w14:paraId="72F9DE43">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21.1.3所有以上违约处罚金金额均在计量支付款内扣除，监理工程师预先下发统一格式含有违约处罚意向的指令，如承包人不及时采取措施纠正，则在指令下达后十五天下发违约处罚通知书(不再陈述违约处罚理由)。</w:t>
      </w:r>
    </w:p>
    <w:p w14:paraId="09B9B3D1">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21.1.4承包人在合同期内，完成合同约定的全部工程，且质量合格，竣工验收后十五天内可申请返还全部或部分与工期有关（或里程碑罚款）的违约处罚金(不包括利息)。其余罚款不予退回。</w:t>
      </w:r>
    </w:p>
    <w:p w14:paraId="17C35FCE">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21.2工程款的使用</w:t>
      </w:r>
    </w:p>
    <w:p w14:paraId="489BCFD4">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21.2.1本工程资金属发包人自筹，承包人在施工期间必须保证资金的专项使用，不得挪作他用，并自觉接受发包人和银行的监督，否则将视为承包人违约。</w:t>
      </w:r>
    </w:p>
    <w:p w14:paraId="2303236A">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bookmarkStart w:id="418" w:name="_Toc27987_WPSOffice_Level2"/>
      <w:r>
        <w:rPr>
          <w:rFonts w:hint="eastAsia" w:ascii="宋体" w:hAnsi="宋体" w:cs="宋体"/>
          <w:color w:val="auto"/>
          <w:sz w:val="22"/>
          <w:szCs w:val="22"/>
          <w:highlight w:val="none"/>
        </w:rPr>
        <w:t>（1）农民工工资实行分账管理</w:t>
      </w:r>
      <w:bookmarkEnd w:id="418"/>
    </w:p>
    <w:p w14:paraId="6D6C809C">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根据《关于进一步规范防城港市建设领域农民工工资有关问题的通知》（防住建管发[2017]37号）第二条，合同承包人应设立农民工工资支付账户，实行农民工工资与其他款项分账管理，农民工工资支付账户信息：</w:t>
      </w:r>
    </w:p>
    <w:p w14:paraId="76AC42C3">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eastAsia="zh-CN"/>
        </w:rPr>
        <w:t>户名：</w:t>
      </w:r>
    </w:p>
    <w:p w14:paraId="5BE25DCE">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开户行：</w:t>
      </w:r>
      <w:r>
        <w:rPr>
          <w:rFonts w:hint="eastAsia" w:ascii="宋体" w:hAnsi="宋体" w:cs="宋体"/>
          <w:color w:val="auto"/>
          <w:sz w:val="22"/>
          <w:szCs w:val="22"/>
          <w:highlight w:val="none"/>
          <w:u w:val="single"/>
          <w:lang w:val="en-US" w:eastAsia="zh-CN"/>
        </w:rPr>
        <w:t xml:space="preserve"> </w:t>
      </w:r>
    </w:p>
    <w:p w14:paraId="130D40B8">
      <w:pPr>
        <w:pStyle w:val="409"/>
        <w:pageBreakBefore w:val="0"/>
        <w:kinsoku/>
        <w:overflowPunct/>
        <w:topLinePunct w:val="0"/>
        <w:bidi w:val="0"/>
        <w:spacing w:line="40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账号</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lang w:val="en-US" w:eastAsia="zh-CN"/>
        </w:rPr>
        <w:t xml:space="preserve"> </w:t>
      </w:r>
    </w:p>
    <w:p w14:paraId="294F2B3B">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bookmarkStart w:id="419" w:name="_Toc11862_WPSOffice_Level2"/>
      <w:r>
        <w:rPr>
          <w:rFonts w:hint="eastAsia" w:ascii="宋体" w:hAnsi="宋体" w:cs="宋体"/>
          <w:color w:val="auto"/>
          <w:sz w:val="22"/>
          <w:szCs w:val="22"/>
          <w:highlight w:val="none"/>
        </w:rPr>
        <w:t>（2）农民工工资支付约定</w:t>
      </w:r>
      <w:bookmarkEnd w:id="419"/>
    </w:p>
    <w:p w14:paraId="2B1768AD">
      <w:pPr>
        <w:pStyle w:val="409"/>
        <w:pageBreakBefore w:val="0"/>
        <w:kinsoku/>
        <w:overflowPunct/>
        <w:topLinePunct w:val="0"/>
        <w:bidi w:val="0"/>
        <w:spacing w:line="400" w:lineRule="exact"/>
        <w:ind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合同承包人申请进度款应明确农民工工资金额，拨付进度款须优先保障农民工工资，再经农民工工资专户转至工人个人账户。  </w:t>
      </w:r>
    </w:p>
    <w:p w14:paraId="21492F33">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21.3 凡进入本工程工作的妇女应持有计生证，否则不准安排工作，禁止使用童工。</w:t>
      </w:r>
    </w:p>
    <w:p w14:paraId="1B4A7707">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21.4本工程合同价款已包含安全防护、文明施工措施费。使用要求：专款专用，具体按《广西壮族自治区建设工程安全文明施工费使用管理细则》（桂建质【2015】16号）要求执行。安全防护、文明施工措施费与工程款同步支付。</w:t>
      </w:r>
    </w:p>
    <w:p w14:paraId="2DBDF11A">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21.5承包人须按时足额将农民工工资保障金和建安劳保费存入建设行政主管部门指定的账户。</w:t>
      </w:r>
    </w:p>
    <w:p w14:paraId="7710D47A">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21.6承包方出现下列情况之一，则项目的建设应视为</w:t>
      </w:r>
      <w:r>
        <w:rPr>
          <w:rFonts w:hint="eastAsia" w:ascii="宋体" w:hAnsi="宋体" w:cs="宋体"/>
          <w:color w:val="auto"/>
          <w:sz w:val="22"/>
          <w:szCs w:val="22"/>
          <w:highlight w:val="none"/>
          <w:lang w:val="en-US" w:eastAsia="zh-CN"/>
        </w:rPr>
        <w:t>已</w:t>
      </w:r>
      <w:r>
        <w:rPr>
          <w:rFonts w:hint="eastAsia" w:ascii="宋体" w:hAnsi="宋体" w:cs="宋体"/>
          <w:color w:val="auto"/>
          <w:sz w:val="22"/>
          <w:szCs w:val="22"/>
          <w:highlight w:val="none"/>
        </w:rPr>
        <w:t>被放弃：</w:t>
      </w:r>
    </w:p>
    <w:p w14:paraId="477D4BCE">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(1)书面通知发包方其已终止建设工程，且并不打算重新开始施工；</w:t>
      </w:r>
    </w:p>
    <w:p w14:paraId="4997AD32">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(2)未能在本合同约定的开工日期届满后 14 天内开始建设工程（但因非承包方原因所引起的除外）；</w:t>
      </w:r>
    </w:p>
    <w:p w14:paraId="018E03B4">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(3)未能在任何不可抗力事件结束后14 天内恢复建设工程施工（但因非承包方原因所引起的除外）；</w:t>
      </w:r>
    </w:p>
    <w:p w14:paraId="5FF882FB">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(4）在完工检查日前停止建设工程或者直接或通过专业分包商从项目场地撤走全部或大部分的工作人员，除非上述行为是为了保持或促进项目建设按合同完成所必须的。</w:t>
      </w:r>
    </w:p>
    <w:p w14:paraId="71B0A2C7">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21.7要求承包人增加或更换施工设备</w:t>
      </w:r>
    </w:p>
    <w:p w14:paraId="054936FB">
      <w:pPr>
        <w:pStyle w:val="409"/>
        <w:pageBreakBefore w:val="0"/>
        <w:kinsoku/>
        <w:overflowPunct/>
        <w:topLinePunct w:val="0"/>
        <w:bidi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尽管承包人的施工设备已经按照磋商文件要求进场，但承包人使用的施工设备仍不能满足合同进度计划和（或）质量要求时，发包人有权要求承包人增加或更换施工设备，承包人应</w:t>
      </w:r>
      <w:r>
        <w:rPr>
          <w:rFonts w:hint="eastAsia" w:ascii="宋体" w:hAnsi="宋体" w:cs="宋体"/>
          <w:color w:val="auto"/>
          <w:sz w:val="22"/>
          <w:szCs w:val="22"/>
          <w:highlight w:val="none"/>
          <w:lang w:val="en-US" w:eastAsia="zh-CN"/>
        </w:rPr>
        <w:t>及时</w:t>
      </w:r>
      <w:r>
        <w:rPr>
          <w:rFonts w:hint="eastAsia" w:ascii="宋体" w:hAnsi="宋体" w:cs="宋体"/>
          <w:color w:val="auto"/>
          <w:sz w:val="22"/>
          <w:szCs w:val="22"/>
          <w:highlight w:val="none"/>
        </w:rPr>
        <w:t>增加或更换，由此增加的费用和（或）工期延误由承包人承担。</w:t>
      </w:r>
    </w:p>
    <w:p w14:paraId="5BCBAF13">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21.8发包人有权随时终止本工程中任何一个分部分项工程，并按报价书中相应内容扣减分部分项工程费、措施费、利润、规费和税金等相关费用，承包人不得因此提出费用补偿要求。</w:t>
      </w:r>
    </w:p>
    <w:p w14:paraId="71549ABD">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21.9在施工过程中征地及安置工作可能滞后，承包人应自行协调和处理当地群众及各安置住户关系，确保正常施工。可能造成工程进度滞后或者费用增加，费用已包含在综合单价和措施费用中，由承包人承担。</w:t>
      </w:r>
    </w:p>
    <w:p w14:paraId="5AB86814">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21.10防发改函[2017]43号文件和防发改前期[2018]251号文件，属于本合同条款的一部分。</w:t>
      </w:r>
    </w:p>
    <w:p w14:paraId="50C7C9D0">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21.11由于承包人的原因，造成承包人的供应商或劳务工人等参建人员上访、投诉、静坐、聚众闹事等事件时，（1）如聚集总人数在十人以下时，承包人的企业法定代表人必须在接到发包人的通知后24小时内，派出授权人员到发包人指定的地方解决相应问题。（2）如聚集总人数在十人以上时，承包人的企业法定代表人必须在接到发包人的通知后24小时内到发包人指定的地方解决相应问题。如承包人未能按照以上要求处理相关问题，视为承包人授权发包人代为处理，发包人为解决相应问题所采取的一切措施均视为已得到承包人的授权（承包人的授权包括但不限于从承包人的工程款、质量保证金中扣除相应费用来代付承包人拖欠的费用；如以上费用不足时，发包人可以先行垫付，待事情处理完毕7日后承包人再向发包人返还。）。承包人承诺，尽管承包人不完全满意发包人所有解决问题的方法及此事造成的最终后果，但处理的过程如在政府相关部门或建设行政相关管理部门的监督和见证下处理，承包人都同意发包人所采取的一切措施及此事造成的最终后果，承包人并承担所有责任。发包人为此做的任何工作将不会减轻承包人的任何责任。</w:t>
      </w:r>
    </w:p>
    <w:p w14:paraId="5333FB79">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21.12尽管合同有其他约定，未经发包人同意，承包人不得将合同权利和义务全部转让给第三人，也不得将合同的义务全部或部分转让给第三人，法律另有规定的除外。</w:t>
      </w:r>
    </w:p>
    <w:p w14:paraId="2D733442">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21.13发包人按合同约定支付给承包人的各项价款应专用于合同工程。如发包人提出要求，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支付，直至承包人改正为止。</w:t>
      </w:r>
    </w:p>
    <w:p w14:paraId="7327562F">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21.14建安劳保费扣减金额与发包人实际缴纳金额相等，按照发包人实际缴纳金额在最终支付给承包人的结算款中扣减。（1）本工程如有进度款时，则在本合同的进度款累计支付达到合同金额的10%开始扣减建安劳保费，进度款累计支付达到合同金额的30%时全部扣减完成。（2）本工程如无进度款时，建安劳保费由承包人代缴。</w:t>
      </w:r>
    </w:p>
    <w:p w14:paraId="4E14141F">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21.15尽管合同有其他约定，承包人应充分对现场情况进行调查（特别是现场地质情况），不管发包人提供的资料是否完整，当出现与地质有关的变更时，承包人不得以此为由要求调整合同综合单价。承包人的磋商文件中的土石方工程（包括土石比、开挖和运输）、地基与基础工程等有关项目的综合单价已经考虑了上述风险。伐树、挖树根和清除表土的费用包含在相应的土石方单价中，不另行计算。</w:t>
      </w:r>
    </w:p>
    <w:p w14:paraId="5899120B">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21.16项目管理人员不称职的定义包括但不限于以下内容：不胜任相应岗位的工作、项目出现偷工减料现象的、出现人员死亡事故的、重复出现相同质量缺陷（事故）或出现问题不积极整改的、被相关部门要求停工整改的、进度比原计划滞后60天以上的、拒绝执行监理人或发包人指令的、违反合同约定及相关规定擅自离开施工现场累计超过60天的、现场安全文明施工未达到规定要求的、出现打架斗殴的、违反相关法律法规的其他情形。尽管无法证明以上情形与被更换人员是否存在直接或者间接关系，但当以上情形发生时，发包人有权更换项目组织机构里面的部分或全部人员，并按照专用条款中的“16.2承包人违约”条款对承包人进行处罚。</w:t>
      </w:r>
    </w:p>
    <w:p w14:paraId="78F77EC6">
      <w:pPr>
        <w:pStyle w:val="409"/>
        <w:pageBreakBefore w:val="0"/>
        <w:kinsoku/>
        <w:overflowPunct/>
        <w:topLinePunct w:val="0"/>
        <w:bidi w:val="0"/>
        <w:spacing w:line="400" w:lineRule="exact"/>
        <w:ind w:firstLine="440" w:firstLineChars="200"/>
        <w:jc w:val="left"/>
        <w:rPr>
          <w:rFonts w:hint="eastAsia" w:ascii="宋体" w:hAnsi="宋体" w:cs="宋体"/>
          <w:color w:val="auto"/>
          <w:sz w:val="22"/>
          <w:szCs w:val="22"/>
          <w:highlight w:val="none"/>
        </w:rPr>
      </w:pPr>
      <w:bookmarkStart w:id="420" w:name="_Toc9461_WPSOffice_Level2"/>
      <w:r>
        <w:rPr>
          <w:rFonts w:hint="eastAsia" w:ascii="宋体" w:hAnsi="宋体" w:cs="宋体"/>
          <w:color w:val="auto"/>
          <w:sz w:val="22"/>
          <w:szCs w:val="22"/>
          <w:highlight w:val="none"/>
        </w:rPr>
        <w:t>21.1</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 xml:space="preserve"> 发包人的任何批准不能免除或减轻承包人应承担的任何义务。</w:t>
      </w:r>
      <w:bookmarkEnd w:id="420"/>
    </w:p>
    <w:p w14:paraId="713DF2FF">
      <w:pPr>
        <w:pStyle w:val="409"/>
        <w:pageBreakBefore w:val="0"/>
        <w:kinsoku/>
        <w:overflowPunct/>
        <w:topLinePunct w:val="0"/>
        <w:bidi w:val="0"/>
        <w:spacing w:line="400" w:lineRule="exact"/>
        <w:ind w:firstLine="442" w:firstLineChars="200"/>
        <w:jc w:val="left"/>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rPr>
        <w:t xml:space="preserve">21.18 </w:t>
      </w:r>
      <w:r>
        <w:rPr>
          <w:rFonts w:hint="eastAsia" w:ascii="宋体" w:hAnsi="宋体" w:cs="宋体"/>
          <w:b/>
          <w:bCs/>
          <w:color w:val="auto"/>
          <w:sz w:val="22"/>
          <w:szCs w:val="22"/>
          <w:highlight w:val="none"/>
          <w:lang w:val="en-US" w:eastAsia="zh-CN"/>
        </w:rPr>
        <w:t>承包人要规范管理工地，保障工地原材料堆放整齐有序，及时清理建筑垃圾。如出现施工安全隐患、建筑材料乱堆乱放以及建筑垃圾等问题，监理单位下达整改通知书，在整改期限内未整改到位的，每次处以1仟元至3仟元的扣款处罚，将在工程结算时扣除。</w:t>
      </w:r>
    </w:p>
    <w:p w14:paraId="4BDA30F1">
      <w:pPr>
        <w:pStyle w:val="420"/>
        <w:pageBreakBefore w:val="0"/>
        <w:kinsoku/>
        <w:overflowPunct/>
        <w:topLinePunct w:val="0"/>
        <w:bidi w:val="0"/>
        <w:spacing w:line="400" w:lineRule="exact"/>
        <w:jc w:val="left"/>
        <w:rPr>
          <w:rFonts w:hint="eastAsia" w:ascii="Times New Roman" w:hAnsi="Times New Roman" w:eastAsia="黑体" w:cs="黑体"/>
          <w:b/>
          <w:bCs/>
          <w:color w:val="auto"/>
          <w:sz w:val="28"/>
          <w:szCs w:val="28"/>
          <w:highlight w:val="none"/>
        </w:rPr>
      </w:pPr>
    </w:p>
    <w:p w14:paraId="13F164B6">
      <w:pPr>
        <w:pStyle w:val="420"/>
        <w:pageBreakBefore w:val="0"/>
        <w:kinsoku/>
        <w:overflowPunct/>
        <w:topLinePunct w:val="0"/>
        <w:bidi w:val="0"/>
        <w:spacing w:line="400" w:lineRule="exact"/>
        <w:jc w:val="left"/>
        <w:rPr>
          <w:rFonts w:hint="eastAsia" w:ascii="Times New Roman" w:hAnsi="Times New Roman" w:eastAsia="黑体" w:cs="黑体"/>
          <w:b/>
          <w:bCs/>
          <w:color w:val="auto"/>
          <w:sz w:val="28"/>
          <w:szCs w:val="28"/>
          <w:highlight w:val="none"/>
        </w:rPr>
      </w:pPr>
    </w:p>
    <w:p w14:paraId="79306BC2">
      <w:pPr>
        <w:pStyle w:val="420"/>
        <w:pageBreakBefore w:val="0"/>
        <w:kinsoku/>
        <w:overflowPunct/>
        <w:topLinePunct w:val="0"/>
        <w:bidi w:val="0"/>
        <w:spacing w:line="400" w:lineRule="exact"/>
        <w:jc w:val="left"/>
        <w:rPr>
          <w:rFonts w:ascii="Times New Roman" w:hAnsi="Times New Roman" w:eastAsia="黑体"/>
          <w:b/>
          <w:bCs/>
          <w:color w:val="auto"/>
          <w:sz w:val="28"/>
          <w:szCs w:val="28"/>
          <w:highlight w:val="none"/>
        </w:rPr>
      </w:pPr>
      <w:r>
        <w:rPr>
          <w:rFonts w:hint="eastAsia" w:ascii="Times New Roman" w:hAnsi="Times New Roman" w:eastAsia="黑体" w:cs="黑体"/>
          <w:b/>
          <w:bCs/>
          <w:color w:val="auto"/>
          <w:sz w:val="28"/>
          <w:szCs w:val="28"/>
          <w:highlight w:val="none"/>
        </w:rPr>
        <w:t>附件</w:t>
      </w:r>
      <w:bookmarkEnd w:id="136"/>
    </w:p>
    <w:p w14:paraId="14F8B018">
      <w:pPr>
        <w:pStyle w:val="420"/>
        <w:pageBreakBefore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附件</w:t>
      </w:r>
      <w:r>
        <w:rPr>
          <w:rFonts w:ascii="宋体" w:hAnsi="宋体" w:cs="宋体"/>
          <w:color w:val="auto"/>
          <w:szCs w:val="21"/>
          <w:highlight w:val="none"/>
        </w:rPr>
        <w:t>1</w:t>
      </w:r>
      <w:r>
        <w:rPr>
          <w:rFonts w:hint="eastAsia" w:ascii="宋体" w:hAnsi="宋体" w:cs="宋体"/>
          <w:color w:val="auto"/>
          <w:szCs w:val="21"/>
          <w:highlight w:val="none"/>
        </w:rPr>
        <w:t>：承包人承揽工程项目一览表</w:t>
      </w:r>
    </w:p>
    <w:p w14:paraId="44706F93">
      <w:pPr>
        <w:pStyle w:val="420"/>
        <w:pageBreakBefore w:val="0"/>
        <w:kinsoku/>
        <w:overflowPunct/>
        <w:topLinePunct w:val="0"/>
        <w:bidi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附件2：工程质量保修书</w:t>
      </w:r>
    </w:p>
    <w:p w14:paraId="11D47D73">
      <w:pPr>
        <w:pStyle w:val="420"/>
        <w:pageBreakBefore w:val="0"/>
        <w:kinsoku/>
        <w:overflowPunct/>
        <w:topLinePunct w:val="0"/>
        <w:bidi w:val="0"/>
        <w:spacing w:line="400" w:lineRule="exact"/>
        <w:jc w:val="left"/>
        <w:rPr>
          <w:rFonts w:hint="eastAsia" w:ascii="宋体" w:hAnsi="宋体" w:cs="宋体"/>
          <w:color w:val="auto"/>
          <w:szCs w:val="21"/>
          <w:highlight w:val="none"/>
        </w:rPr>
      </w:pPr>
      <w:r>
        <w:rPr>
          <w:rFonts w:ascii="宋体" w:hAnsi="宋体" w:cs="宋体"/>
          <w:color w:val="auto"/>
          <w:szCs w:val="21"/>
          <w:highlight w:val="none"/>
        </w:rPr>
        <w:t>附件</w:t>
      </w:r>
      <w:r>
        <w:rPr>
          <w:rFonts w:hint="eastAsia" w:ascii="宋体" w:hAnsi="宋体" w:cs="宋体"/>
          <w:color w:val="auto"/>
          <w:szCs w:val="21"/>
          <w:highlight w:val="none"/>
        </w:rPr>
        <w:t>3</w:t>
      </w:r>
      <w:r>
        <w:rPr>
          <w:rFonts w:ascii="宋体" w:hAnsi="宋体" w:cs="宋体"/>
          <w:color w:val="auto"/>
          <w:szCs w:val="21"/>
          <w:highlight w:val="none"/>
        </w:rPr>
        <w:t>：主要建设工程文件目录</w:t>
      </w:r>
    </w:p>
    <w:p w14:paraId="30CCC1B4">
      <w:pPr>
        <w:pStyle w:val="420"/>
        <w:pageBreakBefore w:val="0"/>
        <w:kinsoku/>
        <w:overflowPunct/>
        <w:topLinePunct w:val="0"/>
        <w:bidi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附件4：承包人用于本工程施工的机械设备表</w:t>
      </w:r>
    </w:p>
    <w:p w14:paraId="53ED2E01">
      <w:pPr>
        <w:pStyle w:val="420"/>
        <w:pageBreakBefore w:val="0"/>
        <w:kinsoku/>
        <w:overflowPunct/>
        <w:topLinePunct w:val="0"/>
        <w:bidi w:val="0"/>
        <w:spacing w:line="400" w:lineRule="exact"/>
        <w:jc w:val="left"/>
        <w:rPr>
          <w:rFonts w:ascii="宋体" w:hAnsi="Times New Roman"/>
          <w:color w:val="auto"/>
          <w:szCs w:val="21"/>
          <w:highlight w:val="none"/>
        </w:rPr>
      </w:pPr>
      <w:r>
        <w:rPr>
          <w:rFonts w:hint="eastAsia" w:ascii="宋体" w:hAnsi="宋体" w:cs="宋体"/>
          <w:color w:val="auto"/>
          <w:szCs w:val="21"/>
          <w:highlight w:val="none"/>
        </w:rPr>
        <w:t>附件5：承包人主要施工管理人员表</w:t>
      </w:r>
    </w:p>
    <w:p w14:paraId="015B9855">
      <w:pPr>
        <w:pStyle w:val="420"/>
        <w:pageBreakBefore w:val="0"/>
        <w:kinsoku/>
        <w:overflowPunct/>
        <w:topLinePunct w:val="0"/>
        <w:bidi w:val="0"/>
        <w:spacing w:line="400" w:lineRule="exact"/>
        <w:jc w:val="left"/>
        <w:rPr>
          <w:rFonts w:ascii="宋体" w:hAnsi="Times New Roman"/>
          <w:color w:val="auto"/>
          <w:szCs w:val="21"/>
          <w:highlight w:val="none"/>
        </w:rPr>
      </w:pPr>
      <w:r>
        <w:rPr>
          <w:rFonts w:hint="eastAsia" w:ascii="宋体" w:hAnsi="宋体" w:cs="宋体"/>
          <w:color w:val="auto"/>
          <w:szCs w:val="21"/>
          <w:highlight w:val="none"/>
        </w:rPr>
        <w:t>附件6：分包人主要施工管理人员表</w:t>
      </w:r>
    </w:p>
    <w:p w14:paraId="18A1E072">
      <w:pPr>
        <w:pStyle w:val="420"/>
        <w:pageBreakBefore w:val="0"/>
        <w:kinsoku/>
        <w:overflowPunct/>
        <w:topLinePunct w:val="0"/>
        <w:bidi w:val="0"/>
        <w:spacing w:line="400" w:lineRule="exact"/>
        <w:jc w:val="left"/>
        <w:rPr>
          <w:rFonts w:ascii="宋体" w:hAnsi="Times New Roman"/>
          <w:color w:val="auto"/>
          <w:szCs w:val="21"/>
          <w:highlight w:val="none"/>
        </w:rPr>
      </w:pPr>
      <w:r>
        <w:rPr>
          <w:rFonts w:hint="eastAsia" w:ascii="宋体" w:hAnsi="宋体" w:cs="宋体"/>
          <w:color w:val="auto"/>
          <w:szCs w:val="21"/>
          <w:highlight w:val="none"/>
        </w:rPr>
        <w:t>附件7：履约担保格式</w:t>
      </w:r>
    </w:p>
    <w:p w14:paraId="65A48A83">
      <w:pPr>
        <w:pStyle w:val="420"/>
        <w:pageBreakBefore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附件8：预付款担保格式</w:t>
      </w:r>
    </w:p>
    <w:p w14:paraId="5FE9452F">
      <w:pPr>
        <w:pStyle w:val="420"/>
        <w:pageBreakBefore w:val="0"/>
        <w:kinsoku/>
        <w:overflowPunct/>
        <w:topLinePunct w:val="0"/>
        <w:bidi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附件9：支付担保格式</w:t>
      </w:r>
    </w:p>
    <w:p w14:paraId="64E78D7E">
      <w:pPr>
        <w:pStyle w:val="420"/>
        <w:pageBreakBefore w:val="0"/>
        <w:kinsoku/>
        <w:overflowPunct/>
        <w:topLinePunct w:val="0"/>
        <w:bidi w:val="0"/>
        <w:spacing w:line="400" w:lineRule="exact"/>
        <w:jc w:val="left"/>
        <w:rPr>
          <w:rFonts w:hint="eastAsia" w:ascii="Times New Roman" w:hAnsi="Times New Roman"/>
          <w:color w:val="auto"/>
          <w:szCs w:val="21"/>
          <w:highlight w:val="none"/>
        </w:rPr>
      </w:pPr>
      <w:r>
        <w:rPr>
          <w:rFonts w:hint="eastAsia" w:ascii="宋体" w:hAnsi="宋体" w:cs="宋体"/>
          <w:color w:val="auto"/>
          <w:szCs w:val="21"/>
          <w:highlight w:val="none"/>
        </w:rPr>
        <w:t>附件10：预付款</w:t>
      </w:r>
      <w:r>
        <w:rPr>
          <w:rFonts w:hint="eastAsia" w:ascii="Times New Roman" w:hAnsi="Times New Roman"/>
          <w:color w:val="auto"/>
          <w:szCs w:val="21"/>
          <w:highlight w:val="none"/>
        </w:rPr>
        <w:t>支付申请（核准）表</w:t>
      </w:r>
    </w:p>
    <w:p w14:paraId="4E53D96D">
      <w:pPr>
        <w:pStyle w:val="420"/>
        <w:pageBreakBefore w:val="0"/>
        <w:kinsoku/>
        <w:overflowPunct/>
        <w:topLinePunct w:val="0"/>
        <w:bidi w:val="0"/>
        <w:spacing w:line="400" w:lineRule="exact"/>
        <w:jc w:val="left"/>
        <w:rPr>
          <w:rFonts w:hint="eastAsia" w:ascii="Times New Roman" w:hAnsi="Times New Roman"/>
          <w:color w:val="auto"/>
          <w:szCs w:val="21"/>
          <w:highlight w:val="none"/>
        </w:rPr>
      </w:pPr>
      <w:r>
        <w:rPr>
          <w:rFonts w:hint="eastAsia" w:ascii="宋体" w:hAnsi="宋体" w:cs="宋体"/>
          <w:color w:val="auto"/>
          <w:szCs w:val="21"/>
          <w:highlight w:val="none"/>
        </w:rPr>
        <w:t>附件11：</w:t>
      </w:r>
      <w:r>
        <w:rPr>
          <w:rFonts w:hint="eastAsia" w:ascii="Times New Roman" w:hAnsi="Times New Roman"/>
          <w:color w:val="auto"/>
          <w:szCs w:val="21"/>
          <w:highlight w:val="none"/>
        </w:rPr>
        <w:t>进度款支付申请（核准）表</w:t>
      </w:r>
    </w:p>
    <w:p w14:paraId="564D9C9B">
      <w:pPr>
        <w:pStyle w:val="420"/>
        <w:pageBreakBefore w:val="0"/>
        <w:kinsoku/>
        <w:overflowPunct/>
        <w:topLinePunct w:val="0"/>
        <w:bidi w:val="0"/>
        <w:spacing w:line="400" w:lineRule="exact"/>
        <w:jc w:val="left"/>
        <w:rPr>
          <w:rFonts w:hint="eastAsia" w:ascii="Times New Roman" w:hAnsi="Times New Roman"/>
          <w:color w:val="auto"/>
          <w:szCs w:val="21"/>
          <w:highlight w:val="none"/>
        </w:rPr>
      </w:pPr>
      <w:r>
        <w:rPr>
          <w:rFonts w:hint="eastAsia" w:ascii="宋体" w:hAnsi="宋体" w:cs="宋体"/>
          <w:color w:val="auto"/>
          <w:szCs w:val="21"/>
          <w:highlight w:val="none"/>
        </w:rPr>
        <w:t>附件12：竣工结算</w:t>
      </w:r>
      <w:r>
        <w:rPr>
          <w:rFonts w:hint="eastAsia" w:ascii="Times New Roman" w:hAnsi="Times New Roman"/>
          <w:color w:val="auto"/>
          <w:szCs w:val="21"/>
          <w:highlight w:val="none"/>
        </w:rPr>
        <w:t>款支付申请（核准）表</w:t>
      </w:r>
    </w:p>
    <w:p w14:paraId="0DA64AB8">
      <w:pPr>
        <w:pStyle w:val="420"/>
        <w:pageBreakBefore w:val="0"/>
        <w:kinsoku/>
        <w:overflowPunct/>
        <w:topLinePunct w:val="0"/>
        <w:bidi w:val="0"/>
        <w:spacing w:line="400" w:lineRule="exact"/>
        <w:jc w:val="left"/>
        <w:rPr>
          <w:rFonts w:hint="eastAsia" w:ascii="Times New Roman" w:hAnsi="Times New Roman"/>
          <w:color w:val="auto"/>
          <w:szCs w:val="21"/>
          <w:highlight w:val="none"/>
        </w:rPr>
      </w:pPr>
      <w:r>
        <w:rPr>
          <w:rFonts w:hint="eastAsia" w:ascii="宋体" w:hAnsi="宋体" w:cs="宋体"/>
          <w:color w:val="auto"/>
          <w:szCs w:val="21"/>
          <w:highlight w:val="none"/>
        </w:rPr>
        <w:t>附件13：最终结算</w:t>
      </w:r>
      <w:r>
        <w:rPr>
          <w:rFonts w:hint="eastAsia" w:ascii="Times New Roman" w:hAnsi="Times New Roman"/>
          <w:color w:val="auto"/>
          <w:szCs w:val="21"/>
          <w:highlight w:val="none"/>
        </w:rPr>
        <w:t>款支付申请（核准）表</w:t>
      </w:r>
    </w:p>
    <w:p w14:paraId="5B0240A8">
      <w:pPr>
        <w:pStyle w:val="420"/>
        <w:pageBreakBefore w:val="0"/>
        <w:kinsoku/>
        <w:overflowPunct/>
        <w:topLinePunct w:val="0"/>
        <w:bidi w:val="0"/>
        <w:spacing w:line="400" w:lineRule="exact"/>
        <w:jc w:val="left"/>
        <w:rPr>
          <w:rFonts w:hint="eastAsia" w:ascii="Times New Roman" w:hAnsi="Times New Roman"/>
          <w:color w:val="auto"/>
          <w:szCs w:val="21"/>
          <w:highlight w:val="none"/>
        </w:rPr>
      </w:pPr>
      <w:r>
        <w:rPr>
          <w:rFonts w:hint="eastAsia" w:ascii="Times New Roman" w:hAnsi="Times New Roman"/>
          <w:color w:val="auto"/>
          <w:szCs w:val="21"/>
          <w:highlight w:val="none"/>
        </w:rPr>
        <w:t>附件14：总价合同进度款支付分解表</w:t>
      </w:r>
    </w:p>
    <w:p w14:paraId="7284FE52">
      <w:pPr>
        <w:pStyle w:val="420"/>
        <w:pageBreakBefore w:val="0"/>
        <w:kinsoku/>
        <w:overflowPunct/>
        <w:topLinePunct w:val="0"/>
        <w:bidi w:val="0"/>
        <w:spacing w:line="400" w:lineRule="exact"/>
        <w:jc w:val="left"/>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rPr>
        <w:t>附件1</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欠薪催告函</w:t>
      </w:r>
    </w:p>
    <w:p w14:paraId="37DA5A06">
      <w:pPr>
        <w:pStyle w:val="420"/>
        <w:pageBreakBefore w:val="0"/>
        <w:kinsoku/>
        <w:overflowPunct/>
        <w:topLinePunct w:val="0"/>
        <w:bidi w:val="0"/>
        <w:spacing w:line="400" w:lineRule="exact"/>
        <w:jc w:val="left"/>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附件16：项目安全文明施工费使用明细表</w:t>
      </w:r>
    </w:p>
    <w:p w14:paraId="22832B48">
      <w:pPr>
        <w:pStyle w:val="420"/>
        <w:pageBreakBefore w:val="0"/>
        <w:kinsoku/>
        <w:overflowPunct/>
        <w:topLinePunct w:val="0"/>
        <w:bidi w:val="0"/>
        <w:spacing w:line="400" w:lineRule="exact"/>
        <w:jc w:val="left"/>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附件17：</w:t>
      </w:r>
      <w:r>
        <w:rPr>
          <w:rFonts w:hint="default" w:ascii="Times New Roman" w:hAnsi="Times New Roman"/>
          <w:color w:val="auto"/>
          <w:szCs w:val="21"/>
          <w:highlight w:val="none"/>
          <w:lang w:val="en-US" w:eastAsia="zh-CN"/>
        </w:rPr>
        <w:t>项目原材料进场登记表</w:t>
      </w:r>
    </w:p>
    <w:p w14:paraId="57490348">
      <w:pPr>
        <w:pStyle w:val="420"/>
        <w:pageBreakBefore w:val="0"/>
        <w:kinsoku/>
        <w:overflowPunct/>
        <w:topLinePunct w:val="0"/>
        <w:bidi w:val="0"/>
        <w:spacing w:line="400" w:lineRule="exact"/>
        <w:jc w:val="left"/>
        <w:rPr>
          <w:rFonts w:hint="default" w:ascii="Times New Roman" w:hAnsi="Times New Roman"/>
          <w:color w:val="auto"/>
          <w:szCs w:val="21"/>
          <w:highlight w:val="none"/>
          <w:lang w:val="en-US" w:eastAsia="zh-CN"/>
        </w:rPr>
      </w:pPr>
      <w:r>
        <w:rPr>
          <w:rFonts w:hint="eastAsia" w:ascii="宋体" w:hAnsi="宋体" w:cs="宋体"/>
          <w:i w:val="0"/>
          <w:iCs w:val="0"/>
          <w:color w:val="auto"/>
          <w:kern w:val="0"/>
          <w:sz w:val="22"/>
          <w:szCs w:val="22"/>
          <w:highlight w:val="none"/>
          <w:u w:val="none"/>
          <w:lang w:val="en-US" w:eastAsia="zh-CN" w:bidi="ar"/>
        </w:rPr>
        <w:t>附件18：</w:t>
      </w:r>
      <w:r>
        <w:rPr>
          <w:rFonts w:hint="eastAsia" w:ascii="宋体" w:hAnsi="宋体" w:eastAsia="宋体" w:cs="宋体"/>
          <w:i w:val="0"/>
          <w:iCs w:val="0"/>
          <w:color w:val="auto"/>
          <w:kern w:val="0"/>
          <w:sz w:val="22"/>
          <w:szCs w:val="22"/>
          <w:highlight w:val="none"/>
          <w:u w:val="none"/>
          <w:lang w:val="en-US" w:eastAsia="zh-CN" w:bidi="ar"/>
        </w:rPr>
        <w:t>项目农民工工资发放登记表</w:t>
      </w:r>
    </w:p>
    <w:p w14:paraId="7C3E771B">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p>
    <w:p w14:paraId="676E45D3">
      <w:pPr>
        <w:pStyle w:val="420"/>
        <w:pageBreakBefore w:val="0"/>
        <w:kinsoku/>
        <w:overflowPunct/>
        <w:topLinePunct w:val="0"/>
        <w:bidi w:val="0"/>
        <w:spacing w:line="400" w:lineRule="exact"/>
        <w:rPr>
          <w:rFonts w:ascii="Times New Roman" w:hAnsi="Times New Roman"/>
          <w:color w:val="auto"/>
          <w:szCs w:val="21"/>
          <w:highlight w:val="none"/>
        </w:rPr>
        <w:sectPr>
          <w:footerReference r:id="rId11" w:type="default"/>
          <w:pgSz w:w="11906" w:h="16838"/>
          <w:pgMar w:top="1134" w:right="1134" w:bottom="567" w:left="1417" w:header="567" w:footer="567" w:gutter="0"/>
          <w:pgNumType w:fmt="decimal"/>
          <w:cols w:space="720" w:num="1"/>
          <w:docGrid w:type="lines" w:linePitch="312" w:charSpace="0"/>
        </w:sectPr>
      </w:pPr>
    </w:p>
    <w:p w14:paraId="48C3B289">
      <w:pPr>
        <w:pStyle w:val="420"/>
        <w:pageBreakBefore w:val="0"/>
        <w:kinsoku/>
        <w:overflowPunct/>
        <w:topLinePunct w:val="0"/>
        <w:bidi w:val="0"/>
        <w:spacing w:before="156" w:beforeLines="50" w:after="156" w:afterLines="50" w:line="400" w:lineRule="exact"/>
        <w:jc w:val="left"/>
        <w:rPr>
          <w:rFonts w:ascii="仿宋_GB2312" w:hAnsi="Times New Roman" w:eastAsia="仿宋_GB2312"/>
          <w:color w:val="auto"/>
          <w:sz w:val="30"/>
          <w:szCs w:val="30"/>
          <w:highlight w:val="none"/>
        </w:rPr>
      </w:pPr>
      <w:r>
        <w:rPr>
          <w:rFonts w:hint="eastAsia" w:ascii="仿宋_GB2312" w:hAnsi="Times New Roman" w:eastAsia="仿宋_GB2312" w:cs="仿宋_GB2312"/>
          <w:color w:val="auto"/>
          <w:sz w:val="30"/>
          <w:szCs w:val="30"/>
          <w:highlight w:val="none"/>
        </w:rPr>
        <w:t>附件</w:t>
      </w:r>
      <w:r>
        <w:rPr>
          <w:rFonts w:ascii="仿宋_GB2312" w:hAnsi="Times New Roman" w:eastAsia="仿宋_GB2312" w:cs="仿宋_GB2312"/>
          <w:color w:val="auto"/>
          <w:sz w:val="30"/>
          <w:szCs w:val="30"/>
          <w:highlight w:val="none"/>
        </w:rPr>
        <w:t>1</w:t>
      </w:r>
      <w:r>
        <w:rPr>
          <w:rFonts w:hint="eastAsia" w:ascii="仿宋_GB2312" w:hAnsi="Times New Roman" w:eastAsia="仿宋_GB2312" w:cs="仿宋_GB2312"/>
          <w:color w:val="auto"/>
          <w:sz w:val="30"/>
          <w:szCs w:val="30"/>
          <w:highlight w:val="none"/>
        </w:rPr>
        <w:t>：</w:t>
      </w:r>
    </w:p>
    <w:p w14:paraId="5A034CFC">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承包人承揽工程项目一览表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91"/>
        <w:gridCol w:w="779"/>
        <w:gridCol w:w="1530"/>
        <w:gridCol w:w="1661"/>
        <w:gridCol w:w="850"/>
        <w:gridCol w:w="1560"/>
        <w:gridCol w:w="1972"/>
        <w:gridCol w:w="1571"/>
        <w:gridCol w:w="851"/>
        <w:gridCol w:w="850"/>
      </w:tblGrid>
      <w:tr w14:paraId="7246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91" w:type="dxa"/>
            <w:noWrap w:val="0"/>
            <w:vAlign w:val="center"/>
          </w:tcPr>
          <w:p w14:paraId="5ADFE0A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单位工程名称</w:t>
            </w:r>
          </w:p>
        </w:tc>
        <w:tc>
          <w:tcPr>
            <w:tcW w:w="779" w:type="dxa"/>
            <w:noWrap w:val="0"/>
            <w:vAlign w:val="center"/>
          </w:tcPr>
          <w:p w14:paraId="4942F43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建设规模</w:t>
            </w:r>
          </w:p>
        </w:tc>
        <w:tc>
          <w:tcPr>
            <w:tcW w:w="1530" w:type="dxa"/>
            <w:noWrap w:val="0"/>
            <w:vAlign w:val="center"/>
          </w:tcPr>
          <w:p w14:paraId="656AD1B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建筑面积</w:t>
            </w:r>
            <w:r>
              <w:rPr>
                <w:rFonts w:ascii="Times New Roman" w:hAnsi="Times New Roman" w:eastAsia="仿宋_GB2312"/>
                <w:color w:val="auto"/>
                <w:sz w:val="28"/>
                <w:szCs w:val="28"/>
                <w:highlight w:val="none"/>
              </w:rPr>
              <w:t>(</w:t>
            </w:r>
            <w:r>
              <w:rPr>
                <w:rFonts w:hint="eastAsia" w:ascii="Times New Roman" w:hAnsi="Times New Roman" w:eastAsia="仿宋_GB2312" w:cs="仿宋_GB2312"/>
                <w:color w:val="auto"/>
                <w:sz w:val="28"/>
                <w:szCs w:val="28"/>
                <w:highlight w:val="none"/>
              </w:rPr>
              <w:t>平方米</w:t>
            </w:r>
            <w:r>
              <w:rPr>
                <w:rFonts w:ascii="Times New Roman" w:hAnsi="Times New Roman" w:eastAsia="仿宋_GB2312"/>
                <w:color w:val="auto"/>
                <w:sz w:val="28"/>
                <w:szCs w:val="28"/>
                <w:highlight w:val="none"/>
              </w:rPr>
              <w:t>)</w:t>
            </w:r>
          </w:p>
        </w:tc>
        <w:tc>
          <w:tcPr>
            <w:tcW w:w="1661" w:type="dxa"/>
            <w:noWrap w:val="0"/>
            <w:vAlign w:val="center"/>
          </w:tcPr>
          <w:p w14:paraId="4962C87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结构形式</w:t>
            </w:r>
          </w:p>
        </w:tc>
        <w:tc>
          <w:tcPr>
            <w:tcW w:w="850" w:type="dxa"/>
            <w:noWrap w:val="0"/>
            <w:vAlign w:val="center"/>
          </w:tcPr>
          <w:p w14:paraId="234CE34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层数</w:t>
            </w:r>
          </w:p>
        </w:tc>
        <w:tc>
          <w:tcPr>
            <w:tcW w:w="1560" w:type="dxa"/>
            <w:noWrap w:val="0"/>
            <w:vAlign w:val="center"/>
          </w:tcPr>
          <w:p w14:paraId="1B3FAE8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生产能力</w:t>
            </w:r>
          </w:p>
        </w:tc>
        <w:tc>
          <w:tcPr>
            <w:tcW w:w="1972" w:type="dxa"/>
            <w:noWrap w:val="0"/>
            <w:vAlign w:val="center"/>
          </w:tcPr>
          <w:p w14:paraId="730724B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设备安装内容</w:t>
            </w:r>
          </w:p>
        </w:tc>
        <w:tc>
          <w:tcPr>
            <w:tcW w:w="1571" w:type="dxa"/>
            <w:noWrap w:val="0"/>
            <w:vAlign w:val="center"/>
          </w:tcPr>
          <w:p w14:paraId="7C3CF6D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合同价格（元）</w:t>
            </w:r>
          </w:p>
        </w:tc>
        <w:tc>
          <w:tcPr>
            <w:tcW w:w="851" w:type="dxa"/>
            <w:noWrap w:val="0"/>
            <w:vAlign w:val="center"/>
          </w:tcPr>
          <w:p w14:paraId="5E407EE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开工日期</w:t>
            </w:r>
          </w:p>
        </w:tc>
        <w:tc>
          <w:tcPr>
            <w:tcW w:w="850" w:type="dxa"/>
            <w:noWrap w:val="0"/>
            <w:vAlign w:val="center"/>
          </w:tcPr>
          <w:p w14:paraId="5BD13CA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竣工日期</w:t>
            </w:r>
          </w:p>
        </w:tc>
      </w:tr>
      <w:tr w14:paraId="49B5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2191" w:type="dxa"/>
            <w:noWrap w:val="0"/>
            <w:vAlign w:val="center"/>
          </w:tcPr>
          <w:p w14:paraId="3F05B0E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215782F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2C746D6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786F144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10B606B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27E403E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2BE2D32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7AEF2D05">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noWrap w:val="0"/>
            <w:vAlign w:val="center"/>
          </w:tcPr>
          <w:p w14:paraId="2A85294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1B41104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5F69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56C8A45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5A4189B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6DA3F7E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631317E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504061D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01245F0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502C805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6BC3B730">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noWrap w:val="0"/>
            <w:vAlign w:val="center"/>
          </w:tcPr>
          <w:p w14:paraId="1862DBE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3FB50C4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5BFD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1BAAA31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595BD4B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0872C31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100205C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1ABD270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610FFA0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7750DBA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41EB44F3">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noWrap w:val="0"/>
            <w:vAlign w:val="center"/>
          </w:tcPr>
          <w:p w14:paraId="2981D7A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6182165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72A4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03DC49D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10716CA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6984504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7BA78A1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52FF6D0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2656A6E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0B03B5C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2E73DA94">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noWrap w:val="0"/>
            <w:vAlign w:val="center"/>
          </w:tcPr>
          <w:p w14:paraId="6134786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5D890CE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3167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7F43334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58DF007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494C877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147AD0B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3AA3180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4DA2BFF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132EF23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3B4C3C7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noWrap w:val="0"/>
            <w:vAlign w:val="center"/>
          </w:tcPr>
          <w:p w14:paraId="5DE2EAA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6CDCD47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4A01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68A9756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1481F81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0670E2D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04B08F6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4949614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53D649B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66559BF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76967DE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noWrap w:val="0"/>
            <w:vAlign w:val="center"/>
          </w:tcPr>
          <w:p w14:paraId="6F28DEC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4BD97B3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48F4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09165AD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781083A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5DB1C0D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44E9E65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75BAEFB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141AE42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4692F58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15410F2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noWrap w:val="0"/>
            <w:vAlign w:val="center"/>
          </w:tcPr>
          <w:p w14:paraId="4037A97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0810538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15C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noWrap w:val="0"/>
            <w:vAlign w:val="center"/>
          </w:tcPr>
          <w:p w14:paraId="57131AF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noWrap w:val="0"/>
            <w:vAlign w:val="center"/>
          </w:tcPr>
          <w:p w14:paraId="22CB604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noWrap w:val="0"/>
            <w:vAlign w:val="center"/>
          </w:tcPr>
          <w:p w14:paraId="2B0CAA6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noWrap w:val="0"/>
            <w:vAlign w:val="center"/>
          </w:tcPr>
          <w:p w14:paraId="6E51275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048D889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noWrap w:val="0"/>
            <w:vAlign w:val="center"/>
          </w:tcPr>
          <w:p w14:paraId="26E8DE0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noWrap w:val="0"/>
            <w:vAlign w:val="center"/>
          </w:tcPr>
          <w:p w14:paraId="54F7041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noWrap w:val="0"/>
            <w:vAlign w:val="center"/>
          </w:tcPr>
          <w:p w14:paraId="0BB7A80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noWrap w:val="0"/>
            <w:vAlign w:val="center"/>
          </w:tcPr>
          <w:p w14:paraId="7BAB7FE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noWrap w:val="0"/>
            <w:vAlign w:val="center"/>
          </w:tcPr>
          <w:p w14:paraId="3A756D8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bl>
    <w:p w14:paraId="6AEDDC84">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sectPr>
          <w:pgSz w:w="16838" w:h="11906" w:orient="landscape"/>
          <w:pgMar w:top="1417" w:right="1134" w:bottom="1134" w:left="567" w:header="851" w:footer="992" w:gutter="0"/>
          <w:pgNumType w:fmt="decimal"/>
          <w:cols w:space="720" w:num="1"/>
          <w:docGrid w:type="lines" w:linePitch="312" w:charSpace="0"/>
        </w:sectPr>
      </w:pPr>
    </w:p>
    <w:p w14:paraId="6EC82456">
      <w:pPr>
        <w:pStyle w:val="420"/>
        <w:pageBreakBefore w:val="0"/>
        <w:kinsoku/>
        <w:overflowPunct/>
        <w:topLinePunct w:val="0"/>
        <w:bidi w:val="0"/>
        <w:spacing w:line="400" w:lineRule="exact"/>
        <w:rPr>
          <w:rFonts w:ascii="Times New Roman" w:hAnsi="Times New Roman"/>
          <w:color w:val="auto"/>
          <w:sz w:val="30"/>
          <w:szCs w:val="30"/>
          <w:highlight w:val="none"/>
        </w:rPr>
      </w:pPr>
      <w:r>
        <w:rPr>
          <w:rFonts w:hint="eastAsia" w:ascii="Times New Roman" w:hAnsi="宋体" w:cs="宋体"/>
          <w:color w:val="auto"/>
          <w:sz w:val="30"/>
          <w:szCs w:val="30"/>
          <w:highlight w:val="none"/>
        </w:rPr>
        <w:t>附件</w:t>
      </w:r>
      <w:r>
        <w:rPr>
          <w:rFonts w:hint="eastAsia" w:ascii="Times New Roman" w:hAnsi="Times New Roman"/>
          <w:color w:val="auto"/>
          <w:sz w:val="30"/>
          <w:szCs w:val="30"/>
          <w:highlight w:val="none"/>
        </w:rPr>
        <w:t>2</w:t>
      </w:r>
      <w:r>
        <w:rPr>
          <w:rFonts w:hint="eastAsia" w:ascii="Times New Roman" w:hAnsi="宋体" w:cs="宋体"/>
          <w:color w:val="auto"/>
          <w:sz w:val="30"/>
          <w:szCs w:val="30"/>
          <w:highlight w:val="none"/>
        </w:rPr>
        <w:t>：</w:t>
      </w:r>
    </w:p>
    <w:p w14:paraId="75723782">
      <w:pPr>
        <w:pStyle w:val="420"/>
        <w:pageBreakBefore w:val="0"/>
        <w:kinsoku/>
        <w:overflowPunct/>
        <w:topLinePunct w:val="0"/>
        <w:bidi w:val="0"/>
        <w:spacing w:before="156" w:beforeLines="50" w:after="156" w:afterLines="50" w:line="400" w:lineRule="exact"/>
        <w:jc w:val="center"/>
        <w:rPr>
          <w:rFonts w:ascii="黑体" w:hAnsi="Times New Roman" w:eastAsia="黑体"/>
          <w:color w:val="auto"/>
          <w:sz w:val="32"/>
          <w:szCs w:val="32"/>
          <w:highlight w:val="none"/>
        </w:rPr>
      </w:pPr>
      <w:r>
        <w:rPr>
          <w:rFonts w:hint="eastAsia" w:ascii="黑体" w:hAnsi="宋体" w:eastAsia="黑体" w:cs="黑体"/>
          <w:color w:val="auto"/>
          <w:sz w:val="32"/>
          <w:szCs w:val="32"/>
          <w:highlight w:val="none"/>
        </w:rPr>
        <w:t>工程质量保修书</w:t>
      </w:r>
    </w:p>
    <w:p w14:paraId="280CD908">
      <w:pPr>
        <w:pStyle w:val="420"/>
        <w:pageBreakBefore w:val="0"/>
        <w:kinsoku/>
        <w:overflowPunct/>
        <w:topLinePunct w:val="0"/>
        <w:bidi w:val="0"/>
        <w:spacing w:line="400" w:lineRule="exact"/>
        <w:rPr>
          <w:rFonts w:ascii="宋体" w:hAnsi="Times New Roman"/>
          <w:color w:val="auto"/>
          <w:szCs w:val="21"/>
          <w:highlight w:val="none"/>
        </w:rPr>
      </w:pPr>
      <w:r>
        <w:rPr>
          <w:rFonts w:hint="eastAsia" w:ascii="宋体" w:hAnsi="Times New Roman"/>
          <w:color w:val="auto"/>
          <w:szCs w:val="21"/>
          <w:highlight w:val="none"/>
        </w:rPr>
        <w:t>发包人：</w:t>
      </w:r>
      <w:r>
        <w:rPr>
          <w:rFonts w:hint="eastAsia" w:ascii="宋体" w:hAnsi="Times New Roman"/>
          <w:color w:val="auto"/>
          <w:szCs w:val="21"/>
          <w:highlight w:val="none"/>
          <w:u w:val="single"/>
        </w:rPr>
        <w:t xml:space="preserve"> </w:t>
      </w:r>
      <w:r>
        <w:rPr>
          <w:rFonts w:hint="eastAsia" w:ascii="宋体" w:hAnsi="Times New Roman"/>
          <w:color w:val="auto"/>
          <w:szCs w:val="21"/>
          <w:highlight w:val="none"/>
          <w:u w:val="single"/>
          <w:lang w:val="en-US" w:eastAsia="zh-CN"/>
        </w:rPr>
        <w:t xml:space="preserve"> ************</w:t>
      </w:r>
      <w:r>
        <w:rPr>
          <w:rFonts w:hint="eastAsia" w:ascii="宋体" w:hAnsi="Times New Roman"/>
          <w:color w:val="auto"/>
          <w:szCs w:val="21"/>
          <w:highlight w:val="none"/>
        </w:rPr>
        <w:t xml:space="preserve"> </w:t>
      </w:r>
      <w:r>
        <w:rPr>
          <w:rFonts w:hint="eastAsia" w:ascii="宋体" w:hAnsi="Times New Roman"/>
          <w:color w:val="auto"/>
          <w:szCs w:val="21"/>
          <w:highlight w:val="none"/>
          <w:lang w:val="en-US" w:eastAsia="zh-CN"/>
        </w:rPr>
        <w:t xml:space="preserve"> </w:t>
      </w:r>
    </w:p>
    <w:p w14:paraId="3DC5B935">
      <w:pPr>
        <w:pStyle w:val="420"/>
        <w:pageBreakBefore w:val="0"/>
        <w:kinsoku/>
        <w:overflowPunct/>
        <w:topLinePunct w:val="0"/>
        <w:bidi w:val="0"/>
        <w:spacing w:line="400" w:lineRule="exact"/>
        <w:rPr>
          <w:rFonts w:ascii="宋体" w:hAnsi="Times New Roman"/>
          <w:color w:val="auto"/>
          <w:szCs w:val="21"/>
          <w:highlight w:val="none"/>
        </w:rPr>
      </w:pPr>
    </w:p>
    <w:p w14:paraId="1361CB34">
      <w:pPr>
        <w:pStyle w:val="420"/>
        <w:pageBreakBefore w:val="0"/>
        <w:kinsoku/>
        <w:overflowPunct/>
        <w:topLinePunct w:val="0"/>
        <w:bidi w:val="0"/>
        <w:spacing w:line="400" w:lineRule="exact"/>
        <w:rPr>
          <w:rFonts w:ascii="宋体" w:hAnsi="Times New Roman"/>
          <w:color w:val="auto"/>
          <w:szCs w:val="21"/>
          <w:highlight w:val="none"/>
        </w:rPr>
      </w:pPr>
      <w:r>
        <w:rPr>
          <w:rFonts w:hint="eastAsia" w:ascii="宋体" w:hAnsi="Times New Roman"/>
          <w:color w:val="auto"/>
          <w:szCs w:val="21"/>
          <w:highlight w:val="none"/>
        </w:rPr>
        <w:t>承包人：</w:t>
      </w:r>
      <w:r>
        <w:rPr>
          <w:rFonts w:hint="eastAsia" w:ascii="宋体" w:hAnsi="Times New Roman"/>
          <w:color w:val="auto"/>
          <w:szCs w:val="21"/>
          <w:highlight w:val="none"/>
          <w:u w:val="single"/>
        </w:rPr>
        <w:t xml:space="preserve"> </w:t>
      </w:r>
      <w:r>
        <w:rPr>
          <w:rFonts w:hint="eastAsia" w:ascii="宋体" w:hAnsi="Times New Roman"/>
          <w:color w:val="auto"/>
          <w:szCs w:val="21"/>
          <w:highlight w:val="none"/>
          <w:u w:val="single"/>
          <w:lang w:val="en-US" w:eastAsia="zh-CN"/>
        </w:rPr>
        <w:t>************</w:t>
      </w:r>
      <w:r>
        <w:rPr>
          <w:rFonts w:hint="eastAsia" w:ascii="宋体" w:hAnsi="Times New Roman"/>
          <w:color w:val="auto"/>
          <w:szCs w:val="21"/>
          <w:highlight w:val="none"/>
          <w:lang w:val="en-US" w:eastAsia="zh-CN"/>
        </w:rPr>
        <w:t xml:space="preserve"> </w:t>
      </w:r>
    </w:p>
    <w:p w14:paraId="47626E90">
      <w:pPr>
        <w:pStyle w:val="420"/>
        <w:pageBreakBefore w:val="0"/>
        <w:kinsoku/>
        <w:overflowPunct/>
        <w:topLinePunct w:val="0"/>
        <w:bidi w:val="0"/>
        <w:spacing w:line="400" w:lineRule="exact"/>
        <w:rPr>
          <w:rFonts w:ascii="宋体" w:hAnsi="Times New Roman"/>
          <w:color w:val="auto"/>
          <w:szCs w:val="21"/>
          <w:highlight w:val="none"/>
        </w:rPr>
      </w:pPr>
    </w:p>
    <w:p w14:paraId="115FD873">
      <w:pPr>
        <w:pStyle w:val="420"/>
        <w:pageBreakBefore w:val="0"/>
        <w:kinsoku/>
        <w:overflowPunct/>
        <w:topLinePunct w:val="0"/>
        <w:bidi w:val="0"/>
        <w:spacing w:line="400" w:lineRule="exact"/>
        <w:ind w:firstLine="420"/>
        <w:rPr>
          <w:rFonts w:ascii="宋体" w:hAnsi="Times New Roman"/>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ascii="宋体" w:hAnsi="宋体" w:cs="宋体"/>
          <w:color w:val="auto"/>
          <w:szCs w:val="21"/>
          <w:highlight w:val="none"/>
          <w:u w:val="single"/>
        </w:rPr>
        <w:t xml:space="preserve">  </w:t>
      </w:r>
      <w:r>
        <w:rPr>
          <w:rFonts w:hint="eastAsia" w:hAnsi="宋体"/>
          <w:color w:val="auto"/>
          <w:sz w:val="22"/>
          <w:highlight w:val="none"/>
          <w:u w:val="single"/>
          <w:lang w:val="en-US" w:eastAsia="zh-CN"/>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（工程全称）签订工程质量保修书。</w:t>
      </w:r>
    </w:p>
    <w:p w14:paraId="28A68C89">
      <w:pPr>
        <w:pStyle w:val="420"/>
        <w:pageBreakBefore w:val="0"/>
        <w:kinsoku/>
        <w:overflowPunct/>
        <w:topLinePunct w:val="0"/>
        <w:bidi w:val="0"/>
        <w:spacing w:line="400" w:lineRule="exact"/>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一、工程质量保修范围和内容</w:t>
      </w:r>
    </w:p>
    <w:p w14:paraId="040700A0">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06388D97">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质量保修范围包括</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hAnsi="宋体"/>
          <w:bCs/>
          <w:color w:val="auto"/>
          <w:sz w:val="22"/>
          <w:highlight w:val="none"/>
          <w:u w:val="single"/>
          <w:lang w:val="en-US" w:eastAsia="zh-CN"/>
        </w:rPr>
        <w:t>，</w:t>
      </w:r>
      <w:r>
        <w:rPr>
          <w:rFonts w:hint="eastAsia" w:ascii="宋体" w:hAnsi="宋体" w:cs="宋体"/>
          <w:color w:val="auto"/>
          <w:szCs w:val="21"/>
          <w:highlight w:val="none"/>
          <w:u w:val="single"/>
          <w:lang w:eastAsia="zh-CN"/>
        </w:rPr>
        <w:t>详见施工</w:t>
      </w:r>
      <w:r>
        <w:rPr>
          <w:rFonts w:hint="eastAsia" w:ascii="宋体" w:hAnsi="宋体" w:cs="宋体"/>
          <w:color w:val="auto"/>
          <w:szCs w:val="21"/>
          <w:highlight w:val="none"/>
          <w:u w:val="single"/>
        </w:rPr>
        <w:t>图纸及工程量清单</w:t>
      </w:r>
      <w:r>
        <w:rPr>
          <w:rFonts w:hAnsi="宋体"/>
          <w:color w:val="auto"/>
          <w:sz w:val="22"/>
          <w:highlight w:val="none"/>
        </w:rPr>
        <w:t>。</w:t>
      </w:r>
      <w:r>
        <w:rPr>
          <w:rFonts w:hint="eastAsia" w:ascii="宋体" w:hAnsi="宋体" w:cs="宋体"/>
          <w:color w:val="auto"/>
          <w:szCs w:val="21"/>
          <w:highlight w:val="none"/>
        </w:rPr>
        <w:t>以及双方约定的其他项目。具体保修的内容，双方约定如下：</w:t>
      </w:r>
    </w:p>
    <w:p w14:paraId="244A7A6A">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7F1D4E3">
      <w:pPr>
        <w:pStyle w:val="420"/>
        <w:pageBreakBefore w:val="0"/>
        <w:kinsoku/>
        <w:overflowPunct/>
        <w:topLinePunct w:val="0"/>
        <w:bidi w:val="0"/>
        <w:spacing w:line="400" w:lineRule="exact"/>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二、质量保修期</w:t>
      </w:r>
    </w:p>
    <w:p w14:paraId="6CACA5E8">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73802428">
      <w:pPr>
        <w:pStyle w:val="420"/>
        <w:pageBreakBefore w:val="0"/>
        <w:kinsoku/>
        <w:overflowPunct/>
        <w:topLinePunct w:val="0"/>
        <w:bidi w:val="0"/>
        <w:spacing w:line="400" w:lineRule="exact"/>
        <w:ind w:firstLine="426"/>
        <w:rPr>
          <w:rFonts w:ascii="Times New Roman" w:hAnsi="Times New Roman"/>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Times New Roman" w:hAnsi="Times New Roman" w:cs="宋体"/>
          <w:color w:val="auto"/>
          <w:szCs w:val="21"/>
          <w:highlight w:val="none"/>
        </w:rPr>
        <w:t>桥梁工程为</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年（建议桥梁隧道主体结构工程为设计文件规定的合理使用年限）；</w:t>
      </w:r>
    </w:p>
    <w:p w14:paraId="4C3B7A87">
      <w:pPr>
        <w:pStyle w:val="420"/>
        <w:pageBreakBefore w:val="0"/>
        <w:kinsoku/>
        <w:overflowPunct/>
        <w:topLinePunct w:val="0"/>
        <w:bidi w:val="0"/>
        <w:spacing w:line="400" w:lineRule="exact"/>
        <w:ind w:firstLine="426"/>
        <w:rPr>
          <w:rFonts w:ascii="Times New Roman" w:hAnsi="Times New Roman"/>
          <w:color w:val="auto"/>
          <w:szCs w:val="21"/>
          <w:highlight w:val="none"/>
        </w:rPr>
      </w:pPr>
      <w:r>
        <w:rPr>
          <w:rFonts w:ascii="Times New Roman" w:hAnsi="Times New Roman"/>
          <w:color w:val="auto"/>
          <w:szCs w:val="21"/>
          <w:highlight w:val="none"/>
        </w:rPr>
        <w:t>2</w:t>
      </w:r>
      <w:r>
        <w:rPr>
          <w:rFonts w:hint="eastAsia" w:ascii="宋体" w:hAnsi="宋体" w:cs="宋体"/>
          <w:color w:val="auto"/>
          <w:szCs w:val="21"/>
          <w:highlight w:val="none"/>
        </w:rPr>
        <w:t>．</w:t>
      </w:r>
      <w:r>
        <w:rPr>
          <w:rFonts w:hint="eastAsia" w:ascii="Times New Roman" w:hAnsi="Times New Roman" w:cs="宋体"/>
          <w:color w:val="auto"/>
          <w:szCs w:val="21"/>
          <w:highlight w:val="none"/>
        </w:rPr>
        <w:t>道路工程为</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年（建议路基、路面、桥面为</w:t>
      </w:r>
      <w:r>
        <w:rPr>
          <w:rFonts w:ascii="Times New Roman" w:hAnsi="Times New Roman"/>
          <w:color w:val="auto"/>
          <w:szCs w:val="21"/>
          <w:highlight w:val="none"/>
        </w:rPr>
        <w:t>2</w:t>
      </w:r>
      <w:r>
        <w:rPr>
          <w:rFonts w:hint="eastAsia" w:ascii="Times New Roman" w:hAnsi="Times New Roman" w:cs="宋体"/>
          <w:color w:val="auto"/>
          <w:szCs w:val="21"/>
          <w:highlight w:val="none"/>
        </w:rPr>
        <w:t>年）；</w:t>
      </w:r>
    </w:p>
    <w:p w14:paraId="3F8183C0">
      <w:pPr>
        <w:pStyle w:val="420"/>
        <w:pageBreakBefore w:val="0"/>
        <w:kinsoku/>
        <w:overflowPunct/>
        <w:topLinePunct w:val="0"/>
        <w:bidi w:val="0"/>
        <w:spacing w:line="400" w:lineRule="exact"/>
        <w:ind w:firstLine="426"/>
        <w:rPr>
          <w:rFonts w:ascii="Times New Roman" w:hAnsi="Times New Roman"/>
          <w:color w:val="auto"/>
          <w:szCs w:val="21"/>
          <w:highlight w:val="none"/>
        </w:rPr>
      </w:pPr>
      <w:r>
        <w:rPr>
          <w:rFonts w:ascii="Times New Roman" w:hAnsi="Times New Roman"/>
          <w:color w:val="auto"/>
          <w:szCs w:val="21"/>
          <w:highlight w:val="none"/>
        </w:rPr>
        <w:t>3</w:t>
      </w:r>
      <w:r>
        <w:rPr>
          <w:rFonts w:hint="eastAsia" w:ascii="宋体" w:hAnsi="宋体" w:cs="宋体"/>
          <w:color w:val="auto"/>
          <w:szCs w:val="21"/>
          <w:highlight w:val="none"/>
        </w:rPr>
        <w:t>．</w:t>
      </w:r>
      <w:r>
        <w:rPr>
          <w:rFonts w:hint="eastAsia" w:ascii="Times New Roman" w:hAnsi="Times New Roman" w:cs="宋体"/>
          <w:color w:val="auto"/>
          <w:szCs w:val="21"/>
          <w:highlight w:val="none"/>
        </w:rPr>
        <w:t>排水（雨水）工程为</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年（建议道路工程中的排水工程为</w:t>
      </w:r>
      <w:r>
        <w:rPr>
          <w:rFonts w:ascii="Times New Roman" w:hAnsi="Times New Roman"/>
          <w:color w:val="auto"/>
          <w:szCs w:val="21"/>
          <w:highlight w:val="none"/>
        </w:rPr>
        <w:t>3</w:t>
      </w:r>
      <w:r>
        <w:rPr>
          <w:rFonts w:hint="eastAsia" w:ascii="Times New Roman" w:hAnsi="Times New Roman" w:cs="宋体"/>
          <w:color w:val="auto"/>
          <w:szCs w:val="21"/>
          <w:highlight w:val="none"/>
        </w:rPr>
        <w:t>年）；</w:t>
      </w:r>
    </w:p>
    <w:p w14:paraId="20916E51">
      <w:pPr>
        <w:pStyle w:val="420"/>
        <w:pageBreakBefore w:val="0"/>
        <w:kinsoku/>
        <w:overflowPunct/>
        <w:topLinePunct w:val="0"/>
        <w:bidi w:val="0"/>
        <w:spacing w:line="400" w:lineRule="exact"/>
        <w:ind w:firstLine="426"/>
        <w:rPr>
          <w:rFonts w:ascii="Times New Roman" w:hAnsi="Times New Roman"/>
          <w:color w:val="auto"/>
          <w:szCs w:val="21"/>
          <w:highlight w:val="none"/>
        </w:rPr>
      </w:pPr>
      <w:r>
        <w:rPr>
          <w:rFonts w:ascii="Times New Roman" w:hAnsi="Times New Roman"/>
          <w:color w:val="auto"/>
          <w:szCs w:val="21"/>
          <w:highlight w:val="none"/>
        </w:rPr>
        <w:t>4</w:t>
      </w:r>
      <w:r>
        <w:rPr>
          <w:rFonts w:hint="eastAsia" w:ascii="宋体" w:hAnsi="宋体" w:cs="宋体"/>
          <w:color w:val="auto"/>
          <w:szCs w:val="21"/>
          <w:highlight w:val="none"/>
        </w:rPr>
        <w:t>．</w:t>
      </w:r>
      <w:r>
        <w:rPr>
          <w:rFonts w:hint="eastAsia" w:ascii="Times New Roman" w:hAnsi="Times New Roman" w:cs="宋体"/>
          <w:color w:val="auto"/>
          <w:szCs w:val="21"/>
          <w:highlight w:val="none"/>
        </w:rPr>
        <w:t>绿化工程为</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u w:val="single"/>
        </w:rPr>
        <w:t>单位工程竣工验收合格后</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u w:val="single"/>
        </w:rPr>
        <w:t>年</w:t>
      </w:r>
      <w:r>
        <w:rPr>
          <w:rFonts w:hint="eastAsia" w:ascii="Times New Roman" w:hAnsi="Times New Roman" w:cs="宋体"/>
          <w:color w:val="auto"/>
          <w:szCs w:val="21"/>
          <w:highlight w:val="none"/>
        </w:rPr>
        <w:t>；</w:t>
      </w:r>
    </w:p>
    <w:p w14:paraId="6E0F9A9A">
      <w:pPr>
        <w:pStyle w:val="420"/>
        <w:pageBreakBefore w:val="0"/>
        <w:kinsoku/>
        <w:overflowPunct/>
        <w:topLinePunct w:val="0"/>
        <w:bidi w:val="0"/>
        <w:spacing w:line="400" w:lineRule="exact"/>
        <w:ind w:firstLine="426"/>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Times New Roman" w:cs="宋体"/>
          <w:color w:val="auto"/>
          <w:szCs w:val="21"/>
          <w:highlight w:val="none"/>
        </w:rPr>
        <w:t>地下防水工程为</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年（建议为</w:t>
      </w:r>
      <w:r>
        <w:rPr>
          <w:rFonts w:ascii="Times New Roman" w:hAnsi="Times New Roman"/>
          <w:color w:val="auto"/>
          <w:szCs w:val="21"/>
          <w:highlight w:val="none"/>
        </w:rPr>
        <w:t>5</w:t>
      </w:r>
      <w:r>
        <w:rPr>
          <w:rFonts w:hint="eastAsia" w:ascii="Times New Roman" w:hAnsi="Times New Roman" w:cs="宋体"/>
          <w:color w:val="auto"/>
          <w:szCs w:val="21"/>
          <w:highlight w:val="none"/>
        </w:rPr>
        <w:t>年）；</w:t>
      </w:r>
    </w:p>
    <w:p w14:paraId="1D26B0E2">
      <w:pPr>
        <w:pStyle w:val="420"/>
        <w:pageBreakBefore w:val="0"/>
        <w:kinsoku/>
        <w:overflowPunct/>
        <w:topLinePunct w:val="0"/>
        <w:bidi w:val="0"/>
        <w:spacing w:line="400" w:lineRule="exact"/>
        <w:ind w:firstLine="426"/>
        <w:rPr>
          <w:rFonts w:ascii="Times New Roman" w:hAnsi="Times New Roman"/>
          <w:color w:val="auto"/>
          <w:szCs w:val="21"/>
          <w:highlight w:val="none"/>
        </w:rPr>
      </w:pPr>
      <w:r>
        <w:rPr>
          <w:rFonts w:ascii="Times New Roman" w:hAnsi="Times New Roman"/>
          <w:color w:val="auto"/>
          <w:szCs w:val="21"/>
          <w:highlight w:val="none"/>
        </w:rPr>
        <w:t>6</w:t>
      </w:r>
      <w:r>
        <w:rPr>
          <w:rFonts w:hint="eastAsia" w:ascii="宋体" w:hAnsi="宋体" w:cs="宋体"/>
          <w:color w:val="auto"/>
          <w:szCs w:val="21"/>
          <w:highlight w:val="none"/>
        </w:rPr>
        <w:t>．</w:t>
      </w:r>
      <w:r>
        <w:rPr>
          <w:rFonts w:hint="eastAsia" w:ascii="Times New Roman" w:hAnsi="Times New Roman" w:cs="宋体"/>
          <w:color w:val="auto"/>
          <w:szCs w:val="21"/>
          <w:highlight w:val="none"/>
        </w:rPr>
        <w:t>其他附属工程为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2</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lang w:eastAsia="zh-CN"/>
        </w:rPr>
        <w:t>（</w:t>
      </w:r>
      <w:r>
        <w:rPr>
          <w:rFonts w:hint="eastAsia" w:hAnsi="宋体"/>
          <w:bCs/>
          <w:color w:val="auto"/>
          <w:sz w:val="22"/>
          <w:highlight w:val="none"/>
          <w:u w:val="single"/>
          <w:lang w:val="en-US" w:eastAsia="zh-CN"/>
        </w:rPr>
        <w:t>运动场翻新改造工程</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w:t>
      </w:r>
    </w:p>
    <w:p w14:paraId="6511EEA7">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．其他项目保修期限约定如下：</w:t>
      </w:r>
    </w:p>
    <w:p w14:paraId="6C522EA4">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A41697F">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质量保修期自工程竣工验收合格之日起计算。</w:t>
      </w:r>
    </w:p>
    <w:p w14:paraId="2DEB8850">
      <w:pPr>
        <w:pStyle w:val="420"/>
        <w:pageBreakBefore w:val="0"/>
        <w:kinsoku/>
        <w:overflowPunct/>
        <w:topLinePunct w:val="0"/>
        <w:bidi w:val="0"/>
        <w:spacing w:line="400" w:lineRule="exact"/>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三、缺陷责任期</w:t>
      </w:r>
    </w:p>
    <w:p w14:paraId="5796194C">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工程缺陷责任期为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w:t>
      </w:r>
      <w:r>
        <w:rPr>
          <w:rFonts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Times New Roman" w:hAnsi="宋体" w:cs="宋体"/>
          <w:color w:val="auto"/>
          <w:szCs w:val="21"/>
          <w:highlight w:val="none"/>
        </w:rPr>
        <w:t>（最长不超过</w:t>
      </w:r>
      <w:r>
        <w:rPr>
          <w:rFonts w:ascii="Times New Roman" w:hAnsi="宋体"/>
          <w:color w:val="auto"/>
          <w:szCs w:val="21"/>
          <w:highlight w:val="none"/>
        </w:rPr>
        <w:t>24</w:t>
      </w:r>
      <w:r>
        <w:rPr>
          <w:rFonts w:hint="eastAsia" w:ascii="Times New Roman" w:hAnsi="宋体" w:cs="宋体"/>
          <w:color w:val="auto"/>
          <w:szCs w:val="21"/>
          <w:highlight w:val="none"/>
        </w:rPr>
        <w:t>个月）</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7A91F84F">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缺陷责任期</w:t>
      </w:r>
      <w:r>
        <w:rPr>
          <w:rFonts w:hint="eastAsia" w:ascii="Times New Roman" w:hAnsi="宋体" w:cs="宋体"/>
          <w:color w:val="auto"/>
          <w:szCs w:val="21"/>
          <w:highlight w:val="none"/>
          <w:u w:val="single"/>
        </w:rPr>
        <w:t>满</w:t>
      </w:r>
      <w:r>
        <w:rPr>
          <w:rFonts w:hint="eastAsia" w:ascii="仿宋_GB2312" w:hAnsi="宋体"/>
          <w:color w:val="auto"/>
          <w:szCs w:val="21"/>
          <w:highlight w:val="none"/>
        </w:rPr>
        <w:t>之日起</w:t>
      </w:r>
      <w:r>
        <w:rPr>
          <w:rFonts w:hint="eastAsia" w:ascii="仿宋_GB2312" w:hAnsi="宋体"/>
          <w:color w:val="auto"/>
          <w:szCs w:val="21"/>
          <w:highlight w:val="none"/>
          <w:u w:val="single"/>
        </w:rPr>
        <w:t xml:space="preserve"> </w:t>
      </w:r>
      <w:r>
        <w:rPr>
          <w:rFonts w:ascii="仿宋_GB2312" w:hAnsi="宋体"/>
          <w:color w:val="auto"/>
          <w:szCs w:val="21"/>
          <w:highlight w:val="none"/>
          <w:u w:val="single"/>
        </w:rPr>
        <w:t xml:space="preserve">  </w:t>
      </w:r>
      <w:r>
        <w:rPr>
          <w:rFonts w:hint="eastAsia" w:ascii="仿宋_GB2312" w:hAnsi="宋体"/>
          <w:color w:val="auto"/>
          <w:szCs w:val="21"/>
          <w:highlight w:val="none"/>
          <w:u w:val="single"/>
        </w:rPr>
        <w:t xml:space="preserve"> </w:t>
      </w:r>
      <w:r>
        <w:rPr>
          <w:rFonts w:hint="eastAsia" w:ascii="仿宋_GB2312" w:hAnsi="宋体"/>
          <w:color w:val="auto"/>
          <w:szCs w:val="21"/>
          <w:highlight w:val="none"/>
        </w:rPr>
        <w:t>天</w:t>
      </w:r>
      <w:r>
        <w:rPr>
          <w:rFonts w:hint="eastAsia" w:ascii="Times New Roman" w:hAnsi="宋体" w:cs="宋体"/>
          <w:color w:val="auto"/>
          <w:szCs w:val="21"/>
          <w:highlight w:val="none"/>
          <w:u w:val="single"/>
        </w:rPr>
        <w:t>（按</w:t>
      </w:r>
      <w:r>
        <w:rPr>
          <w:rFonts w:ascii="Times New Roman" w:hAnsi="宋体" w:cs="宋体"/>
          <w:color w:val="auto"/>
          <w:szCs w:val="21"/>
          <w:highlight w:val="none"/>
          <w:u w:val="single"/>
        </w:rPr>
        <w:t>合同约定期限）</w:t>
      </w:r>
      <w:r>
        <w:rPr>
          <w:rFonts w:hint="eastAsia" w:ascii="Times New Roman" w:hAnsi="宋体" w:cs="宋体"/>
          <w:color w:val="auto"/>
          <w:szCs w:val="21"/>
          <w:highlight w:val="none"/>
          <w:u w:val="single"/>
        </w:rPr>
        <w:t>，</w:t>
      </w:r>
      <w:r>
        <w:rPr>
          <w:rFonts w:hint="eastAsia" w:ascii="宋体" w:hAnsi="宋体" w:cs="宋体"/>
          <w:color w:val="auto"/>
          <w:szCs w:val="21"/>
          <w:highlight w:val="none"/>
        </w:rPr>
        <w:t>发包人应退还剩余的质量保证金。</w:t>
      </w:r>
    </w:p>
    <w:p w14:paraId="7CD715DD">
      <w:pPr>
        <w:pStyle w:val="420"/>
        <w:pageBreakBefore w:val="0"/>
        <w:kinsoku/>
        <w:overflowPunct/>
        <w:topLinePunct w:val="0"/>
        <w:bidi w:val="0"/>
        <w:spacing w:line="400" w:lineRule="exact"/>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四、质量保修责任</w:t>
      </w:r>
    </w:p>
    <w:p w14:paraId="7E4747CB">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．属于保修范围、内容的项目，承包人应当在接到保修通知之日起</w:t>
      </w:r>
      <w:r>
        <w:rPr>
          <w:rFonts w:ascii="宋体" w:hAnsi="宋体" w:cs="宋体"/>
          <w:color w:val="auto"/>
          <w:szCs w:val="21"/>
          <w:highlight w:val="none"/>
          <w:u w:val="single"/>
        </w:rPr>
        <w:t xml:space="preserve">      </w:t>
      </w:r>
      <w:r>
        <w:rPr>
          <w:rFonts w:hint="eastAsia" w:ascii="宋体" w:hAnsi="宋体" w:cs="宋体"/>
          <w:color w:val="auto"/>
          <w:szCs w:val="21"/>
          <w:highlight w:val="none"/>
        </w:rPr>
        <w:t>天内派人保修。承包人不在约定期限内派人保修的，发包人可以委托他人修理</w:t>
      </w:r>
      <w:r>
        <w:rPr>
          <w:rFonts w:hint="eastAsia" w:ascii="Times New Roman" w:hAnsi="宋体" w:cs="宋体"/>
          <w:color w:val="auto"/>
          <w:szCs w:val="21"/>
          <w:highlight w:val="none"/>
        </w:rPr>
        <w:t>，修理费用从质量保证金内扣除。</w:t>
      </w:r>
    </w:p>
    <w:p w14:paraId="70A0A8CC">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．发生紧急事故需抢修的，承包人在接到事故通知后，应当立即到达事故现场抢修。</w:t>
      </w:r>
    </w:p>
    <w:p w14:paraId="30B65512">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ECEBAED">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．质量保修完成后，由发包人组织验收。</w:t>
      </w:r>
    </w:p>
    <w:p w14:paraId="45A65F43">
      <w:pPr>
        <w:pStyle w:val="420"/>
        <w:pageBreakBefore w:val="0"/>
        <w:kinsoku/>
        <w:overflowPunct/>
        <w:topLinePunct w:val="0"/>
        <w:bidi w:val="0"/>
        <w:spacing w:line="400" w:lineRule="exact"/>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五、保修费用</w:t>
      </w:r>
    </w:p>
    <w:p w14:paraId="526F6589">
      <w:pPr>
        <w:pStyle w:val="420"/>
        <w:pageBreakBefore w:val="0"/>
        <w:kinsoku/>
        <w:overflowPunct/>
        <w:topLinePunct w:val="0"/>
        <w:bidi w:val="0"/>
        <w:spacing w:line="400" w:lineRule="exact"/>
        <w:ind w:firstLine="420" w:firstLineChars="200"/>
        <w:rPr>
          <w:rFonts w:ascii="宋体" w:hAnsi="Times New Roman"/>
          <w:color w:val="auto"/>
          <w:szCs w:val="21"/>
          <w:highlight w:val="none"/>
        </w:rPr>
      </w:pPr>
      <w:r>
        <w:rPr>
          <w:rFonts w:hint="eastAsia" w:ascii="宋体" w:hAnsi="宋体" w:cs="宋体"/>
          <w:color w:val="auto"/>
          <w:szCs w:val="21"/>
          <w:highlight w:val="none"/>
        </w:rPr>
        <w:t>保修费用由造成质量缺陷的责任方承担。</w:t>
      </w:r>
    </w:p>
    <w:p w14:paraId="10F4796B">
      <w:pPr>
        <w:pStyle w:val="420"/>
        <w:pageBreakBefore w:val="0"/>
        <w:kinsoku/>
        <w:overflowPunct/>
        <w:topLinePunct w:val="0"/>
        <w:bidi w:val="0"/>
        <w:spacing w:line="400" w:lineRule="exact"/>
        <w:ind w:firstLine="420" w:firstLineChars="200"/>
        <w:rPr>
          <w:rFonts w:ascii="黑体" w:hAnsi="宋体" w:eastAsia="黑体" w:cs="黑体"/>
          <w:color w:val="auto"/>
          <w:szCs w:val="21"/>
          <w:highlight w:val="none"/>
          <w:u w:val="single"/>
        </w:rPr>
      </w:pPr>
      <w:r>
        <w:rPr>
          <w:rFonts w:hint="eastAsia" w:ascii="黑体" w:hAnsi="宋体" w:eastAsia="黑体" w:cs="黑体"/>
          <w:color w:val="auto"/>
          <w:szCs w:val="21"/>
          <w:highlight w:val="none"/>
        </w:rPr>
        <w:t>六、双方约定的其他工程质量保修事项：</w:t>
      </w:r>
      <w:r>
        <w:rPr>
          <w:rFonts w:ascii="黑体" w:hAnsi="宋体" w:eastAsia="黑体" w:cs="黑体"/>
          <w:color w:val="auto"/>
          <w:szCs w:val="21"/>
          <w:highlight w:val="none"/>
          <w:u w:val="single"/>
        </w:rPr>
        <w:t xml:space="preserve">                                          </w:t>
      </w:r>
    </w:p>
    <w:p w14:paraId="6D1B6620">
      <w:pPr>
        <w:pStyle w:val="420"/>
        <w:pageBreakBefore w:val="0"/>
        <w:kinsoku/>
        <w:overflowPunct/>
        <w:topLinePunct w:val="0"/>
        <w:bidi w:val="0"/>
        <w:spacing w:line="400" w:lineRule="exact"/>
        <w:jc w:val="left"/>
        <w:rPr>
          <w:rFonts w:ascii="宋体" w:hAnsi="Times New Roman"/>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429F21E9">
      <w:pPr>
        <w:pStyle w:val="420"/>
        <w:pageBreakBefore w:val="0"/>
        <w:kinsoku/>
        <w:overflowPunct/>
        <w:topLinePunct w:val="0"/>
        <w:bidi w:val="0"/>
        <w:spacing w:line="400" w:lineRule="exact"/>
        <w:ind w:firstLine="399" w:firstLineChars="190"/>
        <w:rPr>
          <w:rFonts w:ascii="宋体" w:hAnsi="Times New Roman"/>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4FE16E5B">
      <w:pPr>
        <w:pStyle w:val="420"/>
        <w:pageBreakBefore w:val="0"/>
        <w:kinsoku/>
        <w:overflowPunct/>
        <w:topLinePunct w:val="0"/>
        <w:bidi w:val="0"/>
        <w:spacing w:line="400" w:lineRule="exact"/>
        <w:ind w:firstLine="420"/>
        <w:rPr>
          <w:rFonts w:ascii="宋体" w:hAnsi="Times New Roman"/>
          <w:color w:val="auto"/>
          <w:szCs w:val="21"/>
          <w:highlight w:val="none"/>
        </w:rPr>
      </w:pPr>
    </w:p>
    <w:p w14:paraId="6DFD1C00">
      <w:pPr>
        <w:pStyle w:val="420"/>
        <w:pageBreakBefore w:val="0"/>
        <w:kinsoku/>
        <w:overflowPunct/>
        <w:topLinePunct w:val="0"/>
        <w:bidi w:val="0"/>
        <w:spacing w:line="400" w:lineRule="exact"/>
        <w:rPr>
          <w:rFonts w:ascii="宋体" w:hAnsi="Times New Roman"/>
          <w:color w:val="auto"/>
          <w:szCs w:val="21"/>
          <w:highlight w:val="none"/>
        </w:rPr>
      </w:pPr>
    </w:p>
    <w:p w14:paraId="76EB352D">
      <w:pPr>
        <w:pStyle w:val="420"/>
        <w:pageBreakBefore w:val="0"/>
        <w:kinsoku/>
        <w:overflowPunct/>
        <w:topLinePunct w:val="0"/>
        <w:bidi w:val="0"/>
        <w:spacing w:line="400" w:lineRule="exact"/>
        <w:rPr>
          <w:rFonts w:ascii="宋体" w:hAnsi="Times New Roman"/>
          <w:color w:val="auto"/>
          <w:szCs w:val="21"/>
          <w:highlight w:val="none"/>
        </w:rPr>
      </w:pPr>
    </w:p>
    <w:p w14:paraId="08D85B64">
      <w:pPr>
        <w:pStyle w:val="420"/>
        <w:pageBreakBefore w:val="0"/>
        <w:kinsoku/>
        <w:overflowPunct/>
        <w:topLinePunct w:val="0"/>
        <w:bidi w:val="0"/>
        <w:spacing w:line="400" w:lineRule="exact"/>
        <w:rPr>
          <w:rFonts w:ascii="宋体" w:hAnsi="Times New Roman"/>
          <w:color w:val="auto"/>
          <w:szCs w:val="21"/>
          <w:highlight w:val="none"/>
        </w:rPr>
      </w:pPr>
    </w:p>
    <w:p w14:paraId="139B189D">
      <w:pPr>
        <w:pStyle w:val="420"/>
        <w:pageBreakBefore w:val="0"/>
        <w:kinsoku/>
        <w:overflowPunct/>
        <w:topLinePunct w:val="0"/>
        <w:bidi w:val="0"/>
        <w:spacing w:line="400" w:lineRule="exact"/>
        <w:rPr>
          <w:rFonts w:ascii="宋体" w:hAnsi="Times New Roman"/>
          <w:color w:val="auto"/>
          <w:szCs w:val="21"/>
          <w:highlight w:val="none"/>
        </w:rPr>
      </w:pPr>
    </w:p>
    <w:p w14:paraId="53C0ABF7">
      <w:pPr>
        <w:pStyle w:val="420"/>
        <w:pageBreakBefore w:val="0"/>
        <w:kinsoku/>
        <w:overflowPunct/>
        <w:topLinePunct w:val="0"/>
        <w:bidi w:val="0"/>
        <w:spacing w:line="400" w:lineRule="exact"/>
        <w:rPr>
          <w:rFonts w:ascii="宋体" w:hAnsi="Times New Roman"/>
          <w:color w:val="auto"/>
          <w:szCs w:val="21"/>
          <w:highlight w:val="none"/>
        </w:rPr>
      </w:pPr>
    </w:p>
    <w:p w14:paraId="2896F1E6">
      <w:pPr>
        <w:pStyle w:val="420"/>
        <w:pageBreakBefore w:val="0"/>
        <w:kinsoku/>
        <w:overflowPunct/>
        <w:topLinePunct w:val="0"/>
        <w:bidi w:val="0"/>
        <w:spacing w:line="400" w:lineRule="exact"/>
        <w:rPr>
          <w:rFonts w:ascii="宋体" w:hAnsi="Times New Roman"/>
          <w:color w:val="auto"/>
          <w:szCs w:val="21"/>
          <w:highlight w:val="none"/>
        </w:rPr>
      </w:pPr>
    </w:p>
    <w:p w14:paraId="477E86C6">
      <w:pPr>
        <w:pStyle w:val="420"/>
        <w:pageBreakBefore w:val="0"/>
        <w:kinsoku/>
        <w:overflowPunct/>
        <w:topLinePunct w:val="0"/>
        <w:bidi w:val="0"/>
        <w:spacing w:line="400" w:lineRule="exact"/>
        <w:rPr>
          <w:rFonts w:ascii="宋体" w:hAnsi="Times New Roman"/>
          <w:color w:val="auto"/>
          <w:szCs w:val="21"/>
          <w:highlight w:val="none"/>
        </w:rPr>
      </w:pPr>
    </w:p>
    <w:p w14:paraId="76C5C7CF">
      <w:pPr>
        <w:pStyle w:val="420"/>
        <w:pageBreakBefore w:val="0"/>
        <w:kinsoku/>
        <w:overflowPunct/>
        <w:topLinePunct w:val="0"/>
        <w:bidi w:val="0"/>
        <w:spacing w:line="400" w:lineRule="exact"/>
        <w:rPr>
          <w:rFonts w:ascii="宋体" w:hAnsi="Times New Roman"/>
          <w:color w:val="auto"/>
          <w:szCs w:val="21"/>
          <w:highlight w:val="none"/>
        </w:rPr>
      </w:pPr>
    </w:p>
    <w:p w14:paraId="53C0503F">
      <w:pPr>
        <w:pStyle w:val="420"/>
        <w:pageBreakBefore w:val="0"/>
        <w:kinsoku/>
        <w:overflowPunct/>
        <w:topLinePunct w:val="0"/>
        <w:bidi w:val="0"/>
        <w:spacing w:line="400" w:lineRule="exact"/>
        <w:rPr>
          <w:rFonts w:ascii="宋体" w:hAnsi="Times New Roman"/>
          <w:color w:val="auto"/>
          <w:szCs w:val="21"/>
          <w:highlight w:val="none"/>
        </w:rPr>
      </w:pPr>
    </w:p>
    <w:p w14:paraId="0A426A6D">
      <w:pPr>
        <w:pStyle w:val="420"/>
        <w:pageBreakBefore w:val="0"/>
        <w:kinsoku/>
        <w:overflowPunct/>
        <w:topLinePunct w:val="0"/>
        <w:bidi w:val="0"/>
        <w:spacing w:line="400" w:lineRule="exact"/>
        <w:rPr>
          <w:rFonts w:ascii="宋体" w:hAnsi="Times New Roman"/>
          <w:color w:val="auto"/>
          <w:szCs w:val="21"/>
          <w:highlight w:val="none"/>
        </w:rPr>
      </w:pPr>
    </w:p>
    <w:p w14:paraId="777DEE2E">
      <w:pPr>
        <w:pStyle w:val="420"/>
        <w:pageBreakBefore w:val="0"/>
        <w:kinsoku/>
        <w:overflowPunct/>
        <w:topLinePunct w:val="0"/>
        <w:bidi w:val="0"/>
        <w:spacing w:line="400" w:lineRule="exact"/>
        <w:rPr>
          <w:rFonts w:ascii="宋体" w:hAnsi="Times New Roman"/>
          <w:color w:val="auto"/>
          <w:szCs w:val="21"/>
          <w:highlight w:val="none"/>
        </w:rPr>
      </w:pPr>
    </w:p>
    <w:p w14:paraId="49E91393">
      <w:pPr>
        <w:pStyle w:val="420"/>
        <w:pageBreakBefore w:val="0"/>
        <w:kinsoku/>
        <w:overflowPunct/>
        <w:topLinePunct w:val="0"/>
        <w:bidi w:val="0"/>
        <w:spacing w:line="400" w:lineRule="exact"/>
        <w:rPr>
          <w:rFonts w:ascii="宋体" w:hAnsi="Times New Roman"/>
          <w:color w:val="auto"/>
          <w:szCs w:val="21"/>
          <w:highlight w:val="none"/>
        </w:rPr>
      </w:pPr>
    </w:p>
    <w:p w14:paraId="60AA3BCD">
      <w:pPr>
        <w:pStyle w:val="420"/>
        <w:pageBreakBefore w:val="0"/>
        <w:kinsoku/>
        <w:overflowPunct/>
        <w:topLinePunct w:val="0"/>
        <w:bidi w:val="0"/>
        <w:spacing w:line="400" w:lineRule="exact"/>
        <w:rPr>
          <w:rFonts w:ascii="宋体" w:hAnsi="Times New Roman"/>
          <w:color w:val="auto"/>
          <w:szCs w:val="21"/>
          <w:highlight w:val="none"/>
        </w:rPr>
      </w:pPr>
    </w:p>
    <w:p w14:paraId="10406619">
      <w:pPr>
        <w:pStyle w:val="420"/>
        <w:pageBreakBefore w:val="0"/>
        <w:kinsoku/>
        <w:overflowPunct/>
        <w:topLinePunct w:val="0"/>
        <w:bidi w:val="0"/>
        <w:spacing w:line="400" w:lineRule="exact"/>
        <w:rPr>
          <w:rFonts w:ascii="宋体" w:hAnsi="Times New Roman"/>
          <w:color w:val="auto"/>
          <w:szCs w:val="21"/>
          <w:highlight w:val="none"/>
        </w:rPr>
      </w:pPr>
    </w:p>
    <w:p w14:paraId="56A06A78">
      <w:pPr>
        <w:pStyle w:val="420"/>
        <w:pageBreakBefore w:val="0"/>
        <w:kinsoku/>
        <w:overflowPunct/>
        <w:topLinePunct w:val="0"/>
        <w:bidi w:val="0"/>
        <w:spacing w:line="400" w:lineRule="exact"/>
        <w:rPr>
          <w:rFonts w:ascii="宋体" w:hAnsi="Times New Roman"/>
          <w:color w:val="auto"/>
          <w:szCs w:val="21"/>
          <w:highlight w:val="none"/>
        </w:rPr>
      </w:pPr>
    </w:p>
    <w:p w14:paraId="4C1BCE58">
      <w:pPr>
        <w:pStyle w:val="420"/>
        <w:pageBreakBefore w:val="0"/>
        <w:kinsoku/>
        <w:overflowPunct/>
        <w:topLinePunct w:val="0"/>
        <w:bidi w:val="0"/>
        <w:spacing w:line="400" w:lineRule="exact"/>
        <w:rPr>
          <w:rFonts w:ascii="宋体" w:hAnsi="Times New Roman"/>
          <w:color w:val="auto"/>
          <w:szCs w:val="21"/>
          <w:highlight w:val="none"/>
        </w:rPr>
      </w:pPr>
    </w:p>
    <w:p w14:paraId="33814F56">
      <w:pPr>
        <w:pStyle w:val="420"/>
        <w:pageBreakBefore w:val="0"/>
        <w:kinsoku/>
        <w:overflowPunct/>
        <w:topLinePunct w:val="0"/>
        <w:bidi w:val="0"/>
        <w:spacing w:line="400" w:lineRule="exact"/>
        <w:rPr>
          <w:rFonts w:ascii="宋体" w:hAnsi="Times New Roman"/>
          <w:color w:val="auto"/>
          <w:szCs w:val="21"/>
          <w:highlight w:val="none"/>
        </w:rPr>
      </w:pPr>
    </w:p>
    <w:p w14:paraId="42C9CD47">
      <w:pPr>
        <w:pStyle w:val="420"/>
        <w:pageBreakBefore w:val="0"/>
        <w:kinsoku/>
        <w:overflowPunct/>
        <w:topLinePunct w:val="0"/>
        <w:bidi w:val="0"/>
        <w:spacing w:line="400" w:lineRule="exact"/>
        <w:rPr>
          <w:rFonts w:ascii="宋体" w:hAnsi="Times New Roman"/>
          <w:color w:val="auto"/>
          <w:szCs w:val="21"/>
          <w:highlight w:val="none"/>
        </w:rPr>
      </w:pPr>
    </w:p>
    <w:p w14:paraId="5C91FE58">
      <w:pPr>
        <w:pStyle w:val="420"/>
        <w:pageBreakBefore w:val="0"/>
        <w:kinsoku/>
        <w:overflowPunct/>
        <w:topLinePunct w:val="0"/>
        <w:bidi w:val="0"/>
        <w:spacing w:line="400" w:lineRule="exact"/>
        <w:rPr>
          <w:rFonts w:ascii="宋体" w:hAnsi="Times New Roman"/>
          <w:color w:val="auto"/>
          <w:szCs w:val="21"/>
          <w:highlight w:val="none"/>
        </w:rPr>
      </w:pPr>
    </w:p>
    <w:p w14:paraId="3041C0AD">
      <w:pPr>
        <w:pStyle w:val="420"/>
        <w:pageBreakBefore w:val="0"/>
        <w:kinsoku/>
        <w:overflowPunct/>
        <w:topLinePunct w:val="0"/>
        <w:bidi w:val="0"/>
        <w:spacing w:line="400" w:lineRule="exact"/>
        <w:rPr>
          <w:rFonts w:ascii="宋体" w:hAnsi="Times New Roman"/>
          <w:color w:val="auto"/>
          <w:szCs w:val="21"/>
          <w:highlight w:val="none"/>
        </w:rPr>
      </w:pPr>
    </w:p>
    <w:p w14:paraId="7CA07921">
      <w:pPr>
        <w:pStyle w:val="420"/>
        <w:pageBreakBefore w:val="0"/>
        <w:kinsoku/>
        <w:overflowPunct/>
        <w:topLinePunct w:val="0"/>
        <w:bidi w:val="0"/>
        <w:spacing w:line="400" w:lineRule="exact"/>
        <w:rPr>
          <w:rFonts w:ascii="宋体" w:hAnsi="Times New Roman"/>
          <w:color w:val="auto"/>
          <w:szCs w:val="21"/>
          <w:highlight w:val="none"/>
        </w:rPr>
      </w:pPr>
    </w:p>
    <w:p w14:paraId="40E983B7">
      <w:pPr>
        <w:pStyle w:val="420"/>
        <w:pageBreakBefore w:val="0"/>
        <w:kinsoku/>
        <w:overflowPunct/>
        <w:topLinePunct w:val="0"/>
        <w:bidi w:val="0"/>
        <w:spacing w:line="400" w:lineRule="exact"/>
        <w:rPr>
          <w:rFonts w:ascii="宋体" w:hAnsi="Times New Roman"/>
          <w:color w:val="auto"/>
          <w:szCs w:val="21"/>
          <w:highlight w:val="none"/>
        </w:rPr>
      </w:pPr>
    </w:p>
    <w:p w14:paraId="408DFCF6">
      <w:pPr>
        <w:pStyle w:val="420"/>
        <w:pageBreakBefore w:val="0"/>
        <w:kinsoku/>
        <w:overflowPunct/>
        <w:topLinePunct w:val="0"/>
        <w:bidi w:val="0"/>
        <w:spacing w:line="400" w:lineRule="exact"/>
        <w:rPr>
          <w:rFonts w:ascii="宋体" w:hAnsi="Times New Roman"/>
          <w:color w:val="auto"/>
          <w:szCs w:val="21"/>
          <w:highlight w:val="none"/>
        </w:rPr>
      </w:pPr>
    </w:p>
    <w:p w14:paraId="05DCE4AC">
      <w:pPr>
        <w:pStyle w:val="420"/>
        <w:pageBreakBefore w:val="0"/>
        <w:kinsoku/>
        <w:overflowPunct/>
        <w:topLinePunct w:val="0"/>
        <w:bidi w:val="0"/>
        <w:spacing w:line="40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t>附件</w:t>
      </w:r>
      <w:r>
        <w:rPr>
          <w:rFonts w:hint="eastAsia" w:ascii="Times New Roman" w:hAnsi="Times New Roman" w:eastAsia="仿宋_GB2312"/>
          <w:color w:val="auto"/>
          <w:sz w:val="30"/>
          <w:szCs w:val="30"/>
          <w:highlight w:val="none"/>
        </w:rPr>
        <w:t>3</w:t>
      </w:r>
      <w:r>
        <w:rPr>
          <w:rFonts w:ascii="Times New Roman" w:hAnsi="Times New Roman" w:eastAsia="仿宋_GB2312"/>
          <w:color w:val="auto"/>
          <w:sz w:val="30"/>
          <w:szCs w:val="30"/>
          <w:highlight w:val="none"/>
        </w:rPr>
        <w:t>：</w:t>
      </w:r>
    </w:p>
    <w:p w14:paraId="5B90A71B">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ascii="Times New Roman" w:hAnsi="Times New Roman" w:eastAsia="黑体"/>
          <w:color w:val="auto"/>
          <w:sz w:val="30"/>
          <w:szCs w:val="30"/>
          <w:highlight w:val="none"/>
        </w:rPr>
        <w:t>主要建设工程文件目录</w:t>
      </w:r>
    </w:p>
    <w:tbl>
      <w:tblPr>
        <w:tblStyle w:val="3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7FDB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03205B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5DBA79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02A4F29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费用</w:t>
            </w:r>
            <w:r>
              <w:rPr>
                <w:rFonts w:hint="eastAsia" w:ascii="Times New Roman" w:hAnsi="Times New Roman"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1CD70E7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421C826D">
            <w:pPr>
              <w:pStyle w:val="420"/>
              <w:pageBreakBefore w:val="0"/>
              <w:kinsoku/>
              <w:overflowPunct/>
              <w:topLinePunct w:val="0"/>
              <w:bidi w:val="0"/>
              <w:spacing w:line="40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5961599">
            <w:pPr>
              <w:pStyle w:val="420"/>
              <w:pageBreakBefore w:val="0"/>
              <w:kinsoku/>
              <w:overflowPunct/>
              <w:topLinePunct w:val="0"/>
              <w:bidi w:val="0"/>
              <w:spacing w:line="40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责任人</w:t>
            </w:r>
          </w:p>
        </w:tc>
      </w:tr>
      <w:tr w14:paraId="7DA82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D0CD65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CA9527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2E81A40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7D36037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1D40616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4844B7A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C581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8E795A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tcBorders>
              <w:top w:val="nil"/>
            </w:tcBorders>
            <w:noWrap w:val="0"/>
            <w:vAlign w:val="center"/>
          </w:tcPr>
          <w:p w14:paraId="495D7D9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nil"/>
            </w:tcBorders>
            <w:noWrap w:val="0"/>
            <w:vAlign w:val="center"/>
          </w:tcPr>
          <w:p w14:paraId="002CBB3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tcBorders>
              <w:top w:val="nil"/>
            </w:tcBorders>
            <w:noWrap w:val="0"/>
            <w:vAlign w:val="center"/>
          </w:tcPr>
          <w:p w14:paraId="574BE15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nil"/>
            </w:tcBorders>
            <w:noWrap w:val="0"/>
            <w:vAlign w:val="center"/>
          </w:tcPr>
          <w:p w14:paraId="7297554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tcBorders>
              <w:top w:val="nil"/>
            </w:tcBorders>
            <w:noWrap w:val="0"/>
            <w:vAlign w:val="center"/>
          </w:tcPr>
          <w:p w14:paraId="3088F2E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292C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B18E95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2590D00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530A6C0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18A7A74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675ED73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5462D70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9165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07D1F5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6C32809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253117B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6369AB5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23C9273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28423C5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A3C8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61D71A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288C104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52AC5A8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1A0E4F1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155982D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77E7CCB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7940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468E6F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364F36E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2B3C923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234C442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73648B5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4B04ED8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7BB4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A08940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1AC5D97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7D12952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6BEDAEE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1BA390D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49FBA24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4CAB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3920F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2BF2467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27A494A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272A45B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49251A7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6C4DF64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8BAC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AC3F9C4">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44851EF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0B9875A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144D1C0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70086F3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7297E94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3D063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096E2D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14:paraId="627531B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3E1F82C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14:paraId="08DF5CA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14:paraId="6A132A2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14:paraId="731353C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5716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4DA51F6">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0100C8C0">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231F419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64FB9A2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6EC137F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3D17B55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67E72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081ACA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5229F02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3AC8936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76A7E6C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4F8F1D3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0CA09C1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65204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C11B13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73A2B70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23E9ECB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7045241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1728940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000CD1D4">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1066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967FC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3E96585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4FD81AE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5D876BE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3EC7CBE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2488A1C9">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68B3E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7AF3CA9">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3831671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18A2373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30BDD84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2CAD111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7A478E24">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44A2C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B556E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0FF678A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1A6754F1">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60F1BD1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48F7E09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09BFBA1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73AE4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9EE500">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76" w:type="dxa"/>
            <w:noWrap w:val="0"/>
            <w:vAlign w:val="top"/>
          </w:tcPr>
          <w:p w14:paraId="66209F3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5F648A61">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243" w:type="dxa"/>
            <w:noWrap w:val="0"/>
            <w:vAlign w:val="top"/>
          </w:tcPr>
          <w:p w14:paraId="545F9415">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50" w:type="dxa"/>
            <w:noWrap w:val="0"/>
            <w:vAlign w:val="top"/>
          </w:tcPr>
          <w:p w14:paraId="06FD130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667" w:type="dxa"/>
            <w:noWrap w:val="0"/>
            <w:vAlign w:val="top"/>
          </w:tcPr>
          <w:p w14:paraId="36CF79C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bl>
    <w:p w14:paraId="3EBF1A51">
      <w:pPr>
        <w:pStyle w:val="420"/>
        <w:pageBreakBefore w:val="0"/>
        <w:kinsoku/>
        <w:overflowPunct/>
        <w:topLinePunct w:val="0"/>
        <w:bidi w:val="0"/>
        <w:spacing w:line="40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4</w:t>
      </w:r>
      <w:r>
        <w:rPr>
          <w:rFonts w:hint="eastAsia" w:ascii="Times New Roman" w:hAnsi="Times New Roman" w:eastAsia="仿宋_GB2312" w:cs="仿宋_GB2312"/>
          <w:color w:val="auto"/>
          <w:sz w:val="30"/>
          <w:szCs w:val="30"/>
          <w:highlight w:val="none"/>
        </w:rPr>
        <w:t>：</w:t>
      </w:r>
    </w:p>
    <w:p w14:paraId="6A565613">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承包人用于本工程施工的机械设备表</w:t>
      </w:r>
    </w:p>
    <w:tbl>
      <w:tblPr>
        <w:tblStyle w:val="3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7A4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02F8970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序号</w:t>
            </w:r>
          </w:p>
        </w:tc>
        <w:tc>
          <w:tcPr>
            <w:tcW w:w="1418" w:type="dxa"/>
            <w:noWrap w:val="0"/>
            <w:vAlign w:val="center"/>
          </w:tcPr>
          <w:p w14:paraId="2910BDA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机械或设备名称</w:t>
            </w:r>
          </w:p>
        </w:tc>
        <w:tc>
          <w:tcPr>
            <w:tcW w:w="850" w:type="dxa"/>
            <w:noWrap w:val="0"/>
            <w:vAlign w:val="center"/>
          </w:tcPr>
          <w:p w14:paraId="7922F79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规格型号</w:t>
            </w:r>
          </w:p>
        </w:tc>
        <w:tc>
          <w:tcPr>
            <w:tcW w:w="1058" w:type="dxa"/>
            <w:noWrap w:val="0"/>
            <w:vAlign w:val="center"/>
          </w:tcPr>
          <w:p w14:paraId="5F99A5E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数量</w:t>
            </w:r>
          </w:p>
        </w:tc>
        <w:tc>
          <w:tcPr>
            <w:tcW w:w="880" w:type="dxa"/>
            <w:noWrap w:val="0"/>
            <w:vAlign w:val="center"/>
          </w:tcPr>
          <w:p w14:paraId="2E0C0C6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产地</w:t>
            </w:r>
          </w:p>
        </w:tc>
        <w:tc>
          <w:tcPr>
            <w:tcW w:w="1020" w:type="dxa"/>
            <w:noWrap w:val="0"/>
            <w:vAlign w:val="center"/>
          </w:tcPr>
          <w:p w14:paraId="3975282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制造年份</w:t>
            </w:r>
          </w:p>
        </w:tc>
        <w:tc>
          <w:tcPr>
            <w:tcW w:w="1480" w:type="dxa"/>
            <w:noWrap w:val="0"/>
            <w:vAlign w:val="center"/>
          </w:tcPr>
          <w:p w14:paraId="5C48D2A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额定功率（</w:t>
            </w:r>
            <w:r>
              <w:rPr>
                <w:rFonts w:ascii="Times New Roman" w:hAnsi="Times New Roman" w:eastAsia="仿宋_GB2312"/>
                <w:color w:val="auto"/>
                <w:sz w:val="28"/>
                <w:szCs w:val="28"/>
                <w:highlight w:val="none"/>
              </w:rPr>
              <w:t>kW</w:t>
            </w:r>
            <w:r>
              <w:rPr>
                <w:rFonts w:hint="eastAsia" w:ascii="Times New Roman" w:hAnsi="Times New Roman" w:eastAsia="仿宋_GB2312" w:cs="仿宋_GB2312"/>
                <w:color w:val="auto"/>
                <w:sz w:val="28"/>
                <w:szCs w:val="28"/>
                <w:highlight w:val="none"/>
              </w:rPr>
              <w:t>）</w:t>
            </w:r>
          </w:p>
        </w:tc>
        <w:tc>
          <w:tcPr>
            <w:tcW w:w="1020" w:type="dxa"/>
            <w:noWrap w:val="0"/>
            <w:vAlign w:val="center"/>
          </w:tcPr>
          <w:p w14:paraId="2BB9EE5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生产能力</w:t>
            </w:r>
          </w:p>
        </w:tc>
        <w:tc>
          <w:tcPr>
            <w:tcW w:w="921" w:type="dxa"/>
            <w:noWrap w:val="0"/>
            <w:vAlign w:val="center"/>
          </w:tcPr>
          <w:p w14:paraId="600D16E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备注</w:t>
            </w:r>
          </w:p>
        </w:tc>
      </w:tr>
      <w:tr w14:paraId="6A18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919C1A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79F1F8B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47A31E3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5CEA0E3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1B15A07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5E645D6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1C95A21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579B95B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77373FB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15D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718491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0A89467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12A2528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4D1177E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50E3A7C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4BF03B4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3901D65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70C95FC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4C0037C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805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ED1BEE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5E32AA3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447F361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27CDE15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4BD9DDE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7F6808D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2E6A070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72E5948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649E660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4D3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15E5D7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0C56F21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166DD58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3342A5D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1F156F7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1925271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55F6834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236C096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168B2C5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B74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DCC441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5927905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554931F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43C37E7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21EEC33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79C3D49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242A968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2C2B202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4A7C21E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BAC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BBF5D5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026D9F3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549BA5C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3F03E30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798B601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222C84B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69E03F3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382AC71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1792967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3E9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ECC726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26ADD4B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2F9986A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6411D34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4C63C02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44A19A5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4AE6ED9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1D4A78D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0678581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931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76A5AE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5CC21BC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6AA4815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09E452F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5763CC1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5703211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000EA6A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0C0B618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362548D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642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E179E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5E2C941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3AEE732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4B12C37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4FA1645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5D30E95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7401A90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132EB110">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04CCA0E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76A0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6D8525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14:paraId="01BCC2F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14:paraId="48DE45C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14:paraId="63F1D62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14:paraId="18F98B5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5870160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14:paraId="6408D0B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14:paraId="3A11FAB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14:paraId="195314A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BD7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45A6C9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55AB038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32BB259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4BA59FC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012EFB6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459E3B6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0779B60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2E848ED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1EF1E0E9">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2CC6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16CEAAD">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0322AB81">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351B58D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41AC8B00">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72F6E34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6ECF6CA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4ABE3FC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33CE142A">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217331E5">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1312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B6125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450AEB6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053CF431">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6E4E07E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240139D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3C31B135">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13A0C07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4BAF279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42399C19">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71C5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081057F">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065DD6C5">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29041AAB">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5A4BFE2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05050E65">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12633756">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73F8EB4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181484D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626F2FF6">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3649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F91716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59F26734">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2BE91C52">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7A0342F1">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57C1F9D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0C4AB0D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7A1763D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324135DE">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7AA7E2A5">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r w14:paraId="16F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9F2291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18" w:type="dxa"/>
            <w:noWrap w:val="0"/>
            <w:vAlign w:val="top"/>
          </w:tcPr>
          <w:p w14:paraId="4D46F85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50" w:type="dxa"/>
            <w:noWrap w:val="0"/>
            <w:vAlign w:val="top"/>
          </w:tcPr>
          <w:p w14:paraId="6FA9031D">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58" w:type="dxa"/>
            <w:noWrap w:val="0"/>
            <w:vAlign w:val="top"/>
          </w:tcPr>
          <w:p w14:paraId="0D89B237">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880" w:type="dxa"/>
            <w:noWrap w:val="0"/>
            <w:vAlign w:val="top"/>
          </w:tcPr>
          <w:p w14:paraId="0CADB8C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3E3C8E93">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480" w:type="dxa"/>
            <w:noWrap w:val="0"/>
            <w:vAlign w:val="top"/>
          </w:tcPr>
          <w:p w14:paraId="27DDA2C6">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1020" w:type="dxa"/>
            <w:noWrap w:val="0"/>
            <w:vAlign w:val="top"/>
          </w:tcPr>
          <w:p w14:paraId="2A18B368">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c>
          <w:tcPr>
            <w:tcW w:w="921" w:type="dxa"/>
            <w:noWrap w:val="0"/>
            <w:vAlign w:val="top"/>
          </w:tcPr>
          <w:p w14:paraId="5A41424C">
            <w:pPr>
              <w:pStyle w:val="420"/>
              <w:pageBreakBefore w:val="0"/>
              <w:kinsoku/>
              <w:overflowPunct/>
              <w:topLinePunct w:val="0"/>
              <w:bidi w:val="0"/>
              <w:spacing w:line="400" w:lineRule="exact"/>
              <w:rPr>
                <w:rFonts w:ascii="Times New Roman" w:hAnsi="Times New Roman" w:eastAsia="仿宋_GB2312"/>
                <w:color w:val="auto"/>
                <w:sz w:val="30"/>
                <w:szCs w:val="30"/>
                <w:highlight w:val="none"/>
              </w:rPr>
            </w:pPr>
          </w:p>
        </w:tc>
      </w:tr>
    </w:tbl>
    <w:p w14:paraId="6FBB2A2E">
      <w:pPr>
        <w:pageBreakBefore w:val="0"/>
        <w:kinsoku/>
        <w:overflowPunct/>
        <w:topLinePunct w:val="0"/>
        <w:bidi w:val="0"/>
        <w:spacing w:line="400" w:lineRule="exact"/>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z w:val="30"/>
          <w:szCs w:val="30"/>
          <w:highlight w:val="none"/>
        </w:rPr>
        <w:br w:type="page"/>
      </w:r>
    </w:p>
    <w:p w14:paraId="36945849">
      <w:pPr>
        <w:pageBreakBefore w:val="0"/>
        <w:kinsoku/>
        <w:overflowPunct/>
        <w:topLinePunct w:val="0"/>
        <w:bidi w:val="0"/>
        <w:spacing w:line="400" w:lineRule="exact"/>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5</w:t>
      </w:r>
      <w:r>
        <w:rPr>
          <w:rFonts w:hint="eastAsia" w:ascii="Times New Roman" w:hAnsi="Times New Roman" w:eastAsia="仿宋_GB2312" w:cs="仿宋_GB2312"/>
          <w:color w:val="auto"/>
          <w:sz w:val="30"/>
          <w:szCs w:val="30"/>
          <w:highlight w:val="none"/>
        </w:rPr>
        <w:t>：</w:t>
      </w:r>
    </w:p>
    <w:p w14:paraId="79B0D201">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承包人主要施工管理人员表</w:t>
      </w:r>
    </w:p>
    <w:tbl>
      <w:tblPr>
        <w:tblStyle w:val="3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387"/>
        <w:gridCol w:w="1176"/>
        <w:gridCol w:w="3957"/>
      </w:tblGrid>
      <w:tr w14:paraId="5941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CBD425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名</w:t>
            </w:r>
            <w:r>
              <w:rPr>
                <w:rFonts w:ascii="Times New Roman" w:hAnsi="Times New Roman" w:eastAsia="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rPr>
              <w:t>称</w:t>
            </w:r>
          </w:p>
        </w:tc>
        <w:tc>
          <w:tcPr>
            <w:tcW w:w="1418" w:type="dxa"/>
            <w:noWrap w:val="0"/>
            <w:vAlign w:val="center"/>
          </w:tcPr>
          <w:p w14:paraId="657C986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387" w:type="dxa"/>
            <w:noWrap w:val="0"/>
            <w:vAlign w:val="center"/>
          </w:tcPr>
          <w:p w14:paraId="28C850A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职务</w:t>
            </w:r>
          </w:p>
        </w:tc>
        <w:tc>
          <w:tcPr>
            <w:tcW w:w="1176" w:type="dxa"/>
            <w:noWrap w:val="0"/>
            <w:vAlign w:val="center"/>
          </w:tcPr>
          <w:p w14:paraId="08E08D9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职称</w:t>
            </w:r>
          </w:p>
        </w:tc>
        <w:tc>
          <w:tcPr>
            <w:tcW w:w="3957" w:type="dxa"/>
            <w:noWrap w:val="0"/>
            <w:vAlign w:val="center"/>
          </w:tcPr>
          <w:p w14:paraId="75D9E8D7">
            <w:pPr>
              <w:pStyle w:val="420"/>
              <w:keepNext/>
              <w:pageBreakBefore w:val="0"/>
              <w:kinsoku/>
              <w:overflowPunct/>
              <w:topLinePunct w:val="0"/>
              <w:bidi w:val="0"/>
              <w:adjustRightInd w:val="0"/>
              <w:spacing w:line="400" w:lineRule="exact"/>
              <w:ind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计划进场时间</w:t>
            </w:r>
          </w:p>
        </w:tc>
      </w:tr>
      <w:tr w14:paraId="719C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F7F1CF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一、总部人员</w:t>
            </w:r>
          </w:p>
        </w:tc>
      </w:tr>
      <w:tr w14:paraId="0823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B7323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项目主管</w:t>
            </w:r>
          </w:p>
        </w:tc>
        <w:tc>
          <w:tcPr>
            <w:tcW w:w="1418" w:type="dxa"/>
            <w:noWrap w:val="0"/>
            <w:vAlign w:val="center"/>
          </w:tcPr>
          <w:p w14:paraId="63FAC0A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noWrap w:val="0"/>
            <w:vAlign w:val="center"/>
          </w:tcPr>
          <w:p w14:paraId="2558F42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noWrap w:val="0"/>
            <w:vAlign w:val="center"/>
          </w:tcPr>
          <w:p w14:paraId="1957B8E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noWrap w:val="0"/>
            <w:vAlign w:val="center"/>
          </w:tcPr>
          <w:p w14:paraId="2D8F323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A31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54966EC">
            <w:pPr>
              <w:pStyle w:val="420"/>
              <w:keepNext/>
              <w:pageBreakBefore w:val="0"/>
              <w:kinsoku/>
              <w:overflowPunct/>
              <w:topLinePunct w:val="0"/>
              <w:bidi w:val="0"/>
              <w:adjustRightInd w:val="0"/>
              <w:spacing w:after="60"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14:paraId="09DFE76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noWrap w:val="0"/>
            <w:vAlign w:val="center"/>
          </w:tcPr>
          <w:p w14:paraId="4A690F4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noWrap w:val="0"/>
            <w:vAlign w:val="center"/>
          </w:tcPr>
          <w:p w14:paraId="6136018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noWrap w:val="0"/>
            <w:vAlign w:val="center"/>
          </w:tcPr>
          <w:p w14:paraId="651DFE3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C7C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034B0B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09D849D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noWrap w:val="0"/>
            <w:vAlign w:val="center"/>
          </w:tcPr>
          <w:p w14:paraId="53557C6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noWrap w:val="0"/>
            <w:vAlign w:val="center"/>
          </w:tcPr>
          <w:p w14:paraId="5609B24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noWrap w:val="0"/>
            <w:vAlign w:val="center"/>
          </w:tcPr>
          <w:p w14:paraId="5BEB795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074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165FFC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2374CA5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noWrap w:val="0"/>
            <w:vAlign w:val="center"/>
          </w:tcPr>
          <w:p w14:paraId="6C6A679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noWrap w:val="0"/>
            <w:vAlign w:val="center"/>
          </w:tcPr>
          <w:p w14:paraId="19C7A54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noWrap w:val="0"/>
            <w:vAlign w:val="center"/>
          </w:tcPr>
          <w:p w14:paraId="5F29892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985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6B13A9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二、现场人员</w:t>
            </w:r>
          </w:p>
        </w:tc>
      </w:tr>
      <w:tr w14:paraId="75A4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30A23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项目经理</w:t>
            </w:r>
          </w:p>
        </w:tc>
        <w:tc>
          <w:tcPr>
            <w:tcW w:w="1418" w:type="dxa"/>
            <w:noWrap w:val="0"/>
            <w:vAlign w:val="center"/>
          </w:tcPr>
          <w:p w14:paraId="13603EF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5FDE8499">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noWrap w:val="0"/>
            <w:vAlign w:val="center"/>
          </w:tcPr>
          <w:p w14:paraId="56B0179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4DBABF1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ED5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D2D5D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项目副经理</w:t>
            </w:r>
          </w:p>
        </w:tc>
        <w:tc>
          <w:tcPr>
            <w:tcW w:w="1418" w:type="dxa"/>
            <w:noWrap w:val="0"/>
            <w:vAlign w:val="center"/>
          </w:tcPr>
          <w:p w14:paraId="43F6B81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74F08DB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68D5DC4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2F9F802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8FA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ACF5C5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技术负责人</w:t>
            </w:r>
          </w:p>
        </w:tc>
        <w:tc>
          <w:tcPr>
            <w:tcW w:w="1418" w:type="dxa"/>
            <w:noWrap w:val="0"/>
            <w:vAlign w:val="center"/>
          </w:tcPr>
          <w:p w14:paraId="5665860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3D65165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360AF7B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7B6CDC9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4D9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D763E0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造价管理</w:t>
            </w:r>
          </w:p>
        </w:tc>
        <w:tc>
          <w:tcPr>
            <w:tcW w:w="1418" w:type="dxa"/>
            <w:noWrap w:val="0"/>
            <w:vAlign w:val="center"/>
          </w:tcPr>
          <w:p w14:paraId="33A1104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4670F3F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060EA3D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7C7C6AB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191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6EA8D3B">
            <w:pPr>
              <w:pStyle w:val="420"/>
              <w:keepNext/>
              <w:pageBreakBefore w:val="0"/>
              <w:kinsoku/>
              <w:overflowPunct/>
              <w:topLinePunct w:val="0"/>
              <w:bidi w:val="0"/>
              <w:adjustRightInd w:val="0"/>
              <w:spacing w:after="60"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质量管理</w:t>
            </w:r>
          </w:p>
        </w:tc>
        <w:tc>
          <w:tcPr>
            <w:tcW w:w="1418" w:type="dxa"/>
            <w:noWrap w:val="0"/>
            <w:vAlign w:val="center"/>
          </w:tcPr>
          <w:p w14:paraId="7151583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2442E89C">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noWrap w:val="0"/>
            <w:vAlign w:val="center"/>
          </w:tcPr>
          <w:p w14:paraId="1EF98C9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5BC4292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665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CA4AD52">
            <w:pPr>
              <w:pStyle w:val="420"/>
              <w:keepNext/>
              <w:pageBreakBefore w:val="0"/>
              <w:kinsoku/>
              <w:overflowPunct/>
              <w:topLinePunct w:val="0"/>
              <w:bidi w:val="0"/>
              <w:adjustRightInd w:val="0"/>
              <w:spacing w:after="60"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6D93328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74319F8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44D880D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7421CE4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2D1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663A07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1B16EB8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6608078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0494DEE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2D5FD3E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83B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952B5E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材料管理</w:t>
            </w:r>
          </w:p>
        </w:tc>
        <w:tc>
          <w:tcPr>
            <w:tcW w:w="1418" w:type="dxa"/>
            <w:noWrap w:val="0"/>
            <w:vAlign w:val="center"/>
          </w:tcPr>
          <w:p w14:paraId="7881AE9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565A794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347BFBB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524EC49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037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3C54B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计划管理</w:t>
            </w:r>
          </w:p>
        </w:tc>
        <w:tc>
          <w:tcPr>
            <w:tcW w:w="1418" w:type="dxa"/>
            <w:noWrap w:val="0"/>
            <w:vAlign w:val="center"/>
          </w:tcPr>
          <w:p w14:paraId="349962A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3B10380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5562568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35A819A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F36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A9AE356">
            <w:pPr>
              <w:pStyle w:val="420"/>
              <w:keepNext/>
              <w:pageBreakBefore w:val="0"/>
              <w:kinsoku/>
              <w:overflowPunct/>
              <w:topLinePunct w:val="0"/>
              <w:bidi w:val="0"/>
              <w:adjustRightInd w:val="0"/>
              <w:spacing w:after="60"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安全管理</w:t>
            </w:r>
          </w:p>
        </w:tc>
        <w:tc>
          <w:tcPr>
            <w:tcW w:w="1418" w:type="dxa"/>
            <w:noWrap w:val="0"/>
            <w:vAlign w:val="center"/>
          </w:tcPr>
          <w:p w14:paraId="071CD19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66C09D85">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noWrap w:val="0"/>
            <w:vAlign w:val="center"/>
          </w:tcPr>
          <w:p w14:paraId="3253A50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3BB125A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EA3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B1B8B9">
            <w:pPr>
              <w:pStyle w:val="420"/>
              <w:keepNext/>
              <w:pageBreakBefore w:val="0"/>
              <w:kinsoku/>
              <w:overflowPunct/>
              <w:topLinePunct w:val="0"/>
              <w:bidi w:val="0"/>
              <w:adjustRightInd w:val="0"/>
              <w:spacing w:after="60"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0338834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68FDA78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39F42F5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3EFFD7A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D77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5424DC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72C86D0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46C469F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49959F7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66C5770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7D7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37A5D3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14:paraId="01861B6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179B7D9E">
            <w:pPr>
              <w:pStyle w:val="420"/>
              <w:keepNext/>
              <w:pageBreakBefore w:val="0"/>
              <w:kinsoku/>
              <w:overflowPunct/>
              <w:topLinePunct w:val="0"/>
              <w:bidi w:val="0"/>
              <w:adjustRightInd w:val="0"/>
              <w:spacing w:line="40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noWrap w:val="0"/>
            <w:vAlign w:val="center"/>
          </w:tcPr>
          <w:p w14:paraId="46FAECE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668593D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268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8F6657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5A26748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noWrap w:val="0"/>
            <w:vAlign w:val="center"/>
          </w:tcPr>
          <w:p w14:paraId="0332125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noWrap w:val="0"/>
            <w:vAlign w:val="center"/>
          </w:tcPr>
          <w:p w14:paraId="0241075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noWrap w:val="0"/>
            <w:vAlign w:val="center"/>
          </w:tcPr>
          <w:p w14:paraId="7C363BB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6C1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EC47E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62CD881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noWrap w:val="0"/>
            <w:vAlign w:val="center"/>
          </w:tcPr>
          <w:p w14:paraId="4B60C28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noWrap w:val="0"/>
            <w:vAlign w:val="center"/>
          </w:tcPr>
          <w:p w14:paraId="6C72555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noWrap w:val="0"/>
            <w:vAlign w:val="center"/>
          </w:tcPr>
          <w:p w14:paraId="1F02DFC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13A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921141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0AF3903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noWrap w:val="0"/>
            <w:vAlign w:val="center"/>
          </w:tcPr>
          <w:p w14:paraId="3143A24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noWrap w:val="0"/>
            <w:vAlign w:val="center"/>
          </w:tcPr>
          <w:p w14:paraId="171CE5E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noWrap w:val="0"/>
            <w:vAlign w:val="center"/>
          </w:tcPr>
          <w:p w14:paraId="4492D4D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bl>
    <w:p w14:paraId="6A1FDAF6">
      <w:pPr>
        <w:pStyle w:val="420"/>
        <w:pageBreakBefore w:val="0"/>
        <w:kinsoku/>
        <w:overflowPunct/>
        <w:topLinePunct w:val="0"/>
        <w:bidi w:val="0"/>
        <w:spacing w:line="40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6</w:t>
      </w:r>
      <w:r>
        <w:rPr>
          <w:rFonts w:hint="eastAsia" w:ascii="Times New Roman" w:hAnsi="Times New Roman" w:eastAsia="仿宋_GB2312" w:cs="仿宋_GB2312"/>
          <w:color w:val="auto"/>
          <w:sz w:val="30"/>
          <w:szCs w:val="30"/>
          <w:highlight w:val="none"/>
        </w:rPr>
        <w:t>：</w:t>
      </w:r>
    </w:p>
    <w:p w14:paraId="29B87095">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分包人主要施工管理人员表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DBC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FE31DA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名</w:t>
            </w:r>
            <w:r>
              <w:rPr>
                <w:rFonts w:ascii="Times New Roman" w:hAnsi="Times New Roman" w:eastAsia="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rPr>
              <w:t>称</w:t>
            </w:r>
          </w:p>
        </w:tc>
        <w:tc>
          <w:tcPr>
            <w:tcW w:w="1418" w:type="dxa"/>
            <w:noWrap w:val="0"/>
            <w:vAlign w:val="center"/>
          </w:tcPr>
          <w:p w14:paraId="23D140A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134" w:type="dxa"/>
            <w:noWrap w:val="0"/>
            <w:vAlign w:val="center"/>
          </w:tcPr>
          <w:p w14:paraId="175FFE3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职务</w:t>
            </w:r>
          </w:p>
        </w:tc>
        <w:tc>
          <w:tcPr>
            <w:tcW w:w="1134" w:type="dxa"/>
            <w:noWrap w:val="0"/>
            <w:vAlign w:val="center"/>
          </w:tcPr>
          <w:p w14:paraId="1EF1CE0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职称</w:t>
            </w:r>
          </w:p>
        </w:tc>
        <w:tc>
          <w:tcPr>
            <w:tcW w:w="4252" w:type="dxa"/>
            <w:noWrap w:val="0"/>
            <w:vAlign w:val="center"/>
          </w:tcPr>
          <w:p w14:paraId="601A0D4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主要资历、经验及承担过的项目</w:t>
            </w:r>
          </w:p>
        </w:tc>
      </w:tr>
      <w:tr w14:paraId="55AD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9D097D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一、总部人员</w:t>
            </w:r>
          </w:p>
        </w:tc>
      </w:tr>
      <w:tr w14:paraId="7E18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D10837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项目主管</w:t>
            </w:r>
          </w:p>
        </w:tc>
        <w:tc>
          <w:tcPr>
            <w:tcW w:w="1418" w:type="dxa"/>
            <w:noWrap w:val="0"/>
            <w:vAlign w:val="center"/>
          </w:tcPr>
          <w:p w14:paraId="1A9C12B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C97947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5254CB4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7C926EB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06E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FF033F">
            <w:pPr>
              <w:pStyle w:val="420"/>
              <w:keepNext/>
              <w:pageBreakBefore w:val="0"/>
              <w:kinsoku/>
              <w:overflowPunct/>
              <w:topLinePunct w:val="0"/>
              <w:bidi w:val="0"/>
              <w:adjustRightInd w:val="0"/>
              <w:spacing w:after="60"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14:paraId="3FF5A2C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68BF360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161ADDE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5681AC9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4AC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EA835D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20B5A03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85B7D7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21D9A1F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23D2DBF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01C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DDCA5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1118672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5876231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058FD05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41092CA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FB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5021BC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二、现场人员</w:t>
            </w:r>
          </w:p>
        </w:tc>
      </w:tr>
      <w:tr w14:paraId="0EC4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B2762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项目经理</w:t>
            </w:r>
          </w:p>
        </w:tc>
        <w:tc>
          <w:tcPr>
            <w:tcW w:w="1418" w:type="dxa"/>
            <w:noWrap w:val="0"/>
            <w:vAlign w:val="center"/>
          </w:tcPr>
          <w:p w14:paraId="56F8AC3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1EEF1D0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71536E6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57694B8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47B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A4255B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项目副经理</w:t>
            </w:r>
          </w:p>
        </w:tc>
        <w:tc>
          <w:tcPr>
            <w:tcW w:w="1418" w:type="dxa"/>
            <w:noWrap w:val="0"/>
            <w:vAlign w:val="center"/>
          </w:tcPr>
          <w:p w14:paraId="442D4E9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5378C92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2EAC776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341C4BE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C94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233C6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技术负责人</w:t>
            </w:r>
          </w:p>
        </w:tc>
        <w:tc>
          <w:tcPr>
            <w:tcW w:w="1418" w:type="dxa"/>
            <w:noWrap w:val="0"/>
            <w:vAlign w:val="center"/>
          </w:tcPr>
          <w:p w14:paraId="23546FDE">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48CB55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7FC22F1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2652EDA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9A1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E37324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造价管理</w:t>
            </w:r>
          </w:p>
        </w:tc>
        <w:tc>
          <w:tcPr>
            <w:tcW w:w="1418" w:type="dxa"/>
            <w:noWrap w:val="0"/>
            <w:vAlign w:val="center"/>
          </w:tcPr>
          <w:p w14:paraId="4681698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453E4C9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2AA44F5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5EB5D90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A27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358137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质量管理</w:t>
            </w:r>
          </w:p>
        </w:tc>
        <w:tc>
          <w:tcPr>
            <w:tcW w:w="1418" w:type="dxa"/>
            <w:noWrap w:val="0"/>
            <w:vAlign w:val="center"/>
          </w:tcPr>
          <w:p w14:paraId="05011C8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047CADD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38011E2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48B9E6C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C6E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477A79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材料管理</w:t>
            </w:r>
          </w:p>
        </w:tc>
        <w:tc>
          <w:tcPr>
            <w:tcW w:w="1418" w:type="dxa"/>
            <w:noWrap w:val="0"/>
            <w:vAlign w:val="center"/>
          </w:tcPr>
          <w:p w14:paraId="123100D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42EC72D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075D408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65C516D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8B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B7DAEB0">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计划管理</w:t>
            </w:r>
          </w:p>
        </w:tc>
        <w:tc>
          <w:tcPr>
            <w:tcW w:w="1418" w:type="dxa"/>
            <w:noWrap w:val="0"/>
            <w:vAlign w:val="center"/>
          </w:tcPr>
          <w:p w14:paraId="3CCF8A4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7C91AE5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23D03F1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4F4D1A7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90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40C7C2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安全管理</w:t>
            </w:r>
          </w:p>
        </w:tc>
        <w:tc>
          <w:tcPr>
            <w:tcW w:w="1418" w:type="dxa"/>
            <w:noWrap w:val="0"/>
            <w:vAlign w:val="center"/>
          </w:tcPr>
          <w:p w14:paraId="4D3DAE1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2E792E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7DD757D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07FC6C9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017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D47094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14:paraId="36EEB62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5094256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18B14846">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091DACB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ED9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F46ECA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071C8DD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C0658F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6A179104">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5826F24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2B7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BC0B731">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26EAFAF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C76670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550BDF1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3993BC4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6BD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9B601C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7CE21DE3">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281BAD4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7CEA0AAF">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4C728059">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B20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07D820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40809DD5">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7E4111A7">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52C1E61C">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3A048192">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8FE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F42A91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14:paraId="0E4EB6BD">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14:paraId="7C4D8228">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14:paraId="124149DB">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14:paraId="76785CBA">
            <w:pPr>
              <w:pStyle w:val="420"/>
              <w:keepNext/>
              <w:pageBreakBefore w:val="0"/>
              <w:kinsoku/>
              <w:overflowPunct/>
              <w:topLinePunct w:val="0"/>
              <w:bidi w:val="0"/>
              <w:adjustRightInd w:val="0"/>
              <w:spacing w:line="400" w:lineRule="exact"/>
              <w:ind w:left="63" w:leftChars="30" w:right="63" w:rightChars="30"/>
              <w:jc w:val="center"/>
              <w:textAlignment w:val="baseline"/>
              <w:rPr>
                <w:rFonts w:ascii="Times New Roman" w:hAnsi="Times New Roman" w:eastAsia="仿宋_GB2312"/>
                <w:color w:val="auto"/>
                <w:sz w:val="30"/>
                <w:szCs w:val="30"/>
                <w:highlight w:val="none"/>
              </w:rPr>
            </w:pPr>
          </w:p>
        </w:tc>
      </w:tr>
    </w:tbl>
    <w:p w14:paraId="52D7EBE3">
      <w:pPr>
        <w:pStyle w:val="420"/>
        <w:pageBreakBefore w:val="0"/>
        <w:kinsoku/>
        <w:overflowPunct/>
        <w:topLinePunct w:val="0"/>
        <w:bidi w:val="0"/>
        <w:spacing w:line="40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7</w:t>
      </w:r>
      <w:r>
        <w:rPr>
          <w:rFonts w:hint="eastAsia" w:ascii="Times New Roman" w:hAnsi="Times New Roman" w:eastAsia="仿宋_GB2312" w:cs="仿宋_GB2312"/>
          <w:color w:val="auto"/>
          <w:sz w:val="30"/>
          <w:szCs w:val="30"/>
          <w:highlight w:val="none"/>
        </w:rPr>
        <w:t>：</w:t>
      </w:r>
    </w:p>
    <w:p w14:paraId="683E10E8">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履约担保</w:t>
      </w:r>
    </w:p>
    <w:p w14:paraId="2AEDA8E6">
      <w:pPr>
        <w:pStyle w:val="420"/>
        <w:pageBreakBefore w:val="0"/>
        <w:kinsoku/>
        <w:overflowPunct/>
        <w:topLinePunct w:val="0"/>
        <w:bidi w:val="0"/>
        <w:spacing w:line="400" w:lineRule="exact"/>
        <w:rPr>
          <w:rFonts w:ascii="Times New Roman" w:hAnsi="Times New Roman"/>
          <w:color w:val="auto"/>
          <w:szCs w:val="21"/>
          <w:highlight w:val="none"/>
          <w:u w:val="single"/>
        </w:rPr>
      </w:pPr>
    </w:p>
    <w:p w14:paraId="78935204">
      <w:pPr>
        <w:pStyle w:val="420"/>
        <w:pageBreakBefore w:val="0"/>
        <w:kinsoku/>
        <w:overflowPunct/>
        <w:topLinePunct w:val="0"/>
        <w:bidi w:val="0"/>
        <w:spacing w:line="400" w:lineRule="exac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w:t>
      </w:r>
    </w:p>
    <w:p w14:paraId="2971CEB1">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鉴于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（发包人名称，以下简称</w:t>
      </w:r>
      <w:r>
        <w:rPr>
          <w:rFonts w:ascii="Times New Roman" w:hAnsi="Times New Roman"/>
          <w:color w:val="auto"/>
          <w:szCs w:val="21"/>
          <w:highlight w:val="none"/>
        </w:rPr>
        <w:t>“</w:t>
      </w:r>
      <w:r>
        <w:rPr>
          <w:rFonts w:hint="eastAsia" w:ascii="Times New Roman" w:hAnsi="宋体" w:cs="宋体"/>
          <w:color w:val="auto"/>
          <w:szCs w:val="21"/>
          <w:highlight w:val="none"/>
        </w:rPr>
        <w:t>发包人</w:t>
      </w:r>
      <w:r>
        <w:rPr>
          <w:rFonts w:ascii="Times New Roman" w:hAnsi="Times New Roman"/>
          <w:color w:val="auto"/>
          <w:szCs w:val="21"/>
          <w:highlight w:val="none"/>
        </w:rPr>
        <w:t>”</w:t>
      </w:r>
      <w:r>
        <w:rPr>
          <w:rFonts w:hint="eastAsia" w:ascii="Times New Roman" w:hAnsi="宋体" w:cs="宋体"/>
          <w:color w:val="auto"/>
          <w:szCs w:val="21"/>
          <w:highlight w:val="none"/>
        </w:rPr>
        <w:t>）</w:t>
      </w:r>
      <w:r>
        <w:rPr>
          <w:rFonts w:ascii="Times New Roman" w:hAnsi="宋体"/>
          <w:color w:val="auto"/>
          <w:szCs w:val="21"/>
          <w:highlight w:val="none"/>
        </w:rPr>
        <w:t xml:space="preserve"> </w:t>
      </w:r>
      <w:r>
        <w:rPr>
          <w:rFonts w:hint="eastAsia" w:ascii="Times New Roman" w:hAnsi="宋体" w:cs="宋体"/>
          <w:color w:val="auto"/>
          <w:szCs w:val="21"/>
          <w:highlight w:val="none"/>
        </w:rPr>
        <w:t>已于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日发放成交通知书，明确</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（承包人名称）（以下称</w:t>
      </w:r>
      <w:r>
        <w:rPr>
          <w:rFonts w:ascii="Times New Roman" w:hAnsi="Times New Roman"/>
          <w:color w:val="auto"/>
          <w:szCs w:val="21"/>
          <w:highlight w:val="none"/>
        </w:rPr>
        <w:t>“</w:t>
      </w:r>
      <w:r>
        <w:rPr>
          <w:rFonts w:hint="eastAsia" w:ascii="Times New Roman" w:hAnsi="宋体" w:cs="宋体"/>
          <w:color w:val="auto"/>
          <w:szCs w:val="21"/>
          <w:highlight w:val="none"/>
        </w:rPr>
        <w:t>承包人</w:t>
      </w:r>
      <w:r>
        <w:rPr>
          <w:rFonts w:ascii="Times New Roman" w:hAnsi="Times New Roman"/>
          <w:color w:val="auto"/>
          <w:szCs w:val="21"/>
          <w:highlight w:val="none"/>
        </w:rPr>
        <w:t>”</w:t>
      </w:r>
      <w:r>
        <w:rPr>
          <w:rFonts w:hint="eastAsia" w:ascii="Times New Roman" w:hAnsi="宋体" w:cs="宋体"/>
          <w:color w:val="auto"/>
          <w:szCs w:val="21"/>
          <w:highlight w:val="none"/>
        </w:rPr>
        <w:t>）于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（工程名称）的成交人。我方愿意无条件地、不可撤销地就承包人履行与你方签订的合同，向你方提供连带责任担保。</w:t>
      </w:r>
      <w:r>
        <w:rPr>
          <w:rFonts w:ascii="Times New Roman" w:hAnsi="Times New Roman"/>
          <w:color w:val="auto"/>
          <w:szCs w:val="21"/>
          <w:highlight w:val="none"/>
        </w:rPr>
        <w:t xml:space="preserve"> </w:t>
      </w:r>
    </w:p>
    <w:p w14:paraId="1E84A607">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担保金额人民币（大写）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CEE020B">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担保有效期自你方与承包人签订的合同生效之日起至你方签发或应签发工程接收证书之日止。</w:t>
      </w:r>
    </w:p>
    <w:p w14:paraId="2B06D652">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在本担保有效期内，因承包人违反合同约定的义务给你方造成经济损失时，我方在收到你方以书面形式提出的在担保金额内的赔偿要求后，在</w:t>
      </w:r>
      <w:r>
        <w:rPr>
          <w:rFonts w:ascii="Times New Roman" w:hAnsi="Times New Roman"/>
          <w:color w:val="auto"/>
          <w:szCs w:val="21"/>
          <w:highlight w:val="none"/>
        </w:rPr>
        <w:t>7</w:t>
      </w:r>
      <w:r>
        <w:rPr>
          <w:rFonts w:hint="eastAsia" w:ascii="Times New Roman" w:hAnsi="宋体" w:cs="宋体"/>
          <w:color w:val="auto"/>
          <w:szCs w:val="21"/>
          <w:highlight w:val="none"/>
        </w:rPr>
        <w:t>天内无条件支付。</w:t>
      </w:r>
    </w:p>
    <w:p w14:paraId="326A861C">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你方和承包人按合同约定变更合同时，我方承担本担保规定的义务不变。</w:t>
      </w:r>
    </w:p>
    <w:p w14:paraId="0EFFAE23">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因本保函发生的纠纷，可由双方协商解决，协商不成的，任何一方均可提请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仲裁委员会仲裁。</w:t>
      </w:r>
    </w:p>
    <w:p w14:paraId="2E904929">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 </w:t>
      </w:r>
      <w:r>
        <w:rPr>
          <w:rFonts w:hint="eastAsia" w:ascii="Times New Roman" w:hAnsi="宋体" w:cs="宋体"/>
          <w:color w:val="auto"/>
          <w:szCs w:val="21"/>
          <w:highlight w:val="none"/>
        </w:rPr>
        <w:t>本保函自我方法定代表人（或其授权代理人）签字并加盖公章之日起生效。</w:t>
      </w:r>
    </w:p>
    <w:p w14:paraId="35EF4E95">
      <w:pPr>
        <w:pStyle w:val="420"/>
        <w:pageBreakBefore w:val="0"/>
        <w:kinsoku/>
        <w:overflowPunct/>
        <w:topLinePunct w:val="0"/>
        <w:bidi w:val="0"/>
        <w:spacing w:line="400" w:lineRule="exact"/>
        <w:rPr>
          <w:rFonts w:ascii="Times New Roman" w:hAnsi="Times New Roman"/>
          <w:color w:val="auto"/>
          <w:szCs w:val="21"/>
          <w:highlight w:val="none"/>
        </w:rPr>
      </w:pPr>
    </w:p>
    <w:p w14:paraId="50A87DFE">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担</w:t>
      </w:r>
      <w:r>
        <w:rPr>
          <w:rFonts w:ascii="Times New Roman" w:hAnsi="Times New Roman"/>
          <w:color w:val="auto"/>
          <w:szCs w:val="21"/>
          <w:highlight w:val="none"/>
        </w:rPr>
        <w:t xml:space="preserve"> </w:t>
      </w:r>
      <w:r>
        <w:rPr>
          <w:rFonts w:hint="eastAsia" w:ascii="Times New Roman" w:hAnsi="宋体" w:cs="宋体"/>
          <w:color w:val="auto"/>
          <w:szCs w:val="21"/>
          <w:highlight w:val="none"/>
        </w:rPr>
        <w:t>保</w:t>
      </w:r>
      <w:r>
        <w:rPr>
          <w:rFonts w:ascii="Times New Roman" w:hAnsi="Times New Roman"/>
          <w:color w:val="auto"/>
          <w:szCs w:val="21"/>
          <w:highlight w:val="none"/>
        </w:rPr>
        <w:t xml:space="preserve"> </w:t>
      </w:r>
      <w:r>
        <w:rPr>
          <w:rFonts w:hint="eastAsia" w:ascii="Times New Roman" w:hAnsi="宋体" w:cs="宋体"/>
          <w:color w:val="auto"/>
          <w:szCs w:val="21"/>
          <w:highlight w:val="none"/>
        </w:rPr>
        <w:t>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（盖单位章）</w:t>
      </w:r>
    </w:p>
    <w:p w14:paraId="12A0A5F3">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法定代表人或其委托代理人：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（签字）</w:t>
      </w:r>
    </w:p>
    <w:p w14:paraId="5FCC4B7D">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p>
    <w:p w14:paraId="4B8AB08B">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p>
    <w:p w14:paraId="1B2671FA">
      <w:pPr>
        <w:pStyle w:val="420"/>
        <w:pageBreakBefore w:val="0"/>
        <w:kinsoku/>
        <w:overflowPunct/>
        <w:topLinePunct w:val="0"/>
        <w:bidi w:val="0"/>
        <w:spacing w:line="400" w:lineRule="exact"/>
        <w:rPr>
          <w:rFonts w:ascii="Times New Roman" w:hAnsi="Times New Roman"/>
          <w:color w:val="auto"/>
          <w:szCs w:val="21"/>
          <w:highlight w:val="none"/>
          <w:u w:val="single"/>
        </w:rPr>
      </w:pPr>
      <w:r>
        <w:rPr>
          <w:rFonts w:hint="eastAsia" w:ascii="Times New Roman" w:hAnsi="宋体" w:cs="宋体"/>
          <w:color w:val="auto"/>
          <w:szCs w:val="21"/>
          <w:highlight w:val="none"/>
        </w:rPr>
        <w:t>电</w:t>
      </w:r>
      <w:r>
        <w:rPr>
          <w:rFonts w:ascii="Times New Roman" w:hAnsi="Times New Roman"/>
          <w:color w:val="auto"/>
          <w:szCs w:val="21"/>
          <w:highlight w:val="none"/>
        </w:rPr>
        <w:t xml:space="preserve">    </w:t>
      </w:r>
      <w:r>
        <w:rPr>
          <w:rFonts w:hint="eastAsia" w:ascii="Times New Roman" w:hAnsi="宋体" w:cs="宋体"/>
          <w:color w:val="auto"/>
          <w:szCs w:val="21"/>
          <w:highlight w:val="none"/>
        </w:rPr>
        <w:t>话：</w:t>
      </w:r>
      <w:r>
        <w:rPr>
          <w:rFonts w:ascii="Times New Roman" w:hAnsi="Times New Roman"/>
          <w:color w:val="auto"/>
          <w:szCs w:val="21"/>
          <w:highlight w:val="none"/>
          <w:u w:val="single"/>
        </w:rPr>
        <w:t xml:space="preserve">                                      </w:t>
      </w:r>
    </w:p>
    <w:p w14:paraId="434662A0">
      <w:pPr>
        <w:pStyle w:val="420"/>
        <w:pageBreakBefore w:val="0"/>
        <w:kinsoku/>
        <w:overflowPunct/>
        <w:topLinePunct w:val="0"/>
        <w:bidi w:val="0"/>
        <w:spacing w:line="400" w:lineRule="exact"/>
        <w:rPr>
          <w:rFonts w:ascii="Times New Roman" w:hAnsi="Times New Roman"/>
          <w:color w:val="auto"/>
          <w:szCs w:val="21"/>
          <w:highlight w:val="none"/>
          <w:u w:val="singl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p>
    <w:p w14:paraId="035DFA27">
      <w:pPr>
        <w:pStyle w:val="420"/>
        <w:pageBreakBefore w:val="0"/>
        <w:kinsoku/>
        <w:overflowPunct/>
        <w:topLinePunct w:val="0"/>
        <w:bidi w:val="0"/>
        <w:spacing w:line="400" w:lineRule="exact"/>
        <w:ind w:left="1329" w:hanging="1329" w:hangingChars="633"/>
        <w:rPr>
          <w:rFonts w:ascii="Times New Roman" w:hAnsi="Times New Roman"/>
          <w:color w:val="auto"/>
          <w:szCs w:val="21"/>
          <w:highlight w:val="none"/>
        </w:rPr>
      </w:pP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w:t>
      </w:r>
    </w:p>
    <w:p w14:paraId="55412361">
      <w:pPr>
        <w:pStyle w:val="420"/>
        <w:pageBreakBefore w:val="0"/>
        <w:kinsoku/>
        <w:overflowPunct/>
        <w:topLinePunct w:val="0"/>
        <w:bidi w:val="0"/>
        <w:spacing w:line="400" w:lineRule="exact"/>
        <w:ind w:left="1329" w:hanging="1329" w:hangingChars="633"/>
        <w:rPr>
          <w:rFonts w:ascii="Times New Roman" w:hAnsi="Times New Roman"/>
          <w:color w:val="auto"/>
          <w:szCs w:val="21"/>
          <w:highlight w:val="none"/>
        </w:rPr>
      </w:pPr>
    </w:p>
    <w:p w14:paraId="3D96DB18">
      <w:pPr>
        <w:pStyle w:val="420"/>
        <w:pageBreakBefore w:val="0"/>
        <w:kinsoku/>
        <w:overflowPunct/>
        <w:topLinePunct w:val="0"/>
        <w:bidi w:val="0"/>
        <w:spacing w:line="400" w:lineRule="exact"/>
        <w:ind w:right="150" w:firstLine="420" w:firstLineChars="200"/>
        <w:jc w:val="left"/>
        <w:rPr>
          <w:rFonts w:ascii="仿宋_GB2312" w:hAnsi="宋体" w:cs="宋体"/>
          <w:color w:val="auto"/>
          <w:szCs w:val="21"/>
          <w:highlight w:val="none"/>
        </w:rPr>
      </w:pPr>
      <w:r>
        <w:rPr>
          <w:rFonts w:hint="eastAsia" w:ascii="Times New Roman" w:hAnsi="宋体" w:cs="宋体"/>
          <w:color w:val="auto"/>
          <w:szCs w:val="21"/>
          <w:highlight w:val="none"/>
        </w:rPr>
        <w:t>（备注</w:t>
      </w:r>
      <w:r>
        <w:rPr>
          <w:rFonts w:ascii="Times New Roman" w:hAnsi="宋体" w:cs="宋体"/>
          <w:color w:val="auto"/>
          <w:szCs w:val="21"/>
          <w:highlight w:val="none"/>
        </w:rPr>
        <w:t>：</w:t>
      </w:r>
      <w:r>
        <w:rPr>
          <w:rFonts w:hint="eastAsia" w:ascii="Times New Roman"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7623DBF8">
      <w:pPr>
        <w:pageBreakBefore w:val="0"/>
        <w:kinsoku/>
        <w:overflowPunct/>
        <w:topLinePunct w:val="0"/>
        <w:bidi w:val="0"/>
        <w:spacing w:line="400" w:lineRule="exact"/>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z w:val="30"/>
          <w:szCs w:val="30"/>
          <w:highlight w:val="none"/>
        </w:rPr>
        <w:br w:type="page"/>
      </w:r>
    </w:p>
    <w:p w14:paraId="4B458DCA">
      <w:pPr>
        <w:pStyle w:val="420"/>
        <w:pageBreakBefore w:val="0"/>
        <w:kinsoku/>
        <w:overflowPunct/>
        <w:topLinePunct w:val="0"/>
        <w:bidi w:val="0"/>
        <w:spacing w:line="400" w:lineRule="exact"/>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8</w:t>
      </w:r>
      <w:r>
        <w:rPr>
          <w:rFonts w:hint="eastAsia" w:ascii="Times New Roman" w:hAnsi="Times New Roman" w:eastAsia="仿宋_GB2312" w:cs="仿宋_GB2312"/>
          <w:color w:val="auto"/>
          <w:sz w:val="30"/>
          <w:szCs w:val="30"/>
          <w:highlight w:val="none"/>
        </w:rPr>
        <w:t>：</w:t>
      </w:r>
    </w:p>
    <w:p w14:paraId="44789E7A">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预付款担保</w:t>
      </w:r>
    </w:p>
    <w:p w14:paraId="404689B8">
      <w:pPr>
        <w:pStyle w:val="420"/>
        <w:pageBreakBefore w:val="0"/>
        <w:kinsoku/>
        <w:overflowPunct/>
        <w:topLinePunct w:val="0"/>
        <w:bidi w:val="0"/>
        <w:spacing w:line="400" w:lineRule="exac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（发包人名称）：</w:t>
      </w:r>
    </w:p>
    <w:p w14:paraId="6ECADC30">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根据</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（承包人名称）（以下称</w:t>
      </w:r>
      <w:r>
        <w:rPr>
          <w:rFonts w:ascii="Times New Roman" w:hAnsi="Times New Roman"/>
          <w:color w:val="auto"/>
          <w:szCs w:val="21"/>
          <w:highlight w:val="none"/>
        </w:rPr>
        <w:t>“</w:t>
      </w:r>
      <w:r>
        <w:rPr>
          <w:rFonts w:hint="eastAsia" w:ascii="Times New Roman" w:hAnsi="宋体" w:cs="宋体"/>
          <w:color w:val="auto"/>
          <w:szCs w:val="21"/>
          <w:highlight w:val="none"/>
        </w:rPr>
        <w:t>承包人</w:t>
      </w:r>
      <w:r>
        <w:rPr>
          <w:rFonts w:ascii="Times New Roman" w:hAnsi="Times New Roman"/>
          <w:color w:val="auto"/>
          <w:szCs w:val="21"/>
          <w:highlight w:val="none"/>
        </w:rPr>
        <w:t>”</w:t>
      </w:r>
      <w:r>
        <w:rPr>
          <w:rFonts w:hint="eastAsia" w:ascii="Times New Roman" w:hAnsi="宋体" w:cs="宋体"/>
          <w:color w:val="auto"/>
          <w:szCs w:val="21"/>
          <w:highlight w:val="none"/>
        </w:rPr>
        <w:t>）与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（发包人名称）（以下简称</w:t>
      </w:r>
      <w:r>
        <w:rPr>
          <w:rFonts w:ascii="Times New Roman" w:hAnsi="Times New Roman"/>
          <w:color w:val="auto"/>
          <w:szCs w:val="21"/>
          <w:highlight w:val="none"/>
        </w:rPr>
        <w:t>“</w:t>
      </w:r>
      <w:r>
        <w:rPr>
          <w:rFonts w:hint="eastAsia" w:ascii="Times New Roman" w:hAnsi="宋体" w:cs="宋体"/>
          <w:color w:val="auto"/>
          <w:szCs w:val="21"/>
          <w:highlight w:val="none"/>
        </w:rPr>
        <w:t>发包人</w:t>
      </w:r>
      <w:r>
        <w:rPr>
          <w:rFonts w:ascii="Times New Roman" w:hAnsi="Times New Roman"/>
          <w:color w:val="auto"/>
          <w:szCs w:val="21"/>
          <w:highlight w:val="none"/>
        </w:rPr>
        <w:t>”</w:t>
      </w:r>
      <w:r>
        <w:rPr>
          <w:rFonts w:hint="eastAsia" w:ascii="Times New Roman" w:hAnsi="宋体" w:cs="宋体"/>
          <w:color w:val="auto"/>
          <w:szCs w:val="21"/>
          <w:highlight w:val="none"/>
        </w:rPr>
        <w:t>）于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日签订的</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E235DF8">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担保金额人民币（大写）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63C19F9">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担保有效期自预付款支付给承包人起生效，至你方签发的进度款支付证书说明已完全扣清止。</w:t>
      </w:r>
    </w:p>
    <w:p w14:paraId="14839BE6">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EED227F">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你方和承包人按合同约定变更合同时，我方承担本保函规定的义务不变。</w:t>
      </w:r>
    </w:p>
    <w:p w14:paraId="0222A6D5">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因本保函发生的纠纷，可由双方协商解决，协商不成的，任何一方均可提请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仲裁委员会仲裁。</w:t>
      </w:r>
    </w:p>
    <w:p w14:paraId="27FE15D9">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 </w:t>
      </w:r>
      <w:r>
        <w:rPr>
          <w:rFonts w:hint="eastAsia" w:ascii="Times New Roman" w:hAnsi="宋体" w:cs="宋体"/>
          <w:color w:val="auto"/>
          <w:szCs w:val="21"/>
          <w:highlight w:val="none"/>
        </w:rPr>
        <w:t>本保函自我方法定代表人（或其授权代理人）签字并加盖公章之日起生效。</w:t>
      </w:r>
    </w:p>
    <w:p w14:paraId="37FD821B">
      <w:pPr>
        <w:pStyle w:val="420"/>
        <w:pageBreakBefore w:val="0"/>
        <w:kinsoku/>
        <w:overflowPunct/>
        <w:topLinePunct w:val="0"/>
        <w:bidi w:val="0"/>
        <w:spacing w:line="400" w:lineRule="exact"/>
        <w:rPr>
          <w:rFonts w:ascii="Times New Roman" w:hAnsi="Times New Roman"/>
          <w:color w:val="auto"/>
          <w:szCs w:val="21"/>
          <w:highlight w:val="none"/>
        </w:rPr>
      </w:pPr>
    </w:p>
    <w:p w14:paraId="0E407151">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担保人：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（盖单位章）</w:t>
      </w:r>
    </w:p>
    <w:p w14:paraId="1068A193">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法定代表人或其委托代理人：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（签字）</w:t>
      </w:r>
    </w:p>
    <w:p w14:paraId="22B7FA0E">
      <w:pPr>
        <w:pStyle w:val="420"/>
        <w:pageBreakBefore w:val="0"/>
        <w:kinsoku/>
        <w:overflowPunct/>
        <w:topLinePunct w:val="0"/>
        <w:bidi w:val="0"/>
        <w:spacing w:line="400" w:lineRule="exact"/>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p>
    <w:p w14:paraId="4A709BC8">
      <w:pPr>
        <w:pStyle w:val="420"/>
        <w:pageBreakBefore w:val="0"/>
        <w:kinsoku/>
        <w:overflowPunct/>
        <w:topLinePunct w:val="0"/>
        <w:bidi w:val="0"/>
        <w:spacing w:line="400" w:lineRule="exact"/>
        <w:rPr>
          <w:rFonts w:ascii="Times New Roman" w:hAnsi="Times New Roman"/>
          <w:color w:val="auto"/>
          <w:szCs w:val="21"/>
          <w:highlight w:val="none"/>
          <w:u w:val="singl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p>
    <w:p w14:paraId="094157A9">
      <w:pPr>
        <w:pStyle w:val="420"/>
        <w:pageBreakBefore w:val="0"/>
        <w:kinsoku/>
        <w:overflowPunct/>
        <w:topLinePunct w:val="0"/>
        <w:bidi w:val="0"/>
        <w:spacing w:line="400" w:lineRule="exact"/>
        <w:rPr>
          <w:rFonts w:ascii="Times New Roman" w:hAnsi="Times New Roman"/>
          <w:color w:val="auto"/>
          <w:szCs w:val="21"/>
          <w:highlight w:val="none"/>
          <w:u w:val="single"/>
        </w:rPr>
      </w:pPr>
      <w:r>
        <w:rPr>
          <w:rFonts w:hint="eastAsia" w:ascii="Times New Roman" w:hAnsi="宋体" w:cs="宋体"/>
          <w:color w:val="auto"/>
          <w:szCs w:val="21"/>
          <w:highlight w:val="none"/>
        </w:rPr>
        <w:t>电</w:t>
      </w:r>
      <w:r>
        <w:rPr>
          <w:rFonts w:ascii="Times New Roman" w:hAnsi="Times New Roman"/>
          <w:color w:val="auto"/>
          <w:szCs w:val="21"/>
          <w:highlight w:val="none"/>
        </w:rPr>
        <w:t xml:space="preserve">    </w:t>
      </w:r>
      <w:r>
        <w:rPr>
          <w:rFonts w:hint="eastAsia" w:ascii="Times New Roman" w:hAnsi="宋体" w:cs="宋体"/>
          <w:color w:val="auto"/>
          <w:szCs w:val="21"/>
          <w:highlight w:val="none"/>
        </w:rPr>
        <w:t>话：</w:t>
      </w:r>
      <w:r>
        <w:rPr>
          <w:rFonts w:ascii="Times New Roman" w:hAnsi="Times New Roman"/>
          <w:color w:val="auto"/>
          <w:szCs w:val="21"/>
          <w:highlight w:val="none"/>
          <w:u w:val="single"/>
        </w:rPr>
        <w:t xml:space="preserve">                            </w:t>
      </w:r>
    </w:p>
    <w:p w14:paraId="45ADEE68">
      <w:pPr>
        <w:pStyle w:val="420"/>
        <w:pageBreakBefore w:val="0"/>
        <w:kinsoku/>
        <w:overflowPunct/>
        <w:topLinePunct w:val="0"/>
        <w:bidi w:val="0"/>
        <w:spacing w:line="400" w:lineRule="exact"/>
        <w:rPr>
          <w:rFonts w:ascii="Times New Roman" w:hAnsi="Times New Roman"/>
          <w:color w:val="auto"/>
          <w:szCs w:val="21"/>
          <w:highlight w:val="none"/>
          <w:u w:val="singl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p>
    <w:p w14:paraId="6F280AD4">
      <w:pPr>
        <w:pStyle w:val="420"/>
        <w:pageBreakBefore w:val="0"/>
        <w:kinsoku/>
        <w:overflowPunct/>
        <w:topLinePunct w:val="0"/>
        <w:bidi w:val="0"/>
        <w:spacing w:line="400" w:lineRule="exact"/>
        <w:rPr>
          <w:rFonts w:ascii="Times New Roman" w:hAnsi="宋体"/>
          <w:color w:val="auto"/>
          <w:szCs w:val="21"/>
          <w:highlight w:val="none"/>
        </w:rPr>
      </w:pP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w:t>
      </w:r>
    </w:p>
    <w:p w14:paraId="0C614061">
      <w:pPr>
        <w:pStyle w:val="420"/>
        <w:pageBreakBefore w:val="0"/>
        <w:kinsoku/>
        <w:overflowPunct/>
        <w:topLinePunct w:val="0"/>
        <w:bidi w:val="0"/>
        <w:spacing w:line="400" w:lineRule="exact"/>
        <w:ind w:right="150" w:firstLine="420" w:firstLineChars="200"/>
        <w:jc w:val="left"/>
        <w:rPr>
          <w:rFonts w:ascii="仿宋_GB2312" w:hAnsi="宋体" w:cs="宋体"/>
          <w:color w:val="auto"/>
          <w:szCs w:val="21"/>
          <w:highlight w:val="none"/>
        </w:rPr>
      </w:pPr>
      <w:r>
        <w:rPr>
          <w:rFonts w:hint="eastAsia" w:ascii="Times New Roman" w:hAnsi="宋体" w:cs="宋体"/>
          <w:color w:val="auto"/>
          <w:szCs w:val="21"/>
          <w:highlight w:val="none"/>
        </w:rPr>
        <w:t>（备注</w:t>
      </w:r>
      <w:r>
        <w:rPr>
          <w:rFonts w:ascii="Times New Roman" w:hAnsi="宋体" w:cs="宋体"/>
          <w:color w:val="auto"/>
          <w:szCs w:val="21"/>
          <w:highlight w:val="none"/>
        </w:rPr>
        <w:t>：</w:t>
      </w:r>
      <w:r>
        <w:rPr>
          <w:rFonts w:hint="eastAsia" w:ascii="Times New Roman"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1BAC453F">
      <w:pPr>
        <w:pStyle w:val="420"/>
        <w:pageBreakBefore w:val="0"/>
        <w:kinsoku/>
        <w:overflowPunct/>
        <w:topLinePunct w:val="0"/>
        <w:bidi w:val="0"/>
        <w:spacing w:line="400" w:lineRule="exact"/>
        <w:ind w:right="150" w:firstLine="420" w:firstLineChars="200"/>
        <w:jc w:val="left"/>
        <w:rPr>
          <w:rFonts w:ascii="仿宋_GB2312" w:hAnsi="宋体" w:cs="宋体"/>
          <w:color w:val="auto"/>
          <w:szCs w:val="21"/>
          <w:highlight w:val="none"/>
        </w:rPr>
      </w:pPr>
    </w:p>
    <w:p w14:paraId="664AAE8C">
      <w:pPr>
        <w:pStyle w:val="420"/>
        <w:pageBreakBefore w:val="0"/>
        <w:kinsoku/>
        <w:overflowPunct/>
        <w:topLinePunct w:val="0"/>
        <w:bidi w:val="0"/>
        <w:spacing w:line="400" w:lineRule="exact"/>
        <w:jc w:val="left"/>
        <w:rPr>
          <w:rFonts w:hint="eastAsia" w:ascii="Times New Roman" w:hAnsi="Times New Roman" w:eastAsia="仿宋_GB2312" w:cs="仿宋_GB2312"/>
          <w:color w:val="auto"/>
          <w:sz w:val="30"/>
          <w:szCs w:val="30"/>
          <w:highlight w:val="none"/>
        </w:rPr>
      </w:pPr>
    </w:p>
    <w:p w14:paraId="2D356360">
      <w:pPr>
        <w:pStyle w:val="420"/>
        <w:pageBreakBefore w:val="0"/>
        <w:kinsoku/>
        <w:overflowPunct/>
        <w:topLinePunct w:val="0"/>
        <w:bidi w:val="0"/>
        <w:spacing w:line="400" w:lineRule="exact"/>
        <w:jc w:val="left"/>
        <w:rPr>
          <w:rFonts w:hint="eastAsia" w:ascii="Times New Roman" w:hAnsi="Times New Roman" w:eastAsia="仿宋_GB2312" w:cs="仿宋_GB2312"/>
          <w:color w:val="auto"/>
          <w:sz w:val="30"/>
          <w:szCs w:val="30"/>
          <w:highlight w:val="none"/>
        </w:rPr>
      </w:pPr>
    </w:p>
    <w:p w14:paraId="762870C4">
      <w:pPr>
        <w:pStyle w:val="420"/>
        <w:pageBreakBefore w:val="0"/>
        <w:kinsoku/>
        <w:overflowPunct/>
        <w:topLinePunct w:val="0"/>
        <w:bidi w:val="0"/>
        <w:spacing w:line="400" w:lineRule="exact"/>
        <w:jc w:val="left"/>
        <w:rPr>
          <w:rFonts w:hint="eastAsia" w:ascii="Times New Roman" w:hAnsi="Times New Roman" w:eastAsia="仿宋_GB2312" w:cs="仿宋_GB2312"/>
          <w:color w:val="auto"/>
          <w:sz w:val="30"/>
          <w:szCs w:val="30"/>
          <w:highlight w:val="none"/>
        </w:rPr>
      </w:pPr>
    </w:p>
    <w:p w14:paraId="35DB35BA">
      <w:pPr>
        <w:pStyle w:val="420"/>
        <w:pageBreakBefore w:val="0"/>
        <w:kinsoku/>
        <w:overflowPunct/>
        <w:topLinePunct w:val="0"/>
        <w:bidi w:val="0"/>
        <w:spacing w:line="400" w:lineRule="exact"/>
        <w:jc w:val="left"/>
        <w:rPr>
          <w:rFonts w:hint="eastAsia" w:ascii="Times New Roman" w:hAnsi="Times New Roman" w:eastAsia="仿宋_GB2312" w:cs="仿宋_GB2312"/>
          <w:color w:val="auto"/>
          <w:sz w:val="30"/>
          <w:szCs w:val="30"/>
          <w:highlight w:val="none"/>
        </w:rPr>
      </w:pPr>
    </w:p>
    <w:p w14:paraId="0994AA89">
      <w:pPr>
        <w:pStyle w:val="420"/>
        <w:pageBreakBefore w:val="0"/>
        <w:kinsoku/>
        <w:overflowPunct/>
        <w:topLinePunct w:val="0"/>
        <w:bidi w:val="0"/>
        <w:spacing w:line="400" w:lineRule="exact"/>
        <w:jc w:val="left"/>
        <w:rPr>
          <w:rFonts w:hint="eastAsia" w:ascii="Times New Roman" w:hAnsi="Times New Roman" w:eastAsia="仿宋_GB2312" w:cs="仿宋_GB2312"/>
          <w:color w:val="auto"/>
          <w:sz w:val="30"/>
          <w:szCs w:val="30"/>
          <w:highlight w:val="none"/>
        </w:rPr>
      </w:pPr>
    </w:p>
    <w:p w14:paraId="5C33976E">
      <w:pPr>
        <w:pStyle w:val="420"/>
        <w:pageBreakBefore w:val="0"/>
        <w:kinsoku/>
        <w:overflowPunct/>
        <w:topLinePunct w:val="0"/>
        <w:bidi w:val="0"/>
        <w:spacing w:line="400" w:lineRule="exact"/>
        <w:jc w:val="left"/>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9</w:t>
      </w:r>
      <w:r>
        <w:rPr>
          <w:rFonts w:hint="eastAsia" w:ascii="Times New Roman" w:hAnsi="Times New Roman" w:eastAsia="仿宋_GB2312" w:cs="仿宋_GB2312"/>
          <w:color w:val="auto"/>
          <w:sz w:val="30"/>
          <w:szCs w:val="30"/>
          <w:highlight w:val="none"/>
        </w:rPr>
        <w:t>：</w:t>
      </w:r>
    </w:p>
    <w:p w14:paraId="63461C05">
      <w:pPr>
        <w:pStyle w:val="420"/>
        <w:pageBreakBefore w:val="0"/>
        <w:kinsoku/>
        <w:overflowPunct/>
        <w:topLinePunct w:val="0"/>
        <w:bidi w:val="0"/>
        <w:spacing w:before="156" w:beforeLines="50" w:after="156" w:afterLines="50" w:line="40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支付担保</w:t>
      </w:r>
    </w:p>
    <w:p w14:paraId="3172F82E">
      <w:pPr>
        <w:pStyle w:val="420"/>
        <w:pageBreakBefore w:val="0"/>
        <w:kinsoku/>
        <w:overflowPunct/>
        <w:topLinePunct w:val="0"/>
        <w:bidi w:val="0"/>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（承包人）：</w:t>
      </w:r>
    </w:p>
    <w:p w14:paraId="45AE2213">
      <w:pPr>
        <w:pStyle w:val="420"/>
        <w:pageBreakBefore w:val="0"/>
        <w:kinsoku/>
        <w:overflowPunct/>
        <w:topLinePunct w:val="0"/>
        <w:bidi w:val="0"/>
        <w:spacing w:line="400" w:lineRule="exact"/>
        <w:ind w:firstLine="420" w:firstLineChars="200"/>
        <w:jc w:val="left"/>
        <w:rPr>
          <w:rFonts w:ascii="Times New Roman" w:hAnsi="宋体"/>
          <w:color w:val="auto"/>
          <w:szCs w:val="21"/>
          <w:highlight w:val="none"/>
        </w:rPr>
      </w:pPr>
      <w:r>
        <w:rPr>
          <w:rFonts w:hint="eastAsia" w:ascii="Times New Roman" w:hAnsi="宋体" w:cs="宋体"/>
          <w:color w:val="auto"/>
          <w:szCs w:val="21"/>
          <w:highlight w:val="none"/>
        </w:rPr>
        <w:t>鉴于你方作为承包人已经与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（发包人名称）（以下称</w:t>
      </w:r>
      <w:r>
        <w:rPr>
          <w:rFonts w:ascii="Times New Roman" w:hAnsi="Times New Roman"/>
          <w:color w:val="auto"/>
          <w:szCs w:val="21"/>
          <w:highlight w:val="none"/>
        </w:rPr>
        <w:t>“</w:t>
      </w:r>
      <w:r>
        <w:rPr>
          <w:rFonts w:hint="eastAsia" w:ascii="Times New Roman" w:hAnsi="宋体" w:cs="宋体"/>
          <w:color w:val="auto"/>
          <w:szCs w:val="21"/>
          <w:highlight w:val="none"/>
        </w:rPr>
        <w:t>发包人</w:t>
      </w:r>
      <w:r>
        <w:rPr>
          <w:rFonts w:ascii="Times New Roman" w:hAnsi="Times New Roman"/>
          <w:color w:val="auto"/>
          <w:szCs w:val="21"/>
          <w:highlight w:val="none"/>
        </w:rPr>
        <w:t>”</w:t>
      </w:r>
      <w:r>
        <w:rPr>
          <w:rFonts w:hint="eastAsia" w:ascii="Times New Roman" w:hAnsi="宋体" w:cs="宋体"/>
          <w:color w:val="auto"/>
          <w:szCs w:val="21"/>
          <w:highlight w:val="none"/>
        </w:rPr>
        <w:t>）于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日签订了</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（工程名称）《建设工程施工合同》（以下称</w:t>
      </w:r>
      <w:r>
        <w:rPr>
          <w:rFonts w:ascii="Times New Roman" w:hAnsi="Times New Roman"/>
          <w:color w:val="auto"/>
          <w:szCs w:val="21"/>
          <w:highlight w:val="none"/>
        </w:rPr>
        <w:t>“</w:t>
      </w:r>
      <w:r>
        <w:rPr>
          <w:rFonts w:hint="eastAsia" w:ascii="Times New Roman" w:hAnsi="宋体" w:cs="宋体"/>
          <w:color w:val="auto"/>
          <w:szCs w:val="21"/>
          <w:highlight w:val="none"/>
        </w:rPr>
        <w:t>主合同</w:t>
      </w:r>
      <w:r>
        <w:rPr>
          <w:rFonts w:ascii="Times New Roman" w:hAnsi="Times New Roman"/>
          <w:color w:val="auto"/>
          <w:szCs w:val="21"/>
          <w:highlight w:val="none"/>
        </w:rPr>
        <w:t>”</w:t>
      </w:r>
      <w:r>
        <w:rPr>
          <w:rFonts w:hint="eastAsia" w:ascii="Times New Roman" w:hAnsi="宋体" w:cs="宋体"/>
          <w:color w:val="auto"/>
          <w:szCs w:val="21"/>
          <w:highlight w:val="none"/>
        </w:rPr>
        <w:t>），应发包人的申请，我方愿就发包人履行主合同约定的工程款支付义务以保证的方式向你方提供如下担保：</w:t>
      </w:r>
    </w:p>
    <w:p w14:paraId="6F890C45">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一、保证的范围及保证金额</w:t>
      </w:r>
    </w:p>
    <w:p w14:paraId="21DC4958">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我方的保证范围是主合同约定的工程款。</w:t>
      </w:r>
    </w:p>
    <w:p w14:paraId="3B93A76F">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本保函所称主合同约定的工程款是指主合同约定的除工程质量保证金以外的合同价款。</w:t>
      </w:r>
    </w:p>
    <w:p w14:paraId="61D8E28B">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我方保证的金额是主合同约定的工程款的</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宋体" w:cs="宋体"/>
          <w:color w:val="auto"/>
          <w:szCs w:val="21"/>
          <w:highlight w:val="none"/>
        </w:rPr>
        <w:t>，数额最高不超过人民币元（大写：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8BE2666">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二、保证的方式及保证期间</w:t>
      </w:r>
    </w:p>
    <w:p w14:paraId="6F8A951B">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我方保证的方式为：连带责任保证。</w:t>
      </w:r>
    </w:p>
    <w:p w14:paraId="2B5F212C">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我方保证的期间为：自本合同生效之日起至主合同约定的工程款支付完毕之日后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日内。</w:t>
      </w:r>
    </w:p>
    <w:p w14:paraId="38FD79EF">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你方与发包人协议变更工程款支付日期的，经我方书面同意后，保证期间按照变更后的支付日期做相应调整。</w:t>
      </w:r>
    </w:p>
    <w:p w14:paraId="71957E23">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三、承担保证责任的形式</w:t>
      </w:r>
    </w:p>
    <w:p w14:paraId="113614F1">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我方承担保证责任的形式是代为支付。发包人未按主合同约定向你方支付工程款的，由我方在保证金额内代为支付。</w:t>
      </w:r>
    </w:p>
    <w:p w14:paraId="0A4957D9">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四、代偿的安排</w:t>
      </w:r>
    </w:p>
    <w:p w14:paraId="3C4A21D0">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4247AB4E">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6F9C7302">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我方收到你方的书面索赔通知及相应的证明材料后７天内无条件支付。</w:t>
      </w:r>
    </w:p>
    <w:p w14:paraId="18F82585">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五、保证责任的解除</w:t>
      </w:r>
    </w:p>
    <w:p w14:paraId="6796DBFE">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在本保函承诺的保证期间内，你方未书面向我方主张保证责任的，自保证期间届满次日起，我方保证责任解除。</w:t>
      </w:r>
    </w:p>
    <w:p w14:paraId="57572640">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发包人按主合同约定履行了工程款的全部支付义务的，自本保函承诺的保证期间届满次日起，我方保证责任解除。</w:t>
      </w:r>
    </w:p>
    <w:p w14:paraId="34082150">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我方按照本保函向你方履行保证责任所支付金额达到本保函保证金额时，自我方向你方支付（支付款项从我方账户划出）之日起，保证责任即解除。</w:t>
      </w:r>
    </w:p>
    <w:p w14:paraId="7CB235D5">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按照法律法规的规定或出现应解除我方保证责任的其他情形的，我方在本保函项下的保证责任亦解除。</w:t>
      </w:r>
    </w:p>
    <w:p w14:paraId="07F437DB">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我方解除保证责任后，你方应自我方保证责任解除之日起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个工作日内，将本保函原件返还我方。</w:t>
      </w:r>
    </w:p>
    <w:p w14:paraId="28628B8A">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六、免责条款</w:t>
      </w:r>
    </w:p>
    <w:p w14:paraId="3BB3C93B">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因你方违约致使发包人不能履行义务的，我方不承担保证责任。</w:t>
      </w:r>
    </w:p>
    <w:p w14:paraId="4F43F38C">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依照法律法规的规定或你方与发包人的另行约定，免除发包人部分或全部义务的，我方亦免除其相应的保证责任。</w:t>
      </w:r>
    </w:p>
    <w:p w14:paraId="5D6B66BE">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你方与发包人协议变更主合同的，如加重发包人责任致使我方保证责任加重的，需征得我方书面同意，否则我方不再承担因此而加重部分的保证责任，但主合同第</w:t>
      </w:r>
      <w:r>
        <w:rPr>
          <w:rFonts w:ascii="Times New Roman" w:hAnsi="Times New Roman"/>
          <w:color w:val="auto"/>
          <w:szCs w:val="21"/>
          <w:highlight w:val="none"/>
        </w:rPr>
        <w:t>10</w:t>
      </w:r>
      <w:r>
        <w:rPr>
          <w:rFonts w:hint="eastAsia" w:ascii="Times New Roman" w:hAnsi="宋体" w:cs="宋体"/>
          <w:color w:val="auto"/>
          <w:szCs w:val="21"/>
          <w:highlight w:val="none"/>
        </w:rPr>
        <w:t>条〔变更〕约定的变更不受本款限制。</w:t>
      </w:r>
    </w:p>
    <w:p w14:paraId="7A232A12">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因不可抗力造成发包人不能履行义务的，我方不承担保证责任。</w:t>
      </w:r>
    </w:p>
    <w:p w14:paraId="2E37531F">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七、争议解决</w:t>
      </w:r>
    </w:p>
    <w:p w14:paraId="411DF11D">
      <w:pPr>
        <w:pStyle w:val="420"/>
        <w:pageBreakBefore w:val="0"/>
        <w:kinsoku/>
        <w:overflowPunct/>
        <w:topLinePunct w:val="0"/>
        <w:bidi w:val="0"/>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因本保函或本保函相关事项发生的纠纷，可由双方协商解决，协商不成的，按下列第</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种方式解决：</w:t>
      </w:r>
    </w:p>
    <w:p w14:paraId="5387DB1A">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仲裁委员会申请仲裁；（</w:t>
      </w:r>
      <w:r>
        <w:rPr>
          <w:rFonts w:ascii="Times New Roman" w:hAnsi="Times New Roman"/>
          <w:color w:val="auto"/>
          <w:szCs w:val="21"/>
          <w:highlight w:val="none"/>
        </w:rPr>
        <w:t>2</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人民法院起诉。</w:t>
      </w:r>
    </w:p>
    <w:p w14:paraId="37643953">
      <w:pPr>
        <w:pStyle w:val="420"/>
        <w:pageBreakBefore w:val="0"/>
        <w:kinsoku/>
        <w:overflowPunct/>
        <w:topLinePunct w:val="0"/>
        <w:bidi w:val="0"/>
        <w:spacing w:line="400" w:lineRule="exact"/>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八、保函的生效</w:t>
      </w:r>
    </w:p>
    <w:p w14:paraId="5194FA7A">
      <w:pPr>
        <w:pStyle w:val="420"/>
        <w:pageBreakBefore w:val="0"/>
        <w:kinsoku/>
        <w:overflowPunct/>
        <w:topLinePunct w:val="0"/>
        <w:bidi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本保函自我方法定代表人（或其授权代理人）签字并加盖公章之日起生效。</w:t>
      </w:r>
    </w:p>
    <w:p w14:paraId="1E0CBC46">
      <w:pPr>
        <w:pStyle w:val="420"/>
        <w:pageBreakBefore w:val="0"/>
        <w:kinsoku/>
        <w:overflowPunct/>
        <w:topLinePunct w:val="0"/>
        <w:bidi w:val="0"/>
        <w:spacing w:line="400" w:lineRule="exact"/>
        <w:ind w:right="600"/>
        <w:jc w:val="left"/>
        <w:rPr>
          <w:rFonts w:ascii="Times New Roman" w:hAnsi="Times New Roman"/>
          <w:color w:val="auto"/>
          <w:szCs w:val="21"/>
          <w:highlight w:val="none"/>
        </w:rPr>
      </w:pPr>
      <w:r>
        <w:rPr>
          <w:rFonts w:hint="eastAsia" w:ascii="Times New Roman" w:hAnsi="宋体" w:cs="宋体"/>
          <w:color w:val="auto"/>
          <w:szCs w:val="21"/>
          <w:highlight w:val="none"/>
        </w:rPr>
        <w:t>担保人：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（盖章）</w:t>
      </w:r>
    </w:p>
    <w:p w14:paraId="31DD5C77">
      <w:pPr>
        <w:pStyle w:val="420"/>
        <w:pageBreakBefore w:val="0"/>
        <w:kinsoku/>
        <w:overflowPunct/>
        <w:topLinePunct w:val="0"/>
        <w:bidi w:val="0"/>
        <w:spacing w:line="400" w:lineRule="exact"/>
        <w:ind w:right="1200"/>
        <w:rPr>
          <w:rFonts w:ascii="Times New Roman" w:hAnsi="Times New Roman"/>
          <w:color w:val="auto"/>
          <w:szCs w:val="21"/>
          <w:highlight w:val="none"/>
        </w:rPr>
      </w:pPr>
      <w:r>
        <w:rPr>
          <w:rFonts w:hint="eastAsia" w:ascii="Times New Roman" w:hAnsi="宋体" w:cs="宋体"/>
          <w:color w:val="auto"/>
          <w:szCs w:val="21"/>
          <w:highlight w:val="none"/>
        </w:rPr>
        <w:t>法定代表人或委托代理人：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（签字）</w:t>
      </w:r>
    </w:p>
    <w:p w14:paraId="2FC1D78C">
      <w:pPr>
        <w:pStyle w:val="420"/>
        <w:pageBreakBefore w:val="0"/>
        <w:kinsoku/>
        <w:overflowPunct/>
        <w:topLinePunct w:val="0"/>
        <w:bidi w:val="0"/>
        <w:spacing w:line="400" w:lineRule="exact"/>
        <w:jc w:val="left"/>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p>
    <w:p w14:paraId="5BE42223">
      <w:pPr>
        <w:pStyle w:val="420"/>
        <w:pageBreakBefore w:val="0"/>
        <w:kinsoku/>
        <w:overflowPunct/>
        <w:topLinePunct w:val="0"/>
        <w:bidi w:val="0"/>
        <w:spacing w:line="400" w:lineRule="exact"/>
        <w:jc w:val="left"/>
        <w:rPr>
          <w:rFonts w:ascii="Times New Roman" w:hAnsi="Times New Roman"/>
          <w:color w:val="auto"/>
          <w:szCs w:val="21"/>
          <w:highlight w:val="non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p>
    <w:p w14:paraId="52EC76D1">
      <w:pPr>
        <w:pStyle w:val="420"/>
        <w:pageBreakBefore w:val="0"/>
        <w:kinsoku/>
        <w:overflowPunct/>
        <w:topLinePunct w:val="0"/>
        <w:bidi w:val="0"/>
        <w:spacing w:line="400" w:lineRule="exact"/>
        <w:jc w:val="left"/>
        <w:rPr>
          <w:rFonts w:ascii="Times New Roman" w:hAnsi="Times New Roman"/>
          <w:color w:val="auto"/>
          <w:szCs w:val="21"/>
          <w:highlight w:val="none"/>
          <w:u w:val="singl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p>
    <w:p w14:paraId="59ED348B">
      <w:pPr>
        <w:pStyle w:val="420"/>
        <w:pageBreakBefore w:val="0"/>
        <w:kinsoku/>
        <w:overflowPunct/>
        <w:topLinePunct w:val="0"/>
        <w:bidi w:val="0"/>
        <w:spacing w:line="400" w:lineRule="exact"/>
        <w:ind w:right="150" w:firstLine="420" w:firstLineChars="200"/>
        <w:jc w:val="left"/>
        <w:rPr>
          <w:rFonts w:ascii="Times New Roman" w:hAnsi="宋体" w:cs="宋体"/>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w:t>
      </w:r>
    </w:p>
    <w:p w14:paraId="0BE63E25">
      <w:pPr>
        <w:pStyle w:val="420"/>
        <w:pageBreakBefore w:val="0"/>
        <w:kinsoku/>
        <w:overflowPunct/>
        <w:topLinePunct w:val="0"/>
        <w:bidi w:val="0"/>
        <w:spacing w:line="400" w:lineRule="exact"/>
        <w:ind w:right="150" w:firstLine="420" w:firstLineChars="200"/>
        <w:jc w:val="left"/>
        <w:rPr>
          <w:rFonts w:hint="eastAsia" w:ascii="仿宋_GB2312" w:hAnsi="宋体" w:cs="宋体"/>
          <w:color w:val="auto"/>
          <w:szCs w:val="21"/>
          <w:highlight w:val="none"/>
        </w:rPr>
      </w:pPr>
      <w:r>
        <w:rPr>
          <w:rFonts w:hint="eastAsia" w:ascii="Times New Roman" w:hAnsi="宋体" w:cs="宋体"/>
          <w:color w:val="auto"/>
          <w:szCs w:val="21"/>
          <w:highlight w:val="none"/>
        </w:rPr>
        <w:t>（备注</w:t>
      </w:r>
      <w:r>
        <w:rPr>
          <w:rFonts w:ascii="Times New Roman" w:hAnsi="宋体" w:cs="宋体"/>
          <w:color w:val="auto"/>
          <w:szCs w:val="21"/>
          <w:highlight w:val="none"/>
        </w:rPr>
        <w:t>：</w:t>
      </w:r>
      <w:r>
        <w:rPr>
          <w:rFonts w:hint="eastAsia" w:ascii="Times New Roman"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70512343">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09B4D8A1">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4558E826">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5EDC6D5E">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746B48F8">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3EF0955F">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3328EF89">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2B87C77E">
      <w:pPr>
        <w:pStyle w:val="420"/>
        <w:pageBreakBefore w:val="0"/>
        <w:kinsoku/>
        <w:overflowPunct/>
        <w:topLinePunct w:val="0"/>
        <w:bidi w:val="0"/>
        <w:spacing w:line="400" w:lineRule="exact"/>
        <w:jc w:val="left"/>
        <w:rPr>
          <w:rFonts w:ascii="Times New Roman" w:hAnsi="Times New Roman" w:eastAsia="仿宋_GB2312"/>
          <w:color w:val="auto"/>
          <w:sz w:val="30"/>
          <w:szCs w:val="30"/>
          <w:highlight w:val="none"/>
        </w:rPr>
      </w:pPr>
    </w:p>
    <w:p w14:paraId="2991F99C">
      <w:pPr>
        <w:pStyle w:val="420"/>
        <w:pageBreakBefore w:val="0"/>
        <w:kinsoku/>
        <w:overflowPunct/>
        <w:topLinePunct w:val="0"/>
        <w:bidi w:val="0"/>
        <w:spacing w:line="400" w:lineRule="exact"/>
        <w:jc w:val="left"/>
        <w:rPr>
          <w:rFonts w:hint="eastAsia" w:ascii="Times New Roman" w:hAnsi="宋体" w:cs="宋体"/>
          <w:color w:val="auto"/>
          <w:sz w:val="30"/>
          <w:szCs w:val="30"/>
          <w:highlight w:val="none"/>
        </w:rPr>
      </w:pPr>
      <w:r>
        <w:rPr>
          <w:rFonts w:ascii="Times New Roman" w:hAnsi="Times New Roman" w:eastAsia="仿宋_GB2312"/>
          <w:color w:val="auto"/>
          <w:sz w:val="30"/>
          <w:szCs w:val="30"/>
          <w:highlight w:val="none"/>
        </w:rPr>
        <w:t xml:space="preserve"> </w:t>
      </w:r>
      <w:r>
        <w:rPr>
          <w:rFonts w:hint="eastAsia" w:ascii="Times New Roman" w:hAnsi="宋体" w:cs="宋体"/>
          <w:color w:val="auto"/>
          <w:sz w:val="30"/>
          <w:szCs w:val="30"/>
          <w:highlight w:val="none"/>
        </w:rPr>
        <w:t>附件10：</w:t>
      </w:r>
    </w:p>
    <w:p w14:paraId="40E1DD47">
      <w:pPr>
        <w:pStyle w:val="420"/>
        <w:pageBreakBefore w:val="0"/>
        <w:kinsoku/>
        <w:overflowPunct/>
        <w:topLinePunct w:val="0"/>
        <w:bidi w:val="0"/>
        <w:spacing w:line="400" w:lineRule="exact"/>
        <w:jc w:val="center"/>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预付款支付申请（核准）表</w:t>
      </w:r>
    </w:p>
    <w:p w14:paraId="3575BF55">
      <w:pPr>
        <w:pStyle w:val="420"/>
        <w:pageBreakBefore w:val="0"/>
        <w:kinsoku/>
        <w:overflowPunct/>
        <w:topLinePunct w:val="0"/>
        <w:bidi w:val="0"/>
        <w:spacing w:line="400" w:lineRule="exac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3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14:paraId="3F36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noWrap w:val="0"/>
            <w:vAlign w:val="top"/>
          </w:tcPr>
          <w:p w14:paraId="54A94F05">
            <w:pPr>
              <w:pStyle w:val="420"/>
              <w:pageBreakBefore w:val="0"/>
              <w:kinsoku/>
              <w:overflowPunct/>
              <w:topLinePunct w:val="0"/>
              <w:bidi w:val="0"/>
              <w:spacing w:line="400" w:lineRule="exact"/>
              <w:ind w:left="525" w:leftChars="149" w:hanging="212" w:hangingChars="101"/>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5731804D">
            <w:pPr>
              <w:pStyle w:val="420"/>
              <w:pageBreakBefore w:val="0"/>
              <w:kinsoku/>
              <w:overflowPunct/>
              <w:topLinePunct w:val="0"/>
              <w:bidi w:val="0"/>
              <w:spacing w:line="400" w:lineRule="exact"/>
              <w:ind w:left="-4" w:leftChars="-2" w:firstLine="315" w:firstLineChars="150"/>
              <w:rPr>
                <w:rFonts w:hint="eastAsia" w:ascii="Times New Roman" w:hAnsi="Times New Roman"/>
                <w:color w:val="auto"/>
                <w:szCs w:val="21"/>
                <w:highlight w:val="none"/>
              </w:rPr>
            </w:pPr>
            <w:r>
              <w:rPr>
                <w:rFonts w:hint="eastAsia" w:ascii="Times New Roman" w:hAnsi="Times New Roman"/>
                <w:color w:val="auto"/>
                <w:szCs w:val="21"/>
                <w:highlight w:val="none"/>
              </w:rPr>
              <w:t>我方根据施工合同的约定，现申请支付工程预付款额为(大写)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p>
          <w:p w14:paraId="6D3535C5">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3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3644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729D13F">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340" w:type="dxa"/>
                  <w:noWrap w:val="0"/>
                  <w:vAlign w:val="center"/>
                </w:tcPr>
                <w:p w14:paraId="6A379A32">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764" w:type="dxa"/>
                  <w:noWrap w:val="0"/>
                  <w:vAlign w:val="center"/>
                </w:tcPr>
                <w:p w14:paraId="39270AE8">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2240" w:type="dxa"/>
                  <w:noWrap w:val="0"/>
                  <w:vAlign w:val="center"/>
                </w:tcPr>
                <w:p w14:paraId="55463EF2">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080" w:type="dxa"/>
                  <w:noWrap w:val="0"/>
                  <w:vAlign w:val="center"/>
                </w:tcPr>
                <w:p w14:paraId="5460C813">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4B77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9EC2E51">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340" w:type="dxa"/>
                  <w:noWrap w:val="0"/>
                  <w:vAlign w:val="top"/>
                </w:tcPr>
                <w:p w14:paraId="29D90998">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已签约合同价款金额</w:t>
                  </w:r>
                </w:p>
              </w:tc>
              <w:tc>
                <w:tcPr>
                  <w:tcW w:w="1764" w:type="dxa"/>
                  <w:noWrap w:val="0"/>
                  <w:vAlign w:val="top"/>
                </w:tcPr>
                <w:p w14:paraId="46B2DB5B">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2240" w:type="dxa"/>
                  <w:noWrap w:val="0"/>
                  <w:vAlign w:val="top"/>
                </w:tcPr>
                <w:p w14:paraId="3198A1E9">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080" w:type="dxa"/>
                  <w:noWrap w:val="0"/>
                  <w:vAlign w:val="top"/>
                </w:tcPr>
                <w:p w14:paraId="4A12F284">
                  <w:pPr>
                    <w:pStyle w:val="420"/>
                    <w:pageBreakBefore w:val="0"/>
                    <w:kinsoku/>
                    <w:overflowPunct/>
                    <w:topLinePunct w:val="0"/>
                    <w:bidi w:val="0"/>
                    <w:spacing w:line="400" w:lineRule="exact"/>
                    <w:rPr>
                      <w:rFonts w:hint="eastAsia" w:ascii="Times New Roman" w:hAnsi="Times New Roman"/>
                      <w:color w:val="auto"/>
                      <w:szCs w:val="21"/>
                      <w:highlight w:val="none"/>
                    </w:rPr>
                  </w:pPr>
                </w:p>
              </w:tc>
            </w:tr>
            <w:tr w14:paraId="53B7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7A7239">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340" w:type="dxa"/>
                  <w:noWrap w:val="0"/>
                  <w:vAlign w:val="top"/>
                </w:tcPr>
                <w:p w14:paraId="6578FBA4">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其中：安全文明施工费</w:t>
                  </w:r>
                </w:p>
              </w:tc>
              <w:tc>
                <w:tcPr>
                  <w:tcW w:w="1764" w:type="dxa"/>
                  <w:noWrap w:val="0"/>
                  <w:vAlign w:val="top"/>
                </w:tcPr>
                <w:p w14:paraId="48BF6195">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2240" w:type="dxa"/>
                  <w:noWrap w:val="0"/>
                  <w:vAlign w:val="top"/>
                </w:tcPr>
                <w:p w14:paraId="44B77606">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080" w:type="dxa"/>
                  <w:noWrap w:val="0"/>
                  <w:vAlign w:val="top"/>
                </w:tcPr>
                <w:p w14:paraId="69D5C980">
                  <w:pPr>
                    <w:pStyle w:val="420"/>
                    <w:pageBreakBefore w:val="0"/>
                    <w:kinsoku/>
                    <w:overflowPunct/>
                    <w:topLinePunct w:val="0"/>
                    <w:bidi w:val="0"/>
                    <w:spacing w:line="400" w:lineRule="exact"/>
                    <w:rPr>
                      <w:rFonts w:hint="eastAsia" w:ascii="Times New Roman" w:hAnsi="Times New Roman"/>
                      <w:color w:val="auto"/>
                      <w:szCs w:val="21"/>
                      <w:highlight w:val="none"/>
                    </w:rPr>
                  </w:pPr>
                </w:p>
              </w:tc>
            </w:tr>
            <w:tr w14:paraId="1EE1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06AA9B">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340" w:type="dxa"/>
                  <w:noWrap w:val="0"/>
                  <w:vAlign w:val="top"/>
                </w:tcPr>
                <w:p w14:paraId="6A52A719">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应支付的预付款</w:t>
                  </w:r>
                </w:p>
              </w:tc>
              <w:tc>
                <w:tcPr>
                  <w:tcW w:w="1764" w:type="dxa"/>
                  <w:noWrap w:val="0"/>
                  <w:vAlign w:val="top"/>
                </w:tcPr>
                <w:p w14:paraId="21138683">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2240" w:type="dxa"/>
                  <w:noWrap w:val="0"/>
                  <w:vAlign w:val="top"/>
                </w:tcPr>
                <w:p w14:paraId="5261B8F6">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080" w:type="dxa"/>
                  <w:noWrap w:val="0"/>
                  <w:vAlign w:val="top"/>
                </w:tcPr>
                <w:p w14:paraId="352064F5">
                  <w:pPr>
                    <w:pStyle w:val="420"/>
                    <w:pageBreakBefore w:val="0"/>
                    <w:kinsoku/>
                    <w:overflowPunct/>
                    <w:topLinePunct w:val="0"/>
                    <w:bidi w:val="0"/>
                    <w:spacing w:line="400" w:lineRule="exact"/>
                    <w:rPr>
                      <w:rFonts w:hint="eastAsia" w:ascii="Times New Roman" w:hAnsi="Times New Roman"/>
                      <w:color w:val="auto"/>
                      <w:szCs w:val="21"/>
                      <w:highlight w:val="none"/>
                    </w:rPr>
                  </w:pPr>
                </w:p>
              </w:tc>
            </w:tr>
            <w:tr w14:paraId="6FF8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9F0FF1">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340" w:type="dxa"/>
                  <w:noWrap w:val="0"/>
                  <w:vAlign w:val="top"/>
                </w:tcPr>
                <w:p w14:paraId="12BC98B0">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应支付的安全文明施工费预付款</w:t>
                  </w:r>
                </w:p>
              </w:tc>
              <w:tc>
                <w:tcPr>
                  <w:tcW w:w="1764" w:type="dxa"/>
                  <w:noWrap w:val="0"/>
                  <w:vAlign w:val="top"/>
                </w:tcPr>
                <w:p w14:paraId="310D0933">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2240" w:type="dxa"/>
                  <w:noWrap w:val="0"/>
                  <w:vAlign w:val="top"/>
                </w:tcPr>
                <w:p w14:paraId="53730D57">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080" w:type="dxa"/>
                  <w:noWrap w:val="0"/>
                  <w:vAlign w:val="top"/>
                </w:tcPr>
                <w:p w14:paraId="3425E799">
                  <w:pPr>
                    <w:pStyle w:val="420"/>
                    <w:pageBreakBefore w:val="0"/>
                    <w:kinsoku/>
                    <w:overflowPunct/>
                    <w:topLinePunct w:val="0"/>
                    <w:bidi w:val="0"/>
                    <w:spacing w:line="400" w:lineRule="exact"/>
                    <w:rPr>
                      <w:rFonts w:hint="eastAsia" w:ascii="Times New Roman" w:hAnsi="Times New Roman"/>
                      <w:color w:val="auto"/>
                      <w:szCs w:val="21"/>
                      <w:highlight w:val="none"/>
                    </w:rPr>
                  </w:pPr>
                </w:p>
              </w:tc>
            </w:tr>
            <w:tr w14:paraId="343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noWrap w:val="0"/>
                  <w:vAlign w:val="top"/>
                </w:tcPr>
                <w:p w14:paraId="6995F320">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3340" w:type="dxa"/>
                  <w:noWrap w:val="0"/>
                  <w:vAlign w:val="top"/>
                </w:tcPr>
                <w:p w14:paraId="318ECAE3">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合计应支付的预付款</w:t>
                  </w:r>
                </w:p>
              </w:tc>
              <w:tc>
                <w:tcPr>
                  <w:tcW w:w="1764" w:type="dxa"/>
                  <w:noWrap w:val="0"/>
                  <w:vAlign w:val="top"/>
                </w:tcPr>
                <w:p w14:paraId="3E1A2F91">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2240" w:type="dxa"/>
                  <w:noWrap w:val="0"/>
                  <w:vAlign w:val="top"/>
                </w:tcPr>
                <w:p w14:paraId="49ECB561">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080" w:type="dxa"/>
                  <w:noWrap w:val="0"/>
                  <w:vAlign w:val="top"/>
                </w:tcPr>
                <w:p w14:paraId="4BED0366">
                  <w:pPr>
                    <w:pStyle w:val="420"/>
                    <w:pageBreakBefore w:val="0"/>
                    <w:kinsoku/>
                    <w:overflowPunct/>
                    <w:topLinePunct w:val="0"/>
                    <w:bidi w:val="0"/>
                    <w:spacing w:line="400" w:lineRule="exact"/>
                    <w:rPr>
                      <w:rFonts w:hint="eastAsia" w:ascii="Times New Roman" w:hAnsi="Times New Roman"/>
                      <w:color w:val="auto"/>
                      <w:szCs w:val="21"/>
                      <w:highlight w:val="none"/>
                    </w:rPr>
                  </w:pPr>
                </w:p>
              </w:tc>
            </w:tr>
            <w:tr w14:paraId="749E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6779BF8">
                  <w:pPr>
                    <w:pStyle w:val="420"/>
                    <w:pageBreakBefore w:val="0"/>
                    <w:kinsoku/>
                    <w:overflowPunct/>
                    <w:topLinePunct w:val="0"/>
                    <w:bidi w:val="0"/>
                    <w:spacing w:line="400" w:lineRule="exact"/>
                    <w:jc w:val="center"/>
                    <w:rPr>
                      <w:rFonts w:hint="eastAsia" w:ascii="Times New Roman" w:hAnsi="Times New Roman"/>
                      <w:color w:val="auto"/>
                      <w:szCs w:val="21"/>
                      <w:highlight w:val="none"/>
                    </w:rPr>
                  </w:pPr>
                </w:p>
              </w:tc>
              <w:tc>
                <w:tcPr>
                  <w:tcW w:w="3340" w:type="dxa"/>
                  <w:noWrap w:val="0"/>
                  <w:vAlign w:val="top"/>
                </w:tcPr>
                <w:p w14:paraId="0B5CE753">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764" w:type="dxa"/>
                  <w:noWrap w:val="0"/>
                  <w:vAlign w:val="top"/>
                </w:tcPr>
                <w:p w14:paraId="0FE6E4CA">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2240" w:type="dxa"/>
                  <w:noWrap w:val="0"/>
                  <w:vAlign w:val="top"/>
                </w:tcPr>
                <w:p w14:paraId="23DE03AA">
                  <w:pPr>
                    <w:pStyle w:val="420"/>
                    <w:pageBreakBefore w:val="0"/>
                    <w:kinsoku/>
                    <w:overflowPunct/>
                    <w:topLinePunct w:val="0"/>
                    <w:bidi w:val="0"/>
                    <w:spacing w:line="400" w:lineRule="exact"/>
                    <w:rPr>
                      <w:rFonts w:hint="eastAsia" w:ascii="Times New Roman" w:hAnsi="Times New Roman"/>
                      <w:color w:val="auto"/>
                      <w:szCs w:val="21"/>
                      <w:highlight w:val="none"/>
                    </w:rPr>
                  </w:pPr>
                </w:p>
              </w:tc>
              <w:tc>
                <w:tcPr>
                  <w:tcW w:w="1080" w:type="dxa"/>
                  <w:noWrap w:val="0"/>
                  <w:vAlign w:val="top"/>
                </w:tcPr>
                <w:p w14:paraId="7DC530BB">
                  <w:pPr>
                    <w:pStyle w:val="420"/>
                    <w:pageBreakBefore w:val="0"/>
                    <w:kinsoku/>
                    <w:overflowPunct/>
                    <w:topLinePunct w:val="0"/>
                    <w:bidi w:val="0"/>
                    <w:spacing w:line="400" w:lineRule="exact"/>
                    <w:rPr>
                      <w:rFonts w:hint="eastAsia" w:ascii="Times New Roman" w:hAnsi="Times New Roman"/>
                      <w:color w:val="auto"/>
                      <w:szCs w:val="21"/>
                      <w:highlight w:val="none"/>
                    </w:rPr>
                  </w:pPr>
                </w:p>
              </w:tc>
            </w:tr>
          </w:tbl>
          <w:p w14:paraId="58F0CC1E">
            <w:pPr>
              <w:pStyle w:val="420"/>
              <w:pageBreakBefore w:val="0"/>
              <w:kinsoku/>
              <w:wordWrap w:val="0"/>
              <w:overflowPunct/>
              <w:topLinePunct w:val="0"/>
              <w:bidi w:val="0"/>
              <w:spacing w:line="400" w:lineRule="exact"/>
              <w:ind w:right="420"/>
              <w:rPr>
                <w:rFonts w:hint="eastAsia" w:ascii="Times New Roman" w:hAnsi="Times New Roman"/>
                <w:color w:val="auto"/>
                <w:szCs w:val="21"/>
                <w:highlight w:val="none"/>
              </w:rPr>
            </w:pPr>
          </w:p>
          <w:p w14:paraId="2CEA5F85">
            <w:pPr>
              <w:pStyle w:val="420"/>
              <w:pageBreakBefore w:val="0"/>
              <w:kinsoku/>
              <w:wordWrap w:val="0"/>
              <w:overflowPunct/>
              <w:topLinePunct w:val="0"/>
              <w:bidi w:val="0"/>
              <w:spacing w:line="400" w:lineRule="exact"/>
              <w:ind w:right="42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7E244890">
            <w:pPr>
              <w:pStyle w:val="420"/>
              <w:pageBreakBefore w:val="0"/>
              <w:kinsoku/>
              <w:overflowPunct/>
              <w:topLinePunct w:val="0"/>
              <w:bidi w:val="0"/>
              <w:spacing w:line="400" w:lineRule="exact"/>
              <w:ind w:right="420" w:firstLine="3788" w:firstLineChars="1804"/>
              <w:rPr>
                <w:rFonts w:hint="eastAsia" w:ascii="Times New Roman" w:hAnsi="Times New Roman"/>
                <w:color w:val="auto"/>
                <w:szCs w:val="21"/>
                <w:highlight w:val="none"/>
                <w:u w:val="single"/>
              </w:rPr>
            </w:pP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p>
          <w:p w14:paraId="66EFDB68">
            <w:pPr>
              <w:pStyle w:val="420"/>
              <w:pageBreakBefore w:val="0"/>
              <w:kinsoku/>
              <w:overflowPunct/>
              <w:topLinePunct w:val="0"/>
              <w:bidi w:val="0"/>
              <w:spacing w:line="400" w:lineRule="exact"/>
              <w:ind w:right="420" w:firstLine="3788" w:firstLineChars="1804"/>
              <w:rPr>
                <w:rFonts w:hint="eastAsia" w:ascii="Times New Roman" w:hAnsi="Times New Roman"/>
                <w:color w:val="auto"/>
                <w:szCs w:val="21"/>
                <w:highlight w:val="non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0A16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5" w:type="dxa"/>
            <w:noWrap w:val="0"/>
            <w:vAlign w:val="top"/>
          </w:tcPr>
          <w:p w14:paraId="38F1BD6F">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4ED4637E">
            <w:pPr>
              <w:pStyle w:val="420"/>
              <w:pageBreakBefore w:val="0"/>
              <w:kinsoku/>
              <w:overflowPunct/>
              <w:topLinePunct w:val="0"/>
              <w:bidi w:val="0"/>
              <w:spacing w:line="400" w:lineRule="exact"/>
              <w:ind w:firstLine="312"/>
              <w:rPr>
                <w:rFonts w:hint="eastAsia" w:ascii="Times New Roman" w:hAnsi="Times New Roman"/>
                <w:color w:val="auto"/>
                <w:szCs w:val="21"/>
                <w:highlight w:val="none"/>
              </w:rPr>
            </w:pPr>
            <w:r>
              <w:rPr>
                <w:rFonts w:hint="eastAsia" w:ascii="Times New Roman" w:hAnsi="Times New Roman"/>
                <w:color w:val="auto"/>
                <w:szCs w:val="21"/>
                <w:highlight w:val="none"/>
              </w:rPr>
              <w:t>□与合同约定不相符，修改意见见附件。</w:t>
            </w:r>
          </w:p>
          <w:p w14:paraId="64E8285F">
            <w:pPr>
              <w:pStyle w:val="420"/>
              <w:pageBreakBefore w:val="0"/>
              <w:kinsoku/>
              <w:overflowPunct/>
              <w:topLinePunct w:val="0"/>
              <w:bidi w:val="0"/>
              <w:spacing w:line="400" w:lineRule="exact"/>
              <w:ind w:firstLine="312"/>
              <w:rPr>
                <w:rFonts w:hint="eastAsia" w:ascii="Times New Roman" w:hAnsi="Times New Roman"/>
                <w:color w:val="auto"/>
                <w:szCs w:val="21"/>
                <w:highlight w:val="none"/>
              </w:rPr>
            </w:pPr>
            <w:r>
              <w:rPr>
                <w:rFonts w:hint="eastAsia" w:ascii="Times New Roman" w:hAnsi="Times New Roman"/>
                <w:color w:val="auto"/>
                <w:szCs w:val="21"/>
                <w:highlight w:val="none"/>
              </w:rPr>
              <w:t>□与合同约定相符，具体金额由造价工程师复核。</w:t>
            </w:r>
          </w:p>
          <w:p w14:paraId="18AE8B35">
            <w:pPr>
              <w:pStyle w:val="420"/>
              <w:pageBreakBefore w:val="0"/>
              <w:kinsoku/>
              <w:overflowPunct/>
              <w:topLinePunct w:val="0"/>
              <w:bidi w:val="0"/>
              <w:spacing w:line="400" w:lineRule="exact"/>
              <w:ind w:firstLine="435"/>
              <w:jc w:val="right"/>
              <w:rPr>
                <w:rFonts w:hint="eastAsia" w:ascii="Times New Roman" w:hAnsi="Times New Roman"/>
                <w:color w:val="auto"/>
                <w:szCs w:val="21"/>
                <w:highlight w:val="none"/>
              </w:rPr>
            </w:pPr>
          </w:p>
          <w:p w14:paraId="67E7EAC9">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31BFBC39">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0B5D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noWrap w:val="0"/>
            <w:vAlign w:val="top"/>
          </w:tcPr>
          <w:p w14:paraId="5078DDC4">
            <w:pPr>
              <w:pStyle w:val="420"/>
              <w:pageBreakBefore w:val="0"/>
              <w:kinsoku/>
              <w:overflowPunct/>
              <w:topLinePunct w:val="0"/>
              <w:bidi w:val="0"/>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49022892">
            <w:pPr>
              <w:pStyle w:val="420"/>
              <w:pageBreakBefore w:val="0"/>
              <w:kinsoku/>
              <w:overflowPunct/>
              <w:topLinePunct w:val="0"/>
              <w:bidi w:val="0"/>
              <w:spacing w:line="400" w:lineRule="exact"/>
              <w:ind w:firstLine="435"/>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4FC1EADE">
            <w:pPr>
              <w:pStyle w:val="420"/>
              <w:pageBreakBefore w:val="0"/>
              <w:kinsoku/>
              <w:overflowPunct/>
              <w:topLinePunct w:val="0"/>
              <w:bidi w:val="0"/>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2BA7A1CC">
            <w:pPr>
              <w:pStyle w:val="420"/>
              <w:pageBreakBefore w:val="0"/>
              <w:kinsoku/>
              <w:wordWrap w:val="0"/>
              <w:overflowPunct/>
              <w:topLinePunct w:val="0"/>
              <w:bidi w:val="0"/>
              <w:spacing w:line="400" w:lineRule="exact"/>
              <w:ind w:firstLine="420" w:firstLineChars="200"/>
              <w:jc w:val="righ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740FEE81">
            <w:pPr>
              <w:pStyle w:val="420"/>
              <w:pageBreakBefore w:val="0"/>
              <w:kinsoku/>
              <w:wordWrap w:val="0"/>
              <w:overflowPunct/>
              <w:topLinePunct w:val="0"/>
              <w:bidi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5A1CC032">
            <w:pPr>
              <w:pStyle w:val="420"/>
              <w:pageBreakBefore w:val="0"/>
              <w:kinsoku/>
              <w:wordWrap w:val="0"/>
              <w:overflowPunct/>
              <w:topLinePunct w:val="0"/>
              <w:bidi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07CCE321">
      <w:pPr>
        <w:pStyle w:val="420"/>
        <w:pageBreakBefore w:val="0"/>
        <w:kinsoku/>
        <w:overflowPunct/>
        <w:topLinePunct w:val="0"/>
        <w:bidi w:val="0"/>
        <w:spacing w:before="156" w:beforeLines="50" w:line="400" w:lineRule="exact"/>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14:paraId="27CFD022">
      <w:pPr>
        <w:pStyle w:val="420"/>
        <w:pageBreakBefore w:val="0"/>
        <w:kinsoku/>
        <w:overflowPunct/>
        <w:topLinePunct w:val="0"/>
        <w:bidi w:val="0"/>
        <w:spacing w:before="156" w:beforeLines="50" w:line="400" w:lineRule="exact"/>
        <w:ind w:left="720" w:hanging="720" w:hangingChars="400"/>
        <w:rPr>
          <w:rFonts w:hint="eastAsia" w:ascii="Times New Roman" w:hAnsi="Times New Roman" w:eastAsia="仿宋_GB2312"/>
          <w:color w:val="auto"/>
          <w:sz w:val="30"/>
          <w:szCs w:val="30"/>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0A6DD777">
      <w:pPr>
        <w:pStyle w:val="420"/>
        <w:keepNext w:val="0"/>
        <w:keepLines w:val="0"/>
        <w:pageBreakBefore w:val="0"/>
        <w:widowControl w:val="0"/>
        <w:kinsoku/>
        <w:overflowPunct/>
        <w:topLinePunct w:val="0"/>
        <w:autoSpaceDE/>
        <w:autoSpaceDN/>
        <w:bidi w:val="0"/>
        <w:adjustRightInd/>
        <w:snapToGrid/>
        <w:spacing w:before="156" w:beforeLines="50" w:line="360" w:lineRule="exact"/>
        <w:ind w:left="1200" w:hanging="1200" w:hangingChars="400"/>
        <w:textAlignment w:val="auto"/>
        <w:rPr>
          <w:rFonts w:hint="eastAsia" w:ascii="Times New Roman" w:hAnsi="Times New Roman" w:eastAsia="仿宋_GB2312"/>
          <w:color w:val="auto"/>
          <w:sz w:val="30"/>
          <w:szCs w:val="30"/>
          <w:highlight w:val="none"/>
        </w:rPr>
      </w:pPr>
      <w:r>
        <w:rPr>
          <w:rFonts w:hint="eastAsia" w:ascii="Times New Roman" w:hAnsi="Times New Roman" w:eastAsia="仿宋_GB2312"/>
          <w:color w:val="auto"/>
          <w:sz w:val="30"/>
          <w:szCs w:val="30"/>
          <w:highlight w:val="none"/>
        </w:rPr>
        <w:t>附件11：</w:t>
      </w:r>
    </w:p>
    <w:p w14:paraId="406B2696">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进度款支付申请（核准）表</w:t>
      </w:r>
    </w:p>
    <w:p w14:paraId="05DBBF68">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DC6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3" w:hRule="atLeast"/>
          <w:jc w:val="center"/>
        </w:trPr>
        <w:tc>
          <w:tcPr>
            <w:tcW w:w="9072" w:type="dxa"/>
            <w:noWrap w:val="0"/>
            <w:vAlign w:val="top"/>
          </w:tcPr>
          <w:p w14:paraId="37054EB3">
            <w:pPr>
              <w:pStyle w:val="420"/>
              <w:keepNext w:val="0"/>
              <w:keepLines w:val="0"/>
              <w:pageBreakBefore w:val="0"/>
              <w:widowControl w:val="0"/>
              <w:kinsoku/>
              <w:overflowPunct/>
              <w:topLinePunct w:val="0"/>
              <w:autoSpaceDE/>
              <w:autoSpaceDN/>
              <w:bidi w:val="0"/>
              <w:adjustRightInd/>
              <w:snapToGrid/>
              <w:spacing w:line="360" w:lineRule="exact"/>
              <w:ind w:left="525" w:leftChars="149" w:hanging="212" w:hangingChars="101"/>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6C238C32">
            <w:pPr>
              <w:pStyle w:val="420"/>
              <w:keepNext w:val="0"/>
              <w:keepLines w:val="0"/>
              <w:pageBreakBefore w:val="0"/>
              <w:widowControl w:val="0"/>
              <w:kinsoku/>
              <w:overflowPunct/>
              <w:topLinePunct w:val="0"/>
              <w:autoSpaceDE/>
              <w:autoSpaceDN/>
              <w:bidi w:val="0"/>
              <w:adjustRightInd/>
              <w:snapToGrid/>
              <w:spacing w:line="360" w:lineRule="exact"/>
              <w:ind w:left="-4" w:leftChars="-2" w:firstLine="315" w:firstLineChars="15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工作，根据施工合同的约定，现申请支付本期的合同款额为(大写)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3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76"/>
              <w:gridCol w:w="1328"/>
              <w:gridCol w:w="1426"/>
              <w:gridCol w:w="1250"/>
              <w:gridCol w:w="919"/>
            </w:tblGrid>
            <w:tr w14:paraId="1E4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4" w:type="dxa"/>
                  <w:noWrap w:val="0"/>
                  <w:vAlign w:val="center"/>
                </w:tcPr>
                <w:p w14:paraId="17ADDB55">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276" w:type="dxa"/>
                  <w:noWrap w:val="0"/>
                  <w:vAlign w:val="center"/>
                </w:tcPr>
                <w:p w14:paraId="2D136664">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328" w:type="dxa"/>
                  <w:noWrap w:val="0"/>
                  <w:vAlign w:val="center"/>
                </w:tcPr>
                <w:p w14:paraId="6C3BD665">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实际金额（元）</w:t>
                  </w:r>
                </w:p>
              </w:tc>
              <w:tc>
                <w:tcPr>
                  <w:tcW w:w="1426" w:type="dxa"/>
                  <w:noWrap w:val="0"/>
                  <w:vAlign w:val="center"/>
                </w:tcPr>
                <w:p w14:paraId="1F3778F2">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250" w:type="dxa"/>
                  <w:noWrap w:val="0"/>
                  <w:vAlign w:val="center"/>
                </w:tcPr>
                <w:p w14:paraId="392EB70E">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919" w:type="dxa"/>
                  <w:noWrap w:val="0"/>
                  <w:vAlign w:val="center"/>
                </w:tcPr>
                <w:p w14:paraId="20D9285B">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7657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2A4344FA">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276" w:type="dxa"/>
                  <w:noWrap w:val="0"/>
                  <w:vAlign w:val="top"/>
                </w:tcPr>
                <w:p w14:paraId="578D3632">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累计已完成的工程价款</w:t>
                  </w:r>
                </w:p>
              </w:tc>
              <w:tc>
                <w:tcPr>
                  <w:tcW w:w="1328" w:type="dxa"/>
                  <w:noWrap w:val="0"/>
                  <w:vAlign w:val="top"/>
                </w:tcPr>
                <w:p w14:paraId="064AB606">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11D40B53">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709F56A5">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5999E239">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309E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689D438C">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p>
              </w:tc>
              <w:tc>
                <w:tcPr>
                  <w:tcW w:w="3276" w:type="dxa"/>
                  <w:noWrap w:val="0"/>
                  <w:vAlign w:val="top"/>
                </w:tcPr>
                <w:p w14:paraId="00F50952">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noWrap w:val="0"/>
                  <w:vAlign w:val="top"/>
                </w:tcPr>
                <w:p w14:paraId="63739352">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3DD0E4A6">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46B266E4">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310F1647">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5A61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52EE8560">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276" w:type="dxa"/>
                  <w:noWrap w:val="0"/>
                  <w:vAlign w:val="top"/>
                </w:tcPr>
                <w:p w14:paraId="08DF531D">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累计已实际支付的工程价款</w:t>
                  </w:r>
                </w:p>
              </w:tc>
              <w:tc>
                <w:tcPr>
                  <w:tcW w:w="1328" w:type="dxa"/>
                  <w:noWrap w:val="0"/>
                  <w:vAlign w:val="top"/>
                </w:tcPr>
                <w:p w14:paraId="6DC65944">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0C585116">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4B68663F">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083F66B2">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50C5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noWrap w:val="0"/>
                  <w:vAlign w:val="top"/>
                </w:tcPr>
                <w:p w14:paraId="618FA774">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p>
              </w:tc>
              <w:tc>
                <w:tcPr>
                  <w:tcW w:w="3276" w:type="dxa"/>
                  <w:noWrap w:val="0"/>
                  <w:vAlign w:val="top"/>
                </w:tcPr>
                <w:p w14:paraId="23245771">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noWrap w:val="0"/>
                  <w:vAlign w:val="top"/>
                </w:tcPr>
                <w:p w14:paraId="366AAAC0">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289AD868">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2F303CD4">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008A4ED7">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79D5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2D19CD80">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276" w:type="dxa"/>
                  <w:noWrap w:val="0"/>
                  <w:vAlign w:val="top"/>
                </w:tcPr>
                <w:p w14:paraId="6582B766">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本周期已完成的工程价款</w:t>
                  </w:r>
                </w:p>
              </w:tc>
              <w:tc>
                <w:tcPr>
                  <w:tcW w:w="1328" w:type="dxa"/>
                  <w:noWrap w:val="0"/>
                  <w:vAlign w:val="top"/>
                </w:tcPr>
                <w:p w14:paraId="4942C14E">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20A38A58">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6AFE4D37">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7363CDED">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323E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noWrap w:val="0"/>
                  <w:vAlign w:val="top"/>
                </w:tcPr>
                <w:p w14:paraId="249AC080">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p>
              </w:tc>
              <w:tc>
                <w:tcPr>
                  <w:tcW w:w="3276" w:type="dxa"/>
                  <w:noWrap w:val="0"/>
                  <w:vAlign w:val="top"/>
                </w:tcPr>
                <w:p w14:paraId="7619B189">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noWrap w:val="0"/>
                  <w:vAlign w:val="top"/>
                </w:tcPr>
                <w:p w14:paraId="6D31C4D1">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42072DE9">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10E88C81">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474947E9">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602F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79950D95">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276" w:type="dxa"/>
                  <w:noWrap w:val="0"/>
                  <w:vAlign w:val="top"/>
                </w:tcPr>
                <w:p w14:paraId="5399D809">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本周期应扣减的金额</w:t>
                  </w:r>
                </w:p>
              </w:tc>
              <w:tc>
                <w:tcPr>
                  <w:tcW w:w="1328" w:type="dxa"/>
                  <w:noWrap w:val="0"/>
                  <w:vAlign w:val="top"/>
                </w:tcPr>
                <w:p w14:paraId="040B3C04">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0699B53B">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5542C744">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36225970">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2BF9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noWrap w:val="0"/>
                  <w:vAlign w:val="top"/>
                </w:tcPr>
                <w:p w14:paraId="560130B7">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4.1</w:t>
                  </w:r>
                </w:p>
              </w:tc>
              <w:tc>
                <w:tcPr>
                  <w:tcW w:w="3276" w:type="dxa"/>
                  <w:noWrap w:val="0"/>
                  <w:vAlign w:val="top"/>
                </w:tcPr>
                <w:p w14:paraId="342C9DDD">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本周期实际应抵扣的预付款</w:t>
                  </w:r>
                </w:p>
              </w:tc>
              <w:tc>
                <w:tcPr>
                  <w:tcW w:w="1328" w:type="dxa"/>
                  <w:noWrap w:val="0"/>
                  <w:vAlign w:val="top"/>
                </w:tcPr>
                <w:p w14:paraId="6EC62048">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00441060">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1F674131">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7D881071">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0064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5E3DC4C0">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4.2</w:t>
                  </w:r>
                </w:p>
              </w:tc>
              <w:tc>
                <w:tcPr>
                  <w:tcW w:w="3276" w:type="dxa"/>
                  <w:noWrap w:val="0"/>
                  <w:vAlign w:val="top"/>
                </w:tcPr>
                <w:p w14:paraId="3E27514F">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本周期应扣减的金额</w:t>
                  </w:r>
                </w:p>
              </w:tc>
              <w:tc>
                <w:tcPr>
                  <w:tcW w:w="1328" w:type="dxa"/>
                  <w:noWrap w:val="0"/>
                  <w:vAlign w:val="top"/>
                </w:tcPr>
                <w:p w14:paraId="645FE3A3">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34D5610A">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585E366E">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21DEBCE4">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53B9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3A833201">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3276" w:type="dxa"/>
                  <w:noWrap w:val="0"/>
                  <w:vAlign w:val="top"/>
                </w:tcPr>
                <w:p w14:paraId="20954490">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本周期应支付的合同价款</w:t>
                  </w:r>
                </w:p>
              </w:tc>
              <w:tc>
                <w:tcPr>
                  <w:tcW w:w="1328" w:type="dxa"/>
                  <w:noWrap w:val="0"/>
                  <w:vAlign w:val="top"/>
                </w:tcPr>
                <w:p w14:paraId="65C6B233">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1DF8FF42">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4D6B8347">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7D1CF231">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r w14:paraId="1338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3F240B47">
                  <w:pPr>
                    <w:pStyle w:val="420"/>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color w:val="auto"/>
                      <w:szCs w:val="21"/>
                      <w:highlight w:val="none"/>
                    </w:rPr>
                  </w:pPr>
                </w:p>
              </w:tc>
              <w:tc>
                <w:tcPr>
                  <w:tcW w:w="3276" w:type="dxa"/>
                  <w:noWrap w:val="0"/>
                  <w:vAlign w:val="top"/>
                </w:tcPr>
                <w:p w14:paraId="61033EFE">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noWrap w:val="0"/>
                  <w:vAlign w:val="top"/>
                </w:tcPr>
                <w:p w14:paraId="35F10DF5">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426" w:type="dxa"/>
                  <w:noWrap w:val="0"/>
                  <w:vAlign w:val="top"/>
                </w:tcPr>
                <w:p w14:paraId="7B5025ED">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1250" w:type="dxa"/>
                  <w:noWrap w:val="0"/>
                  <w:vAlign w:val="top"/>
                </w:tcPr>
                <w:p w14:paraId="32A13BF3">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c>
                <w:tcPr>
                  <w:tcW w:w="919" w:type="dxa"/>
                  <w:noWrap w:val="0"/>
                  <w:vAlign w:val="top"/>
                </w:tcPr>
                <w:p w14:paraId="41D88478">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p>
              </w:tc>
            </w:tr>
          </w:tbl>
          <w:p w14:paraId="0156969D">
            <w:pPr>
              <w:pStyle w:val="420"/>
              <w:keepNext w:val="0"/>
              <w:keepLines w:val="0"/>
              <w:pageBreakBefore w:val="0"/>
              <w:widowControl w:val="0"/>
              <w:kinsoku/>
              <w:wordWrap w:val="0"/>
              <w:overflowPunct/>
              <w:topLinePunct w:val="0"/>
              <w:autoSpaceDE/>
              <w:autoSpaceDN/>
              <w:bidi w:val="0"/>
              <w:adjustRightInd/>
              <w:snapToGrid/>
              <w:spacing w:line="360" w:lineRule="exact"/>
              <w:ind w:right="42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附：上述3、4详见附件清单。</w:t>
            </w:r>
          </w:p>
          <w:p w14:paraId="3584075F">
            <w:pPr>
              <w:pStyle w:val="420"/>
              <w:keepNext w:val="0"/>
              <w:keepLines w:val="0"/>
              <w:pageBreakBefore w:val="0"/>
              <w:widowControl w:val="0"/>
              <w:kinsoku/>
              <w:wordWrap w:val="0"/>
              <w:overflowPunct/>
              <w:topLinePunct w:val="0"/>
              <w:autoSpaceDE/>
              <w:autoSpaceDN/>
              <w:bidi w:val="0"/>
              <w:adjustRightInd/>
              <w:snapToGrid/>
              <w:spacing w:line="360" w:lineRule="exact"/>
              <w:ind w:right="42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73C2FCBB">
            <w:pPr>
              <w:pStyle w:val="420"/>
              <w:keepNext w:val="0"/>
              <w:keepLines w:val="0"/>
              <w:pageBreakBefore w:val="0"/>
              <w:widowControl w:val="0"/>
              <w:kinsoku/>
              <w:overflowPunct/>
              <w:topLinePunct w:val="0"/>
              <w:autoSpaceDE/>
              <w:autoSpaceDN/>
              <w:bidi w:val="0"/>
              <w:adjustRightInd/>
              <w:snapToGrid/>
              <w:spacing w:line="360" w:lineRule="exact"/>
              <w:ind w:right="420" w:firstLine="435"/>
              <w:textAlignment w:val="auto"/>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019D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2" w:type="dxa"/>
            <w:noWrap w:val="0"/>
            <w:vAlign w:val="top"/>
          </w:tcPr>
          <w:p w14:paraId="07A16F2E">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46D5923F">
            <w:pPr>
              <w:pStyle w:val="420"/>
              <w:keepNext w:val="0"/>
              <w:keepLines w:val="0"/>
              <w:pageBreakBefore w:val="0"/>
              <w:widowControl w:val="0"/>
              <w:kinsoku/>
              <w:overflowPunct/>
              <w:topLinePunct w:val="0"/>
              <w:autoSpaceDE/>
              <w:autoSpaceDN/>
              <w:bidi w:val="0"/>
              <w:adjustRightInd/>
              <w:snapToGrid/>
              <w:spacing w:line="360" w:lineRule="exact"/>
              <w:ind w:firstLine="312"/>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14:paraId="3F60500C">
            <w:pPr>
              <w:pStyle w:val="420"/>
              <w:keepNext w:val="0"/>
              <w:keepLines w:val="0"/>
              <w:pageBreakBefore w:val="0"/>
              <w:widowControl w:val="0"/>
              <w:kinsoku/>
              <w:overflowPunct/>
              <w:topLinePunct w:val="0"/>
              <w:autoSpaceDE/>
              <w:autoSpaceDN/>
              <w:bidi w:val="0"/>
              <w:adjustRightInd/>
              <w:snapToGrid/>
              <w:spacing w:line="360" w:lineRule="exact"/>
              <w:ind w:firstLine="312"/>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14:paraId="4089BED5">
            <w:pPr>
              <w:pStyle w:val="420"/>
              <w:keepNext w:val="0"/>
              <w:keepLines w:val="0"/>
              <w:pageBreakBefore w:val="0"/>
              <w:widowControl w:val="0"/>
              <w:kinsoku/>
              <w:overflowPunct/>
              <w:topLinePunct w:val="0"/>
              <w:autoSpaceDE/>
              <w:autoSpaceDN/>
              <w:bidi w:val="0"/>
              <w:adjustRightInd/>
              <w:snapToGrid/>
              <w:spacing w:line="360" w:lineRule="exact"/>
              <w:ind w:firstLine="435"/>
              <w:jc w:val="center"/>
              <w:textAlignment w:val="auto"/>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044E4ADB">
            <w:pPr>
              <w:pStyle w:val="420"/>
              <w:keepNext w:val="0"/>
              <w:keepLines w:val="0"/>
              <w:pageBreakBefore w:val="0"/>
              <w:widowControl w:val="0"/>
              <w:kinsoku/>
              <w:overflowPunct/>
              <w:topLinePunct w:val="0"/>
              <w:autoSpaceDE/>
              <w:autoSpaceDN/>
              <w:bidi w:val="0"/>
              <w:adjustRightInd/>
              <w:snapToGrid/>
              <w:spacing w:line="360" w:lineRule="exact"/>
              <w:ind w:firstLine="435"/>
              <w:jc w:val="center"/>
              <w:textAlignment w:val="auto"/>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r w14:paraId="164F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9072" w:type="dxa"/>
            <w:noWrap w:val="0"/>
            <w:vAlign w:val="top"/>
          </w:tcPr>
          <w:p w14:paraId="76522C47">
            <w:pPr>
              <w:pStyle w:val="420"/>
              <w:keepNext w:val="0"/>
              <w:keepLines w:val="0"/>
              <w:pageBreakBefore w:val="0"/>
              <w:widowControl w:val="0"/>
              <w:kinsoku/>
              <w:overflowPunct/>
              <w:topLinePunct w:val="0"/>
              <w:autoSpaceDE/>
              <w:autoSpaceDN/>
              <w:bidi w:val="0"/>
              <w:adjustRightInd/>
              <w:snapToGrid/>
              <w:spacing w:line="36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7E2035EC">
            <w:pPr>
              <w:pStyle w:val="420"/>
              <w:keepNext w:val="0"/>
              <w:keepLines w:val="0"/>
              <w:pageBreakBefore w:val="0"/>
              <w:widowControl w:val="0"/>
              <w:kinsoku/>
              <w:overflowPunct/>
              <w:topLinePunct w:val="0"/>
              <w:autoSpaceDE/>
              <w:autoSpaceDN/>
              <w:bidi w:val="0"/>
              <w:adjustRightInd/>
              <w:snapToGrid/>
              <w:spacing w:line="360" w:lineRule="exact"/>
              <w:ind w:firstLine="435"/>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0CCDF571">
            <w:pPr>
              <w:pStyle w:val="420"/>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62F428BE">
            <w:pPr>
              <w:pStyle w:val="420"/>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righ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44BA891B">
            <w:pPr>
              <w:pStyle w:val="420"/>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right"/>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7DF8F8DD">
            <w:pPr>
              <w:pStyle w:val="420"/>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right"/>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0F1BC322">
      <w:pPr>
        <w:pStyle w:val="420"/>
        <w:keepNext w:val="0"/>
        <w:keepLines w:val="0"/>
        <w:pageBreakBefore w:val="0"/>
        <w:widowControl w:val="0"/>
        <w:kinsoku/>
        <w:overflowPunct/>
        <w:topLinePunct w:val="0"/>
        <w:autoSpaceDE/>
        <w:autoSpaceDN/>
        <w:bidi w:val="0"/>
        <w:adjustRightInd/>
        <w:snapToGrid/>
        <w:spacing w:before="156" w:beforeLines="50" w:line="360" w:lineRule="exact"/>
        <w:ind w:firstLine="360" w:firstLineChars="200"/>
        <w:textAlignment w:val="auto"/>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14:paraId="19014EB0">
      <w:pPr>
        <w:pStyle w:val="420"/>
        <w:keepNext w:val="0"/>
        <w:keepLines w:val="0"/>
        <w:pageBreakBefore w:val="0"/>
        <w:widowControl w:val="0"/>
        <w:kinsoku/>
        <w:overflowPunct/>
        <w:topLinePunct w:val="0"/>
        <w:autoSpaceDE/>
        <w:autoSpaceDN/>
        <w:bidi w:val="0"/>
        <w:adjustRightInd/>
        <w:snapToGrid/>
        <w:spacing w:before="156" w:beforeLines="50" w:line="360" w:lineRule="exact"/>
        <w:ind w:left="720" w:hanging="720" w:hangingChars="400"/>
        <w:textAlignment w:val="auto"/>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077BC298">
      <w:pPr>
        <w:pStyle w:val="420"/>
        <w:keepNext w:val="0"/>
        <w:keepLines w:val="0"/>
        <w:pageBreakBefore w:val="0"/>
        <w:widowControl w:val="0"/>
        <w:kinsoku/>
        <w:overflowPunct/>
        <w:topLinePunct w:val="0"/>
        <w:autoSpaceDE/>
        <w:autoSpaceDN/>
        <w:bidi w:val="0"/>
        <w:adjustRightInd/>
        <w:snapToGrid/>
        <w:spacing w:line="380" w:lineRule="exact"/>
        <w:jc w:val="left"/>
        <w:textAlignment w:val="auto"/>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附件12</w:t>
      </w:r>
    </w:p>
    <w:p w14:paraId="426AD9BD">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竣工结算款支付申请（核准）表</w:t>
      </w:r>
    </w:p>
    <w:p w14:paraId="7638412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233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noWrap w:val="0"/>
            <w:vAlign w:val="top"/>
          </w:tcPr>
          <w:p w14:paraId="08BB1DB9">
            <w:pPr>
              <w:pStyle w:val="420"/>
              <w:keepNext w:val="0"/>
              <w:keepLines w:val="0"/>
              <w:pageBreakBefore w:val="0"/>
              <w:widowControl w:val="0"/>
              <w:kinsoku/>
              <w:overflowPunct/>
              <w:topLinePunct w:val="0"/>
              <w:autoSpaceDE/>
              <w:autoSpaceDN/>
              <w:bidi w:val="0"/>
              <w:adjustRightInd/>
              <w:snapToGrid/>
              <w:spacing w:line="380" w:lineRule="exact"/>
              <w:ind w:left="525" w:leftChars="149" w:hanging="212" w:hangingChars="101"/>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42FCB885">
            <w:pPr>
              <w:pStyle w:val="420"/>
              <w:keepNext w:val="0"/>
              <w:keepLines w:val="0"/>
              <w:pageBreakBefore w:val="0"/>
              <w:widowControl w:val="0"/>
              <w:kinsoku/>
              <w:overflowPunct/>
              <w:topLinePunct w:val="0"/>
              <w:autoSpaceDE/>
              <w:autoSpaceDN/>
              <w:bidi w:val="0"/>
              <w:adjustRightInd/>
              <w:snapToGrid/>
              <w:spacing w:line="380" w:lineRule="exact"/>
              <w:ind w:left="-4" w:leftChars="-2" w:firstLine="315" w:firstLineChars="15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期间已完成了合同约定的工作，根据施工合同的约定，现申请支付竣工结算的工程款额为(大写)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3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62"/>
              <w:gridCol w:w="1605"/>
              <w:gridCol w:w="1605"/>
              <w:gridCol w:w="1628"/>
            </w:tblGrid>
            <w:tr w14:paraId="4D69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noWrap w:val="0"/>
                  <w:vAlign w:val="center"/>
                </w:tcPr>
                <w:p w14:paraId="551D8E78">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362" w:type="dxa"/>
                  <w:noWrap w:val="0"/>
                  <w:vAlign w:val="center"/>
                </w:tcPr>
                <w:p w14:paraId="309FB5D2">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605" w:type="dxa"/>
                  <w:noWrap w:val="0"/>
                  <w:vAlign w:val="center"/>
                </w:tcPr>
                <w:p w14:paraId="5C18A0A0">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605" w:type="dxa"/>
                  <w:noWrap w:val="0"/>
                  <w:vAlign w:val="center"/>
                </w:tcPr>
                <w:p w14:paraId="2A02A126">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628" w:type="dxa"/>
                  <w:noWrap w:val="0"/>
                  <w:vAlign w:val="center"/>
                </w:tcPr>
                <w:p w14:paraId="2E588D17">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5BF5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6A0DCD4">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362" w:type="dxa"/>
                  <w:noWrap w:val="0"/>
                  <w:vAlign w:val="top"/>
                </w:tcPr>
                <w:p w14:paraId="0189215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竣工结算合同价款总额</w:t>
                  </w:r>
                </w:p>
              </w:tc>
              <w:tc>
                <w:tcPr>
                  <w:tcW w:w="1605" w:type="dxa"/>
                  <w:noWrap w:val="0"/>
                  <w:vAlign w:val="top"/>
                </w:tcPr>
                <w:p w14:paraId="3676751D">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12AA0FF9">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5EEFB30D">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12B0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F0570A3">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362" w:type="dxa"/>
                  <w:noWrap w:val="0"/>
                  <w:vAlign w:val="top"/>
                </w:tcPr>
                <w:p w14:paraId="5B56CACF">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累计已实际支付的合同价款</w:t>
                  </w:r>
                </w:p>
              </w:tc>
              <w:tc>
                <w:tcPr>
                  <w:tcW w:w="1605" w:type="dxa"/>
                  <w:noWrap w:val="0"/>
                  <w:vAlign w:val="top"/>
                </w:tcPr>
                <w:p w14:paraId="7ABAB738">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3190CB7A">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6444442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772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5903BD8">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362" w:type="dxa"/>
                  <w:noWrap w:val="0"/>
                  <w:vAlign w:val="top"/>
                </w:tcPr>
                <w:p w14:paraId="2AD26C11">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应预留的质量保证金</w:t>
                  </w:r>
                </w:p>
              </w:tc>
              <w:tc>
                <w:tcPr>
                  <w:tcW w:w="1605" w:type="dxa"/>
                  <w:noWrap w:val="0"/>
                  <w:vAlign w:val="top"/>
                </w:tcPr>
                <w:p w14:paraId="1DAFED4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3F0380A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102E0264">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0148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F03321A">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362" w:type="dxa"/>
                  <w:noWrap w:val="0"/>
                  <w:vAlign w:val="top"/>
                </w:tcPr>
                <w:p w14:paraId="68300C5F">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应支付的竣工结算款金额</w:t>
                  </w:r>
                </w:p>
              </w:tc>
              <w:tc>
                <w:tcPr>
                  <w:tcW w:w="1605" w:type="dxa"/>
                  <w:noWrap w:val="0"/>
                  <w:vAlign w:val="top"/>
                </w:tcPr>
                <w:p w14:paraId="2C3B185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2B8E20E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5A4CBC03">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6423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17FCBA3">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2" w:type="dxa"/>
                  <w:noWrap w:val="0"/>
                  <w:vAlign w:val="top"/>
                </w:tcPr>
                <w:p w14:paraId="758E77E7">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0F019B1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4070BFE7">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7F0A522D">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4A90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46B034F6">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2" w:type="dxa"/>
                  <w:noWrap w:val="0"/>
                  <w:vAlign w:val="top"/>
                </w:tcPr>
                <w:p w14:paraId="35825199">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6C36872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2755AECD">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4B7428C1">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4325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6AB16320">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2" w:type="dxa"/>
                  <w:noWrap w:val="0"/>
                  <w:vAlign w:val="top"/>
                </w:tcPr>
                <w:p w14:paraId="5745FFDA">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71A9D81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5FE4D9C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0C732BD8">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41D7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536363C2">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2" w:type="dxa"/>
                  <w:noWrap w:val="0"/>
                  <w:vAlign w:val="top"/>
                </w:tcPr>
                <w:p w14:paraId="5252D0A4">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634FE7B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4DBB985F">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6C96713C">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3A56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F228B87">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2" w:type="dxa"/>
                  <w:noWrap w:val="0"/>
                  <w:vAlign w:val="top"/>
                </w:tcPr>
                <w:p w14:paraId="753EF2A6">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62ADF973">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41680B1A">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8" w:type="dxa"/>
                  <w:noWrap w:val="0"/>
                  <w:vAlign w:val="top"/>
                </w:tcPr>
                <w:p w14:paraId="0B52250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bl>
          <w:p w14:paraId="6A77DDA8">
            <w:pPr>
              <w:pStyle w:val="420"/>
              <w:keepNext w:val="0"/>
              <w:keepLines w:val="0"/>
              <w:pageBreakBefore w:val="0"/>
              <w:widowControl w:val="0"/>
              <w:kinsoku/>
              <w:overflowPunct/>
              <w:topLinePunct w:val="0"/>
              <w:autoSpaceDE/>
              <w:autoSpaceDN/>
              <w:bidi w:val="0"/>
              <w:adjustRightInd/>
              <w:snapToGrid/>
              <w:spacing w:line="380" w:lineRule="exact"/>
              <w:ind w:right="420" w:firstLine="435"/>
              <w:jc w:val="center"/>
              <w:textAlignment w:val="auto"/>
              <w:rPr>
                <w:rFonts w:hint="eastAsia" w:ascii="Times New Roman" w:hAnsi="Times New Roman"/>
                <w:color w:val="auto"/>
                <w:szCs w:val="21"/>
                <w:highlight w:val="none"/>
              </w:rPr>
            </w:pPr>
          </w:p>
          <w:p w14:paraId="30744FC8">
            <w:pPr>
              <w:pStyle w:val="420"/>
              <w:keepNext w:val="0"/>
              <w:keepLines w:val="0"/>
              <w:pageBreakBefore w:val="0"/>
              <w:widowControl w:val="0"/>
              <w:kinsoku/>
              <w:overflowPunct/>
              <w:topLinePunct w:val="0"/>
              <w:autoSpaceDE/>
              <w:autoSpaceDN/>
              <w:bidi w:val="0"/>
              <w:adjustRightInd/>
              <w:snapToGrid/>
              <w:spacing w:line="380" w:lineRule="exact"/>
              <w:ind w:right="420" w:firstLine="435"/>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216DE7CB">
            <w:pPr>
              <w:pStyle w:val="420"/>
              <w:keepNext w:val="0"/>
              <w:keepLines w:val="0"/>
              <w:pageBreakBefore w:val="0"/>
              <w:widowControl w:val="0"/>
              <w:kinsoku/>
              <w:overflowPunct/>
              <w:topLinePunct w:val="0"/>
              <w:autoSpaceDE/>
              <w:autoSpaceDN/>
              <w:bidi w:val="0"/>
              <w:adjustRightInd/>
              <w:snapToGrid/>
              <w:spacing w:line="380" w:lineRule="exact"/>
              <w:ind w:right="420" w:firstLine="435"/>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造价人员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7416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9072" w:type="dxa"/>
            <w:noWrap w:val="0"/>
            <w:vAlign w:val="top"/>
          </w:tcPr>
          <w:p w14:paraId="43E2B3EC">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399669A0">
            <w:pPr>
              <w:pStyle w:val="420"/>
              <w:keepNext w:val="0"/>
              <w:keepLines w:val="0"/>
              <w:pageBreakBefore w:val="0"/>
              <w:widowControl w:val="0"/>
              <w:kinsoku/>
              <w:overflowPunct/>
              <w:topLinePunct w:val="0"/>
              <w:autoSpaceDE/>
              <w:autoSpaceDN/>
              <w:bidi w:val="0"/>
              <w:adjustRightInd/>
              <w:snapToGrid/>
              <w:spacing w:line="380" w:lineRule="exact"/>
              <w:ind w:firstLine="312"/>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14:paraId="14B72C90">
            <w:pPr>
              <w:pStyle w:val="420"/>
              <w:keepNext w:val="0"/>
              <w:keepLines w:val="0"/>
              <w:pageBreakBefore w:val="0"/>
              <w:widowControl w:val="0"/>
              <w:kinsoku/>
              <w:overflowPunct/>
              <w:topLinePunct w:val="0"/>
              <w:autoSpaceDE/>
              <w:autoSpaceDN/>
              <w:bidi w:val="0"/>
              <w:adjustRightInd/>
              <w:snapToGrid/>
              <w:spacing w:line="380" w:lineRule="exact"/>
              <w:ind w:firstLine="312"/>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14:paraId="0DF5C277">
            <w:pPr>
              <w:pStyle w:val="420"/>
              <w:keepNext w:val="0"/>
              <w:keepLines w:val="0"/>
              <w:pageBreakBefore w:val="0"/>
              <w:widowControl w:val="0"/>
              <w:kinsoku/>
              <w:overflowPunct/>
              <w:topLinePunct w:val="0"/>
              <w:autoSpaceDE/>
              <w:autoSpaceDN/>
              <w:bidi w:val="0"/>
              <w:adjustRightInd/>
              <w:snapToGrid/>
              <w:spacing w:line="380" w:lineRule="exact"/>
              <w:ind w:firstLine="312"/>
              <w:textAlignment w:val="auto"/>
              <w:rPr>
                <w:rFonts w:hint="eastAsia"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p>
          <w:p w14:paraId="4CCEE18B">
            <w:pPr>
              <w:pStyle w:val="420"/>
              <w:keepNext w:val="0"/>
              <w:keepLines w:val="0"/>
              <w:pageBreakBefore w:val="0"/>
              <w:widowControl w:val="0"/>
              <w:kinsoku/>
              <w:overflowPunct/>
              <w:topLinePunct w:val="0"/>
              <w:autoSpaceDE/>
              <w:autoSpaceDN/>
              <w:bidi w:val="0"/>
              <w:adjustRightInd/>
              <w:snapToGrid/>
              <w:spacing w:line="380" w:lineRule="exact"/>
              <w:ind w:firstLine="435"/>
              <w:jc w:val="center"/>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3805D83C">
            <w:pPr>
              <w:pStyle w:val="420"/>
              <w:keepNext w:val="0"/>
              <w:keepLines w:val="0"/>
              <w:pageBreakBefore w:val="0"/>
              <w:widowControl w:val="0"/>
              <w:kinsoku/>
              <w:overflowPunct/>
              <w:topLinePunct w:val="0"/>
              <w:autoSpaceDE/>
              <w:autoSpaceDN/>
              <w:bidi w:val="0"/>
              <w:adjustRightInd/>
              <w:snapToGrid/>
              <w:spacing w:line="380" w:lineRule="exact"/>
              <w:ind w:firstLine="435"/>
              <w:jc w:val="center"/>
              <w:textAlignment w:val="auto"/>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r w14:paraId="2BF3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noWrap w:val="0"/>
            <w:vAlign w:val="top"/>
          </w:tcPr>
          <w:p w14:paraId="5B6D73EB">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12043FB7">
            <w:pPr>
              <w:pStyle w:val="420"/>
              <w:keepNext w:val="0"/>
              <w:keepLines w:val="0"/>
              <w:pageBreakBefore w:val="0"/>
              <w:widowControl w:val="0"/>
              <w:kinsoku/>
              <w:overflowPunct/>
              <w:topLinePunct w:val="0"/>
              <w:autoSpaceDE/>
              <w:autoSpaceDN/>
              <w:bidi w:val="0"/>
              <w:adjustRightInd/>
              <w:snapToGrid/>
              <w:spacing w:line="380" w:lineRule="exact"/>
              <w:ind w:firstLine="435"/>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54F6BE34">
            <w:pPr>
              <w:pStyle w:val="420"/>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4D7F911B">
            <w:pPr>
              <w:pStyle w:val="420"/>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righ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20FB9F63">
            <w:pPr>
              <w:pStyle w:val="420"/>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right"/>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384718C2">
            <w:pPr>
              <w:pStyle w:val="420"/>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right"/>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083B4AEC">
      <w:pPr>
        <w:pStyle w:val="420"/>
        <w:keepNext w:val="0"/>
        <w:keepLines w:val="0"/>
        <w:pageBreakBefore w:val="0"/>
        <w:widowControl w:val="0"/>
        <w:kinsoku/>
        <w:overflowPunct/>
        <w:topLinePunct w:val="0"/>
        <w:autoSpaceDE/>
        <w:autoSpaceDN/>
        <w:bidi w:val="0"/>
        <w:adjustRightInd/>
        <w:snapToGrid/>
        <w:spacing w:before="156" w:beforeLines="50" w:line="380" w:lineRule="exact"/>
        <w:ind w:firstLine="360" w:firstLineChars="200"/>
        <w:textAlignment w:val="auto"/>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14:paraId="2D0A742C">
      <w:pPr>
        <w:pStyle w:val="420"/>
        <w:keepNext w:val="0"/>
        <w:keepLines w:val="0"/>
        <w:pageBreakBefore w:val="0"/>
        <w:widowControl w:val="0"/>
        <w:kinsoku/>
        <w:overflowPunct/>
        <w:topLinePunct w:val="0"/>
        <w:autoSpaceDE/>
        <w:autoSpaceDN/>
        <w:bidi w:val="0"/>
        <w:adjustRightInd/>
        <w:snapToGrid/>
        <w:spacing w:before="156" w:beforeLines="50" w:line="380" w:lineRule="exact"/>
        <w:ind w:left="720" w:hanging="720" w:hangingChars="400"/>
        <w:textAlignment w:val="auto"/>
        <w:rPr>
          <w:rFonts w:hint="eastAsia" w:ascii="Times New Roman" w:hAnsi="宋体" w:cs="宋体"/>
          <w:color w:val="auto"/>
          <w:sz w:val="30"/>
          <w:szCs w:val="30"/>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w:t>
      </w:r>
      <w:r>
        <w:rPr>
          <w:rFonts w:hint="eastAsia" w:ascii="Times New Roman" w:hAnsi="Times New Roman"/>
          <w:color w:val="auto"/>
          <w:sz w:val="18"/>
          <w:szCs w:val="18"/>
          <w:highlight w:val="none"/>
          <w:lang w:val="en-US" w:eastAsia="zh-CN"/>
        </w:rPr>
        <w:t xml:space="preserve">     </w:t>
      </w:r>
      <w:r>
        <w:rPr>
          <w:rFonts w:hint="eastAsia" w:ascii="Times New Roman" w:hAnsi="Times New Roman"/>
          <w:color w:val="auto"/>
          <w:sz w:val="18"/>
          <w:szCs w:val="18"/>
          <w:highlight w:val="none"/>
        </w:rPr>
        <w:t>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 xml:space="preserve">份，由承包人填报，发包人、监理人、承包人各存一份。                                                                                    </w:t>
      </w:r>
    </w:p>
    <w:p w14:paraId="32F6E22A">
      <w:pPr>
        <w:pStyle w:val="420"/>
        <w:keepNext w:val="0"/>
        <w:keepLines w:val="0"/>
        <w:pageBreakBefore w:val="0"/>
        <w:widowControl w:val="0"/>
        <w:kinsoku/>
        <w:overflowPunct/>
        <w:topLinePunct w:val="0"/>
        <w:autoSpaceDE/>
        <w:autoSpaceDN/>
        <w:bidi w:val="0"/>
        <w:adjustRightInd/>
        <w:snapToGrid/>
        <w:spacing w:line="380" w:lineRule="exact"/>
        <w:jc w:val="left"/>
        <w:textAlignment w:val="auto"/>
        <w:rPr>
          <w:rFonts w:hint="eastAsia" w:ascii="Times New Roman" w:hAnsi="Times New Roman"/>
          <w:b/>
          <w:color w:val="auto"/>
          <w:sz w:val="30"/>
          <w:szCs w:val="30"/>
          <w:highlight w:val="none"/>
        </w:rPr>
      </w:pPr>
      <w:r>
        <w:rPr>
          <w:rFonts w:hint="eastAsia" w:ascii="Times New Roman" w:hAnsi="宋体" w:cs="宋体"/>
          <w:color w:val="auto"/>
          <w:sz w:val="30"/>
          <w:szCs w:val="30"/>
          <w:highlight w:val="none"/>
        </w:rPr>
        <w:t>附件13：</w:t>
      </w:r>
    </w:p>
    <w:p w14:paraId="3B121C09">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最终结算款支付申请（核准）表</w:t>
      </w:r>
    </w:p>
    <w:p w14:paraId="2CEA4C3A">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69E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noWrap w:val="0"/>
            <w:vAlign w:val="top"/>
          </w:tcPr>
          <w:p w14:paraId="7A735B11">
            <w:pPr>
              <w:pStyle w:val="420"/>
              <w:keepNext w:val="0"/>
              <w:keepLines w:val="0"/>
              <w:pageBreakBefore w:val="0"/>
              <w:widowControl w:val="0"/>
              <w:kinsoku/>
              <w:overflowPunct/>
              <w:topLinePunct w:val="0"/>
              <w:autoSpaceDE/>
              <w:autoSpaceDN/>
              <w:bidi w:val="0"/>
              <w:adjustRightInd/>
              <w:snapToGrid/>
              <w:spacing w:line="380" w:lineRule="exact"/>
              <w:ind w:left="525" w:leftChars="149" w:hanging="212" w:hangingChars="101"/>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5BBF236E">
            <w:pPr>
              <w:pStyle w:val="420"/>
              <w:keepNext w:val="0"/>
              <w:keepLines w:val="0"/>
              <w:pageBreakBefore w:val="0"/>
              <w:widowControl w:val="0"/>
              <w:kinsoku/>
              <w:overflowPunct/>
              <w:topLinePunct w:val="0"/>
              <w:autoSpaceDE/>
              <w:autoSpaceDN/>
              <w:bidi w:val="0"/>
              <w:adjustRightInd/>
              <w:snapToGrid/>
              <w:spacing w:line="380" w:lineRule="exact"/>
              <w:ind w:left="-4" w:leftChars="-2" w:firstLine="315" w:firstLineChars="15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期间已完成了缺陷修复工作，根据施工合同的约定，现申请支付最终结清合同款额为(大写)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3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64"/>
              <w:gridCol w:w="1605"/>
              <w:gridCol w:w="1605"/>
              <w:gridCol w:w="1627"/>
            </w:tblGrid>
            <w:tr w14:paraId="024D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noWrap w:val="0"/>
                  <w:vAlign w:val="center"/>
                </w:tcPr>
                <w:p w14:paraId="460E139C">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364" w:type="dxa"/>
                  <w:noWrap w:val="0"/>
                  <w:vAlign w:val="center"/>
                </w:tcPr>
                <w:p w14:paraId="3069CCDE">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605" w:type="dxa"/>
                  <w:noWrap w:val="0"/>
                  <w:vAlign w:val="center"/>
                </w:tcPr>
                <w:p w14:paraId="719D9A5A">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605" w:type="dxa"/>
                  <w:noWrap w:val="0"/>
                  <w:vAlign w:val="center"/>
                </w:tcPr>
                <w:p w14:paraId="3ED43F33">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627" w:type="dxa"/>
                  <w:noWrap w:val="0"/>
                  <w:vAlign w:val="center"/>
                </w:tcPr>
                <w:p w14:paraId="2E1C82AA">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79C2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3235374C">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364" w:type="dxa"/>
                  <w:noWrap w:val="0"/>
                  <w:vAlign w:val="top"/>
                </w:tcPr>
                <w:p w14:paraId="7C6C152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已预留的质量保证金</w:t>
                  </w:r>
                </w:p>
              </w:tc>
              <w:tc>
                <w:tcPr>
                  <w:tcW w:w="1605" w:type="dxa"/>
                  <w:noWrap w:val="0"/>
                  <w:vAlign w:val="top"/>
                </w:tcPr>
                <w:p w14:paraId="18F9185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68DED9A0">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546779FD">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37F0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5BE5BEB0">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364" w:type="dxa"/>
                  <w:noWrap w:val="0"/>
                  <w:vAlign w:val="top"/>
                </w:tcPr>
                <w:p w14:paraId="446EC4A0">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应增加因发包人原因造成缺陷的修复金额</w:t>
                  </w:r>
                </w:p>
              </w:tc>
              <w:tc>
                <w:tcPr>
                  <w:tcW w:w="1605" w:type="dxa"/>
                  <w:noWrap w:val="0"/>
                  <w:vAlign w:val="top"/>
                </w:tcPr>
                <w:p w14:paraId="7F3C0150">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76AC8A56">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461ABFE7">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3376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32E5DF4A">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364" w:type="dxa"/>
                  <w:noWrap w:val="0"/>
                  <w:vAlign w:val="top"/>
                </w:tcPr>
                <w:p w14:paraId="2E65B461">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应扣减承包人不修复缺陷、发包人组织修复的金额</w:t>
                  </w:r>
                </w:p>
              </w:tc>
              <w:tc>
                <w:tcPr>
                  <w:tcW w:w="1605" w:type="dxa"/>
                  <w:noWrap w:val="0"/>
                  <w:vAlign w:val="top"/>
                </w:tcPr>
                <w:p w14:paraId="6C98DE81">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6EE2567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54DA5DAB">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65ED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3576A10">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364" w:type="dxa"/>
                  <w:noWrap w:val="0"/>
                  <w:vAlign w:val="top"/>
                </w:tcPr>
                <w:p w14:paraId="2EB41278">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最终应支付的合同价款</w:t>
                  </w:r>
                </w:p>
              </w:tc>
              <w:tc>
                <w:tcPr>
                  <w:tcW w:w="1605" w:type="dxa"/>
                  <w:noWrap w:val="0"/>
                  <w:vAlign w:val="top"/>
                </w:tcPr>
                <w:p w14:paraId="3034F50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47818AB8">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6905B0C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5511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1D48055">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4" w:type="dxa"/>
                  <w:noWrap w:val="0"/>
                  <w:vAlign w:val="top"/>
                </w:tcPr>
                <w:p w14:paraId="04B97F52">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3AFB970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76D84964">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55684925">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450E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2AF09B6C">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4" w:type="dxa"/>
                  <w:noWrap w:val="0"/>
                  <w:vAlign w:val="top"/>
                </w:tcPr>
                <w:p w14:paraId="37F7D824">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771C101B">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08995E06">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2561AAEC">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44A9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E8DFC0D">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4" w:type="dxa"/>
                  <w:noWrap w:val="0"/>
                  <w:vAlign w:val="top"/>
                </w:tcPr>
                <w:p w14:paraId="7A84428A">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51EB65E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4297EB00">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08131C2A">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r w14:paraId="245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1154D369">
                  <w:pPr>
                    <w:pStyle w:val="420"/>
                    <w:keepNext w:val="0"/>
                    <w:keepLines w:val="0"/>
                    <w:pageBreakBefore w:val="0"/>
                    <w:widowControl w:val="0"/>
                    <w:kinsoku/>
                    <w:overflowPunct/>
                    <w:topLinePunct w:val="0"/>
                    <w:autoSpaceDE/>
                    <w:autoSpaceDN/>
                    <w:bidi w:val="0"/>
                    <w:adjustRightInd/>
                    <w:snapToGrid/>
                    <w:spacing w:line="380" w:lineRule="exact"/>
                    <w:jc w:val="center"/>
                    <w:textAlignment w:val="auto"/>
                    <w:rPr>
                      <w:rFonts w:hint="eastAsia" w:ascii="Times New Roman" w:hAnsi="Times New Roman"/>
                      <w:color w:val="auto"/>
                      <w:szCs w:val="21"/>
                      <w:highlight w:val="none"/>
                    </w:rPr>
                  </w:pPr>
                </w:p>
              </w:tc>
              <w:tc>
                <w:tcPr>
                  <w:tcW w:w="3364" w:type="dxa"/>
                  <w:noWrap w:val="0"/>
                  <w:vAlign w:val="top"/>
                </w:tcPr>
                <w:p w14:paraId="371BEE0F">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253AFD3C">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05" w:type="dxa"/>
                  <w:noWrap w:val="0"/>
                  <w:vAlign w:val="top"/>
                </w:tcPr>
                <w:p w14:paraId="263925C8">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c>
                <w:tcPr>
                  <w:tcW w:w="1627" w:type="dxa"/>
                  <w:noWrap w:val="0"/>
                  <w:vAlign w:val="top"/>
                </w:tcPr>
                <w:p w14:paraId="02076194">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p>
              </w:tc>
            </w:tr>
          </w:tbl>
          <w:p w14:paraId="7BAD1F02">
            <w:pPr>
              <w:pStyle w:val="420"/>
              <w:keepNext w:val="0"/>
              <w:keepLines w:val="0"/>
              <w:pageBreakBefore w:val="0"/>
              <w:widowControl w:val="0"/>
              <w:kinsoku/>
              <w:overflowPunct/>
              <w:topLinePunct w:val="0"/>
              <w:autoSpaceDE/>
              <w:autoSpaceDN/>
              <w:bidi w:val="0"/>
              <w:adjustRightInd/>
              <w:snapToGrid/>
              <w:spacing w:line="380" w:lineRule="exact"/>
              <w:ind w:right="420" w:firstLine="435"/>
              <w:jc w:val="center"/>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15CC925C">
            <w:pPr>
              <w:pStyle w:val="420"/>
              <w:keepNext w:val="0"/>
              <w:keepLines w:val="0"/>
              <w:pageBreakBefore w:val="0"/>
              <w:widowControl w:val="0"/>
              <w:kinsoku/>
              <w:overflowPunct/>
              <w:topLinePunct w:val="0"/>
              <w:autoSpaceDE/>
              <w:autoSpaceDN/>
              <w:bidi w:val="0"/>
              <w:adjustRightInd/>
              <w:snapToGrid/>
              <w:spacing w:line="380" w:lineRule="exact"/>
              <w:ind w:right="420" w:firstLine="435"/>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4D05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9072" w:type="dxa"/>
            <w:noWrap w:val="0"/>
            <w:vAlign w:val="top"/>
          </w:tcPr>
          <w:p w14:paraId="1D5D198C">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47684E06">
            <w:pPr>
              <w:pStyle w:val="420"/>
              <w:keepNext w:val="0"/>
              <w:keepLines w:val="0"/>
              <w:pageBreakBefore w:val="0"/>
              <w:widowControl w:val="0"/>
              <w:kinsoku/>
              <w:overflowPunct/>
              <w:topLinePunct w:val="0"/>
              <w:autoSpaceDE/>
              <w:autoSpaceDN/>
              <w:bidi w:val="0"/>
              <w:adjustRightInd/>
              <w:snapToGrid/>
              <w:spacing w:line="380" w:lineRule="exact"/>
              <w:ind w:firstLine="312"/>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14:paraId="5FD871B9">
            <w:pPr>
              <w:pStyle w:val="420"/>
              <w:keepNext w:val="0"/>
              <w:keepLines w:val="0"/>
              <w:pageBreakBefore w:val="0"/>
              <w:widowControl w:val="0"/>
              <w:kinsoku/>
              <w:overflowPunct/>
              <w:topLinePunct w:val="0"/>
              <w:autoSpaceDE/>
              <w:autoSpaceDN/>
              <w:bidi w:val="0"/>
              <w:adjustRightInd/>
              <w:snapToGrid/>
              <w:spacing w:line="380" w:lineRule="exact"/>
              <w:ind w:firstLine="312"/>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14:paraId="43DCFEAC">
            <w:pPr>
              <w:pStyle w:val="420"/>
              <w:keepNext w:val="0"/>
              <w:keepLines w:val="0"/>
              <w:pageBreakBefore w:val="0"/>
              <w:widowControl w:val="0"/>
              <w:kinsoku/>
              <w:overflowPunct/>
              <w:topLinePunct w:val="0"/>
              <w:autoSpaceDE/>
              <w:autoSpaceDN/>
              <w:bidi w:val="0"/>
              <w:adjustRightInd/>
              <w:snapToGrid/>
              <w:spacing w:line="380" w:lineRule="exact"/>
              <w:jc w:val="both"/>
              <w:textAlignment w:val="auto"/>
              <w:rPr>
                <w:rFonts w:hint="eastAsia"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p>
          <w:p w14:paraId="6AAD794C">
            <w:pPr>
              <w:pStyle w:val="420"/>
              <w:keepNext w:val="0"/>
              <w:keepLines w:val="0"/>
              <w:pageBreakBefore w:val="0"/>
              <w:widowControl w:val="0"/>
              <w:kinsoku/>
              <w:overflowPunct/>
              <w:topLinePunct w:val="0"/>
              <w:autoSpaceDE/>
              <w:autoSpaceDN/>
              <w:bidi w:val="0"/>
              <w:adjustRightInd/>
              <w:snapToGrid/>
              <w:spacing w:line="380" w:lineRule="exact"/>
              <w:ind w:firstLine="435"/>
              <w:jc w:val="center"/>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3690A4BF">
            <w:pPr>
              <w:pStyle w:val="420"/>
              <w:keepNext w:val="0"/>
              <w:keepLines w:val="0"/>
              <w:pageBreakBefore w:val="0"/>
              <w:widowControl w:val="0"/>
              <w:kinsoku/>
              <w:overflowPunct/>
              <w:topLinePunct w:val="0"/>
              <w:autoSpaceDE/>
              <w:autoSpaceDN/>
              <w:bidi w:val="0"/>
              <w:adjustRightInd/>
              <w:snapToGrid/>
              <w:spacing w:line="380" w:lineRule="exact"/>
              <w:ind w:firstLine="435"/>
              <w:jc w:val="center"/>
              <w:textAlignment w:val="auto"/>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r w14:paraId="3004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noWrap w:val="0"/>
            <w:vAlign w:val="top"/>
          </w:tcPr>
          <w:p w14:paraId="6124315E">
            <w:pPr>
              <w:pStyle w:val="420"/>
              <w:keepNext w:val="0"/>
              <w:keepLines w:val="0"/>
              <w:pageBreakBefore w:val="0"/>
              <w:widowControl w:val="0"/>
              <w:kinsoku/>
              <w:overflowPunct/>
              <w:topLinePunct w:val="0"/>
              <w:autoSpaceDE/>
              <w:autoSpaceDN/>
              <w:bidi w:val="0"/>
              <w:adjustRightInd/>
              <w:snapToGrid/>
              <w:spacing w:line="380" w:lineRule="exac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72D38402">
            <w:pPr>
              <w:pStyle w:val="420"/>
              <w:keepNext w:val="0"/>
              <w:keepLines w:val="0"/>
              <w:pageBreakBefore w:val="0"/>
              <w:widowControl w:val="0"/>
              <w:kinsoku/>
              <w:overflowPunct/>
              <w:topLinePunct w:val="0"/>
              <w:autoSpaceDE/>
              <w:autoSpaceDN/>
              <w:bidi w:val="0"/>
              <w:adjustRightInd/>
              <w:snapToGrid/>
              <w:spacing w:line="380" w:lineRule="exact"/>
              <w:ind w:firstLine="435"/>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02758599">
            <w:pPr>
              <w:pStyle w:val="420"/>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59CC041B">
            <w:pPr>
              <w:pStyle w:val="420"/>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right"/>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0D7FD325">
            <w:pPr>
              <w:pStyle w:val="420"/>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right"/>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10A05B43">
            <w:pPr>
              <w:pStyle w:val="420"/>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right"/>
              <w:textAlignment w:val="auto"/>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79E442BE">
      <w:pPr>
        <w:pStyle w:val="420"/>
        <w:keepNext w:val="0"/>
        <w:keepLines w:val="0"/>
        <w:pageBreakBefore w:val="0"/>
        <w:widowControl w:val="0"/>
        <w:kinsoku/>
        <w:overflowPunct/>
        <w:topLinePunct w:val="0"/>
        <w:autoSpaceDE/>
        <w:autoSpaceDN/>
        <w:bidi w:val="0"/>
        <w:adjustRightInd/>
        <w:snapToGrid/>
        <w:spacing w:before="156" w:beforeLines="50" w:line="380" w:lineRule="exact"/>
        <w:ind w:firstLine="360" w:firstLineChars="200"/>
        <w:textAlignment w:val="auto"/>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注：1.在选择栏中的“□”内作标识“√”。 如监理人已退场，监理工程师栏可空缺。</w:t>
      </w:r>
    </w:p>
    <w:p w14:paraId="1D310E4D">
      <w:pPr>
        <w:pStyle w:val="420"/>
        <w:keepNext w:val="0"/>
        <w:keepLines w:val="0"/>
        <w:pageBreakBefore w:val="0"/>
        <w:widowControl w:val="0"/>
        <w:kinsoku/>
        <w:overflowPunct/>
        <w:topLinePunct w:val="0"/>
        <w:autoSpaceDE/>
        <w:autoSpaceDN/>
        <w:bidi w:val="0"/>
        <w:adjustRightInd/>
        <w:snapToGrid/>
        <w:spacing w:before="156" w:beforeLines="50" w:line="380" w:lineRule="exact"/>
        <w:ind w:left="720" w:hanging="720" w:hangingChars="400"/>
        <w:textAlignment w:val="auto"/>
        <w:rPr>
          <w:rFonts w:hint="eastAsia" w:ascii="Times New Roman" w:hAnsi="Times New Roman"/>
          <w:color w:val="auto"/>
          <w:sz w:val="30"/>
          <w:szCs w:val="30"/>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5CA70270">
      <w:pPr>
        <w:pStyle w:val="420"/>
        <w:pageBreakBefore w:val="0"/>
        <w:kinsoku/>
        <w:overflowPunct/>
        <w:topLinePunct w:val="0"/>
        <w:bidi w:val="0"/>
        <w:spacing w:line="400" w:lineRule="exact"/>
        <w:jc w:val="left"/>
        <w:rPr>
          <w:rFonts w:hint="eastAsia" w:ascii="Times New Roman" w:hAnsi="宋体" w:cs="宋体"/>
          <w:color w:val="auto"/>
          <w:sz w:val="30"/>
          <w:szCs w:val="30"/>
          <w:highlight w:val="none"/>
        </w:rPr>
      </w:pPr>
      <w:r>
        <w:rPr>
          <w:rFonts w:hint="eastAsia" w:ascii="Times New Roman" w:hAnsi="Times New Roman"/>
          <w:color w:val="auto"/>
          <w:sz w:val="30"/>
          <w:szCs w:val="30"/>
          <w:highlight w:val="none"/>
        </w:rPr>
        <w:t>附件14：</w:t>
      </w:r>
    </w:p>
    <w:p w14:paraId="4C3E4DCB">
      <w:pPr>
        <w:pStyle w:val="420"/>
        <w:pageBreakBefore w:val="0"/>
        <w:kinsoku/>
        <w:overflowPunct/>
        <w:topLinePunct w:val="0"/>
        <w:bidi w:val="0"/>
        <w:spacing w:line="400" w:lineRule="exact"/>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118EC931">
      <w:pPr>
        <w:pStyle w:val="420"/>
        <w:pageBreakBefore w:val="0"/>
        <w:kinsoku/>
        <w:overflowPunct/>
        <w:topLinePunct w:val="0"/>
        <w:bidi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5EF6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17B5D4C">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3794" w:type="dxa"/>
            <w:gridSpan w:val="2"/>
            <w:noWrap w:val="0"/>
            <w:vAlign w:val="top"/>
          </w:tcPr>
          <w:p w14:paraId="416C68E9">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268" w:type="dxa"/>
            <w:noWrap w:val="0"/>
            <w:vAlign w:val="top"/>
          </w:tcPr>
          <w:p w14:paraId="6070C189">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1276" w:type="dxa"/>
            <w:noWrap w:val="0"/>
            <w:vAlign w:val="top"/>
          </w:tcPr>
          <w:p w14:paraId="3C288C61">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54F4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2FC6A17">
            <w:pPr>
              <w:pStyle w:val="420"/>
              <w:pageBreakBefore w:val="0"/>
              <w:kinsoku/>
              <w:overflowPunct/>
              <w:topLinePunct w:val="0"/>
              <w:bidi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预付款</w:t>
            </w:r>
          </w:p>
        </w:tc>
        <w:tc>
          <w:tcPr>
            <w:tcW w:w="3794" w:type="dxa"/>
            <w:gridSpan w:val="2"/>
            <w:noWrap w:val="0"/>
            <w:vAlign w:val="top"/>
          </w:tcPr>
          <w:p w14:paraId="4F5FDE33">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2268" w:type="dxa"/>
            <w:noWrap w:val="0"/>
            <w:vAlign w:val="top"/>
          </w:tcPr>
          <w:p w14:paraId="61DA53A9">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1276" w:type="dxa"/>
            <w:noWrap w:val="0"/>
            <w:vAlign w:val="top"/>
          </w:tcPr>
          <w:p w14:paraId="4DA01FFD">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r>
      <w:tr w14:paraId="39B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AF1C9A4">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3794" w:type="dxa"/>
            <w:gridSpan w:val="2"/>
            <w:noWrap w:val="0"/>
            <w:vAlign w:val="top"/>
          </w:tcPr>
          <w:p w14:paraId="5775D527">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2268" w:type="dxa"/>
            <w:noWrap w:val="0"/>
            <w:vAlign w:val="top"/>
          </w:tcPr>
          <w:p w14:paraId="3DE71962">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1276" w:type="dxa"/>
            <w:noWrap w:val="0"/>
            <w:vAlign w:val="top"/>
          </w:tcPr>
          <w:p w14:paraId="1C3489B4">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r>
      <w:tr w14:paraId="46CB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1A2DA85">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3794" w:type="dxa"/>
            <w:gridSpan w:val="2"/>
            <w:noWrap w:val="0"/>
            <w:vAlign w:val="top"/>
          </w:tcPr>
          <w:p w14:paraId="521F4223">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2268" w:type="dxa"/>
            <w:noWrap w:val="0"/>
            <w:vAlign w:val="top"/>
          </w:tcPr>
          <w:p w14:paraId="6E4772DF">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1276" w:type="dxa"/>
            <w:noWrap w:val="0"/>
            <w:vAlign w:val="top"/>
          </w:tcPr>
          <w:p w14:paraId="02D1CA8F">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r>
      <w:tr w14:paraId="2CB4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CA8BBE4">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3794" w:type="dxa"/>
            <w:gridSpan w:val="2"/>
            <w:noWrap w:val="0"/>
            <w:vAlign w:val="top"/>
          </w:tcPr>
          <w:p w14:paraId="59269E6B">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2268" w:type="dxa"/>
            <w:noWrap w:val="0"/>
            <w:vAlign w:val="top"/>
          </w:tcPr>
          <w:p w14:paraId="05AF0306">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1276" w:type="dxa"/>
            <w:noWrap w:val="0"/>
            <w:vAlign w:val="top"/>
          </w:tcPr>
          <w:p w14:paraId="07AB2EE7">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r>
      <w:tr w14:paraId="57F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9405F47">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w:t>
            </w:r>
          </w:p>
        </w:tc>
        <w:tc>
          <w:tcPr>
            <w:tcW w:w="3794" w:type="dxa"/>
            <w:gridSpan w:val="2"/>
            <w:noWrap w:val="0"/>
            <w:vAlign w:val="top"/>
          </w:tcPr>
          <w:p w14:paraId="33B571B2">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2268" w:type="dxa"/>
            <w:noWrap w:val="0"/>
            <w:vAlign w:val="top"/>
          </w:tcPr>
          <w:p w14:paraId="1EB2BF53">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c>
          <w:tcPr>
            <w:tcW w:w="1276" w:type="dxa"/>
            <w:noWrap w:val="0"/>
            <w:vAlign w:val="top"/>
          </w:tcPr>
          <w:p w14:paraId="3A3DB38D">
            <w:pPr>
              <w:pStyle w:val="420"/>
              <w:pageBreakBefore w:val="0"/>
              <w:kinsoku/>
              <w:overflowPunct/>
              <w:topLinePunct w:val="0"/>
              <w:bidi w:val="0"/>
              <w:spacing w:line="400" w:lineRule="exact"/>
              <w:jc w:val="center"/>
              <w:rPr>
                <w:rFonts w:hint="eastAsia" w:ascii="宋体" w:hAnsi="宋体" w:cs="宋体"/>
                <w:color w:val="auto"/>
                <w:kern w:val="0"/>
                <w:szCs w:val="21"/>
                <w:highlight w:val="none"/>
              </w:rPr>
            </w:pPr>
          </w:p>
        </w:tc>
      </w:tr>
      <w:tr w14:paraId="1E9B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25EB1D1A">
            <w:pPr>
              <w:pStyle w:val="420"/>
              <w:pageBreakBefore w:val="0"/>
              <w:kinsoku/>
              <w:overflowPunct/>
              <w:topLinePunct w:val="0"/>
              <w:bidi w:val="0"/>
              <w:spacing w:line="400" w:lineRule="exact"/>
              <w:ind w:firstLine="435"/>
              <w:jc w:val="right"/>
              <w:rPr>
                <w:rFonts w:hint="eastAsia" w:ascii="Times New Roman" w:hAnsi="Times New Roman"/>
                <w:color w:val="auto"/>
                <w:szCs w:val="21"/>
                <w:highlight w:val="none"/>
              </w:rPr>
            </w:pPr>
          </w:p>
          <w:p w14:paraId="62970149">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p>
          <w:p w14:paraId="34242909">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发包人代表签字：</w:t>
            </w:r>
          </w:p>
          <w:p w14:paraId="6B5580B1">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p>
          <w:p w14:paraId="6C4512EE">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发包人（盖公章）</w:t>
            </w:r>
          </w:p>
          <w:p w14:paraId="60D70810">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p>
          <w:p w14:paraId="771E5B7B">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 </w:t>
            </w:r>
            <w:r>
              <w:rPr>
                <w:rFonts w:hint="eastAsia" w:ascii="Times New Roman" w:hAnsi="Times New Roman"/>
                <w:color w:val="auto"/>
                <w:szCs w:val="21"/>
                <w:highlight w:val="none"/>
                <w:u w:val="single"/>
              </w:rPr>
              <w:t xml:space="preserve">          </w:t>
            </w:r>
          </w:p>
        </w:tc>
        <w:tc>
          <w:tcPr>
            <w:tcW w:w="4219" w:type="dxa"/>
            <w:gridSpan w:val="3"/>
            <w:noWrap w:val="0"/>
            <w:vAlign w:val="top"/>
          </w:tcPr>
          <w:p w14:paraId="559489FA">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p>
          <w:p w14:paraId="7D8CE557">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u w:val="single"/>
              </w:rPr>
            </w:pPr>
          </w:p>
          <w:p w14:paraId="78653772">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r>
              <w:rPr>
                <w:rFonts w:hint="eastAsia" w:ascii="Times New Roman" w:hAnsi="Times New Roman"/>
                <w:color w:val="auto"/>
                <w:szCs w:val="21"/>
                <w:highlight w:val="none"/>
              </w:rPr>
              <w:t>承包人代表签字：</w:t>
            </w:r>
          </w:p>
          <w:p w14:paraId="1FF41E38">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p>
          <w:p w14:paraId="211CB0A5">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r>
              <w:rPr>
                <w:rFonts w:hint="eastAsia" w:ascii="Times New Roman" w:hAnsi="Times New Roman"/>
                <w:color w:val="auto"/>
                <w:szCs w:val="21"/>
                <w:highlight w:val="none"/>
              </w:rPr>
              <w:t>承包人（盖公章）</w:t>
            </w:r>
          </w:p>
          <w:p w14:paraId="51A2A8A5">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rPr>
            </w:pPr>
          </w:p>
          <w:p w14:paraId="6401309D">
            <w:pPr>
              <w:pStyle w:val="420"/>
              <w:pageBreakBefore w:val="0"/>
              <w:kinsoku/>
              <w:overflowPunct/>
              <w:topLinePunct w:val="0"/>
              <w:bidi w:val="0"/>
              <w:spacing w:line="400" w:lineRule="exact"/>
              <w:ind w:firstLine="435"/>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bl>
    <w:p w14:paraId="44886894">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7F92F6C6">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0A58C483">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043CD226">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77966C85">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2AEEB4C5">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32B890C7">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7C0EFCCF">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1C9B21BA">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5E6B51E7">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13300671">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7966D53F">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41D2DD9B">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5EF3F553">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48C91A39">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2A52D890">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78B5C6D8">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0FBC74BA">
      <w:pPr>
        <w:pStyle w:val="420"/>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附件1</w:t>
      </w:r>
      <w:r>
        <w:rPr>
          <w:rFonts w:hint="eastAsia" w:ascii="Times New Roman" w:hAnsi="Times New Roman"/>
          <w:color w:val="auto"/>
          <w:sz w:val="30"/>
          <w:szCs w:val="30"/>
          <w:highlight w:val="none"/>
          <w:lang w:val="en-US" w:eastAsia="zh-CN"/>
        </w:rPr>
        <w:t>5</w:t>
      </w:r>
      <w:r>
        <w:rPr>
          <w:rFonts w:hint="eastAsia" w:ascii="Times New Roman" w:hAnsi="Times New Roman"/>
          <w:color w:val="auto"/>
          <w:sz w:val="30"/>
          <w:szCs w:val="30"/>
          <w:highlight w:val="none"/>
        </w:rPr>
        <w:t>：</w:t>
      </w:r>
    </w:p>
    <w:p w14:paraId="1E52D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44"/>
          <w:szCs w:val="44"/>
          <w:highlight w:val="none"/>
          <w:u w:val="none"/>
          <w:lang w:val="en-US" w:eastAsia="zh-CN"/>
        </w:rPr>
      </w:pPr>
      <w:r>
        <w:rPr>
          <w:rFonts w:hint="eastAsia" w:ascii="宋体" w:hAnsi="宋体" w:cs="宋体"/>
          <w:color w:val="auto"/>
          <w:sz w:val="44"/>
          <w:szCs w:val="44"/>
          <w:highlight w:val="none"/>
          <w:u w:val="none"/>
          <w:lang w:val="en-US" w:eastAsia="zh-CN"/>
        </w:rPr>
        <w:t>欠薪</w:t>
      </w:r>
      <w:r>
        <w:rPr>
          <w:rFonts w:hint="eastAsia" w:ascii="宋体" w:hAnsi="宋体" w:eastAsia="宋体" w:cs="宋体"/>
          <w:color w:val="auto"/>
          <w:sz w:val="44"/>
          <w:szCs w:val="44"/>
          <w:highlight w:val="none"/>
          <w:u w:val="none"/>
          <w:lang w:val="en-US" w:eastAsia="zh-CN"/>
        </w:rPr>
        <w:t>催函</w:t>
      </w:r>
    </w:p>
    <w:p w14:paraId="79197ED1">
      <w:pPr>
        <w:pageBreakBefore w:val="0"/>
        <w:kinsoku/>
        <w:overflowPunct/>
        <w:topLinePunct w:val="0"/>
        <w:bidi w:val="0"/>
        <w:spacing w:line="400" w:lineRule="exact"/>
        <w:rPr>
          <w:rFonts w:hint="eastAsia" w:ascii="宋体" w:hAnsi="宋体" w:eastAsia="宋体" w:cs="宋体"/>
          <w:color w:val="auto"/>
          <w:sz w:val="44"/>
          <w:szCs w:val="44"/>
          <w:highlight w:val="none"/>
          <w:u w:val="none"/>
          <w:lang w:val="en-US" w:eastAsia="zh-CN"/>
        </w:rPr>
      </w:pPr>
    </w:p>
    <w:p w14:paraId="7539DBC5">
      <w:pPr>
        <w:pageBreakBefore w:val="0"/>
        <w:kinsoku/>
        <w:overflowPunct/>
        <w:topLinePunct w:val="0"/>
        <w:bidi w:val="0"/>
        <w:spacing w:line="400" w:lineRule="exact"/>
        <w:rPr>
          <w:rFonts w:hint="eastAsia" w:ascii="宋体" w:hAnsi="宋体" w:eastAsia="宋体" w:cs="宋体"/>
          <w:color w:val="auto"/>
          <w:sz w:val="44"/>
          <w:szCs w:val="44"/>
          <w:highlight w:val="none"/>
          <w:u w:val="none"/>
          <w:lang w:val="en-US" w:eastAsia="zh-CN"/>
        </w:rPr>
      </w:pPr>
    </w:p>
    <w:p w14:paraId="2B1599C0">
      <w:pPr>
        <w:pageBreakBefore w:val="0"/>
        <w:kinsoku/>
        <w:overflowPunct/>
        <w:topLinePunct w:val="0"/>
        <w:bidi w:val="0"/>
        <w:spacing w:line="400" w:lineRule="exac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公司：</w:t>
      </w:r>
    </w:p>
    <w:p w14:paraId="0B2EF857">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由贵公司承包的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项目，经发现：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(人名），工种：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，做工时间：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，工资：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未按时支付。现要求贵公司收到此函之日起限于15日内足额支付该人工工资。否则，我方将根据与贵方签订的合同“第16.2.2承包人违约的责任第（1）条第⑨款：承包方要按时足额支付人工工资。因承包方原因拖欠人工工资的，一经发现，发包人有权将承包人纳入黑名单，五年内不得参与包括但不限于港口区教育系统的基建项目工程承包活动，并由发包人将其违约行为告知防城港市港口区住房和城乡建设局，作为承包方不良记录纳入建筑市场信用信息管理系统”之约定执行。</w:t>
      </w:r>
    </w:p>
    <w:p w14:paraId="6E98AB63">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特此函告。</w:t>
      </w:r>
    </w:p>
    <w:p w14:paraId="34624556">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p>
    <w:p w14:paraId="4E512249">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p>
    <w:p w14:paraId="0F3A6517">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防城港市港口区教育局</w:t>
      </w:r>
    </w:p>
    <w:p w14:paraId="772EE454">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年   月   日</w:t>
      </w:r>
    </w:p>
    <w:p w14:paraId="6CEE4893">
      <w:pPr>
        <w:pageBreakBefore w:val="0"/>
        <w:kinsoku/>
        <w:overflowPunct/>
        <w:topLinePunct w:val="0"/>
        <w:bidi w:val="0"/>
        <w:spacing w:line="400" w:lineRule="exact"/>
        <w:ind w:firstLine="640" w:firstLineChars="200"/>
        <w:rPr>
          <w:rFonts w:hint="eastAsia" w:ascii="仿宋_GB2312" w:hAnsi="仿宋_GB2312" w:eastAsia="仿宋_GB2312" w:cs="仿宋_GB2312"/>
          <w:color w:val="auto"/>
          <w:sz w:val="32"/>
          <w:szCs w:val="32"/>
          <w:highlight w:val="none"/>
          <w:u w:val="none"/>
          <w:lang w:val="en-US" w:eastAsia="zh-CN"/>
        </w:rPr>
      </w:pPr>
    </w:p>
    <w:p w14:paraId="30E487B4">
      <w:pPr>
        <w:pageBreakBefore w:val="0"/>
        <w:kinsoku/>
        <w:overflowPunct/>
        <w:topLinePunct w:val="0"/>
        <w:bidi w:val="0"/>
        <w:spacing w:line="400" w:lineRule="exact"/>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（联系人及电话：***，0770-2810070）</w:t>
      </w:r>
    </w:p>
    <w:p w14:paraId="1F0AA520">
      <w:pPr>
        <w:pStyle w:val="420"/>
        <w:pageBreakBefore w:val="0"/>
        <w:kinsoku/>
        <w:overflowPunct/>
        <w:topLinePunct w:val="0"/>
        <w:bidi w:val="0"/>
        <w:spacing w:line="400" w:lineRule="exact"/>
        <w:jc w:val="left"/>
        <w:rPr>
          <w:rFonts w:hint="eastAsia" w:ascii="Times New Roman" w:hAnsi="Times New Roman"/>
          <w:color w:val="auto"/>
          <w:sz w:val="30"/>
          <w:szCs w:val="30"/>
          <w:highlight w:val="none"/>
        </w:rPr>
      </w:pPr>
    </w:p>
    <w:p w14:paraId="37796955">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1D8CD304">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6114C5A4">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5E36FDBB">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2A322D10">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20464923">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54FD72B0">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098EC136">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1749A180">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610DD5D1">
      <w:pPr>
        <w:pStyle w:val="23"/>
        <w:pageBreakBefore w:val="0"/>
        <w:tabs>
          <w:tab w:val="center" w:pos="4153"/>
          <w:tab w:val="right" w:pos="8306"/>
          <w:tab w:val="clear" w:pos="4844"/>
          <w:tab w:val="clear" w:pos="9689"/>
        </w:tabs>
        <w:kinsoku/>
        <w:overflowPunct/>
        <w:topLinePunct w:val="0"/>
        <w:bidi w:val="0"/>
        <w:spacing w:line="400" w:lineRule="exact"/>
        <w:rPr>
          <w:color w:val="auto"/>
          <w:highlight w:val="none"/>
        </w:rPr>
      </w:pPr>
    </w:p>
    <w:p w14:paraId="0D41AFDE">
      <w:pPr>
        <w:pageBreakBefore w:val="0"/>
        <w:kinsoku/>
        <w:overflowPunct/>
        <w:topLinePunct w:val="0"/>
        <w:bidi w:val="0"/>
        <w:spacing w:line="400" w:lineRule="exact"/>
        <w:rPr>
          <w:color w:val="auto"/>
          <w:highlight w:val="none"/>
        </w:rPr>
      </w:pPr>
    </w:p>
    <w:p w14:paraId="71621C68">
      <w:pPr>
        <w:pageBreakBefore w:val="0"/>
        <w:kinsoku/>
        <w:overflowPunct/>
        <w:topLinePunct w:val="0"/>
        <w:bidi w:val="0"/>
        <w:spacing w:line="400" w:lineRule="exact"/>
        <w:rPr>
          <w:rFonts w:hint="eastAsia"/>
          <w:color w:val="auto"/>
          <w:highlight w:val="none"/>
          <w:lang w:val="en-US" w:eastAsia="zh-CN"/>
        </w:rPr>
      </w:pPr>
      <w:r>
        <w:rPr>
          <w:rFonts w:hint="eastAsia"/>
          <w:color w:val="auto"/>
          <w:highlight w:val="none"/>
          <w:lang w:val="en-US" w:eastAsia="zh-CN"/>
        </w:rPr>
        <w:t>附件16：</w:t>
      </w:r>
    </w:p>
    <w:p w14:paraId="379F80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44"/>
          <w:szCs w:val="44"/>
          <w:highlight w:val="none"/>
          <w:lang w:val="en-US" w:eastAsia="zh-CN"/>
        </w:rPr>
      </w:pPr>
      <w:r>
        <w:rPr>
          <w:rFonts w:hint="eastAsia"/>
          <w:color w:val="auto"/>
          <w:highlight w:val="none"/>
          <w:lang w:val="en-US" w:eastAsia="zh-CN"/>
        </w:rPr>
        <w:t xml:space="preserve">      </w:t>
      </w:r>
      <w:r>
        <w:rPr>
          <w:rFonts w:hint="eastAsia"/>
          <w:color w:val="auto"/>
          <w:sz w:val="44"/>
          <w:szCs w:val="44"/>
          <w:highlight w:val="none"/>
          <w:u w:val="single"/>
          <w:lang w:val="en-US" w:eastAsia="zh-CN"/>
        </w:rPr>
        <w:t xml:space="preserve">       </w:t>
      </w:r>
      <w:r>
        <w:rPr>
          <w:rFonts w:hint="eastAsia"/>
          <w:color w:val="auto"/>
          <w:sz w:val="44"/>
          <w:szCs w:val="44"/>
          <w:highlight w:val="none"/>
          <w:u w:val="none"/>
          <w:lang w:val="en-US" w:eastAsia="zh-CN"/>
        </w:rPr>
        <w:t>项目</w:t>
      </w:r>
      <w:r>
        <w:rPr>
          <w:rFonts w:hint="eastAsia"/>
          <w:color w:val="auto"/>
          <w:sz w:val="44"/>
          <w:szCs w:val="44"/>
          <w:highlight w:val="none"/>
          <w:lang w:val="en-US" w:eastAsia="zh-CN"/>
        </w:rPr>
        <w:t>安全文明施工费使用明细表</w:t>
      </w:r>
    </w:p>
    <w:p w14:paraId="25BCA03E">
      <w:pPr>
        <w:pageBreakBefore w:val="0"/>
        <w:kinsoku/>
        <w:overflowPunct/>
        <w:topLinePunct w:val="0"/>
        <w:bidi w:val="0"/>
        <w:spacing w:line="400" w:lineRule="exact"/>
        <w:rPr>
          <w:rFonts w:hint="eastAsia"/>
          <w:color w:val="auto"/>
          <w:sz w:val="32"/>
          <w:szCs w:val="32"/>
          <w:highlight w:val="none"/>
          <w:lang w:val="en-US" w:eastAsia="zh-CN"/>
        </w:rPr>
      </w:pPr>
    </w:p>
    <w:p w14:paraId="021C5DC0">
      <w:pPr>
        <w:pageBreakBefore w:val="0"/>
        <w:kinsoku/>
        <w:overflowPunct/>
        <w:topLinePunct w:val="0"/>
        <w:bidi w:val="0"/>
        <w:spacing w:line="400" w:lineRule="exact"/>
        <w:rPr>
          <w:rFonts w:hint="default"/>
          <w:color w:val="auto"/>
          <w:sz w:val="32"/>
          <w:szCs w:val="32"/>
          <w:highlight w:val="none"/>
          <w:lang w:val="en-US" w:eastAsia="zh-CN"/>
        </w:rPr>
      </w:pPr>
      <w:r>
        <w:rPr>
          <w:rFonts w:hint="eastAsia"/>
          <w:color w:val="auto"/>
          <w:sz w:val="32"/>
          <w:szCs w:val="32"/>
          <w:highlight w:val="none"/>
          <w:lang w:val="en-US" w:eastAsia="zh-CN"/>
        </w:rPr>
        <w:t>施工单位（盖章）：     填表人：             日期：</w:t>
      </w:r>
    </w:p>
    <w:tbl>
      <w:tblPr>
        <w:tblStyle w:val="35"/>
        <w:tblpPr w:leftFromText="180" w:rightFromText="180" w:vertAnchor="page" w:horzAnchor="page" w:tblpX="1015" w:tblpY="3241"/>
        <w:tblOverlap w:val="never"/>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46"/>
        <w:gridCol w:w="1470"/>
        <w:gridCol w:w="1305"/>
        <w:gridCol w:w="1236"/>
        <w:gridCol w:w="1344"/>
        <w:gridCol w:w="1338"/>
      </w:tblGrid>
      <w:tr w14:paraId="2B31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38" w:type="dxa"/>
            <w:vAlign w:val="center"/>
          </w:tcPr>
          <w:p w14:paraId="182D3F67">
            <w:pPr>
              <w:pageBreakBefore w:val="0"/>
              <w:kinsoku/>
              <w:overflowPunct/>
              <w:topLinePunct w:val="0"/>
              <w:bidi w:val="0"/>
              <w:spacing w:after="0" w:line="400" w:lineRule="exact"/>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序号</w:t>
            </w:r>
          </w:p>
        </w:tc>
        <w:tc>
          <w:tcPr>
            <w:tcW w:w="2746" w:type="dxa"/>
            <w:vAlign w:val="center"/>
          </w:tcPr>
          <w:p w14:paraId="6DFB35B3">
            <w:pPr>
              <w:pageBreakBefore w:val="0"/>
              <w:kinsoku/>
              <w:overflowPunct/>
              <w:topLinePunct w:val="0"/>
              <w:bidi w:val="0"/>
              <w:spacing w:after="0" w:line="400" w:lineRule="exact"/>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内容</w:t>
            </w:r>
          </w:p>
        </w:tc>
        <w:tc>
          <w:tcPr>
            <w:tcW w:w="1470" w:type="dxa"/>
            <w:vAlign w:val="center"/>
          </w:tcPr>
          <w:p w14:paraId="48F161CF">
            <w:pPr>
              <w:pageBreakBefore w:val="0"/>
              <w:kinsoku/>
              <w:overflowPunct/>
              <w:topLinePunct w:val="0"/>
              <w:bidi w:val="0"/>
              <w:spacing w:after="0" w:line="400" w:lineRule="exact"/>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规格</w:t>
            </w:r>
          </w:p>
        </w:tc>
        <w:tc>
          <w:tcPr>
            <w:tcW w:w="1305" w:type="dxa"/>
            <w:vAlign w:val="center"/>
          </w:tcPr>
          <w:p w14:paraId="0C6E1470">
            <w:pPr>
              <w:pageBreakBefore w:val="0"/>
              <w:kinsoku/>
              <w:overflowPunct/>
              <w:topLinePunct w:val="0"/>
              <w:bidi w:val="0"/>
              <w:spacing w:after="0" w:line="400" w:lineRule="exact"/>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材质</w:t>
            </w:r>
          </w:p>
        </w:tc>
        <w:tc>
          <w:tcPr>
            <w:tcW w:w="1236" w:type="dxa"/>
            <w:vAlign w:val="center"/>
          </w:tcPr>
          <w:p w14:paraId="2715D9B2">
            <w:pPr>
              <w:pageBreakBefore w:val="0"/>
              <w:kinsoku/>
              <w:overflowPunct/>
              <w:topLinePunct w:val="0"/>
              <w:bidi w:val="0"/>
              <w:spacing w:after="0" w:line="400" w:lineRule="exact"/>
              <w:jc w:val="center"/>
              <w:rPr>
                <w:rFonts w:hint="default"/>
                <w:color w:val="auto"/>
                <w:sz w:val="32"/>
                <w:szCs w:val="32"/>
                <w:highlight w:val="none"/>
                <w:vertAlign w:val="baseline"/>
                <w:lang w:val="en-US" w:eastAsia="zh-CN"/>
              </w:rPr>
            </w:pPr>
            <w:r>
              <w:rPr>
                <w:rFonts w:hint="eastAsia"/>
                <w:color w:val="auto"/>
                <w:sz w:val="32"/>
                <w:szCs w:val="32"/>
                <w:highlight w:val="none"/>
                <w:vertAlign w:val="baseline"/>
                <w:lang w:val="en-US" w:eastAsia="zh-CN"/>
              </w:rPr>
              <w:t>数量</w:t>
            </w:r>
          </w:p>
        </w:tc>
        <w:tc>
          <w:tcPr>
            <w:tcW w:w="1344" w:type="dxa"/>
            <w:vAlign w:val="center"/>
          </w:tcPr>
          <w:p w14:paraId="3EFF4064">
            <w:pPr>
              <w:pageBreakBefore w:val="0"/>
              <w:kinsoku/>
              <w:overflowPunct/>
              <w:topLinePunct w:val="0"/>
              <w:bidi w:val="0"/>
              <w:spacing w:after="0" w:line="400" w:lineRule="exact"/>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费用（元）</w:t>
            </w:r>
          </w:p>
        </w:tc>
        <w:tc>
          <w:tcPr>
            <w:tcW w:w="1338" w:type="dxa"/>
            <w:vAlign w:val="center"/>
          </w:tcPr>
          <w:p w14:paraId="017A725B">
            <w:pPr>
              <w:pageBreakBefore w:val="0"/>
              <w:kinsoku/>
              <w:overflowPunct/>
              <w:topLinePunct w:val="0"/>
              <w:bidi w:val="0"/>
              <w:spacing w:after="0" w:line="400" w:lineRule="exact"/>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备注</w:t>
            </w:r>
          </w:p>
        </w:tc>
      </w:tr>
      <w:tr w14:paraId="61E8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38" w:type="dxa"/>
            <w:vAlign w:val="center"/>
          </w:tcPr>
          <w:p w14:paraId="15EFB9E7">
            <w:pPr>
              <w:pageBreakBefore w:val="0"/>
              <w:kinsoku/>
              <w:overflowPunct/>
              <w:topLinePunct w:val="0"/>
              <w:bidi w:val="0"/>
              <w:spacing w:after="0" w:line="400" w:lineRule="exact"/>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2746" w:type="dxa"/>
            <w:vAlign w:val="center"/>
          </w:tcPr>
          <w:p w14:paraId="19EE423E">
            <w:pPr>
              <w:pageBreakBefore w:val="0"/>
              <w:kinsoku/>
              <w:overflowPunct/>
              <w:topLinePunct w:val="0"/>
              <w:bidi w:val="0"/>
              <w:spacing w:after="0" w:line="400" w:lineRule="exact"/>
              <w:jc w:val="center"/>
              <w:rPr>
                <w:color w:val="auto"/>
                <w:highlight w:val="none"/>
                <w:vertAlign w:val="baseline"/>
              </w:rPr>
            </w:pPr>
          </w:p>
        </w:tc>
        <w:tc>
          <w:tcPr>
            <w:tcW w:w="1470" w:type="dxa"/>
            <w:vAlign w:val="center"/>
          </w:tcPr>
          <w:p w14:paraId="71AD4C5E">
            <w:pPr>
              <w:pageBreakBefore w:val="0"/>
              <w:kinsoku/>
              <w:overflowPunct/>
              <w:topLinePunct w:val="0"/>
              <w:bidi w:val="0"/>
              <w:spacing w:after="0" w:line="400" w:lineRule="exact"/>
              <w:jc w:val="center"/>
              <w:rPr>
                <w:color w:val="auto"/>
                <w:highlight w:val="none"/>
                <w:vertAlign w:val="baseline"/>
              </w:rPr>
            </w:pPr>
          </w:p>
        </w:tc>
        <w:tc>
          <w:tcPr>
            <w:tcW w:w="1305" w:type="dxa"/>
            <w:vAlign w:val="center"/>
          </w:tcPr>
          <w:p w14:paraId="5439D060">
            <w:pPr>
              <w:pageBreakBefore w:val="0"/>
              <w:kinsoku/>
              <w:overflowPunct/>
              <w:topLinePunct w:val="0"/>
              <w:bidi w:val="0"/>
              <w:spacing w:after="0" w:line="400" w:lineRule="exact"/>
              <w:jc w:val="center"/>
              <w:rPr>
                <w:color w:val="auto"/>
                <w:highlight w:val="none"/>
                <w:vertAlign w:val="baseline"/>
              </w:rPr>
            </w:pPr>
          </w:p>
        </w:tc>
        <w:tc>
          <w:tcPr>
            <w:tcW w:w="1236" w:type="dxa"/>
            <w:vAlign w:val="center"/>
          </w:tcPr>
          <w:p w14:paraId="102E49A6">
            <w:pPr>
              <w:pageBreakBefore w:val="0"/>
              <w:kinsoku/>
              <w:overflowPunct/>
              <w:topLinePunct w:val="0"/>
              <w:bidi w:val="0"/>
              <w:spacing w:after="0" w:line="400" w:lineRule="exact"/>
              <w:jc w:val="center"/>
              <w:rPr>
                <w:color w:val="auto"/>
                <w:highlight w:val="none"/>
                <w:vertAlign w:val="baseline"/>
              </w:rPr>
            </w:pPr>
          </w:p>
        </w:tc>
        <w:tc>
          <w:tcPr>
            <w:tcW w:w="1344" w:type="dxa"/>
            <w:vAlign w:val="center"/>
          </w:tcPr>
          <w:p w14:paraId="19E7F4AA">
            <w:pPr>
              <w:pageBreakBefore w:val="0"/>
              <w:kinsoku/>
              <w:overflowPunct/>
              <w:topLinePunct w:val="0"/>
              <w:bidi w:val="0"/>
              <w:spacing w:after="0" w:line="400" w:lineRule="exact"/>
              <w:jc w:val="center"/>
              <w:rPr>
                <w:color w:val="auto"/>
                <w:highlight w:val="none"/>
                <w:vertAlign w:val="baseline"/>
              </w:rPr>
            </w:pPr>
          </w:p>
        </w:tc>
        <w:tc>
          <w:tcPr>
            <w:tcW w:w="1338" w:type="dxa"/>
            <w:vAlign w:val="center"/>
          </w:tcPr>
          <w:p w14:paraId="54E339C9">
            <w:pPr>
              <w:pageBreakBefore w:val="0"/>
              <w:kinsoku/>
              <w:overflowPunct/>
              <w:topLinePunct w:val="0"/>
              <w:bidi w:val="0"/>
              <w:spacing w:after="0" w:line="400" w:lineRule="exact"/>
              <w:jc w:val="center"/>
              <w:rPr>
                <w:color w:val="auto"/>
                <w:highlight w:val="none"/>
                <w:vertAlign w:val="baseline"/>
              </w:rPr>
            </w:pPr>
          </w:p>
        </w:tc>
      </w:tr>
      <w:tr w14:paraId="231E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8" w:type="dxa"/>
            <w:vAlign w:val="center"/>
          </w:tcPr>
          <w:p w14:paraId="37B38934">
            <w:pPr>
              <w:pageBreakBefore w:val="0"/>
              <w:kinsoku/>
              <w:overflowPunct/>
              <w:topLinePunct w:val="0"/>
              <w:bidi w:val="0"/>
              <w:spacing w:after="0" w:line="400" w:lineRule="exact"/>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2746" w:type="dxa"/>
            <w:vAlign w:val="center"/>
          </w:tcPr>
          <w:p w14:paraId="7ACEA558">
            <w:pPr>
              <w:pageBreakBefore w:val="0"/>
              <w:kinsoku/>
              <w:overflowPunct/>
              <w:topLinePunct w:val="0"/>
              <w:bidi w:val="0"/>
              <w:spacing w:after="0" w:line="400" w:lineRule="exact"/>
              <w:jc w:val="center"/>
              <w:rPr>
                <w:color w:val="auto"/>
                <w:highlight w:val="none"/>
                <w:vertAlign w:val="baseline"/>
              </w:rPr>
            </w:pPr>
          </w:p>
        </w:tc>
        <w:tc>
          <w:tcPr>
            <w:tcW w:w="1470" w:type="dxa"/>
            <w:vAlign w:val="center"/>
          </w:tcPr>
          <w:p w14:paraId="68A67855">
            <w:pPr>
              <w:pageBreakBefore w:val="0"/>
              <w:kinsoku/>
              <w:overflowPunct/>
              <w:topLinePunct w:val="0"/>
              <w:bidi w:val="0"/>
              <w:spacing w:after="0" w:line="400" w:lineRule="exact"/>
              <w:jc w:val="center"/>
              <w:rPr>
                <w:color w:val="auto"/>
                <w:highlight w:val="none"/>
                <w:vertAlign w:val="baseline"/>
              </w:rPr>
            </w:pPr>
          </w:p>
        </w:tc>
        <w:tc>
          <w:tcPr>
            <w:tcW w:w="1305" w:type="dxa"/>
            <w:vAlign w:val="center"/>
          </w:tcPr>
          <w:p w14:paraId="7901B4D1">
            <w:pPr>
              <w:pageBreakBefore w:val="0"/>
              <w:kinsoku/>
              <w:overflowPunct/>
              <w:topLinePunct w:val="0"/>
              <w:bidi w:val="0"/>
              <w:spacing w:after="0" w:line="400" w:lineRule="exact"/>
              <w:jc w:val="center"/>
              <w:rPr>
                <w:color w:val="auto"/>
                <w:highlight w:val="none"/>
                <w:vertAlign w:val="baseline"/>
              </w:rPr>
            </w:pPr>
          </w:p>
        </w:tc>
        <w:tc>
          <w:tcPr>
            <w:tcW w:w="1236" w:type="dxa"/>
            <w:vAlign w:val="center"/>
          </w:tcPr>
          <w:p w14:paraId="32E8C06F">
            <w:pPr>
              <w:pageBreakBefore w:val="0"/>
              <w:kinsoku/>
              <w:overflowPunct/>
              <w:topLinePunct w:val="0"/>
              <w:bidi w:val="0"/>
              <w:spacing w:after="0" w:line="400" w:lineRule="exact"/>
              <w:jc w:val="center"/>
              <w:rPr>
                <w:color w:val="auto"/>
                <w:highlight w:val="none"/>
                <w:vertAlign w:val="baseline"/>
              </w:rPr>
            </w:pPr>
          </w:p>
        </w:tc>
        <w:tc>
          <w:tcPr>
            <w:tcW w:w="1344" w:type="dxa"/>
            <w:vAlign w:val="center"/>
          </w:tcPr>
          <w:p w14:paraId="1534D7E3">
            <w:pPr>
              <w:pageBreakBefore w:val="0"/>
              <w:kinsoku/>
              <w:overflowPunct/>
              <w:topLinePunct w:val="0"/>
              <w:bidi w:val="0"/>
              <w:spacing w:after="0" w:line="400" w:lineRule="exact"/>
              <w:jc w:val="center"/>
              <w:rPr>
                <w:color w:val="auto"/>
                <w:highlight w:val="none"/>
                <w:vertAlign w:val="baseline"/>
              </w:rPr>
            </w:pPr>
          </w:p>
        </w:tc>
        <w:tc>
          <w:tcPr>
            <w:tcW w:w="1338" w:type="dxa"/>
            <w:vAlign w:val="center"/>
          </w:tcPr>
          <w:p w14:paraId="3864A7D4">
            <w:pPr>
              <w:pageBreakBefore w:val="0"/>
              <w:kinsoku/>
              <w:overflowPunct/>
              <w:topLinePunct w:val="0"/>
              <w:bidi w:val="0"/>
              <w:spacing w:after="0" w:line="400" w:lineRule="exact"/>
              <w:jc w:val="center"/>
              <w:rPr>
                <w:color w:val="auto"/>
                <w:highlight w:val="none"/>
                <w:vertAlign w:val="baseline"/>
              </w:rPr>
            </w:pPr>
          </w:p>
        </w:tc>
      </w:tr>
      <w:tr w14:paraId="23EE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38" w:type="dxa"/>
            <w:vAlign w:val="center"/>
          </w:tcPr>
          <w:p w14:paraId="6ADB2371">
            <w:pPr>
              <w:pageBreakBefore w:val="0"/>
              <w:kinsoku/>
              <w:overflowPunct/>
              <w:topLinePunct w:val="0"/>
              <w:bidi w:val="0"/>
              <w:spacing w:after="0" w:line="400" w:lineRule="exact"/>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2746" w:type="dxa"/>
            <w:vAlign w:val="center"/>
          </w:tcPr>
          <w:p w14:paraId="423B8CA4">
            <w:pPr>
              <w:pageBreakBefore w:val="0"/>
              <w:kinsoku/>
              <w:overflowPunct/>
              <w:topLinePunct w:val="0"/>
              <w:bidi w:val="0"/>
              <w:spacing w:after="0" w:line="400" w:lineRule="exact"/>
              <w:jc w:val="center"/>
              <w:rPr>
                <w:color w:val="auto"/>
                <w:highlight w:val="none"/>
                <w:vertAlign w:val="baseline"/>
              </w:rPr>
            </w:pPr>
          </w:p>
        </w:tc>
        <w:tc>
          <w:tcPr>
            <w:tcW w:w="1470" w:type="dxa"/>
            <w:vAlign w:val="center"/>
          </w:tcPr>
          <w:p w14:paraId="0BC66F9E">
            <w:pPr>
              <w:pageBreakBefore w:val="0"/>
              <w:kinsoku/>
              <w:overflowPunct/>
              <w:topLinePunct w:val="0"/>
              <w:bidi w:val="0"/>
              <w:spacing w:after="0" w:line="400" w:lineRule="exact"/>
              <w:jc w:val="center"/>
              <w:rPr>
                <w:color w:val="auto"/>
                <w:highlight w:val="none"/>
                <w:vertAlign w:val="baseline"/>
              </w:rPr>
            </w:pPr>
          </w:p>
        </w:tc>
        <w:tc>
          <w:tcPr>
            <w:tcW w:w="1305" w:type="dxa"/>
            <w:vAlign w:val="center"/>
          </w:tcPr>
          <w:p w14:paraId="0630F687">
            <w:pPr>
              <w:pageBreakBefore w:val="0"/>
              <w:kinsoku/>
              <w:overflowPunct/>
              <w:topLinePunct w:val="0"/>
              <w:bidi w:val="0"/>
              <w:spacing w:after="0" w:line="400" w:lineRule="exact"/>
              <w:jc w:val="center"/>
              <w:rPr>
                <w:color w:val="auto"/>
                <w:highlight w:val="none"/>
                <w:vertAlign w:val="baseline"/>
              </w:rPr>
            </w:pPr>
          </w:p>
        </w:tc>
        <w:tc>
          <w:tcPr>
            <w:tcW w:w="1236" w:type="dxa"/>
            <w:vAlign w:val="center"/>
          </w:tcPr>
          <w:p w14:paraId="72E3610B">
            <w:pPr>
              <w:pageBreakBefore w:val="0"/>
              <w:kinsoku/>
              <w:overflowPunct/>
              <w:topLinePunct w:val="0"/>
              <w:bidi w:val="0"/>
              <w:spacing w:after="0" w:line="400" w:lineRule="exact"/>
              <w:jc w:val="center"/>
              <w:rPr>
                <w:color w:val="auto"/>
                <w:highlight w:val="none"/>
                <w:vertAlign w:val="baseline"/>
              </w:rPr>
            </w:pPr>
          </w:p>
        </w:tc>
        <w:tc>
          <w:tcPr>
            <w:tcW w:w="1344" w:type="dxa"/>
            <w:vAlign w:val="center"/>
          </w:tcPr>
          <w:p w14:paraId="42B6636C">
            <w:pPr>
              <w:pageBreakBefore w:val="0"/>
              <w:kinsoku/>
              <w:overflowPunct/>
              <w:topLinePunct w:val="0"/>
              <w:bidi w:val="0"/>
              <w:spacing w:after="0" w:line="400" w:lineRule="exact"/>
              <w:jc w:val="center"/>
              <w:rPr>
                <w:color w:val="auto"/>
                <w:highlight w:val="none"/>
                <w:vertAlign w:val="baseline"/>
              </w:rPr>
            </w:pPr>
          </w:p>
        </w:tc>
        <w:tc>
          <w:tcPr>
            <w:tcW w:w="1338" w:type="dxa"/>
            <w:vAlign w:val="center"/>
          </w:tcPr>
          <w:p w14:paraId="6766F4F2">
            <w:pPr>
              <w:pageBreakBefore w:val="0"/>
              <w:kinsoku/>
              <w:overflowPunct/>
              <w:topLinePunct w:val="0"/>
              <w:bidi w:val="0"/>
              <w:spacing w:after="0" w:line="400" w:lineRule="exact"/>
              <w:jc w:val="center"/>
              <w:rPr>
                <w:color w:val="auto"/>
                <w:highlight w:val="none"/>
                <w:vertAlign w:val="baseline"/>
              </w:rPr>
            </w:pPr>
          </w:p>
        </w:tc>
      </w:tr>
      <w:tr w14:paraId="5842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38" w:type="dxa"/>
            <w:vAlign w:val="center"/>
          </w:tcPr>
          <w:p w14:paraId="7BA87885">
            <w:pPr>
              <w:pageBreakBefore w:val="0"/>
              <w:kinsoku/>
              <w:overflowPunct/>
              <w:topLinePunct w:val="0"/>
              <w:bidi w:val="0"/>
              <w:spacing w:after="0" w:line="400" w:lineRule="exact"/>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2746" w:type="dxa"/>
            <w:vAlign w:val="center"/>
          </w:tcPr>
          <w:p w14:paraId="1B18C740">
            <w:pPr>
              <w:pageBreakBefore w:val="0"/>
              <w:kinsoku/>
              <w:overflowPunct/>
              <w:topLinePunct w:val="0"/>
              <w:bidi w:val="0"/>
              <w:spacing w:after="0" w:line="400" w:lineRule="exact"/>
              <w:jc w:val="center"/>
              <w:rPr>
                <w:color w:val="auto"/>
                <w:highlight w:val="none"/>
                <w:vertAlign w:val="baseline"/>
              </w:rPr>
            </w:pPr>
          </w:p>
        </w:tc>
        <w:tc>
          <w:tcPr>
            <w:tcW w:w="1470" w:type="dxa"/>
            <w:vAlign w:val="center"/>
          </w:tcPr>
          <w:p w14:paraId="1236929A">
            <w:pPr>
              <w:pageBreakBefore w:val="0"/>
              <w:kinsoku/>
              <w:overflowPunct/>
              <w:topLinePunct w:val="0"/>
              <w:bidi w:val="0"/>
              <w:spacing w:after="0" w:line="400" w:lineRule="exact"/>
              <w:jc w:val="center"/>
              <w:rPr>
                <w:color w:val="auto"/>
                <w:highlight w:val="none"/>
                <w:vertAlign w:val="baseline"/>
              </w:rPr>
            </w:pPr>
          </w:p>
        </w:tc>
        <w:tc>
          <w:tcPr>
            <w:tcW w:w="1305" w:type="dxa"/>
            <w:vAlign w:val="center"/>
          </w:tcPr>
          <w:p w14:paraId="7E26964C">
            <w:pPr>
              <w:pageBreakBefore w:val="0"/>
              <w:kinsoku/>
              <w:overflowPunct/>
              <w:topLinePunct w:val="0"/>
              <w:bidi w:val="0"/>
              <w:spacing w:after="0" w:line="400" w:lineRule="exact"/>
              <w:jc w:val="center"/>
              <w:rPr>
                <w:color w:val="auto"/>
                <w:highlight w:val="none"/>
                <w:vertAlign w:val="baseline"/>
              </w:rPr>
            </w:pPr>
          </w:p>
        </w:tc>
        <w:tc>
          <w:tcPr>
            <w:tcW w:w="1236" w:type="dxa"/>
            <w:vAlign w:val="center"/>
          </w:tcPr>
          <w:p w14:paraId="7EF79D10">
            <w:pPr>
              <w:pageBreakBefore w:val="0"/>
              <w:kinsoku/>
              <w:overflowPunct/>
              <w:topLinePunct w:val="0"/>
              <w:bidi w:val="0"/>
              <w:spacing w:after="0" w:line="400" w:lineRule="exact"/>
              <w:jc w:val="center"/>
              <w:rPr>
                <w:color w:val="auto"/>
                <w:highlight w:val="none"/>
                <w:vertAlign w:val="baseline"/>
              </w:rPr>
            </w:pPr>
          </w:p>
        </w:tc>
        <w:tc>
          <w:tcPr>
            <w:tcW w:w="1344" w:type="dxa"/>
            <w:vAlign w:val="center"/>
          </w:tcPr>
          <w:p w14:paraId="579F7581">
            <w:pPr>
              <w:pageBreakBefore w:val="0"/>
              <w:kinsoku/>
              <w:overflowPunct/>
              <w:topLinePunct w:val="0"/>
              <w:bidi w:val="0"/>
              <w:spacing w:after="0" w:line="400" w:lineRule="exact"/>
              <w:jc w:val="center"/>
              <w:rPr>
                <w:color w:val="auto"/>
                <w:highlight w:val="none"/>
                <w:vertAlign w:val="baseline"/>
              </w:rPr>
            </w:pPr>
          </w:p>
        </w:tc>
        <w:tc>
          <w:tcPr>
            <w:tcW w:w="1338" w:type="dxa"/>
            <w:vAlign w:val="center"/>
          </w:tcPr>
          <w:p w14:paraId="4E70BA56">
            <w:pPr>
              <w:pageBreakBefore w:val="0"/>
              <w:kinsoku/>
              <w:overflowPunct/>
              <w:topLinePunct w:val="0"/>
              <w:bidi w:val="0"/>
              <w:spacing w:after="0" w:line="400" w:lineRule="exact"/>
              <w:jc w:val="center"/>
              <w:rPr>
                <w:color w:val="auto"/>
                <w:highlight w:val="none"/>
                <w:vertAlign w:val="baseline"/>
              </w:rPr>
            </w:pPr>
          </w:p>
        </w:tc>
      </w:tr>
      <w:tr w14:paraId="586B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38" w:type="dxa"/>
            <w:vAlign w:val="center"/>
          </w:tcPr>
          <w:p w14:paraId="7DAEECA1">
            <w:pPr>
              <w:pageBreakBefore w:val="0"/>
              <w:kinsoku/>
              <w:overflowPunct/>
              <w:topLinePunct w:val="0"/>
              <w:bidi w:val="0"/>
              <w:spacing w:after="0" w:line="400" w:lineRule="exact"/>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2746" w:type="dxa"/>
            <w:vAlign w:val="center"/>
          </w:tcPr>
          <w:p w14:paraId="0AD32F3C">
            <w:pPr>
              <w:pageBreakBefore w:val="0"/>
              <w:kinsoku/>
              <w:overflowPunct/>
              <w:topLinePunct w:val="0"/>
              <w:bidi w:val="0"/>
              <w:spacing w:after="0" w:line="400" w:lineRule="exact"/>
              <w:jc w:val="center"/>
              <w:rPr>
                <w:color w:val="auto"/>
                <w:highlight w:val="none"/>
                <w:vertAlign w:val="baseline"/>
              </w:rPr>
            </w:pPr>
          </w:p>
        </w:tc>
        <w:tc>
          <w:tcPr>
            <w:tcW w:w="1470" w:type="dxa"/>
            <w:vAlign w:val="center"/>
          </w:tcPr>
          <w:p w14:paraId="2C484547">
            <w:pPr>
              <w:pageBreakBefore w:val="0"/>
              <w:kinsoku/>
              <w:overflowPunct/>
              <w:topLinePunct w:val="0"/>
              <w:bidi w:val="0"/>
              <w:spacing w:after="0" w:line="400" w:lineRule="exact"/>
              <w:jc w:val="center"/>
              <w:rPr>
                <w:color w:val="auto"/>
                <w:highlight w:val="none"/>
                <w:vertAlign w:val="baseline"/>
              </w:rPr>
            </w:pPr>
          </w:p>
        </w:tc>
        <w:tc>
          <w:tcPr>
            <w:tcW w:w="1305" w:type="dxa"/>
            <w:vAlign w:val="center"/>
          </w:tcPr>
          <w:p w14:paraId="1A97A39F">
            <w:pPr>
              <w:pageBreakBefore w:val="0"/>
              <w:kinsoku/>
              <w:overflowPunct/>
              <w:topLinePunct w:val="0"/>
              <w:bidi w:val="0"/>
              <w:spacing w:after="0" w:line="400" w:lineRule="exact"/>
              <w:jc w:val="center"/>
              <w:rPr>
                <w:color w:val="auto"/>
                <w:highlight w:val="none"/>
                <w:vertAlign w:val="baseline"/>
              </w:rPr>
            </w:pPr>
          </w:p>
        </w:tc>
        <w:tc>
          <w:tcPr>
            <w:tcW w:w="1236" w:type="dxa"/>
            <w:vAlign w:val="center"/>
          </w:tcPr>
          <w:p w14:paraId="2AF2D384">
            <w:pPr>
              <w:pageBreakBefore w:val="0"/>
              <w:kinsoku/>
              <w:overflowPunct/>
              <w:topLinePunct w:val="0"/>
              <w:bidi w:val="0"/>
              <w:spacing w:after="0" w:line="400" w:lineRule="exact"/>
              <w:jc w:val="center"/>
              <w:rPr>
                <w:color w:val="auto"/>
                <w:highlight w:val="none"/>
                <w:vertAlign w:val="baseline"/>
              </w:rPr>
            </w:pPr>
          </w:p>
        </w:tc>
        <w:tc>
          <w:tcPr>
            <w:tcW w:w="1344" w:type="dxa"/>
            <w:vAlign w:val="center"/>
          </w:tcPr>
          <w:p w14:paraId="4D13515C">
            <w:pPr>
              <w:pageBreakBefore w:val="0"/>
              <w:kinsoku/>
              <w:overflowPunct/>
              <w:topLinePunct w:val="0"/>
              <w:bidi w:val="0"/>
              <w:spacing w:after="0" w:line="400" w:lineRule="exact"/>
              <w:jc w:val="center"/>
              <w:rPr>
                <w:color w:val="auto"/>
                <w:highlight w:val="none"/>
                <w:vertAlign w:val="baseline"/>
              </w:rPr>
            </w:pPr>
          </w:p>
        </w:tc>
        <w:tc>
          <w:tcPr>
            <w:tcW w:w="1338" w:type="dxa"/>
            <w:vAlign w:val="center"/>
          </w:tcPr>
          <w:p w14:paraId="6B22A574">
            <w:pPr>
              <w:pageBreakBefore w:val="0"/>
              <w:kinsoku/>
              <w:overflowPunct/>
              <w:topLinePunct w:val="0"/>
              <w:bidi w:val="0"/>
              <w:spacing w:after="0" w:line="400" w:lineRule="exact"/>
              <w:jc w:val="center"/>
              <w:rPr>
                <w:color w:val="auto"/>
                <w:highlight w:val="none"/>
                <w:vertAlign w:val="baseline"/>
              </w:rPr>
            </w:pPr>
          </w:p>
        </w:tc>
      </w:tr>
    </w:tbl>
    <w:p w14:paraId="033A3D20">
      <w:pPr>
        <w:pageBreakBefore w:val="0"/>
        <w:kinsoku/>
        <w:overflowPunct/>
        <w:topLinePunct w:val="0"/>
        <w:bidi w:val="0"/>
        <w:spacing w:line="400" w:lineRule="exact"/>
        <w:rPr>
          <w:rFonts w:hint="eastAsia"/>
          <w:color w:val="auto"/>
          <w:highlight w:val="none"/>
          <w:lang w:val="en-US" w:eastAsia="zh-CN"/>
        </w:rPr>
      </w:pPr>
    </w:p>
    <w:p w14:paraId="7420D5DD">
      <w:pPr>
        <w:pageBreakBefore w:val="0"/>
        <w:kinsoku/>
        <w:overflowPunct/>
        <w:topLinePunct w:val="0"/>
        <w:bidi w:val="0"/>
        <w:spacing w:line="400" w:lineRule="exact"/>
        <w:ind w:firstLine="210" w:firstLineChars="100"/>
        <w:rPr>
          <w:rFonts w:hint="default"/>
          <w:color w:val="auto"/>
          <w:highlight w:val="none"/>
          <w:lang w:val="en-US" w:eastAsia="zh-CN"/>
        </w:rPr>
      </w:pPr>
      <w:r>
        <w:rPr>
          <w:rFonts w:hint="eastAsia"/>
          <w:color w:val="auto"/>
          <w:highlight w:val="none"/>
          <w:lang w:val="en-US" w:eastAsia="zh-CN"/>
        </w:rPr>
        <w:t>注：1.此表作为施工方结算安全文明施工费的依据，不提供的该费用不予结算。2.在申请工程款时一并提交，并附上现场图片。3.监理单位负有审核责</w:t>
      </w:r>
      <w:r>
        <w:rPr>
          <w:rFonts w:hint="eastAsia"/>
          <w:color w:val="auto"/>
          <w:highlight w:val="none"/>
          <w:lang w:val="en-US" w:eastAsia="zh-CN"/>
        </w:rPr>
        <w:t>任，</w:t>
      </w:r>
      <w:r>
        <w:rPr>
          <w:rFonts w:hint="eastAsia"/>
          <w:color w:val="auto"/>
          <w:highlight w:val="none"/>
          <w:lang w:val="en-US" w:eastAsia="zh-CN"/>
        </w:rPr>
        <w:t>因监理不到位按合同相关条款约定追究责任。4.</w:t>
      </w:r>
      <w:r>
        <w:rPr>
          <w:rFonts w:hint="eastAsia" w:ascii="宋体" w:hAnsi="宋体" w:eastAsia="宋体" w:cs="宋体"/>
          <w:i w:val="0"/>
          <w:iCs w:val="0"/>
          <w:color w:val="auto"/>
          <w:kern w:val="0"/>
          <w:sz w:val="22"/>
          <w:szCs w:val="22"/>
          <w:highlight w:val="none"/>
          <w:u w:val="none"/>
          <w:lang w:val="en-US" w:eastAsia="zh-CN" w:bidi="ar"/>
        </w:rPr>
        <w:t>施工单位对该表的真实性负责，因弄虚作假后果自负。</w:t>
      </w:r>
    </w:p>
    <w:p w14:paraId="77244B40">
      <w:pPr>
        <w:pageBreakBefore w:val="0"/>
        <w:kinsoku/>
        <w:overflowPunct/>
        <w:topLinePunct w:val="0"/>
        <w:bidi w:val="0"/>
        <w:spacing w:line="400" w:lineRule="exact"/>
        <w:rPr>
          <w:color w:val="auto"/>
          <w:highlight w:val="none"/>
        </w:rPr>
      </w:pPr>
    </w:p>
    <w:p w14:paraId="4FBE0E2C">
      <w:pPr>
        <w:pageBreakBefore w:val="0"/>
        <w:kinsoku/>
        <w:overflowPunct/>
        <w:topLinePunct w:val="0"/>
        <w:bidi w:val="0"/>
        <w:spacing w:line="400" w:lineRule="exact"/>
        <w:rPr>
          <w:color w:val="auto"/>
          <w:highlight w:val="none"/>
        </w:rPr>
      </w:pPr>
    </w:p>
    <w:p w14:paraId="33F2B003">
      <w:pPr>
        <w:pageBreakBefore w:val="0"/>
        <w:kinsoku/>
        <w:overflowPunct/>
        <w:topLinePunct w:val="0"/>
        <w:bidi w:val="0"/>
        <w:spacing w:line="400" w:lineRule="exact"/>
        <w:rPr>
          <w:color w:val="auto"/>
          <w:highlight w:val="none"/>
        </w:rPr>
      </w:pPr>
    </w:p>
    <w:p w14:paraId="40DB91DA">
      <w:pPr>
        <w:pageBreakBefore w:val="0"/>
        <w:kinsoku/>
        <w:overflowPunct/>
        <w:topLinePunct w:val="0"/>
        <w:bidi w:val="0"/>
        <w:spacing w:line="400" w:lineRule="exact"/>
        <w:rPr>
          <w:color w:val="auto"/>
          <w:highlight w:val="none"/>
        </w:rPr>
      </w:pPr>
    </w:p>
    <w:p w14:paraId="5C0C2C3B">
      <w:pPr>
        <w:pageBreakBefore w:val="0"/>
        <w:kinsoku/>
        <w:overflowPunct/>
        <w:topLinePunct w:val="0"/>
        <w:bidi w:val="0"/>
        <w:spacing w:line="400" w:lineRule="exact"/>
        <w:rPr>
          <w:color w:val="auto"/>
          <w:highlight w:val="none"/>
        </w:rPr>
      </w:pPr>
    </w:p>
    <w:p w14:paraId="7EF00DED">
      <w:pPr>
        <w:pageBreakBefore w:val="0"/>
        <w:kinsoku/>
        <w:overflowPunct/>
        <w:topLinePunct w:val="0"/>
        <w:bidi w:val="0"/>
        <w:spacing w:line="400" w:lineRule="exact"/>
        <w:rPr>
          <w:color w:val="auto"/>
          <w:highlight w:val="none"/>
        </w:rPr>
      </w:pPr>
    </w:p>
    <w:p w14:paraId="2F5C7A36">
      <w:pPr>
        <w:pageBreakBefore w:val="0"/>
        <w:kinsoku/>
        <w:overflowPunct/>
        <w:topLinePunct w:val="0"/>
        <w:bidi w:val="0"/>
        <w:spacing w:line="400" w:lineRule="exact"/>
        <w:rPr>
          <w:color w:val="auto"/>
          <w:highlight w:val="none"/>
        </w:rPr>
      </w:pPr>
    </w:p>
    <w:p w14:paraId="62B358E3">
      <w:pPr>
        <w:pageBreakBefore w:val="0"/>
        <w:kinsoku/>
        <w:overflowPunct/>
        <w:topLinePunct w:val="0"/>
        <w:bidi w:val="0"/>
        <w:spacing w:line="400" w:lineRule="exact"/>
        <w:rPr>
          <w:color w:val="auto"/>
          <w:highlight w:val="none"/>
        </w:rPr>
      </w:pPr>
    </w:p>
    <w:p w14:paraId="2276D137">
      <w:pPr>
        <w:pageBreakBefore w:val="0"/>
        <w:kinsoku/>
        <w:overflowPunct/>
        <w:topLinePunct w:val="0"/>
        <w:bidi w:val="0"/>
        <w:spacing w:line="400" w:lineRule="exact"/>
        <w:rPr>
          <w:color w:val="auto"/>
          <w:highlight w:val="none"/>
        </w:rPr>
      </w:pPr>
    </w:p>
    <w:p w14:paraId="1E984578">
      <w:pPr>
        <w:pageBreakBefore w:val="0"/>
        <w:kinsoku/>
        <w:overflowPunct/>
        <w:topLinePunct w:val="0"/>
        <w:bidi w:val="0"/>
        <w:spacing w:line="400" w:lineRule="exact"/>
        <w:rPr>
          <w:color w:val="auto"/>
          <w:highlight w:val="none"/>
        </w:rPr>
      </w:pPr>
    </w:p>
    <w:p w14:paraId="3EB4F7B5">
      <w:pPr>
        <w:pageBreakBefore w:val="0"/>
        <w:kinsoku/>
        <w:overflowPunct/>
        <w:topLinePunct w:val="0"/>
        <w:bidi w:val="0"/>
        <w:spacing w:line="400" w:lineRule="exact"/>
        <w:rPr>
          <w:color w:val="auto"/>
          <w:highlight w:val="none"/>
        </w:rPr>
      </w:pPr>
    </w:p>
    <w:p w14:paraId="134405A7">
      <w:pPr>
        <w:pageBreakBefore w:val="0"/>
        <w:kinsoku/>
        <w:overflowPunct/>
        <w:topLinePunct w:val="0"/>
        <w:bidi w:val="0"/>
        <w:spacing w:line="400" w:lineRule="exact"/>
        <w:rPr>
          <w:color w:val="auto"/>
          <w:highlight w:val="none"/>
        </w:rPr>
      </w:pPr>
    </w:p>
    <w:p w14:paraId="5D53C6EF">
      <w:pPr>
        <w:pageBreakBefore w:val="0"/>
        <w:kinsoku/>
        <w:overflowPunct/>
        <w:topLinePunct w:val="0"/>
        <w:bidi w:val="0"/>
        <w:spacing w:line="400" w:lineRule="exact"/>
        <w:rPr>
          <w:color w:val="auto"/>
          <w:highlight w:val="none"/>
        </w:rPr>
      </w:pPr>
    </w:p>
    <w:p w14:paraId="39DFC67E">
      <w:pPr>
        <w:pageBreakBefore w:val="0"/>
        <w:kinsoku/>
        <w:overflowPunct/>
        <w:topLinePunct w:val="0"/>
        <w:bidi w:val="0"/>
        <w:spacing w:line="400" w:lineRule="exact"/>
        <w:rPr>
          <w:rFonts w:hint="default" w:eastAsia="宋体"/>
          <w:color w:val="auto"/>
          <w:highlight w:val="none"/>
          <w:lang w:val="en-US" w:eastAsia="zh-CN"/>
        </w:rPr>
      </w:pPr>
      <w:r>
        <w:rPr>
          <w:rFonts w:hint="eastAsia"/>
          <w:color w:val="auto"/>
          <w:highlight w:val="none"/>
          <w:lang w:val="en-US" w:eastAsia="zh-CN"/>
        </w:rPr>
        <w:t>附件17：</w:t>
      </w:r>
    </w:p>
    <w:tbl>
      <w:tblPr>
        <w:tblStyle w:val="34"/>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705"/>
        <w:gridCol w:w="705"/>
        <w:gridCol w:w="705"/>
        <w:gridCol w:w="705"/>
        <w:gridCol w:w="705"/>
        <w:gridCol w:w="705"/>
        <w:gridCol w:w="705"/>
        <w:gridCol w:w="705"/>
        <w:gridCol w:w="705"/>
        <w:gridCol w:w="705"/>
        <w:gridCol w:w="705"/>
      </w:tblGrid>
      <w:tr w14:paraId="4E88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8460" w:type="dxa"/>
            <w:gridSpan w:val="12"/>
            <w:tcBorders>
              <w:top w:val="nil"/>
              <w:left w:val="nil"/>
              <w:bottom w:val="nil"/>
              <w:right w:val="nil"/>
            </w:tcBorders>
            <w:shd w:val="clear" w:color="auto" w:fill="auto"/>
            <w:vAlign w:val="center"/>
          </w:tcPr>
          <w:p w14:paraId="46F88054">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36"/>
                <w:szCs w:val="36"/>
                <w:highlight w:val="none"/>
                <w:u w:val="single"/>
              </w:rPr>
            </w:pPr>
            <w:r>
              <w:rPr>
                <w:rFonts w:hint="eastAsia" w:ascii="宋体" w:hAnsi="宋体" w:eastAsia="宋体" w:cs="宋体"/>
                <w:i w:val="0"/>
                <w:iCs w:val="0"/>
                <w:color w:val="auto"/>
                <w:kern w:val="0"/>
                <w:sz w:val="36"/>
                <w:szCs w:val="36"/>
                <w:highlight w:val="none"/>
                <w:u w:val="single"/>
                <w:lang w:val="en-US" w:eastAsia="zh-CN" w:bidi="ar"/>
              </w:rPr>
              <w:t xml:space="preserve">                   </w:t>
            </w:r>
            <w:r>
              <w:rPr>
                <w:rFonts w:hint="eastAsia" w:ascii="宋体" w:hAnsi="宋体" w:eastAsia="宋体" w:cs="宋体"/>
                <w:i w:val="0"/>
                <w:iCs w:val="0"/>
                <w:color w:val="auto"/>
                <w:kern w:val="0"/>
                <w:sz w:val="36"/>
                <w:szCs w:val="36"/>
                <w:highlight w:val="none"/>
                <w:u w:val="none"/>
                <w:lang w:val="en-US" w:eastAsia="zh-CN" w:bidi="ar"/>
              </w:rPr>
              <w:t>项目原材料进场登记表</w:t>
            </w:r>
          </w:p>
        </w:tc>
      </w:tr>
      <w:tr w14:paraId="3CF8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115" w:type="dxa"/>
            <w:gridSpan w:val="3"/>
            <w:tcBorders>
              <w:top w:val="nil"/>
              <w:left w:val="nil"/>
              <w:bottom w:val="nil"/>
              <w:right w:val="nil"/>
            </w:tcBorders>
            <w:shd w:val="clear" w:color="auto" w:fill="auto"/>
            <w:vAlign w:val="center"/>
          </w:tcPr>
          <w:p w14:paraId="6451E1DE">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施工单位（盖章）：</w:t>
            </w:r>
          </w:p>
        </w:tc>
        <w:tc>
          <w:tcPr>
            <w:tcW w:w="705" w:type="dxa"/>
            <w:tcBorders>
              <w:top w:val="nil"/>
              <w:left w:val="nil"/>
              <w:bottom w:val="nil"/>
              <w:right w:val="nil"/>
            </w:tcBorders>
            <w:shd w:val="clear" w:color="auto" w:fill="auto"/>
            <w:vAlign w:val="center"/>
          </w:tcPr>
          <w:p w14:paraId="55A834C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7DB8586D">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34CE6DD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0776252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0ED4D493">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登记人：</w:t>
            </w:r>
          </w:p>
        </w:tc>
        <w:tc>
          <w:tcPr>
            <w:tcW w:w="705" w:type="dxa"/>
            <w:tcBorders>
              <w:top w:val="nil"/>
              <w:left w:val="nil"/>
              <w:bottom w:val="nil"/>
              <w:right w:val="nil"/>
            </w:tcBorders>
            <w:shd w:val="clear" w:color="auto" w:fill="auto"/>
            <w:vAlign w:val="center"/>
          </w:tcPr>
          <w:p w14:paraId="38A7494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7AE09CD0">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w:t>
            </w:r>
          </w:p>
        </w:tc>
        <w:tc>
          <w:tcPr>
            <w:tcW w:w="705" w:type="dxa"/>
            <w:tcBorders>
              <w:top w:val="nil"/>
              <w:left w:val="nil"/>
              <w:bottom w:val="nil"/>
              <w:right w:val="nil"/>
            </w:tcBorders>
            <w:shd w:val="clear" w:color="auto" w:fill="auto"/>
            <w:vAlign w:val="center"/>
          </w:tcPr>
          <w:p w14:paraId="09E72D8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2F11F74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011A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20B">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19EE">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1D8">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05B">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7A2">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2382">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等级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2BEE">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3E59">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43A">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08C2">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施工人员签字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38D3">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监理人员签字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7E94">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1B5A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F0C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33FD">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D17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45A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B19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BDD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C7E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609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743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DDF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63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86D">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012B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AE6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BE0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EB5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E6D">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2A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8F6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C73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D4D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7BE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791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FC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25D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3385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FFC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324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ADF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79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BD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AD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01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577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39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781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B2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65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3631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45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3E6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6E2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0B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A6F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E72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C3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AD2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7D7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CC8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20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11D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4049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56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8E8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19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463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BFB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381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44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A1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121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AFF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AF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EAA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45CC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45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6D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D7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321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1D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38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7B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A83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85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F2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6ED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7BF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6678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F89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F53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813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66B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53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EF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371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F46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BAB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AA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AE2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2C9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0A88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52F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46B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6D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E6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6D0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C9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097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13E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A95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74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C2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80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116D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2D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6DC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870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B2E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C8D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86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9D5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764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C8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C71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0B7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3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00CC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8460" w:type="dxa"/>
            <w:gridSpan w:val="12"/>
            <w:tcBorders>
              <w:top w:val="nil"/>
              <w:left w:val="nil"/>
              <w:bottom w:val="nil"/>
              <w:right w:val="nil"/>
            </w:tcBorders>
            <w:shd w:val="clear" w:color="auto" w:fill="auto"/>
            <w:vAlign w:val="center"/>
          </w:tcPr>
          <w:p w14:paraId="3766CBFF">
            <w:pPr>
              <w:keepNext w:val="0"/>
              <w:keepLines w:val="0"/>
              <w:pageBreakBefore w:val="0"/>
              <w:widowControl/>
              <w:suppressLineNumbers w:val="0"/>
              <w:kinsoku/>
              <w:overflowPunct/>
              <w:topLinePunct w:val="0"/>
              <w:bidi w:val="0"/>
              <w:spacing w:line="400" w:lineRule="exact"/>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注：该表作为工程款申请附件，与请款函一并提交1.施工方原材料进场要提前通知监理方、现场监督管理员。2.施工方要提供原材料相关合格证、采购单、出货单等，将以上资料发给业主审核存档。3.</w:t>
            </w:r>
            <w:r>
              <w:rPr>
                <w:rFonts w:hint="eastAsia"/>
                <w:color w:val="auto"/>
                <w:highlight w:val="none"/>
                <w:lang w:val="en-US" w:eastAsia="zh-CN"/>
              </w:rPr>
              <w:t>监理单位负有审核责任，因监理不到位按合同相关条款约定追究责任。</w:t>
            </w:r>
            <w:r>
              <w:rPr>
                <w:rFonts w:hint="eastAsia" w:ascii="宋体" w:hAnsi="宋体" w:eastAsia="宋体" w:cs="宋体"/>
                <w:i w:val="0"/>
                <w:iCs w:val="0"/>
                <w:color w:val="auto"/>
                <w:kern w:val="0"/>
                <w:sz w:val="22"/>
                <w:szCs w:val="22"/>
                <w:highlight w:val="none"/>
                <w:u w:val="none"/>
                <w:lang w:val="en-US" w:eastAsia="zh-CN" w:bidi="ar"/>
              </w:rPr>
              <w:t>4.施工单位对该表的真实性负责，因弄虚作假后果自负。</w:t>
            </w:r>
          </w:p>
        </w:tc>
      </w:tr>
    </w:tbl>
    <w:p w14:paraId="11D83509">
      <w:pPr>
        <w:pageBreakBefore w:val="0"/>
        <w:kinsoku/>
        <w:overflowPunct/>
        <w:topLinePunct w:val="0"/>
        <w:bidi w:val="0"/>
        <w:spacing w:line="400" w:lineRule="exact"/>
        <w:rPr>
          <w:color w:val="auto"/>
          <w:highlight w:val="none"/>
        </w:rPr>
      </w:pPr>
    </w:p>
    <w:p w14:paraId="58C8F751">
      <w:pPr>
        <w:pageBreakBefore w:val="0"/>
        <w:kinsoku/>
        <w:overflowPunct/>
        <w:topLinePunct w:val="0"/>
        <w:bidi w:val="0"/>
        <w:spacing w:line="400" w:lineRule="exact"/>
        <w:rPr>
          <w:color w:val="auto"/>
          <w:highlight w:val="none"/>
        </w:rPr>
      </w:pPr>
    </w:p>
    <w:p w14:paraId="1A187451">
      <w:pPr>
        <w:pageBreakBefore w:val="0"/>
        <w:kinsoku/>
        <w:overflowPunct/>
        <w:topLinePunct w:val="0"/>
        <w:bidi w:val="0"/>
        <w:spacing w:line="400" w:lineRule="exact"/>
        <w:rPr>
          <w:color w:val="auto"/>
          <w:highlight w:val="none"/>
        </w:rPr>
      </w:pPr>
    </w:p>
    <w:p w14:paraId="59C4A94D">
      <w:pPr>
        <w:pageBreakBefore w:val="0"/>
        <w:kinsoku/>
        <w:overflowPunct/>
        <w:topLinePunct w:val="0"/>
        <w:bidi w:val="0"/>
        <w:spacing w:line="400" w:lineRule="exact"/>
        <w:rPr>
          <w:color w:val="auto"/>
          <w:highlight w:val="none"/>
        </w:rPr>
      </w:pPr>
    </w:p>
    <w:p w14:paraId="55EF0B35">
      <w:pPr>
        <w:pageBreakBefore w:val="0"/>
        <w:kinsoku/>
        <w:overflowPunct/>
        <w:topLinePunct w:val="0"/>
        <w:bidi w:val="0"/>
        <w:spacing w:line="400" w:lineRule="exact"/>
        <w:rPr>
          <w:rFonts w:hint="default" w:eastAsia="宋体"/>
          <w:color w:val="auto"/>
          <w:sz w:val="30"/>
          <w:szCs w:val="30"/>
          <w:highlight w:val="none"/>
          <w:lang w:val="en-US" w:eastAsia="zh-CN"/>
        </w:rPr>
      </w:pPr>
      <w:r>
        <w:rPr>
          <w:rFonts w:hint="eastAsia"/>
          <w:color w:val="auto"/>
          <w:highlight w:val="none"/>
          <w:lang w:val="en-US" w:eastAsia="zh-CN"/>
        </w:rPr>
        <w:t>附件18：</w:t>
      </w:r>
    </w:p>
    <w:tbl>
      <w:tblPr>
        <w:tblStyle w:val="34"/>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80"/>
        <w:gridCol w:w="1080"/>
        <w:gridCol w:w="1080"/>
        <w:gridCol w:w="1080"/>
        <w:gridCol w:w="1080"/>
        <w:gridCol w:w="1080"/>
        <w:gridCol w:w="1245"/>
        <w:gridCol w:w="630"/>
      </w:tblGrid>
      <w:tr w14:paraId="1E43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85" w:type="dxa"/>
            <w:gridSpan w:val="9"/>
            <w:tcBorders>
              <w:top w:val="nil"/>
              <w:left w:val="nil"/>
              <w:bottom w:val="nil"/>
              <w:right w:val="nil"/>
            </w:tcBorders>
            <w:shd w:val="clear" w:color="auto" w:fill="auto"/>
            <w:noWrap/>
            <w:vAlign w:val="center"/>
          </w:tcPr>
          <w:p w14:paraId="5A44F1AA">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single"/>
                <w:lang w:val="en-US" w:eastAsia="zh-CN" w:bidi="ar"/>
              </w:rPr>
              <w:t xml:space="preserve">                    </w:t>
            </w:r>
            <w:r>
              <w:rPr>
                <w:rFonts w:hint="eastAsia" w:ascii="宋体" w:hAnsi="宋体" w:eastAsia="宋体" w:cs="宋体"/>
                <w:i w:val="0"/>
                <w:iCs w:val="0"/>
                <w:color w:val="auto"/>
                <w:kern w:val="0"/>
                <w:sz w:val="30"/>
                <w:szCs w:val="30"/>
                <w:highlight w:val="none"/>
                <w:u w:val="none"/>
                <w:lang w:val="en-US" w:eastAsia="zh-CN" w:bidi="ar"/>
              </w:rPr>
              <w:t xml:space="preserve"> 项目农民工工资发放登记表</w:t>
            </w:r>
          </w:p>
        </w:tc>
      </w:tr>
      <w:tr w14:paraId="0405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gridSpan w:val="9"/>
            <w:tcBorders>
              <w:top w:val="nil"/>
              <w:left w:val="nil"/>
              <w:bottom w:val="nil"/>
              <w:right w:val="nil"/>
            </w:tcBorders>
            <w:shd w:val="clear" w:color="auto" w:fill="auto"/>
            <w:noWrap/>
            <w:vAlign w:val="center"/>
          </w:tcPr>
          <w:p w14:paraId="0CBFDB70">
            <w:pPr>
              <w:keepNext w:val="0"/>
              <w:keepLines w:val="0"/>
              <w:pageBreakBefore w:val="0"/>
              <w:widowControl/>
              <w:suppressLineNumbers w:val="0"/>
              <w:kinsoku/>
              <w:overflowPunct/>
              <w:topLinePunct w:val="0"/>
              <w:bidi w:val="0"/>
              <w:spacing w:line="40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施工单位（盖章）;                 填表人：               日期：</w:t>
            </w:r>
          </w:p>
        </w:tc>
      </w:tr>
      <w:tr w14:paraId="6530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6066">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2D9">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农民工姓名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41F">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电话号码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FFC">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0822">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做工时间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C781">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应付工钱（元）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C70">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已付工钱（元）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9F9A">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农民工签字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541">
            <w:pPr>
              <w:keepNext w:val="0"/>
              <w:keepLines w:val="0"/>
              <w:pageBreakBefore w:val="0"/>
              <w:widowControl/>
              <w:suppressLineNumbers w:val="0"/>
              <w:kinsoku/>
              <w:overflowPunct/>
              <w:topLinePunct w:val="0"/>
              <w:bidi w:val="0"/>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229D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B3E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901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B02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429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C1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92F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BB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9B9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9EF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441D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D4D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D56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4D5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675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6EA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0CD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F4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E2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8D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0D86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01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17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6BB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17D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81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202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719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BD9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A3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7D30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9C4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E86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CCE2">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27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2ED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5ED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47D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32A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E8A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2A9E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85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8B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F24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CB84">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EE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192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3BF9">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B870">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FB3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4690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CBE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21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153">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F38">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D5C">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9D7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5AFE">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09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E8A">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65CB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58D">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2D47">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46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82AF">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95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D0B6">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EDEB">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7765">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73F1">
            <w:pPr>
              <w:pageBreakBefore w:val="0"/>
              <w:kinsoku/>
              <w:overflowPunct/>
              <w:topLinePunct w:val="0"/>
              <w:bidi w:val="0"/>
              <w:spacing w:line="400" w:lineRule="exact"/>
              <w:jc w:val="center"/>
              <w:rPr>
                <w:rFonts w:hint="eastAsia" w:ascii="宋体" w:hAnsi="宋体" w:eastAsia="宋体" w:cs="宋体"/>
                <w:i w:val="0"/>
                <w:iCs w:val="0"/>
                <w:color w:val="auto"/>
                <w:sz w:val="22"/>
                <w:szCs w:val="22"/>
                <w:highlight w:val="none"/>
                <w:u w:val="none"/>
              </w:rPr>
            </w:pPr>
          </w:p>
        </w:tc>
      </w:tr>
      <w:tr w14:paraId="354B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9285" w:type="dxa"/>
            <w:gridSpan w:val="9"/>
            <w:tcBorders>
              <w:top w:val="nil"/>
              <w:left w:val="nil"/>
              <w:bottom w:val="nil"/>
              <w:right w:val="nil"/>
            </w:tcBorders>
            <w:shd w:val="clear" w:color="auto" w:fill="auto"/>
            <w:vAlign w:val="center"/>
          </w:tcPr>
          <w:p w14:paraId="1FE51012">
            <w:pPr>
              <w:keepNext w:val="0"/>
              <w:keepLines w:val="0"/>
              <w:pageBreakBefore w:val="0"/>
              <w:widowControl/>
              <w:suppressLineNumbers w:val="0"/>
              <w:kinsoku/>
              <w:overflowPunct/>
              <w:topLinePunct w:val="0"/>
              <w:bidi w:val="0"/>
              <w:spacing w:line="40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注：1.该表与请款函一并提交。2.请款函要分列材料费和人工费，所列人工费要足额按时发放。3.工资发放凭证一并提交。4.</w:t>
            </w:r>
            <w:r>
              <w:rPr>
                <w:rFonts w:hint="eastAsia"/>
                <w:color w:val="auto"/>
                <w:highlight w:val="none"/>
                <w:lang w:val="en-US" w:eastAsia="zh-CN"/>
              </w:rPr>
              <w:t>监理单位负有审核责任，因监理不到位按合同相关条款约定追究责任。5.</w:t>
            </w:r>
            <w:r>
              <w:rPr>
                <w:rFonts w:hint="eastAsia" w:ascii="宋体" w:hAnsi="宋体" w:eastAsia="宋体" w:cs="宋体"/>
                <w:i w:val="0"/>
                <w:iCs w:val="0"/>
                <w:color w:val="auto"/>
                <w:kern w:val="0"/>
                <w:sz w:val="22"/>
                <w:szCs w:val="22"/>
                <w:highlight w:val="none"/>
                <w:u w:val="none"/>
                <w:lang w:val="en-US" w:eastAsia="zh-CN" w:bidi="ar"/>
              </w:rPr>
              <w:t>施工单位对该表的真实性负责，因弄虚作假后果自负。</w:t>
            </w:r>
          </w:p>
        </w:tc>
      </w:tr>
    </w:tbl>
    <w:p w14:paraId="36B5D9E7">
      <w:pPr>
        <w:rPr>
          <w:color w:val="auto"/>
          <w:highlight w:val="none"/>
        </w:rPr>
      </w:pPr>
    </w:p>
    <w:p w14:paraId="74D844B1">
      <w:pPr>
        <w:rPr>
          <w:color w:val="auto"/>
          <w:highlight w:val="none"/>
        </w:rPr>
      </w:pPr>
    </w:p>
    <w:p w14:paraId="3E4D3E71">
      <w:pPr>
        <w:rPr>
          <w:color w:val="auto"/>
          <w:highlight w:val="none"/>
        </w:rPr>
      </w:pPr>
    </w:p>
    <w:p w14:paraId="653C6F2F">
      <w:pPr>
        <w:tabs>
          <w:tab w:val="left" w:pos="3424"/>
          <w:tab w:val="left" w:pos="4504"/>
          <w:tab w:val="left" w:pos="5400"/>
        </w:tabs>
        <w:spacing w:line="307" w:lineRule="exact"/>
        <w:ind w:left="2344" w:right="2410"/>
        <w:jc w:val="left"/>
        <w:rPr>
          <w:rFonts w:ascii="宋体" w:hAnsi="宋体" w:cs="宋体"/>
          <w:color w:val="auto"/>
          <w:sz w:val="24"/>
          <w:highlight w:val="none"/>
          <w:lang w:val="zh-CN" w:bidi="zh-CN"/>
        </w:rPr>
      </w:pPr>
    </w:p>
    <w:p w14:paraId="7E9B69F9">
      <w:pPr>
        <w:tabs>
          <w:tab w:val="left" w:pos="3424"/>
          <w:tab w:val="left" w:pos="4504"/>
          <w:tab w:val="left" w:pos="5400"/>
        </w:tabs>
        <w:spacing w:line="307" w:lineRule="exact"/>
        <w:ind w:left="2344" w:right="2410"/>
        <w:jc w:val="left"/>
        <w:rPr>
          <w:rFonts w:ascii="宋体" w:hAnsi="宋体" w:cs="宋体"/>
          <w:color w:val="auto"/>
          <w:sz w:val="24"/>
          <w:highlight w:val="none"/>
          <w:lang w:val="zh-CN" w:bidi="zh-CN"/>
        </w:rPr>
      </w:pPr>
    </w:p>
    <w:sectPr>
      <w:headerReference r:id="rId12" w:type="default"/>
      <w:footerReference r:id="rId13" w:type="default"/>
      <w:pgSz w:w="11906" w:h="16838"/>
      <w:pgMar w:top="1440" w:right="1440" w:bottom="1440" w:left="1587" w:header="851" w:footer="992" w:gutter="0"/>
      <w:pgNumType w:fmt="decimal"/>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Times New Roman)">
    <w:altName w:val="Times New Roman"/>
    <w:panose1 w:val="02020603050405020304"/>
    <w:charset w:val="00"/>
    <w:family w:val="auto"/>
    <w:pitch w:val="default"/>
    <w:sig w:usb0="00000000" w:usb1="00000000" w:usb2="00000000" w:usb3="00000000" w:csb0="00000000" w:csb1="00000000"/>
  </w:font>
  <w:font w:name="宋体正文">
    <w:altName w:val="宋体"/>
    <w:panose1 w:val="02010600030101010101"/>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altName w:val="微软雅黑"/>
    <w:panose1 w:val="020B0603030804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6005">
    <w:pPr>
      <w:pStyle w:val="239"/>
      <w:tabs>
        <w:tab w:val="center" w:pos="4439"/>
      </w:tabs>
      <w:jc w:val="both"/>
    </w:pPr>
  </w:p>
  <w:p w14:paraId="072415EA">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AC24">
    <w:pPr>
      <w:pStyle w:val="239"/>
      <w:tabs>
        <w:tab w:val="center" w:pos="4439"/>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3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66B8CEA"/>
                      </w:txbxContent>
                    </wps:txbx>
                    <wps:bodyPr wrap="none" lIns="0" tIns="0" rIns="0" bIns="0" upright="1">
                      <a:spAutoFit/>
                    </wps:bodyPr>
                  </wps:wsp>
                </a:graphicData>
              </a:graphic>
            </wp:anchor>
          </w:drawing>
        </mc:Choice>
        <mc:Fallback>
          <w:pict>
            <v:shape id="_x0000_s10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0c49McBAACoAwAADgAAAAAAAAABACAAAAAeAQAAZHJzL2Uyb0RvYy54&#10;bWxQSwUGAAAAAAYABgBZAQAAVwUAAAAA&#10;">
              <v:fill on="f" focussize="0,0"/>
              <v:stroke on="f"/>
              <v:imagedata o:title=""/>
              <o:lock v:ext="edit" aspectratio="f"/>
              <v:textbox inset="0mm,0mm,0mm,0mm" style="mso-fit-shape-to-text:t;">
                <w:txbxContent>
                  <w:p w14:paraId="666B8CE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A7F6">
    <w:pPr>
      <w:pStyle w:val="239"/>
      <w:tabs>
        <w:tab w:val="center" w:pos="4439"/>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7802C">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47802C">
                    <w:pPr>
                      <w:pStyle w:val="23"/>
                    </w:pPr>
                    <w:r>
                      <w:fldChar w:fldCharType="begin"/>
                    </w:r>
                    <w:r>
                      <w:instrText xml:space="preserve"> PAGE  \* MERGEFORMAT </w:instrText>
                    </w:r>
                    <w:r>
                      <w:fldChar w:fldCharType="separate"/>
                    </w:r>
                    <w:r>
                      <w:t>2</w:t>
                    </w:r>
                    <w:r>
                      <w:fldChar w:fldCharType="end"/>
                    </w:r>
                  </w:p>
                </w:txbxContent>
              </v:textbox>
            </v:shape>
          </w:pict>
        </mc:Fallback>
      </mc:AlternateContent>
    </w:r>
  </w:p>
  <w:p w14:paraId="53290E37">
    <w:pPr>
      <w:pStyle w:val="2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5CE1">
    <w:pPr>
      <w:pStyle w:val="239"/>
      <w:tabs>
        <w:tab w:val="center" w:pos="4439"/>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3F366">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C3F366">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103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BFC60BD"/>
                      </w:txbxContent>
                    </wps:txbx>
                    <wps:bodyPr wrap="none" lIns="0" tIns="0" rIns="0" bIns="0" upright="1">
                      <a:spAutoFit/>
                    </wps:bodyPr>
                  </wps:wsp>
                </a:graphicData>
              </a:graphic>
            </wp:anchor>
          </w:drawing>
        </mc:Choice>
        <mc:Fallback>
          <w:pict>
            <v:shape id="_x0000_s10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E12ccBAACpAwAADgAAAAAAAAABACAAAAAeAQAAZHJzL2Uyb0RvYy54&#10;bWxQSwUGAAAAAAYABgBZAQAAVwUAAAAA&#10;">
              <v:fill on="f" focussize="0,0"/>
              <v:stroke on="f"/>
              <v:imagedata o:title=""/>
              <o:lock v:ext="edit" aspectratio="f"/>
              <v:textbox inset="0mm,0mm,0mm,0mm" style="mso-fit-shape-to-text:t;">
                <w:txbxContent>
                  <w:p w14:paraId="5BFC60B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0E18F">
    <w:pPr>
      <w:pStyle w:val="239"/>
      <w:tabs>
        <w:tab w:val="center" w:pos="4439"/>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BC6F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EBC6F0">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0F915027">
    <w:pPr>
      <w:pStyle w:val="2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304B">
    <w:pPr>
      <w:pStyle w:val="23"/>
      <w:tabs>
        <w:tab w:val="center" w:pos="4153"/>
        <w:tab w:val="right" w:pos="8306"/>
        <w:tab w:val="clear" w:pos="4844"/>
        <w:tab w:val="clear" w:pos="9689"/>
      </w:tabs>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5550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35550C">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C261">
    <w:pPr>
      <w:pStyle w:val="23"/>
      <w:tabs>
        <w:tab w:val="center" w:pos="4153"/>
        <w:tab w:val="right" w:pos="8306"/>
        <w:tab w:val="clear" w:pos="4844"/>
        <w:tab w:val="clear" w:pos="9689"/>
      </w:tabs>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8C9CE">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58C9CE">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15EC">
    <w:pPr>
      <w:pStyle w:val="44"/>
      <w:spacing w:line="14" w:lineRule="auto"/>
      <w:ind w:firstLine="40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5196">
                          <w:pPr>
                            <w:pStyle w:val="2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7D5196">
                    <w:pPr>
                      <w:pStyle w:val="2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526A">
    <w:pPr>
      <w:pStyle w:val="24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05430">
    <w:pPr>
      <w:pStyle w:val="241"/>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E5E5">
    <w:pPr>
      <w:pStyle w:val="241"/>
      <w:pBdr>
        <w:bottom w:val="single" w:color="000000" w:sz="4" w:space="1"/>
      </w:pBdr>
      <w:ind w:right="-514"/>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D57A8"/>
    <w:multiLevelType w:val="multilevel"/>
    <w:tmpl w:val="901D57A8"/>
    <w:lvl w:ilvl="0" w:tentative="0">
      <w:start w:val="7"/>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E5E7BC9"/>
    <w:multiLevelType w:val="singleLevel"/>
    <w:tmpl w:val="3E5E7BC9"/>
    <w:lvl w:ilvl="0" w:tentative="0">
      <w:start w:val="1"/>
      <w:numFmt w:val="decimal"/>
      <w:suff w:val="nothing"/>
      <w:lvlText w:val="（%1）"/>
      <w:lvlJc w:val="left"/>
    </w:lvl>
  </w:abstractNum>
  <w:abstractNum w:abstractNumId="2">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6EDD6597"/>
    <w:multiLevelType w:val="singleLevel"/>
    <w:tmpl w:val="6EDD6597"/>
    <w:lvl w:ilvl="0" w:tentative="0">
      <w:start w:val="1"/>
      <w:numFmt w:val="decimal"/>
      <w:suff w:val="nothing"/>
      <w:lvlText w:val="(%1)"/>
      <w:lvlJc w:val="left"/>
    </w:lvl>
  </w:abstractNum>
  <w:abstractNum w:abstractNumId="4">
    <w:nsid w:val="6EDD6598"/>
    <w:multiLevelType w:val="singleLevel"/>
    <w:tmpl w:val="6EDD6598"/>
    <w:lvl w:ilvl="0" w:tentative="0">
      <w:start w:val="11"/>
      <w:numFmt w:val="decimal"/>
      <w:suff w:val="space"/>
      <w:lvlText w:val="%1."/>
      <w:lvlJc w:val="left"/>
    </w:lvl>
  </w:abstractNum>
  <w:abstractNum w:abstractNumId="5">
    <w:nsid w:val="6EDD6599"/>
    <w:multiLevelType w:val="multilevel"/>
    <w:tmpl w:val="6EDD659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EDD659A"/>
    <w:multiLevelType w:val="multilevel"/>
    <w:tmpl w:val="6EDD659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EDD659B"/>
    <w:multiLevelType w:val="multilevel"/>
    <w:tmpl w:val="6EDD659B"/>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EDD659C"/>
    <w:multiLevelType w:val="multilevel"/>
    <w:tmpl w:val="6EDD659C"/>
    <w:lvl w:ilvl="0" w:tentative="0">
      <w:start w:val="1"/>
      <w:numFmt w:val="decimal"/>
      <w:lvlText w:val="（%1）"/>
      <w:lvlJc w:val="left"/>
      <w:pPr>
        <w:ind w:left="1560" w:hanging="720"/>
      </w:pPr>
      <w:rPr>
        <w:rFonts w:hint="default"/>
      </w:rPr>
    </w:lvl>
    <w:lvl w:ilvl="1" w:tentative="0">
      <w:start w:val="1"/>
      <w:numFmt w:val="decimal"/>
      <w:lvlText w:val="%2)"/>
      <w:lvlJc w:val="left"/>
      <w:pPr>
        <w:ind w:left="1260" w:hanging="420"/>
      </w:pPr>
      <w:rPr>
        <w:rFonts w:hint="default"/>
      </w:rPr>
    </w:lvl>
    <w:lvl w:ilvl="2" w:tentative="0">
      <w:start w:val="1"/>
      <w:numFmt w:val="decimal"/>
      <w:lvlText w:val="%3、"/>
      <w:lvlJc w:val="left"/>
      <w:pPr>
        <w:ind w:left="1620" w:hanging="36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EDD659D"/>
    <w:multiLevelType w:val="multilevel"/>
    <w:tmpl w:val="6EDD659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EDD659E"/>
    <w:multiLevelType w:val="multilevel"/>
    <w:tmpl w:val="6EDD659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EDD659F"/>
    <w:multiLevelType w:val="multilevel"/>
    <w:tmpl w:val="6EDD659F"/>
    <w:lvl w:ilvl="0" w:tentative="0">
      <w:start w:val="1"/>
      <w:numFmt w:val="upperLetter"/>
      <w:lvlText w:val="%1."/>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205F442"/>
    <w:multiLevelType w:val="multilevel"/>
    <w:tmpl w:val="7205F442"/>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3">
    <w:nsid w:val="7C1128CA"/>
    <w:multiLevelType w:val="singleLevel"/>
    <w:tmpl w:val="7C1128CA"/>
    <w:lvl w:ilvl="0" w:tentative="0">
      <w:start w:val="1"/>
      <w:numFmt w:val="decimal"/>
      <w:suff w:val="nothing"/>
      <w:lvlText w:val="%1、"/>
      <w:lvlJc w:val="left"/>
    </w:lvl>
  </w:abstractNum>
  <w:abstractNum w:abstractNumId="14">
    <w:nsid w:val="7D335F08"/>
    <w:multiLevelType w:val="multilevel"/>
    <w:tmpl w:val="7D335F08"/>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2"/>
  </w:num>
  <w:num w:numId="2">
    <w:abstractNumId w:val="0"/>
  </w:num>
  <w:num w:numId="3">
    <w:abstractNumId w:val="2"/>
  </w:num>
  <w:num w:numId="4">
    <w:abstractNumId w:val="14"/>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4969"/>
    <w:rsid w:val="0C060244"/>
    <w:rsid w:val="11A91FD0"/>
    <w:rsid w:val="157E2AE2"/>
    <w:rsid w:val="165754AD"/>
    <w:rsid w:val="16C44F84"/>
    <w:rsid w:val="1876058B"/>
    <w:rsid w:val="1E262080"/>
    <w:rsid w:val="1E7D13B3"/>
    <w:rsid w:val="1FB21E1D"/>
    <w:rsid w:val="20A63CB6"/>
    <w:rsid w:val="21127273"/>
    <w:rsid w:val="216D6BB8"/>
    <w:rsid w:val="240E3E1B"/>
    <w:rsid w:val="26C1503C"/>
    <w:rsid w:val="2940049A"/>
    <w:rsid w:val="2D857FBE"/>
    <w:rsid w:val="31C12EC5"/>
    <w:rsid w:val="334E6C2B"/>
    <w:rsid w:val="358D5D93"/>
    <w:rsid w:val="37A0236E"/>
    <w:rsid w:val="3A5E41C2"/>
    <w:rsid w:val="3B4A51A8"/>
    <w:rsid w:val="3C0C58FF"/>
    <w:rsid w:val="3E8F56A6"/>
    <w:rsid w:val="429945ED"/>
    <w:rsid w:val="429D02B3"/>
    <w:rsid w:val="42F51E9D"/>
    <w:rsid w:val="44041579"/>
    <w:rsid w:val="45F177A0"/>
    <w:rsid w:val="4631143E"/>
    <w:rsid w:val="4A946440"/>
    <w:rsid w:val="4DA04FEC"/>
    <w:rsid w:val="52EF6909"/>
    <w:rsid w:val="54BC3176"/>
    <w:rsid w:val="56A63783"/>
    <w:rsid w:val="58580AAD"/>
    <w:rsid w:val="5B4A73F0"/>
    <w:rsid w:val="5C891B7C"/>
    <w:rsid w:val="5D7912F0"/>
    <w:rsid w:val="64AC044A"/>
    <w:rsid w:val="65E41BD1"/>
    <w:rsid w:val="65E50A7A"/>
    <w:rsid w:val="682C70A9"/>
    <w:rsid w:val="68FD5D79"/>
    <w:rsid w:val="6B453085"/>
    <w:rsid w:val="6C276CBC"/>
    <w:rsid w:val="6F49236D"/>
    <w:rsid w:val="70A22DB5"/>
    <w:rsid w:val="71107D1F"/>
    <w:rsid w:val="71973F9C"/>
    <w:rsid w:val="73552A03"/>
    <w:rsid w:val="753B10E2"/>
    <w:rsid w:val="76EF5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8"/>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index 8"/>
    <w:basedOn w:val="1"/>
    <w:next w:val="1"/>
    <w:qFormat/>
    <w:uiPriority w:val="0"/>
    <w:pPr>
      <w:ind w:left="2940"/>
    </w:p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semiHidden/>
    <w:unhideWhenUsed/>
    <w:qFormat/>
    <w:uiPriority w:val="99"/>
    <w:pPr>
      <w:jc w:val="left"/>
    </w:pPr>
  </w:style>
  <w:style w:type="paragraph" w:styleId="15">
    <w:name w:val="Body Text"/>
    <w:basedOn w:val="1"/>
    <w:next w:val="1"/>
    <w:unhideWhenUsed/>
    <w:qFormat/>
    <w:uiPriority w:val="99"/>
    <w:pPr>
      <w:spacing w:after="120"/>
    </w:pPr>
  </w:style>
  <w:style w:type="paragraph" w:styleId="16">
    <w:name w:val="Body Text Indent"/>
    <w:basedOn w:val="1"/>
    <w:qFormat/>
    <w:uiPriority w:val="99"/>
    <w:pPr>
      <w:ind w:firstLine="830"/>
    </w:pPr>
    <w:rPr>
      <w:rFonts w:ascii="仿宋_GB2312" w:eastAsia="仿宋_GB2312"/>
      <w:sz w:val="32"/>
      <w:szCs w:val="20"/>
    </w:rPr>
  </w:style>
  <w:style w:type="paragraph" w:styleId="17">
    <w:name w:val="Block Text"/>
    <w:basedOn w:val="1"/>
    <w:qFormat/>
    <w:uiPriority w:val="0"/>
    <w:pPr>
      <w:ind w:left="420" w:right="33"/>
      <w:jc w:val="left"/>
    </w:pPr>
    <w:rPr>
      <w:sz w:val="24"/>
      <w:szCs w:val="20"/>
    </w:rPr>
  </w:style>
  <w:style w:type="paragraph" w:styleId="18">
    <w:name w:val="toc 5"/>
    <w:basedOn w:val="1"/>
    <w:next w:val="1"/>
    <w:unhideWhenUsed/>
    <w:qFormat/>
    <w:uiPriority w:val="39"/>
    <w:pPr>
      <w:spacing w:after="100"/>
      <w:ind w:left="880"/>
    </w:pPr>
  </w:style>
  <w:style w:type="paragraph" w:styleId="19">
    <w:name w:val="toc 3"/>
    <w:basedOn w:val="1"/>
    <w:next w:val="1"/>
    <w:unhideWhenUsed/>
    <w:qFormat/>
    <w:uiPriority w:val="39"/>
    <w:pPr>
      <w:spacing w:after="100"/>
      <w:ind w:left="440"/>
    </w:pPr>
  </w:style>
  <w:style w:type="paragraph" w:styleId="20">
    <w:name w:val="Plain Text"/>
    <w:basedOn w:val="1"/>
    <w:next w:val="12"/>
    <w:qFormat/>
    <w:uiPriority w:val="99"/>
    <w:rPr>
      <w:rFonts w:ascii="宋体" w:hAnsi="Courier New"/>
      <w:sz w:val="20"/>
      <w:szCs w:val="21"/>
    </w:rPr>
  </w:style>
  <w:style w:type="paragraph" w:styleId="21">
    <w:name w:val="toc 8"/>
    <w:basedOn w:val="1"/>
    <w:next w:val="1"/>
    <w:unhideWhenUsed/>
    <w:qFormat/>
    <w:uiPriority w:val="39"/>
    <w:pPr>
      <w:spacing w:after="100"/>
      <w:ind w:left="1540"/>
    </w:pPr>
  </w:style>
  <w:style w:type="paragraph" w:styleId="22">
    <w:name w:val="endnote text"/>
    <w:basedOn w:val="1"/>
    <w:link w:val="187"/>
    <w:semiHidden/>
    <w:unhideWhenUsed/>
    <w:qFormat/>
    <w:uiPriority w:val="99"/>
    <w:pPr>
      <w:spacing w:after="0" w:line="240" w:lineRule="auto"/>
    </w:pPr>
    <w:rPr>
      <w:sz w:val="20"/>
      <w:szCs w:val="20"/>
    </w:rPr>
  </w:style>
  <w:style w:type="paragraph" w:styleId="23">
    <w:name w:val="footer"/>
    <w:basedOn w:val="1"/>
    <w:unhideWhenUsed/>
    <w:qFormat/>
    <w:uiPriority w:val="99"/>
    <w:pPr>
      <w:tabs>
        <w:tab w:val="center" w:pos="4844"/>
        <w:tab w:val="right" w:pos="9689"/>
      </w:tabs>
      <w:spacing w:after="0" w:line="240" w:lineRule="auto"/>
    </w:pPr>
  </w:style>
  <w:style w:type="paragraph" w:styleId="24">
    <w:name w:val="header"/>
    <w:basedOn w:val="1"/>
    <w:unhideWhenUsed/>
    <w:qFormat/>
    <w:uiPriority w:val="99"/>
    <w:pPr>
      <w:tabs>
        <w:tab w:val="center" w:pos="4844"/>
        <w:tab w:val="right" w:pos="9689"/>
      </w:tabs>
      <w:spacing w:after="0" w:line="240" w:lineRule="auto"/>
    </w:pPr>
  </w:style>
  <w:style w:type="paragraph" w:styleId="25">
    <w:name w:val="toc 1"/>
    <w:basedOn w:val="1"/>
    <w:next w:val="1"/>
    <w:unhideWhenUsed/>
    <w:qFormat/>
    <w:uiPriority w:val="39"/>
    <w:pPr>
      <w:spacing w:after="100"/>
    </w:pPr>
  </w:style>
  <w:style w:type="paragraph" w:styleId="26">
    <w:name w:val="toc 4"/>
    <w:basedOn w:val="1"/>
    <w:next w:val="1"/>
    <w:unhideWhenUsed/>
    <w:qFormat/>
    <w:uiPriority w:val="39"/>
    <w:pPr>
      <w:spacing w:after="100"/>
      <w:ind w:left="660"/>
    </w:pPr>
  </w:style>
  <w:style w:type="paragraph" w:styleId="27">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8">
    <w:name w:val="footnote text"/>
    <w:basedOn w:val="1"/>
    <w:semiHidden/>
    <w:unhideWhenUsed/>
    <w:qFormat/>
    <w:uiPriority w:val="99"/>
    <w:pPr>
      <w:spacing w:after="0" w:line="240" w:lineRule="auto"/>
    </w:pPr>
    <w:rPr>
      <w:sz w:val="20"/>
      <w:szCs w:val="20"/>
    </w:rPr>
  </w:style>
  <w:style w:type="paragraph" w:styleId="29">
    <w:name w:val="toc 6"/>
    <w:basedOn w:val="1"/>
    <w:next w:val="1"/>
    <w:unhideWhenUsed/>
    <w:qFormat/>
    <w:uiPriority w:val="39"/>
    <w:pPr>
      <w:spacing w:after="100"/>
      <w:ind w:left="1100"/>
    </w:p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100"/>
      <w:ind w:left="220"/>
    </w:pPr>
  </w:style>
  <w:style w:type="paragraph" w:styleId="32">
    <w:name w:val="toc 9"/>
    <w:basedOn w:val="1"/>
    <w:next w:val="1"/>
    <w:unhideWhenUsed/>
    <w:qFormat/>
    <w:uiPriority w:val="39"/>
    <w:pPr>
      <w:spacing w:after="100"/>
      <w:ind w:left="1760"/>
    </w:pPr>
  </w:style>
  <w:style w:type="paragraph" w:styleId="33">
    <w:name w:val="Title"/>
    <w:basedOn w:val="1"/>
    <w:next w:val="1"/>
    <w:qFormat/>
    <w:uiPriority w:val="10"/>
    <w:pPr>
      <w:spacing w:after="80" w:line="240" w:lineRule="auto"/>
      <w:contextualSpacing/>
    </w:pPr>
    <w:rPr>
      <w:rFonts w:ascii="Arial" w:hAnsi="Arial" w:eastAsia="Arial" w:cs="Arial"/>
      <w:spacing w:val="-10"/>
      <w:sz w:val="56"/>
      <w:szCs w:val="56"/>
    </w:rPr>
  </w:style>
  <w:style w:type="table" w:styleId="35">
    <w:name w:val="Table Grid"/>
    <w:basedOn w:val="3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7">
    <w:name w:val="Strong"/>
    <w:basedOn w:val="36"/>
    <w:qFormat/>
    <w:uiPriority w:val="22"/>
    <w:rPr>
      <w:b/>
      <w:bCs/>
    </w:rPr>
  </w:style>
  <w:style w:type="character" w:styleId="38">
    <w:name w:val="endnote reference"/>
    <w:basedOn w:val="36"/>
    <w:semiHidden/>
    <w:unhideWhenUsed/>
    <w:qFormat/>
    <w:uiPriority w:val="99"/>
    <w:rPr>
      <w:vertAlign w:val="superscript"/>
    </w:rPr>
  </w:style>
  <w:style w:type="character" w:styleId="39">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0">
    <w:name w:val="Emphasis"/>
    <w:basedOn w:val="36"/>
    <w:qFormat/>
    <w:uiPriority w:val="20"/>
    <w:rPr>
      <w:i/>
      <w:iCs/>
    </w:rPr>
  </w:style>
  <w:style w:type="character" w:styleId="41">
    <w:name w:val="Hyperlink"/>
    <w:basedOn w:val="36"/>
    <w:unhideWhenUsed/>
    <w:qFormat/>
    <w:uiPriority w:val="99"/>
    <w:rPr>
      <w:color w:val="0000FF" w:themeColor="hyperlink"/>
      <w:u w:val="single"/>
      <w14:textFill>
        <w14:solidFill>
          <w14:schemeClr w14:val="hlink"/>
        </w14:solidFill>
      </w14:textFill>
    </w:rPr>
  </w:style>
  <w:style w:type="character" w:styleId="42">
    <w:name w:val="footnote reference"/>
    <w:basedOn w:val="36"/>
    <w:semiHidden/>
    <w:unhideWhenUsed/>
    <w:qFormat/>
    <w:uiPriority w:val="99"/>
    <w:rPr>
      <w:vertAlign w:val="superscript"/>
    </w:rPr>
  </w:style>
  <w:style w:type="paragraph" w:customStyle="1" w:styleId="43">
    <w:name w:val="段"/>
    <w:next w:val="1"/>
    <w:qFormat/>
    <w:uiPriority w:val="0"/>
    <w:pPr>
      <w:spacing w:line="360" w:lineRule="auto"/>
      <w:ind w:firstLine="200"/>
      <w:jc w:val="both"/>
    </w:pPr>
    <w:rPr>
      <w:rFonts w:hint="default" w:ascii="宋体" w:hAnsi="Times New Roman" w:eastAsia="宋体" w:cs="Times New Roman"/>
      <w:sz w:val="24"/>
      <w:szCs w:val="22"/>
      <w:lang w:val="en-US" w:eastAsia="zh-CN" w:bidi="ar-SA"/>
    </w:rPr>
  </w:style>
  <w:style w:type="paragraph" w:customStyle="1" w:styleId="44">
    <w:name w:val="正文文本1"/>
    <w:basedOn w:val="1"/>
    <w:next w:val="45"/>
    <w:link w:val="202"/>
    <w:unhideWhenUsed/>
    <w:qFormat/>
    <w:uiPriority w:val="99"/>
    <w:pPr>
      <w:spacing w:after="120"/>
    </w:pPr>
  </w:style>
  <w:style w:type="paragraph" w:customStyle="1" w:styleId="45">
    <w:name w:val="标题1"/>
    <w:basedOn w:val="1"/>
    <w:next w:val="1"/>
    <w:link w:val="203"/>
    <w:qFormat/>
    <w:uiPriority w:val="0"/>
    <w:pPr>
      <w:spacing w:before="240" w:after="60"/>
      <w:jc w:val="center"/>
      <w:outlineLvl w:val="0"/>
    </w:pPr>
    <w:rPr>
      <w:rFonts w:ascii="Cambria" w:hAnsi="Cambria"/>
      <w:b/>
      <w:bCs/>
      <w:sz w:val="32"/>
      <w:szCs w:val="32"/>
    </w:rPr>
  </w:style>
  <w:style w:type="table" w:customStyle="1" w:styleId="46">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7">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9">
    <w:name w:val="Plain Table 3"/>
    <w:basedOn w:val="3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0">
    <w:name w:val="Plain Table 4"/>
    <w:basedOn w:val="3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1">
    <w:name w:val="Plain Table 5"/>
    <w:basedOn w:val="3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2">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3">
    <w:name w:val="Grid Table 1 Light - Accent 1"/>
    <w:basedOn w:val="3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4">
    <w:name w:val="Grid Table 1 Light - Accent 2"/>
    <w:basedOn w:val="3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5">
    <w:name w:val="Grid Table 1 Light - Accent 3"/>
    <w:basedOn w:val="3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6">
    <w:name w:val="Grid Table 1 Light - Accent 4"/>
    <w:basedOn w:val="3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7">
    <w:name w:val="Grid Table 1 Light - Accent 5"/>
    <w:basedOn w:val="3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8">
    <w:name w:val="Grid Table 1 Light - Accent 6"/>
    <w:basedOn w:val="3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9">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2 - Accent 1"/>
    <w:basedOn w:val="3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2 - Accent 2"/>
    <w:basedOn w:val="3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2 - Accent 3"/>
    <w:basedOn w:val="3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2 - Accent 4"/>
    <w:basedOn w:val="3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2 - Accent 5"/>
    <w:basedOn w:val="3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2 - Accent 6"/>
    <w:basedOn w:val="3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3 - Accent 1"/>
    <w:basedOn w:val="3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8">
    <w:name w:val="Grid Table 3 - Accent 2"/>
    <w:basedOn w:val="3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3 - Accent 3"/>
    <w:basedOn w:val="3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3 - Accent 4"/>
    <w:basedOn w:val="3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3 - Accent 5"/>
    <w:basedOn w:val="3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3 - Accent 6"/>
    <w:basedOn w:val="3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4">
    <w:name w:val="Grid Table 4 - Accent 1"/>
    <w:basedOn w:val="34"/>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5">
    <w:name w:val="Grid Table 4 - Accent 2"/>
    <w:basedOn w:val="3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6">
    <w:name w:val="Grid Table 4 - Accent 3"/>
    <w:basedOn w:val="34"/>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7">
    <w:name w:val="Grid Table 4 - Accent 4"/>
    <w:basedOn w:val="3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8">
    <w:name w:val="Grid Table 4 - Accent 5"/>
    <w:basedOn w:val="34"/>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9">
    <w:name w:val="Grid Table 4 - Accent 6"/>
    <w:basedOn w:val="3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0">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1">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2">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83">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4">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5">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6">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7">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6 Colorful - Accent 1"/>
    <w:basedOn w:val="3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6 Colorful - Accent 2"/>
    <w:basedOn w:val="3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6 Colorful - Accent 3"/>
    <w:basedOn w:val="3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6 Colorful - Accent 4"/>
    <w:basedOn w:val="3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6 Colorful - Accent 5"/>
    <w:basedOn w:val="3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6 Colorful - Accent 6"/>
    <w:basedOn w:val="3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7 Colorful - Accent 1"/>
    <w:basedOn w:val="3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7 Colorful - Accent 2"/>
    <w:basedOn w:val="3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7 Colorful - Accent 3"/>
    <w:basedOn w:val="3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7 Colorful - Accent 4"/>
    <w:basedOn w:val="3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7 Colorful - Accent 5"/>
    <w:basedOn w:val="34"/>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 Accent 6"/>
    <w:basedOn w:val="34"/>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1">
    <w:name w:val="List Table 1 Light"/>
    <w:basedOn w:val="3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1 Light - Accent 1"/>
    <w:basedOn w:val="34"/>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1 Light - Accent 2"/>
    <w:basedOn w:val="34"/>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1 Light - Accent 3"/>
    <w:basedOn w:val="34"/>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1 Light - Accent 4"/>
    <w:basedOn w:val="3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1 Light - Accent 5"/>
    <w:basedOn w:val="34"/>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1 Light - Accent 6"/>
    <w:basedOn w:val="34"/>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9">
    <w:name w:val="List Table 2 - Accent 1"/>
    <w:basedOn w:val="34"/>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0">
    <w:name w:val="List Table 2 - Accent 2"/>
    <w:basedOn w:val="34"/>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1">
    <w:name w:val="List Table 2 - Accent 3"/>
    <w:basedOn w:val="34"/>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2">
    <w:name w:val="List Table 2 - Accent 4"/>
    <w:basedOn w:val="3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3">
    <w:name w:val="List Table 2 - Accent 5"/>
    <w:basedOn w:val="34"/>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4">
    <w:name w:val="List Table 2 - Accent 6"/>
    <w:basedOn w:val="34"/>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5">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6">
    <w:name w:val="List Table 3 - Accent 1"/>
    <w:basedOn w:val="34"/>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7">
    <w:name w:val="List Table 3 - Accent 2"/>
    <w:basedOn w:val="3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8">
    <w:name w:val="List Table 3 - Accent 3"/>
    <w:basedOn w:val="34"/>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9">
    <w:name w:val="List Table 3 - Accent 4"/>
    <w:basedOn w:val="3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0">
    <w:name w:val="List Table 3 - Accent 5"/>
    <w:basedOn w:val="34"/>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1">
    <w:name w:val="List Table 3 - Accent 6"/>
    <w:basedOn w:val="34"/>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2">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3">
    <w:name w:val="List Table 4 - Accent 1"/>
    <w:basedOn w:val="34"/>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4">
    <w:name w:val="List Table 4 - Accent 2"/>
    <w:basedOn w:val="34"/>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5">
    <w:name w:val="List Table 4 - Accent 3"/>
    <w:basedOn w:val="34"/>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6">
    <w:name w:val="List Table 4 - Accent 4"/>
    <w:basedOn w:val="3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7">
    <w:name w:val="List Table 4 - Accent 5"/>
    <w:basedOn w:val="34"/>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8">
    <w:name w:val="List Table 4 - Accent 6"/>
    <w:basedOn w:val="34"/>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9">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0">
    <w:name w:val="List Table 5 Dark - Accent 1"/>
    <w:basedOn w:val="34"/>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1">
    <w:name w:val="List Table 5 Dark - Accent 2"/>
    <w:basedOn w:val="34"/>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2">
    <w:name w:val="List Table 5 Dark - Accent 3"/>
    <w:basedOn w:val="34"/>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33">
    <w:name w:val="List Table 5 Dark - Accent 4"/>
    <w:basedOn w:val="3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4">
    <w:name w:val="List Table 5 Dark - Accent 5"/>
    <w:basedOn w:val="34"/>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5">
    <w:name w:val="List Table 5 Dark - Accent 6"/>
    <w:basedOn w:val="34"/>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6">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7">
    <w:name w:val="List Table 6 Colorful - Accent 1"/>
    <w:basedOn w:val="34"/>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6 Colorful - Accent 2"/>
    <w:basedOn w:val="34"/>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6 Colorful - Accent 3"/>
    <w:basedOn w:val="34"/>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6 Colorful - Accent 4"/>
    <w:basedOn w:val="3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6 Colorful - Accent 5"/>
    <w:basedOn w:val="3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6 Colorful - Accent 6"/>
    <w:basedOn w:val="34"/>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4">
    <w:name w:val="List Table 7 Colorful - Accent 1"/>
    <w:basedOn w:val="34"/>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7 Colorful - Accent 2"/>
    <w:basedOn w:val="3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7 Colorful - Accent 3"/>
    <w:basedOn w:val="34"/>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7 Colorful - Accent 4"/>
    <w:basedOn w:val="3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7 Colorful - Accent 5"/>
    <w:basedOn w:val="3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7 Colorful - Accent 6"/>
    <w:basedOn w:val="3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ned - Accent"/>
    <w:basedOn w:val="3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Lined - Accent 1"/>
    <w:basedOn w:val="34"/>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Lined - Accent 2"/>
    <w:basedOn w:val="34"/>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Lined - Accent 3"/>
    <w:basedOn w:val="34"/>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Lined - Accent 4"/>
    <w:basedOn w:val="3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Lined - Accent 5"/>
    <w:basedOn w:val="34"/>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Lined - Accent 6"/>
    <w:basedOn w:val="34"/>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8">
    <w:name w:val="Bordered &amp; Lined - Accent 1"/>
    <w:basedOn w:val="3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9">
    <w:name w:val="Bordered &amp; Lined - Accent 2"/>
    <w:basedOn w:val="34"/>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0">
    <w:name w:val="Bordered &amp; Lined - Accent 3"/>
    <w:basedOn w:val="34"/>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1">
    <w:name w:val="Bordered &amp; Lined - Accent 4"/>
    <w:basedOn w:val="3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2">
    <w:name w:val="Bordered &amp; Lined - Accent 5"/>
    <w:basedOn w:val="34"/>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3">
    <w:name w:val="Bordered &amp; Lined - Accent 6"/>
    <w:basedOn w:val="34"/>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4">
    <w:name w:val="Bordered"/>
    <w:basedOn w:val="3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5">
    <w:name w:val="Bordered - Accent 1"/>
    <w:basedOn w:val="3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6">
    <w:name w:val="Bordered - Accent 2"/>
    <w:basedOn w:val="3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7">
    <w:name w:val="Bordered - Accent 3"/>
    <w:basedOn w:val="3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8">
    <w:name w:val="Bordered - Accent 4"/>
    <w:basedOn w:val="3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9">
    <w:name w:val="Bordered - Accent 5"/>
    <w:basedOn w:val="3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0">
    <w:name w:val="Bordered - Accent 6"/>
    <w:basedOn w:val="3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1">
    <w:name w:val="Heading 6 Char"/>
    <w:basedOn w:val="36"/>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36"/>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36"/>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36"/>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Subtitle Char"/>
    <w:basedOn w:val="36"/>
    <w:link w:val="2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6"/>
    <w:link w:val="176"/>
    <w:qFormat/>
    <w:uiPriority w:val="29"/>
    <w:rPr>
      <w:i/>
      <w:iCs/>
      <w:color w:val="404040" w:themeColor="text1" w:themeTint="BF"/>
      <w14:textFill>
        <w14:solidFill>
          <w14:schemeClr w14:val="tx1">
            <w14:lumMod w14:val="75000"/>
            <w14:lumOff w14:val="25000"/>
          </w14:schemeClr>
        </w14:solidFill>
      </w14:textFill>
    </w:rPr>
  </w:style>
  <w:style w:type="paragraph" w:styleId="178">
    <w:name w:val="List Paragraph"/>
    <w:basedOn w:val="1"/>
    <w:qFormat/>
    <w:uiPriority w:val="34"/>
    <w:pPr>
      <w:ind w:left="720"/>
      <w:contextualSpacing/>
    </w:pPr>
  </w:style>
  <w:style w:type="character" w:customStyle="1" w:styleId="179">
    <w:name w:val="Intense Emphasis"/>
    <w:basedOn w:val="36"/>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6"/>
    <w:link w:val="180"/>
    <w:qFormat/>
    <w:uiPriority w:val="30"/>
    <w:rPr>
      <w:i/>
      <w:iCs/>
      <w:color w:val="376092" w:themeColor="accent1" w:themeShade="BF"/>
    </w:rPr>
  </w:style>
  <w:style w:type="character" w:customStyle="1" w:styleId="182">
    <w:name w:val="Intense Reference"/>
    <w:basedOn w:val="36"/>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6"/>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6"/>
    <w:qFormat/>
    <w:uiPriority w:val="33"/>
    <w:rPr>
      <w:b/>
      <w:bCs/>
      <w:i/>
      <w:iCs/>
      <w:spacing w:val="5"/>
    </w:rPr>
  </w:style>
  <w:style w:type="character" w:customStyle="1" w:styleId="187">
    <w:name w:val="Endnote Text Char"/>
    <w:basedOn w:val="36"/>
    <w:link w:val="22"/>
    <w:semiHidden/>
    <w:qFormat/>
    <w:uiPriority w:val="99"/>
    <w:rPr>
      <w:sz w:val="20"/>
      <w:szCs w:val="20"/>
    </w:rPr>
  </w:style>
  <w:style w:type="character" w:styleId="188">
    <w:name w:val="Placeholder Text"/>
    <w:basedOn w:val="36"/>
    <w:semiHidden/>
    <w:qFormat/>
    <w:uiPriority w:val="99"/>
    <w:rPr>
      <w:color w:val="666666"/>
    </w:rPr>
  </w:style>
  <w:style w:type="paragraph" w:customStyle="1" w:styleId="189">
    <w:name w:val="TOC Heading"/>
    <w:unhideWhenUsed/>
    <w:qFormat/>
    <w:uiPriority w:val="39"/>
    <w:rPr>
      <w:rFonts w:hint="default" w:ascii="Times New Roman" w:hAnsi="Times New Roman" w:eastAsia="宋体" w:cs="Times New Roman"/>
    </w:rPr>
  </w:style>
  <w:style w:type="paragraph" w:customStyle="1" w:styleId="190">
    <w:name w:val="标题 11"/>
    <w:basedOn w:val="1"/>
    <w:next w:val="1"/>
    <w:link w:val="204"/>
    <w:qFormat/>
    <w:uiPriority w:val="0"/>
    <w:pPr>
      <w:keepNext/>
      <w:keepLines/>
      <w:spacing w:before="340" w:after="330" w:line="578" w:lineRule="auto"/>
      <w:outlineLvl w:val="0"/>
    </w:pPr>
    <w:rPr>
      <w:b/>
      <w:bCs/>
      <w:sz w:val="44"/>
      <w:szCs w:val="44"/>
    </w:rPr>
  </w:style>
  <w:style w:type="paragraph" w:customStyle="1" w:styleId="191">
    <w:name w:val="标题 21"/>
    <w:basedOn w:val="1"/>
    <w:next w:val="1"/>
    <w:link w:val="205"/>
    <w:qFormat/>
    <w:uiPriority w:val="9"/>
    <w:pPr>
      <w:keepNext/>
      <w:keepLines/>
      <w:spacing w:before="260" w:after="260" w:line="416" w:lineRule="auto"/>
      <w:outlineLvl w:val="1"/>
    </w:pPr>
    <w:rPr>
      <w:rFonts w:ascii="Cambria" w:hAnsi="Cambria"/>
      <w:b/>
      <w:bCs/>
      <w:sz w:val="32"/>
      <w:szCs w:val="32"/>
    </w:rPr>
  </w:style>
  <w:style w:type="paragraph" w:customStyle="1" w:styleId="192">
    <w:name w:val="标题 31"/>
    <w:basedOn w:val="1"/>
    <w:next w:val="1"/>
    <w:link w:val="206"/>
    <w:qFormat/>
    <w:uiPriority w:val="0"/>
    <w:pPr>
      <w:keepNext/>
      <w:keepLines/>
      <w:spacing w:before="260" w:after="260" w:line="416" w:lineRule="auto"/>
      <w:outlineLvl w:val="2"/>
    </w:pPr>
    <w:rPr>
      <w:b/>
      <w:bCs/>
      <w:sz w:val="32"/>
      <w:szCs w:val="32"/>
    </w:rPr>
  </w:style>
  <w:style w:type="paragraph" w:customStyle="1" w:styleId="193">
    <w:name w:val="标题 41"/>
    <w:basedOn w:val="1"/>
    <w:next w:val="1"/>
    <w:link w:val="207"/>
    <w:qFormat/>
    <w:uiPriority w:val="9"/>
    <w:pPr>
      <w:keepNext/>
      <w:keepLines/>
      <w:spacing w:line="360" w:lineRule="auto"/>
      <w:outlineLvl w:val="3"/>
    </w:pPr>
    <w:rPr>
      <w:rFonts w:ascii="Arial" w:hAnsi="Arial"/>
      <w:b/>
      <w:bCs/>
      <w:sz w:val="28"/>
      <w:szCs w:val="28"/>
    </w:rPr>
  </w:style>
  <w:style w:type="paragraph" w:customStyle="1" w:styleId="194">
    <w:name w:val="标题 51"/>
    <w:basedOn w:val="1"/>
    <w:next w:val="195"/>
    <w:link w:val="208"/>
    <w:qFormat/>
    <w:uiPriority w:val="99"/>
    <w:pPr>
      <w:keepNext/>
      <w:keepLines/>
      <w:spacing w:before="280" w:after="290" w:line="376" w:lineRule="auto"/>
      <w:outlineLvl w:val="4"/>
    </w:pPr>
    <w:rPr>
      <w:b/>
      <w:bCs/>
      <w:sz w:val="28"/>
      <w:szCs w:val="28"/>
    </w:rPr>
  </w:style>
  <w:style w:type="paragraph" w:customStyle="1" w:styleId="195">
    <w:name w:val="正文缩进1"/>
    <w:basedOn w:val="1"/>
    <w:link w:val="209"/>
    <w:qFormat/>
    <w:uiPriority w:val="99"/>
    <w:pPr>
      <w:ind w:firstLine="420"/>
    </w:pPr>
    <w:rPr>
      <w:szCs w:val="20"/>
    </w:rPr>
  </w:style>
  <w:style w:type="paragraph" w:customStyle="1" w:styleId="196">
    <w:name w:val="标题 61"/>
    <w:basedOn w:val="1"/>
    <w:next w:val="1"/>
    <w:link w:val="210"/>
    <w:qFormat/>
    <w:uiPriority w:val="9"/>
    <w:pPr>
      <w:keepNext/>
      <w:keepLines/>
      <w:spacing w:before="240" w:after="64" w:line="317" w:lineRule="auto"/>
      <w:outlineLvl w:val="5"/>
    </w:pPr>
    <w:rPr>
      <w:rFonts w:ascii="Cambria" w:hAnsi="Cambria"/>
      <w:b/>
      <w:bCs/>
      <w:sz w:val="24"/>
    </w:rPr>
  </w:style>
  <w:style w:type="paragraph" w:customStyle="1" w:styleId="197">
    <w:name w:val="标题 71"/>
    <w:basedOn w:val="1"/>
    <w:next w:val="1"/>
    <w:link w:val="211"/>
    <w:qFormat/>
    <w:uiPriority w:val="0"/>
    <w:pPr>
      <w:keepNext/>
      <w:keepLines/>
      <w:spacing w:before="240" w:after="64" w:line="317" w:lineRule="auto"/>
      <w:outlineLvl w:val="6"/>
    </w:pPr>
    <w:rPr>
      <w:b/>
      <w:bCs/>
      <w:sz w:val="24"/>
    </w:rPr>
  </w:style>
  <w:style w:type="paragraph" w:customStyle="1" w:styleId="198">
    <w:name w:val="标题 81"/>
    <w:basedOn w:val="1"/>
    <w:next w:val="1"/>
    <w:link w:val="212"/>
    <w:qFormat/>
    <w:uiPriority w:val="9"/>
    <w:pPr>
      <w:keepNext/>
      <w:keepLines/>
      <w:spacing w:before="240" w:after="64" w:line="320" w:lineRule="auto"/>
      <w:outlineLvl w:val="7"/>
    </w:pPr>
    <w:rPr>
      <w:rFonts w:ascii="等线 Light" w:hAnsi="等线 Light" w:eastAsia="等线 Light"/>
      <w:sz w:val="24"/>
    </w:rPr>
  </w:style>
  <w:style w:type="paragraph" w:customStyle="1" w:styleId="199">
    <w:name w:val="标题 91"/>
    <w:basedOn w:val="1"/>
    <w:next w:val="1"/>
    <w:link w:val="213"/>
    <w:qFormat/>
    <w:uiPriority w:val="0"/>
    <w:pPr>
      <w:keepNext/>
      <w:keepLines/>
      <w:spacing w:before="240" w:after="64" w:line="317" w:lineRule="auto"/>
      <w:outlineLvl w:val="8"/>
    </w:pPr>
    <w:rPr>
      <w:rFonts w:ascii="Cambria" w:hAnsi="Cambria"/>
      <w:sz w:val="20"/>
      <w:szCs w:val="21"/>
    </w:rPr>
  </w:style>
  <w:style w:type="character" w:customStyle="1" w:styleId="200">
    <w:name w:val="默认段落字体1"/>
    <w:link w:val="1"/>
    <w:unhideWhenUsed/>
    <w:qFormat/>
    <w:uiPriority w:val="1"/>
  </w:style>
  <w:style w:type="table" w:customStyle="1" w:styleId="201">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2">
    <w:name w:val="正文文本 Char1"/>
    <w:link w:val="44"/>
    <w:qFormat/>
    <w:uiPriority w:val="99"/>
    <w:rPr>
      <w:rFonts w:ascii="Times New Roman" w:hAnsi="Times New Roman"/>
      <w:sz w:val="21"/>
      <w:szCs w:val="24"/>
    </w:rPr>
  </w:style>
  <w:style w:type="character" w:customStyle="1" w:styleId="203">
    <w:name w:val="标题 Char"/>
    <w:link w:val="45"/>
    <w:qFormat/>
    <w:uiPriority w:val="0"/>
    <w:rPr>
      <w:rFonts w:ascii="Cambria" w:hAnsi="Cambria"/>
      <w:b/>
      <w:bCs/>
      <w:sz w:val="32"/>
      <w:szCs w:val="32"/>
    </w:rPr>
  </w:style>
  <w:style w:type="character" w:customStyle="1" w:styleId="204">
    <w:name w:val="标题 1 Char"/>
    <w:link w:val="190"/>
    <w:qFormat/>
    <w:uiPriority w:val="0"/>
    <w:rPr>
      <w:b/>
      <w:bCs/>
      <w:sz w:val="44"/>
      <w:szCs w:val="44"/>
    </w:rPr>
  </w:style>
  <w:style w:type="character" w:customStyle="1" w:styleId="205">
    <w:name w:val="标题 2 Char1"/>
    <w:link w:val="191"/>
    <w:qFormat/>
    <w:uiPriority w:val="9"/>
    <w:rPr>
      <w:rFonts w:ascii="Cambria" w:hAnsi="Cambria" w:eastAsia="宋体" w:cs="Times New Roman"/>
      <w:b/>
      <w:bCs/>
      <w:sz w:val="32"/>
      <w:szCs w:val="32"/>
    </w:rPr>
  </w:style>
  <w:style w:type="character" w:customStyle="1" w:styleId="206">
    <w:name w:val="标题 3 Char1"/>
    <w:link w:val="192"/>
    <w:qFormat/>
    <w:uiPriority w:val="0"/>
    <w:rPr>
      <w:b/>
      <w:bCs/>
      <w:sz w:val="32"/>
      <w:szCs w:val="32"/>
    </w:rPr>
  </w:style>
  <w:style w:type="character" w:customStyle="1" w:styleId="207">
    <w:name w:val="标题 4 Char1"/>
    <w:link w:val="193"/>
    <w:qFormat/>
    <w:uiPriority w:val="9"/>
    <w:rPr>
      <w:rFonts w:ascii="Arial" w:hAnsi="Arial"/>
      <w:b/>
      <w:bCs/>
      <w:sz w:val="28"/>
      <w:szCs w:val="28"/>
    </w:rPr>
  </w:style>
  <w:style w:type="character" w:customStyle="1" w:styleId="208">
    <w:name w:val="标题 5 Char"/>
    <w:link w:val="194"/>
    <w:qFormat/>
    <w:uiPriority w:val="99"/>
    <w:rPr>
      <w:rFonts w:ascii="Times New Roman" w:hAnsi="Times New Roman"/>
      <w:b/>
      <w:bCs/>
      <w:sz w:val="28"/>
      <w:szCs w:val="28"/>
    </w:rPr>
  </w:style>
  <w:style w:type="character" w:customStyle="1" w:styleId="209">
    <w:name w:val="正文缩进 Char"/>
    <w:link w:val="195"/>
    <w:qFormat/>
    <w:uiPriority w:val="99"/>
    <w:rPr>
      <w:sz w:val="21"/>
    </w:rPr>
  </w:style>
  <w:style w:type="character" w:customStyle="1" w:styleId="210">
    <w:name w:val="标题 6 Char"/>
    <w:link w:val="196"/>
    <w:qFormat/>
    <w:uiPriority w:val="9"/>
    <w:rPr>
      <w:rFonts w:ascii="Cambria" w:hAnsi="Cambria"/>
      <w:b/>
      <w:bCs/>
      <w:sz w:val="24"/>
      <w:szCs w:val="24"/>
    </w:rPr>
  </w:style>
  <w:style w:type="character" w:customStyle="1" w:styleId="211">
    <w:name w:val="标题 7 Char"/>
    <w:link w:val="197"/>
    <w:qFormat/>
    <w:uiPriority w:val="0"/>
    <w:rPr>
      <w:b/>
      <w:bCs/>
      <w:sz w:val="24"/>
      <w:szCs w:val="24"/>
    </w:rPr>
  </w:style>
  <w:style w:type="character" w:customStyle="1" w:styleId="212">
    <w:name w:val="标题 8 Char1"/>
    <w:link w:val="198"/>
    <w:semiHidden/>
    <w:qFormat/>
    <w:uiPriority w:val="9"/>
    <w:rPr>
      <w:rFonts w:ascii="等线 Light" w:hAnsi="等线 Light" w:eastAsia="等线 Light" w:cs="Times New Roman"/>
      <w:sz w:val="24"/>
      <w:szCs w:val="24"/>
    </w:rPr>
  </w:style>
  <w:style w:type="character" w:customStyle="1" w:styleId="213">
    <w:name w:val="标题 9 Char"/>
    <w:link w:val="199"/>
    <w:qFormat/>
    <w:uiPriority w:val="0"/>
    <w:rPr>
      <w:rFonts w:ascii="Cambria" w:hAnsi="Cambria"/>
      <w:szCs w:val="21"/>
    </w:rPr>
  </w:style>
  <w:style w:type="paragraph" w:customStyle="1" w:styleId="214">
    <w:name w:val="目录 71"/>
    <w:basedOn w:val="1"/>
    <w:next w:val="1"/>
    <w:qFormat/>
    <w:uiPriority w:val="39"/>
    <w:pPr>
      <w:ind w:left="2520"/>
    </w:pPr>
    <w:rPr>
      <w:rFonts w:ascii="Calibri" w:hAnsi="Calibri" w:cs="Calibri"/>
      <w:szCs w:val="21"/>
    </w:rPr>
  </w:style>
  <w:style w:type="paragraph" w:customStyle="1" w:styleId="215">
    <w:name w:val="引文目录1"/>
    <w:basedOn w:val="1"/>
    <w:next w:val="1"/>
    <w:unhideWhenUsed/>
    <w:qFormat/>
    <w:uiPriority w:val="99"/>
    <w:pPr>
      <w:ind w:left="420"/>
    </w:pPr>
  </w:style>
  <w:style w:type="paragraph" w:customStyle="1" w:styleId="216">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7">
    <w:name w:val="题注1"/>
    <w:basedOn w:val="1"/>
    <w:next w:val="1"/>
    <w:qFormat/>
    <w:uiPriority w:val="99"/>
    <w:rPr>
      <w:rFonts w:ascii="Cambria" w:hAnsi="Cambria" w:eastAsia="黑体" w:cs="Cambria"/>
      <w:sz w:val="20"/>
      <w:szCs w:val="20"/>
    </w:rPr>
  </w:style>
  <w:style w:type="paragraph" w:customStyle="1" w:styleId="218">
    <w:name w:val="文档结构图1"/>
    <w:basedOn w:val="1"/>
    <w:link w:val="219"/>
    <w:qFormat/>
    <w:uiPriority w:val="0"/>
    <w:pPr>
      <w:shd w:val="clear" w:color="auto" w:fill="000080"/>
    </w:pPr>
    <w:rPr>
      <w:sz w:val="24"/>
      <w:shd w:val="clear" w:color="auto" w:fill="000080"/>
    </w:rPr>
  </w:style>
  <w:style w:type="character" w:customStyle="1" w:styleId="219">
    <w:name w:val="文档结构图 Char"/>
    <w:link w:val="218"/>
    <w:qFormat/>
    <w:uiPriority w:val="0"/>
    <w:rPr>
      <w:sz w:val="24"/>
      <w:szCs w:val="24"/>
      <w:shd w:val="clear" w:color="auto" w:fill="000080"/>
    </w:rPr>
  </w:style>
  <w:style w:type="paragraph" w:customStyle="1" w:styleId="220">
    <w:name w:val="批注文字1"/>
    <w:basedOn w:val="1"/>
    <w:link w:val="221"/>
    <w:qFormat/>
    <w:uiPriority w:val="99"/>
    <w:pPr>
      <w:jc w:val="left"/>
    </w:pPr>
  </w:style>
  <w:style w:type="character" w:customStyle="1" w:styleId="221">
    <w:name w:val="批注文字 Char1"/>
    <w:link w:val="220"/>
    <w:qFormat/>
    <w:uiPriority w:val="99"/>
    <w:rPr>
      <w:rFonts w:ascii="Times New Roman" w:hAnsi="Times New Roman"/>
      <w:sz w:val="21"/>
      <w:szCs w:val="24"/>
    </w:rPr>
  </w:style>
  <w:style w:type="paragraph" w:customStyle="1" w:styleId="222">
    <w:name w:val="正文文本 31"/>
    <w:basedOn w:val="1"/>
    <w:link w:val="223"/>
    <w:unhideWhenUsed/>
    <w:qFormat/>
    <w:uiPriority w:val="99"/>
    <w:pPr>
      <w:spacing w:after="120"/>
    </w:pPr>
    <w:rPr>
      <w:sz w:val="16"/>
      <w:szCs w:val="16"/>
    </w:rPr>
  </w:style>
  <w:style w:type="character" w:customStyle="1" w:styleId="223">
    <w:name w:val="正文文本 3 Char"/>
    <w:link w:val="222"/>
    <w:semiHidden/>
    <w:qFormat/>
    <w:uiPriority w:val="99"/>
    <w:rPr>
      <w:sz w:val="16"/>
      <w:szCs w:val="16"/>
    </w:rPr>
  </w:style>
  <w:style w:type="paragraph" w:customStyle="1" w:styleId="224">
    <w:name w:val="正文文本缩进1"/>
    <w:basedOn w:val="1"/>
    <w:link w:val="225"/>
    <w:qFormat/>
    <w:uiPriority w:val="99"/>
    <w:pPr>
      <w:ind w:firstLine="830"/>
    </w:pPr>
    <w:rPr>
      <w:rFonts w:ascii="仿宋_GB2312" w:eastAsia="仿宋_GB2312"/>
      <w:sz w:val="32"/>
      <w:szCs w:val="20"/>
    </w:rPr>
  </w:style>
  <w:style w:type="character" w:customStyle="1" w:styleId="225">
    <w:name w:val="正文文本缩进 Char"/>
    <w:link w:val="224"/>
    <w:qFormat/>
    <w:uiPriority w:val="99"/>
    <w:rPr>
      <w:rFonts w:ascii="仿宋_GB2312" w:hAnsi="Times New Roman" w:eastAsia="仿宋_GB2312" w:cs="Times New Roman"/>
      <w:sz w:val="32"/>
      <w:szCs w:val="20"/>
    </w:rPr>
  </w:style>
  <w:style w:type="paragraph" w:customStyle="1" w:styleId="226">
    <w:name w:val="列表 21"/>
    <w:basedOn w:val="1"/>
    <w:unhideWhenUsed/>
    <w:qFormat/>
    <w:uiPriority w:val="99"/>
    <w:pPr>
      <w:ind w:left="100" w:hanging="200"/>
      <w:contextualSpacing/>
    </w:pPr>
  </w:style>
  <w:style w:type="paragraph" w:customStyle="1" w:styleId="227">
    <w:name w:val="索引 41"/>
    <w:basedOn w:val="1"/>
    <w:next w:val="1"/>
    <w:semiHidden/>
    <w:qFormat/>
    <w:uiPriority w:val="99"/>
    <w:pPr>
      <w:ind w:left="600"/>
    </w:pPr>
    <w:rPr>
      <w:szCs w:val="21"/>
    </w:rPr>
  </w:style>
  <w:style w:type="paragraph" w:customStyle="1" w:styleId="228">
    <w:name w:val="目录 51"/>
    <w:basedOn w:val="1"/>
    <w:next w:val="1"/>
    <w:qFormat/>
    <w:uiPriority w:val="39"/>
    <w:pPr>
      <w:ind w:left="1680"/>
    </w:pPr>
    <w:rPr>
      <w:rFonts w:ascii="Calibri" w:hAnsi="Calibri" w:cs="Calibri"/>
      <w:szCs w:val="21"/>
    </w:rPr>
  </w:style>
  <w:style w:type="paragraph" w:customStyle="1" w:styleId="229">
    <w:name w:val="目录 31"/>
    <w:basedOn w:val="1"/>
    <w:next w:val="1"/>
    <w:qFormat/>
    <w:uiPriority w:val="39"/>
    <w:pPr>
      <w:ind w:left="840"/>
    </w:pPr>
    <w:rPr>
      <w:szCs w:val="21"/>
    </w:rPr>
  </w:style>
  <w:style w:type="paragraph" w:customStyle="1" w:styleId="230">
    <w:name w:val="纯文本1"/>
    <w:basedOn w:val="1"/>
    <w:link w:val="231"/>
    <w:qFormat/>
    <w:uiPriority w:val="99"/>
    <w:rPr>
      <w:rFonts w:ascii="宋体" w:hAnsi="Courier New"/>
      <w:sz w:val="20"/>
      <w:szCs w:val="21"/>
    </w:rPr>
  </w:style>
  <w:style w:type="character" w:customStyle="1" w:styleId="231">
    <w:name w:val="纯文本 Char2"/>
    <w:link w:val="230"/>
    <w:qFormat/>
    <w:uiPriority w:val="99"/>
    <w:rPr>
      <w:rFonts w:ascii="宋体" w:hAnsi="Courier New" w:eastAsia="宋体" w:cs="Courier New"/>
      <w:szCs w:val="21"/>
    </w:rPr>
  </w:style>
  <w:style w:type="paragraph" w:customStyle="1" w:styleId="232">
    <w:name w:val="目录 81"/>
    <w:basedOn w:val="1"/>
    <w:next w:val="1"/>
    <w:qFormat/>
    <w:uiPriority w:val="39"/>
    <w:pPr>
      <w:ind w:left="2940"/>
    </w:pPr>
    <w:rPr>
      <w:rFonts w:ascii="Calibri" w:hAnsi="Calibri" w:cs="Calibri"/>
      <w:szCs w:val="21"/>
    </w:rPr>
  </w:style>
  <w:style w:type="paragraph" w:customStyle="1" w:styleId="233">
    <w:name w:val="日期1"/>
    <w:basedOn w:val="1"/>
    <w:next w:val="1"/>
    <w:link w:val="234"/>
    <w:unhideWhenUsed/>
    <w:qFormat/>
    <w:uiPriority w:val="99"/>
    <w:pPr>
      <w:ind w:left="100"/>
    </w:pPr>
  </w:style>
  <w:style w:type="character" w:customStyle="1" w:styleId="234">
    <w:name w:val="日期 Char"/>
    <w:link w:val="233"/>
    <w:qFormat/>
    <w:uiPriority w:val="99"/>
    <w:rPr>
      <w:rFonts w:ascii="Times New Roman" w:hAnsi="Times New Roman"/>
      <w:sz w:val="21"/>
      <w:szCs w:val="24"/>
    </w:rPr>
  </w:style>
  <w:style w:type="paragraph" w:customStyle="1" w:styleId="235">
    <w:name w:val="正文文本缩进 21"/>
    <w:basedOn w:val="1"/>
    <w:link w:val="236"/>
    <w:qFormat/>
    <w:uiPriority w:val="99"/>
    <w:pPr>
      <w:spacing w:after="120" w:line="480" w:lineRule="auto"/>
      <w:ind w:left="420"/>
    </w:pPr>
    <w:rPr>
      <w:sz w:val="24"/>
    </w:rPr>
  </w:style>
  <w:style w:type="character" w:customStyle="1" w:styleId="236">
    <w:name w:val="正文文本缩进 2 Char"/>
    <w:link w:val="235"/>
    <w:qFormat/>
    <w:uiPriority w:val="99"/>
    <w:rPr>
      <w:sz w:val="24"/>
      <w:szCs w:val="24"/>
    </w:rPr>
  </w:style>
  <w:style w:type="paragraph" w:customStyle="1" w:styleId="237">
    <w:name w:val="批注框文本1"/>
    <w:basedOn w:val="1"/>
    <w:link w:val="238"/>
    <w:qFormat/>
    <w:uiPriority w:val="0"/>
    <w:rPr>
      <w:sz w:val="18"/>
      <w:szCs w:val="18"/>
    </w:rPr>
  </w:style>
  <w:style w:type="character" w:customStyle="1" w:styleId="238">
    <w:name w:val="批注框文本 Char"/>
    <w:link w:val="237"/>
    <w:qFormat/>
    <w:uiPriority w:val="0"/>
    <w:rPr>
      <w:sz w:val="18"/>
      <w:szCs w:val="18"/>
    </w:rPr>
  </w:style>
  <w:style w:type="paragraph" w:customStyle="1" w:styleId="239">
    <w:name w:val="页脚1"/>
    <w:basedOn w:val="1"/>
    <w:link w:val="240"/>
    <w:unhideWhenUsed/>
    <w:qFormat/>
    <w:uiPriority w:val="99"/>
    <w:pPr>
      <w:tabs>
        <w:tab w:val="center" w:pos="4153"/>
        <w:tab w:val="right" w:pos="8306"/>
      </w:tabs>
      <w:jc w:val="left"/>
    </w:pPr>
    <w:rPr>
      <w:sz w:val="18"/>
      <w:szCs w:val="18"/>
    </w:rPr>
  </w:style>
  <w:style w:type="character" w:customStyle="1" w:styleId="240">
    <w:name w:val="页脚 Char"/>
    <w:link w:val="239"/>
    <w:qFormat/>
    <w:uiPriority w:val="99"/>
    <w:rPr>
      <w:sz w:val="18"/>
      <w:szCs w:val="18"/>
    </w:rPr>
  </w:style>
  <w:style w:type="paragraph" w:customStyle="1" w:styleId="241">
    <w:name w:val="页眉1"/>
    <w:basedOn w:val="1"/>
    <w:link w:val="242"/>
    <w:unhideWhenUsed/>
    <w:qFormat/>
    <w:uiPriority w:val="0"/>
    <w:pPr>
      <w:pBdr>
        <w:bottom w:val="single" w:color="000000" w:sz="6" w:space="1"/>
      </w:pBdr>
      <w:tabs>
        <w:tab w:val="center" w:pos="4153"/>
        <w:tab w:val="right" w:pos="8306"/>
      </w:tabs>
      <w:jc w:val="center"/>
    </w:pPr>
    <w:rPr>
      <w:sz w:val="18"/>
      <w:szCs w:val="18"/>
    </w:rPr>
  </w:style>
  <w:style w:type="character" w:customStyle="1" w:styleId="242">
    <w:name w:val="页眉 Char"/>
    <w:link w:val="241"/>
    <w:qFormat/>
    <w:uiPriority w:val="0"/>
    <w:rPr>
      <w:sz w:val="18"/>
      <w:szCs w:val="18"/>
    </w:rPr>
  </w:style>
  <w:style w:type="paragraph" w:customStyle="1" w:styleId="243">
    <w:name w:val="目录 11"/>
    <w:basedOn w:val="1"/>
    <w:next w:val="1"/>
    <w:unhideWhenUsed/>
    <w:qFormat/>
    <w:uiPriority w:val="39"/>
  </w:style>
  <w:style w:type="paragraph" w:customStyle="1" w:styleId="244">
    <w:name w:val="目录 41"/>
    <w:basedOn w:val="1"/>
    <w:next w:val="1"/>
    <w:qFormat/>
    <w:uiPriority w:val="39"/>
    <w:pPr>
      <w:ind w:left="1260"/>
    </w:pPr>
    <w:rPr>
      <w:rFonts w:ascii="Calibri" w:hAnsi="Calibri" w:cs="Calibri"/>
      <w:szCs w:val="21"/>
    </w:rPr>
  </w:style>
  <w:style w:type="paragraph" w:customStyle="1" w:styleId="245">
    <w:name w:val="副标题1"/>
    <w:basedOn w:val="1"/>
    <w:next w:val="1"/>
    <w:link w:val="246"/>
    <w:qFormat/>
    <w:uiPriority w:val="11"/>
    <w:pPr>
      <w:spacing w:before="240" w:after="60" w:line="312" w:lineRule="auto"/>
      <w:jc w:val="center"/>
      <w:outlineLvl w:val="1"/>
    </w:pPr>
    <w:rPr>
      <w:rFonts w:ascii="Cambria" w:hAnsi="Cambria"/>
      <w:b/>
      <w:bCs/>
      <w:sz w:val="32"/>
      <w:szCs w:val="32"/>
    </w:rPr>
  </w:style>
  <w:style w:type="character" w:customStyle="1" w:styleId="246">
    <w:name w:val="副标题 Char"/>
    <w:link w:val="245"/>
    <w:qFormat/>
    <w:uiPriority w:val="11"/>
    <w:rPr>
      <w:rFonts w:ascii="Cambria" w:hAnsi="Cambria"/>
      <w:b/>
      <w:bCs/>
      <w:sz w:val="32"/>
      <w:szCs w:val="32"/>
    </w:rPr>
  </w:style>
  <w:style w:type="paragraph" w:customStyle="1" w:styleId="247">
    <w:name w:val="脚注文本1"/>
    <w:basedOn w:val="1"/>
    <w:link w:val="248"/>
    <w:qFormat/>
    <w:uiPriority w:val="0"/>
    <w:pPr>
      <w:spacing w:line="312" w:lineRule="atLeast"/>
      <w:jc w:val="left"/>
    </w:pPr>
    <w:rPr>
      <w:sz w:val="18"/>
      <w:szCs w:val="18"/>
    </w:rPr>
  </w:style>
  <w:style w:type="character" w:customStyle="1" w:styleId="248">
    <w:name w:val="脚注文本 Char"/>
    <w:link w:val="247"/>
    <w:semiHidden/>
    <w:qFormat/>
    <w:uiPriority w:val="0"/>
    <w:rPr>
      <w:sz w:val="18"/>
      <w:szCs w:val="18"/>
    </w:rPr>
  </w:style>
  <w:style w:type="paragraph" w:customStyle="1" w:styleId="249">
    <w:name w:val="目录 61"/>
    <w:basedOn w:val="1"/>
    <w:next w:val="1"/>
    <w:qFormat/>
    <w:uiPriority w:val="39"/>
    <w:pPr>
      <w:ind w:left="2100"/>
    </w:pPr>
    <w:rPr>
      <w:rFonts w:ascii="Calibri" w:hAnsi="Calibri" w:cs="Calibri"/>
      <w:szCs w:val="21"/>
    </w:rPr>
  </w:style>
  <w:style w:type="paragraph" w:customStyle="1" w:styleId="250">
    <w:name w:val="目录 21"/>
    <w:basedOn w:val="1"/>
    <w:next w:val="1"/>
    <w:unhideWhenUsed/>
    <w:qFormat/>
    <w:uiPriority w:val="39"/>
    <w:pPr>
      <w:tabs>
        <w:tab w:val="right" w:leader="dot" w:pos="8296"/>
      </w:tabs>
      <w:ind w:left="420"/>
    </w:pPr>
  </w:style>
  <w:style w:type="paragraph" w:customStyle="1" w:styleId="251">
    <w:name w:val="目录 91"/>
    <w:basedOn w:val="1"/>
    <w:next w:val="1"/>
    <w:qFormat/>
    <w:uiPriority w:val="39"/>
    <w:pPr>
      <w:ind w:left="3360"/>
    </w:pPr>
    <w:rPr>
      <w:rFonts w:ascii="Calibri" w:hAnsi="Calibri" w:cs="Calibri"/>
      <w:szCs w:val="21"/>
    </w:rPr>
  </w:style>
  <w:style w:type="paragraph" w:customStyle="1" w:styleId="252">
    <w:name w:val="HTML 预设格式1"/>
    <w:basedOn w:val="1"/>
    <w:link w:val="25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53">
    <w:name w:val="HTML 预设格式 Char"/>
    <w:link w:val="252"/>
    <w:qFormat/>
    <w:uiPriority w:val="99"/>
    <w:rPr>
      <w:rFonts w:ascii="宋体" w:hAnsi="宋体"/>
      <w:sz w:val="24"/>
      <w:szCs w:val="24"/>
    </w:rPr>
  </w:style>
  <w:style w:type="paragraph" w:customStyle="1" w:styleId="254">
    <w:name w:val="普通(网站)1"/>
    <w:basedOn w:val="1"/>
    <w:unhideWhenUsed/>
    <w:qFormat/>
    <w:uiPriority w:val="0"/>
    <w:pPr>
      <w:spacing w:before="0" w:beforeAutospacing="0" w:after="0" w:afterAutospacing="0"/>
      <w:ind w:left="0" w:right="0"/>
      <w:jc w:val="both"/>
    </w:pPr>
    <w:rPr>
      <w:rFonts w:ascii="Calibri" w:hAnsi="Calibri" w:cs="Calibri"/>
      <w:sz w:val="24"/>
      <w:szCs w:val="24"/>
      <w:lang w:val="en-US" w:eastAsia="zh-CN" w:bidi="ar"/>
    </w:rPr>
  </w:style>
  <w:style w:type="paragraph" w:customStyle="1" w:styleId="255">
    <w:name w:val="批注主题1"/>
    <w:basedOn w:val="220"/>
    <w:next w:val="220"/>
    <w:link w:val="256"/>
    <w:qFormat/>
    <w:uiPriority w:val="0"/>
    <w:rPr>
      <w:b/>
      <w:bCs/>
    </w:rPr>
  </w:style>
  <w:style w:type="character" w:customStyle="1" w:styleId="256">
    <w:name w:val="批注主题 Char"/>
    <w:link w:val="255"/>
    <w:qFormat/>
    <w:uiPriority w:val="0"/>
    <w:rPr>
      <w:rFonts w:ascii="Times New Roman" w:hAnsi="Times New Roman"/>
      <w:b/>
      <w:bCs/>
      <w:sz w:val="21"/>
      <w:szCs w:val="24"/>
    </w:rPr>
  </w:style>
  <w:style w:type="table" w:customStyle="1" w:styleId="257">
    <w:name w:val="网格型1"/>
    <w:basedOn w:val="20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58">
    <w:name w:val="要点1"/>
    <w:link w:val="1"/>
    <w:qFormat/>
    <w:uiPriority w:val="22"/>
    <w:rPr>
      <w:b/>
      <w:bCs/>
    </w:rPr>
  </w:style>
  <w:style w:type="character" w:customStyle="1" w:styleId="259">
    <w:name w:val="尾注引用1"/>
    <w:link w:val="1"/>
    <w:unhideWhenUsed/>
    <w:qFormat/>
    <w:uiPriority w:val="99"/>
    <w:rPr>
      <w:vertAlign w:val="superscript"/>
    </w:rPr>
  </w:style>
  <w:style w:type="character" w:customStyle="1" w:styleId="260">
    <w:name w:val="页码1"/>
    <w:link w:val="1"/>
    <w:qFormat/>
    <w:uiPriority w:val="99"/>
  </w:style>
  <w:style w:type="character" w:customStyle="1" w:styleId="261">
    <w:name w:val="已访问的超链接1"/>
    <w:link w:val="1"/>
    <w:qFormat/>
    <w:uiPriority w:val="99"/>
    <w:rPr>
      <w:color w:val="800080"/>
      <w:u w:val="single"/>
    </w:rPr>
  </w:style>
  <w:style w:type="character" w:customStyle="1" w:styleId="262">
    <w:name w:val="强调1"/>
    <w:link w:val="1"/>
    <w:qFormat/>
    <w:uiPriority w:val="99"/>
    <w:rPr>
      <w:i/>
      <w:iCs/>
    </w:rPr>
  </w:style>
  <w:style w:type="character" w:customStyle="1" w:styleId="263">
    <w:name w:val="超链接1"/>
    <w:link w:val="1"/>
    <w:unhideWhenUsed/>
    <w:qFormat/>
    <w:uiPriority w:val="99"/>
    <w:rPr>
      <w:color w:val="0000FF"/>
      <w:u w:val="single"/>
    </w:rPr>
  </w:style>
  <w:style w:type="character" w:customStyle="1" w:styleId="264">
    <w:name w:val="批注引用1"/>
    <w:link w:val="1"/>
    <w:qFormat/>
    <w:uiPriority w:val="0"/>
    <w:rPr>
      <w:sz w:val="21"/>
      <w:szCs w:val="21"/>
    </w:rPr>
  </w:style>
  <w:style w:type="character" w:customStyle="1" w:styleId="265">
    <w:name w:val="脚注引用1"/>
    <w:link w:val="1"/>
    <w:unhideWhenUsed/>
    <w:qFormat/>
    <w:uiPriority w:val="0"/>
    <w:rPr>
      <w:vertAlign w:val="superscript"/>
    </w:rPr>
  </w:style>
  <w:style w:type="character" w:customStyle="1" w:styleId="266">
    <w:name w:val="标题 1 字符1"/>
    <w:link w:val="1"/>
    <w:qFormat/>
    <w:uiPriority w:val="0"/>
    <w:rPr>
      <w:b/>
      <w:bCs/>
      <w:sz w:val="44"/>
      <w:szCs w:val="44"/>
    </w:rPr>
  </w:style>
  <w:style w:type="character" w:customStyle="1" w:styleId="267">
    <w:name w:val="textcontents"/>
    <w:link w:val="1"/>
    <w:qFormat/>
    <w:uiPriority w:val="99"/>
  </w:style>
  <w:style w:type="character" w:customStyle="1" w:styleId="268">
    <w:name w:val="批注文字 Char"/>
    <w:link w:val="1"/>
    <w:qFormat/>
    <w:uiPriority w:val="0"/>
    <w:rPr>
      <w:rFonts w:ascii="Times New Roman" w:hAnsi="Times New Roman"/>
      <w:sz w:val="21"/>
      <w:szCs w:val="24"/>
    </w:rPr>
  </w:style>
  <w:style w:type="character" w:customStyle="1" w:styleId="269">
    <w:name w:val="纯文本 字符"/>
    <w:link w:val="1"/>
    <w:qFormat/>
    <w:uiPriority w:val="0"/>
    <w:rPr>
      <w:rFonts w:ascii="宋体" w:hAnsi="Courier New" w:eastAsia="宋体" w:cs="Courier New"/>
      <w:szCs w:val="21"/>
    </w:rPr>
  </w:style>
  <w:style w:type="character" w:customStyle="1" w:styleId="270">
    <w:name w:val="纯文本 Char"/>
    <w:link w:val="1"/>
    <w:qFormat/>
    <w:uiPriority w:val="0"/>
    <w:rPr>
      <w:rFonts w:ascii="宋体" w:hAnsi="Courier New" w:eastAsia="宋体" w:cs="Courier New"/>
      <w:szCs w:val="21"/>
    </w:rPr>
  </w:style>
  <w:style w:type="character" w:customStyle="1" w:styleId="271">
    <w:name w:val="纯文本 字符2"/>
    <w:link w:val="1"/>
    <w:qFormat/>
    <w:uiPriority w:val="0"/>
    <w:rPr>
      <w:rFonts w:ascii="宋体" w:hAnsi="Courier New" w:eastAsia="宋体" w:cs="Courier New"/>
      <w:szCs w:val="21"/>
    </w:rPr>
  </w:style>
  <w:style w:type="character" w:customStyle="1" w:styleId="272">
    <w:name w:val="批注文字 字符1"/>
    <w:link w:val="1"/>
    <w:qFormat/>
    <w:uiPriority w:val="0"/>
    <w:rPr>
      <w:rFonts w:ascii="Times New Roman" w:hAnsi="Times New Roman"/>
      <w:sz w:val="21"/>
      <w:szCs w:val="24"/>
    </w:rPr>
  </w:style>
  <w:style w:type="character" w:customStyle="1" w:styleId="273">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74">
    <w:name w:val="纯文本 字符1"/>
    <w:link w:val="1"/>
    <w:qFormat/>
    <w:uiPriority w:val="0"/>
    <w:rPr>
      <w:rFonts w:ascii="宋体" w:hAnsi="Courier New"/>
    </w:rPr>
  </w:style>
  <w:style w:type="character" w:customStyle="1" w:styleId="275">
    <w:name w:val="正文文本 Char"/>
    <w:link w:val="1"/>
    <w:qFormat/>
    <w:uiPriority w:val="0"/>
    <w:rPr>
      <w:rFonts w:ascii="Times New Roman" w:hAnsi="Times New Roman"/>
      <w:sz w:val="21"/>
      <w:szCs w:val="24"/>
    </w:rPr>
  </w:style>
  <w:style w:type="character" w:customStyle="1" w:styleId="276">
    <w:name w:val="批注文字 字符"/>
    <w:link w:val="1"/>
    <w:qFormat/>
    <w:uiPriority w:val="0"/>
    <w:rPr>
      <w:rFonts w:ascii="Times New Roman" w:hAnsi="Times New Roman"/>
      <w:sz w:val="21"/>
      <w:szCs w:val="24"/>
    </w:rPr>
  </w:style>
  <w:style w:type="character" w:customStyle="1" w:styleId="277">
    <w:name w:val="标题 2 Char"/>
    <w:link w:val="1"/>
    <w:qFormat/>
    <w:uiPriority w:val="0"/>
    <w:rPr>
      <w:rFonts w:ascii="Cambria" w:hAnsi="Cambria" w:eastAsia="宋体" w:cs="Times New Roman"/>
      <w:b/>
      <w:bCs/>
      <w:sz w:val="32"/>
      <w:szCs w:val="32"/>
    </w:rPr>
  </w:style>
  <w:style w:type="character" w:customStyle="1" w:styleId="278">
    <w:name w:val="标题 8 Char"/>
    <w:link w:val="1"/>
    <w:qFormat/>
    <w:uiPriority w:val="9"/>
    <w:rPr>
      <w:rFonts w:ascii="Arial" w:hAnsi="Arial" w:eastAsia="黑体"/>
      <w:sz w:val="24"/>
      <w:szCs w:val="24"/>
    </w:rPr>
  </w:style>
  <w:style w:type="character" w:customStyle="1" w:styleId="279">
    <w:name w:val="apple-style-span"/>
    <w:link w:val="1"/>
    <w:qFormat/>
    <w:uiPriority w:val="0"/>
  </w:style>
  <w:style w:type="paragraph" w:customStyle="1" w:styleId="280">
    <w:name w:val="默认段落字体 Para Char Char Char Char Char Char Char Char Char1 Char Char Char Char"/>
    <w:basedOn w:val="1"/>
    <w:qFormat/>
    <w:uiPriority w:val="0"/>
    <w:rPr>
      <w:rFonts w:ascii="Tahoma" w:hAnsi="Tahoma"/>
      <w:sz w:val="24"/>
      <w:szCs w:val="20"/>
    </w:rPr>
  </w:style>
  <w:style w:type="paragraph" w:customStyle="1" w:styleId="281">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82">
    <w:name w:val="列出段落"/>
    <w:basedOn w:val="1"/>
    <w:qFormat/>
    <w:uiPriority w:val="99"/>
    <w:pPr>
      <w:ind w:firstLine="420"/>
    </w:pPr>
  </w:style>
  <w:style w:type="paragraph" w:customStyle="1" w:styleId="283">
    <w:name w:val="Table Paragraph"/>
    <w:basedOn w:val="1"/>
    <w:qFormat/>
    <w:uiPriority w:val="1"/>
    <w:pPr>
      <w:jc w:val="left"/>
    </w:pPr>
    <w:rPr>
      <w:rFonts w:ascii="Calibri" w:hAnsi="Calibri"/>
      <w:sz w:val="22"/>
      <w:szCs w:val="22"/>
      <w:lang w:eastAsia="en-US"/>
    </w:rPr>
  </w:style>
  <w:style w:type="character" w:customStyle="1" w:styleId="284">
    <w:name w:val="正文文本 字符"/>
    <w:link w:val="1"/>
    <w:qFormat/>
    <w:uiPriority w:val="0"/>
    <w:rPr>
      <w:rFonts w:ascii="Times New Roman" w:hAnsi="Times New Roman"/>
      <w:sz w:val="21"/>
      <w:szCs w:val="24"/>
    </w:rPr>
  </w:style>
  <w:style w:type="character" w:customStyle="1" w:styleId="285">
    <w:name w:val="批注文字 Char2"/>
    <w:link w:val="1"/>
    <w:qFormat/>
    <w:uiPriority w:val="0"/>
    <w:rPr>
      <w:rFonts w:ascii="Times New Roman" w:hAnsi="Times New Roman"/>
      <w:sz w:val="21"/>
      <w:szCs w:val="24"/>
    </w:rPr>
  </w:style>
  <w:style w:type="character" w:customStyle="1" w:styleId="286">
    <w:name w:val="正文2 Char Char"/>
    <w:link w:val="287"/>
    <w:qFormat/>
    <w:uiPriority w:val="0"/>
    <w:rPr>
      <w:sz w:val="24"/>
    </w:rPr>
  </w:style>
  <w:style w:type="paragraph" w:customStyle="1" w:styleId="287">
    <w:name w:val="正文2"/>
    <w:basedOn w:val="1"/>
    <w:link w:val="286"/>
    <w:qFormat/>
    <w:uiPriority w:val="0"/>
    <w:pPr>
      <w:spacing w:before="156" w:line="360" w:lineRule="auto"/>
      <w:ind w:firstLine="510"/>
    </w:pPr>
    <w:rPr>
      <w:sz w:val="24"/>
      <w:szCs w:val="20"/>
    </w:rPr>
  </w:style>
  <w:style w:type="character" w:customStyle="1" w:styleId="288">
    <w:name w:val="批注文字 Char Char"/>
    <w:link w:val="1"/>
    <w:qFormat/>
    <w:uiPriority w:val="99"/>
    <w:rPr>
      <w:rFonts w:ascii="宋体" w:hAnsi="Times New Roman" w:eastAsia="宋体" w:cs="宋体"/>
      <w:sz w:val="20"/>
      <w:szCs w:val="20"/>
    </w:rPr>
  </w:style>
  <w:style w:type="character" w:customStyle="1" w:styleId="289">
    <w:name w:val="Heading 3 Char"/>
    <w:link w:val="1"/>
    <w:qFormat/>
    <w:uiPriority w:val="99"/>
    <w:rPr>
      <w:b/>
      <w:bCs/>
      <w:sz w:val="32"/>
      <w:szCs w:val="32"/>
    </w:rPr>
  </w:style>
  <w:style w:type="character" w:customStyle="1" w:styleId="290">
    <w:name w:val="Heading 2 Char"/>
    <w:link w:val="1"/>
    <w:qFormat/>
    <w:uiPriority w:val="99"/>
    <w:rPr>
      <w:rFonts w:ascii="Arial" w:hAnsi="Arial" w:eastAsia="黑体" w:cs="Arial"/>
      <w:b/>
      <w:bCs/>
      <w:sz w:val="32"/>
      <w:szCs w:val="32"/>
      <w:lang w:val="en-US" w:eastAsia="zh-CN"/>
    </w:rPr>
  </w:style>
  <w:style w:type="character" w:customStyle="1" w:styleId="291">
    <w:name w:val="Balloon Text Char"/>
    <w:link w:val="1"/>
    <w:qFormat/>
    <w:uiPriority w:val="99"/>
    <w:rPr>
      <w:sz w:val="18"/>
      <w:szCs w:val="18"/>
    </w:rPr>
  </w:style>
  <w:style w:type="character" w:customStyle="1" w:styleId="292">
    <w:name w:val="文档结构图 Char1"/>
    <w:link w:val="1"/>
    <w:qFormat/>
    <w:uiPriority w:val="99"/>
    <w:rPr>
      <w:rFonts w:ascii="宋体" w:hAnsi="Times New Roman" w:eastAsia="宋体" w:cs="宋体"/>
      <w:sz w:val="18"/>
      <w:szCs w:val="18"/>
    </w:rPr>
  </w:style>
  <w:style w:type="character" w:customStyle="1" w:styleId="293">
    <w:name w:val="Footnote Text Char"/>
    <w:link w:val="1"/>
    <w:qFormat/>
    <w:uiPriority w:val="99"/>
    <w:rPr>
      <w:rFonts w:eastAsia="宋体"/>
      <w:sz w:val="18"/>
      <w:szCs w:val="18"/>
      <w:lang w:val="en-US" w:eastAsia="zh-CN"/>
    </w:rPr>
  </w:style>
  <w:style w:type="character" w:customStyle="1" w:styleId="294">
    <w:name w:val="Char Char21"/>
    <w:link w:val="1"/>
    <w:qFormat/>
    <w:uiPriority w:val="99"/>
    <w:rPr>
      <w:rFonts w:ascii="Arial" w:hAnsi="Arial" w:eastAsia="黑体" w:cs="Arial"/>
      <w:b/>
      <w:bCs/>
      <w:sz w:val="32"/>
      <w:szCs w:val="32"/>
    </w:rPr>
  </w:style>
  <w:style w:type="character" w:customStyle="1" w:styleId="295">
    <w:name w:val="Body Text Indent Char"/>
    <w:link w:val="1"/>
    <w:qFormat/>
    <w:uiPriority w:val="99"/>
    <w:rPr>
      <w:rFonts w:ascii="宋体" w:hAnsi="宋体" w:eastAsia="宋体" w:cs="宋体"/>
      <w:sz w:val="21"/>
      <w:szCs w:val="21"/>
      <w:lang w:val="en-US" w:eastAsia="zh-CN"/>
    </w:rPr>
  </w:style>
  <w:style w:type="character" w:customStyle="1" w:styleId="296">
    <w:name w:val="不明显参考1"/>
    <w:link w:val="1"/>
    <w:qFormat/>
    <w:uiPriority w:val="99"/>
    <w:rPr>
      <w:smallCaps/>
      <w:color w:val="000000"/>
      <w:u w:val="single"/>
    </w:rPr>
  </w:style>
  <w:style w:type="character" w:customStyle="1" w:styleId="297">
    <w:name w:val="Heading 4 Char"/>
    <w:link w:val="1"/>
    <w:qFormat/>
    <w:uiPriority w:val="99"/>
    <w:rPr>
      <w:rFonts w:ascii="Arial" w:hAnsi="Arial" w:eastAsia="宋体" w:cs="Arial"/>
      <w:b/>
      <w:bCs/>
      <w:sz w:val="28"/>
      <w:szCs w:val="28"/>
      <w:lang w:val="en-US" w:eastAsia="zh-CN"/>
    </w:rPr>
  </w:style>
  <w:style w:type="character" w:customStyle="1" w:styleId="298">
    <w:name w:val="Char Char20"/>
    <w:link w:val="1"/>
    <w:qFormat/>
    <w:uiPriority w:val="99"/>
    <w:rPr>
      <w:rFonts w:ascii="Times New Roman" w:hAnsi="Times New Roman" w:eastAsia="宋体" w:cs="Times New Roman"/>
      <w:b/>
      <w:bCs/>
      <w:sz w:val="32"/>
      <w:szCs w:val="32"/>
    </w:rPr>
  </w:style>
  <w:style w:type="character" w:customStyle="1" w:styleId="299">
    <w:name w:val="Comment Subject Char"/>
    <w:link w:val="1"/>
    <w:qFormat/>
    <w:uiPriority w:val="99"/>
    <w:rPr>
      <w:b/>
      <w:bCs/>
      <w:sz w:val="24"/>
      <w:szCs w:val="24"/>
    </w:rPr>
  </w:style>
  <w:style w:type="character" w:customStyle="1" w:styleId="300">
    <w:name w:val="Heading 1 Char"/>
    <w:link w:val="1"/>
    <w:qFormat/>
    <w:uiPriority w:val="99"/>
    <w:rPr>
      <w:rFonts w:eastAsia="宋体"/>
      <w:b/>
      <w:bCs/>
      <w:sz w:val="44"/>
      <w:szCs w:val="44"/>
      <w:lang w:val="en-US" w:eastAsia="zh-CN"/>
    </w:rPr>
  </w:style>
  <w:style w:type="character" w:customStyle="1" w:styleId="301">
    <w:name w:val="批注框文本 Char1"/>
    <w:link w:val="1"/>
    <w:qFormat/>
    <w:uiPriority w:val="99"/>
    <w:rPr>
      <w:rFonts w:ascii="Times New Roman" w:hAnsi="Times New Roman" w:eastAsia="宋体" w:cs="Times New Roman"/>
      <w:sz w:val="18"/>
      <w:szCs w:val="18"/>
    </w:rPr>
  </w:style>
  <w:style w:type="character" w:customStyle="1" w:styleId="302">
    <w:name w:val="Char Char6"/>
    <w:link w:val="1"/>
    <w:qFormat/>
    <w:uiPriority w:val="99"/>
    <w:rPr>
      <w:rFonts w:eastAsia="宋体"/>
      <w:b/>
      <w:bCs/>
      <w:sz w:val="44"/>
      <w:szCs w:val="44"/>
      <w:lang w:val="en-US" w:eastAsia="zh-CN"/>
    </w:rPr>
  </w:style>
  <w:style w:type="character" w:customStyle="1" w:styleId="303">
    <w:name w:val="Char Char18"/>
    <w:link w:val="1"/>
    <w:qFormat/>
    <w:uiPriority w:val="99"/>
    <w:rPr>
      <w:rFonts w:ascii="Times New Roman" w:hAnsi="Times New Roman" w:eastAsia="宋体" w:cs="Times New Roman"/>
      <w:b/>
      <w:bCs/>
      <w:sz w:val="28"/>
      <w:szCs w:val="28"/>
    </w:rPr>
  </w:style>
  <w:style w:type="character" w:customStyle="1" w:styleId="304">
    <w:name w:val="Body Text Indent 2 Char"/>
    <w:link w:val="1"/>
    <w:qFormat/>
    <w:uiPriority w:val="99"/>
    <w:rPr>
      <w:rFonts w:eastAsia="宋体"/>
      <w:sz w:val="24"/>
      <w:szCs w:val="24"/>
      <w:lang w:val="en-US" w:eastAsia="zh-CN"/>
    </w:rPr>
  </w:style>
  <w:style w:type="character" w:customStyle="1" w:styleId="305">
    <w:name w:val="Comment Text Char1"/>
    <w:link w:val="1"/>
    <w:qFormat/>
    <w:uiPriority w:val="99"/>
    <w:rPr>
      <w:sz w:val="24"/>
      <w:szCs w:val="24"/>
    </w:rPr>
  </w:style>
  <w:style w:type="character" w:customStyle="1" w:styleId="306">
    <w:name w:val="标题5 Char Char"/>
    <w:link w:val="307"/>
    <w:qFormat/>
    <w:uiPriority w:val="99"/>
    <w:rPr>
      <w:rFonts w:ascii="Arial" w:hAnsi="Arial" w:cs="Arial"/>
      <w:b/>
      <w:bCs/>
      <w:sz w:val="32"/>
      <w:szCs w:val="32"/>
    </w:rPr>
  </w:style>
  <w:style w:type="paragraph" w:customStyle="1" w:styleId="307">
    <w:name w:val="标题5"/>
    <w:basedOn w:val="192"/>
    <w:link w:val="306"/>
    <w:qFormat/>
    <w:uiPriority w:val="99"/>
    <w:pPr>
      <w:spacing w:line="413" w:lineRule="auto"/>
    </w:pPr>
    <w:rPr>
      <w:rFonts w:ascii="Arial" w:hAnsi="Arial"/>
    </w:rPr>
  </w:style>
  <w:style w:type="character" w:customStyle="1" w:styleId="308">
    <w:name w:val="批注主题 Char1"/>
    <w:link w:val="1"/>
    <w:qFormat/>
    <w:uiPriority w:val="99"/>
    <w:rPr>
      <w:rFonts w:ascii="Times New Roman" w:hAnsi="Times New Roman" w:eastAsia="宋体" w:cs="Times New Roman"/>
      <w:b/>
      <w:bCs/>
      <w:sz w:val="24"/>
      <w:szCs w:val="24"/>
    </w:rPr>
  </w:style>
  <w:style w:type="character" w:customStyle="1" w:styleId="309">
    <w:name w:val="Char Char24"/>
    <w:link w:val="1"/>
    <w:qFormat/>
    <w:uiPriority w:val="99"/>
    <w:rPr>
      <w:rFonts w:eastAsia="宋体"/>
      <w:b/>
      <w:bCs/>
      <w:sz w:val="44"/>
      <w:szCs w:val="44"/>
      <w:lang w:val="en-US" w:eastAsia="zh-CN"/>
    </w:rPr>
  </w:style>
  <w:style w:type="character" w:customStyle="1" w:styleId="310">
    <w:name w:val="Footer Char"/>
    <w:link w:val="1"/>
    <w:qFormat/>
    <w:uiPriority w:val="99"/>
    <w:rPr>
      <w:rFonts w:eastAsia="宋体"/>
      <w:sz w:val="18"/>
      <w:szCs w:val="18"/>
      <w:lang w:val="en-US" w:eastAsia="zh-CN"/>
    </w:rPr>
  </w:style>
  <w:style w:type="character" w:customStyle="1" w:styleId="311">
    <w:name w:val="Char Char9"/>
    <w:link w:val="1"/>
    <w:qFormat/>
    <w:uiPriority w:val="99"/>
    <w:rPr>
      <w:rFonts w:eastAsia="宋体"/>
      <w:b/>
      <w:bCs/>
      <w:sz w:val="44"/>
      <w:szCs w:val="44"/>
      <w:lang w:val="en-US" w:eastAsia="zh-CN"/>
    </w:rPr>
  </w:style>
  <w:style w:type="character" w:customStyle="1" w:styleId="312">
    <w:name w:val="Heading 3 Char1"/>
    <w:link w:val="1"/>
    <w:qFormat/>
    <w:uiPriority w:val="99"/>
    <w:rPr>
      <w:rFonts w:eastAsia="宋体"/>
      <w:b/>
      <w:bCs/>
      <w:sz w:val="32"/>
      <w:szCs w:val="32"/>
      <w:lang w:val="en-US" w:eastAsia="zh-CN"/>
    </w:rPr>
  </w:style>
  <w:style w:type="character" w:customStyle="1" w:styleId="313">
    <w:name w:val="Document Map Char"/>
    <w:link w:val="1"/>
    <w:qFormat/>
    <w:uiPriority w:val="99"/>
    <w:rPr>
      <w:rFonts w:eastAsia="宋体"/>
      <w:sz w:val="24"/>
      <w:szCs w:val="24"/>
      <w:lang w:val="en-US" w:eastAsia="zh-CN"/>
    </w:rPr>
  </w:style>
  <w:style w:type="character" w:customStyle="1" w:styleId="314">
    <w:name w:val="标题 Char1"/>
    <w:link w:val="1"/>
    <w:qFormat/>
    <w:uiPriority w:val="99"/>
    <w:rPr>
      <w:rFonts w:ascii="Cambria" w:hAnsi="Cambria" w:eastAsia="宋体" w:cs="Cambria"/>
      <w:b/>
      <w:bCs/>
      <w:sz w:val="32"/>
      <w:szCs w:val="32"/>
    </w:rPr>
  </w:style>
  <w:style w:type="character" w:customStyle="1" w:styleId="315">
    <w:name w:val="Char Char22"/>
    <w:link w:val="1"/>
    <w:qFormat/>
    <w:uiPriority w:val="99"/>
    <w:rPr>
      <w:rFonts w:ascii="Times New Roman" w:hAnsi="Times New Roman" w:eastAsia="宋体" w:cs="Times New Roman"/>
      <w:b/>
      <w:bCs/>
      <w:sz w:val="44"/>
      <w:szCs w:val="44"/>
    </w:rPr>
  </w:style>
  <w:style w:type="character" w:customStyle="1" w:styleId="316">
    <w:name w:val="明显引用 Char"/>
    <w:link w:val="317"/>
    <w:qFormat/>
    <w:uiPriority w:val="99"/>
    <w:rPr>
      <w:b/>
      <w:bCs/>
      <w:i/>
      <w:iCs/>
      <w:color w:val="4F81BD"/>
    </w:rPr>
  </w:style>
  <w:style w:type="paragraph" w:customStyle="1" w:styleId="317">
    <w:name w:val="明显引用1"/>
    <w:basedOn w:val="1"/>
    <w:next w:val="1"/>
    <w:link w:val="316"/>
    <w:qFormat/>
    <w:uiPriority w:val="99"/>
    <w:pPr>
      <w:pBdr>
        <w:bottom w:val="single" w:color="4F81BD" w:sz="4" w:space="4"/>
      </w:pBdr>
      <w:spacing w:before="200" w:after="280"/>
      <w:ind w:left="936" w:right="936"/>
    </w:pPr>
    <w:rPr>
      <w:b/>
      <w:bCs/>
      <w:i/>
      <w:iCs/>
      <w:color w:val="4F81BD"/>
      <w:sz w:val="20"/>
      <w:szCs w:val="20"/>
    </w:rPr>
  </w:style>
  <w:style w:type="character" w:customStyle="1" w:styleId="318">
    <w:name w:val="标题4 Char Char"/>
    <w:link w:val="319"/>
    <w:qFormat/>
    <w:uiPriority w:val="99"/>
    <w:rPr>
      <w:rFonts w:ascii="Arial" w:hAnsi="Arial" w:cs="Arial"/>
      <w:b/>
      <w:bCs/>
      <w:sz w:val="32"/>
      <w:szCs w:val="32"/>
    </w:rPr>
  </w:style>
  <w:style w:type="paragraph" w:customStyle="1" w:styleId="319">
    <w:name w:val="标题4"/>
    <w:basedOn w:val="191"/>
    <w:next w:val="227"/>
    <w:link w:val="318"/>
    <w:qFormat/>
    <w:uiPriority w:val="99"/>
    <w:pPr>
      <w:spacing w:before="60" w:after="60" w:line="413" w:lineRule="auto"/>
    </w:pPr>
    <w:rPr>
      <w:rFonts w:ascii="Arial" w:hAnsi="Arial"/>
    </w:rPr>
  </w:style>
  <w:style w:type="character" w:customStyle="1" w:styleId="320">
    <w:name w:val="Header Char"/>
    <w:link w:val="1"/>
    <w:qFormat/>
    <w:uiPriority w:val="99"/>
    <w:rPr>
      <w:rFonts w:eastAsia="宋体"/>
      <w:sz w:val="18"/>
      <w:szCs w:val="18"/>
      <w:lang w:val="en-US" w:eastAsia="zh-CN"/>
    </w:rPr>
  </w:style>
  <w:style w:type="character" w:customStyle="1" w:styleId="321">
    <w:name w:val="明显引用 Char1"/>
    <w:link w:val="1"/>
    <w:qFormat/>
    <w:uiPriority w:val="99"/>
    <w:rPr>
      <w:rFonts w:ascii="Times New Roman" w:hAnsi="Times New Roman" w:eastAsia="宋体" w:cs="Times New Roman"/>
      <w:b/>
      <w:bCs/>
      <w:i/>
      <w:iCs/>
      <w:color w:val="4F81BD"/>
      <w:sz w:val="24"/>
      <w:szCs w:val="24"/>
    </w:rPr>
  </w:style>
  <w:style w:type="character" w:customStyle="1" w:styleId="322">
    <w:name w:val="Comment Text Char"/>
    <w:link w:val="1"/>
    <w:qFormat/>
    <w:uiPriority w:val="99"/>
    <w:rPr>
      <w:sz w:val="24"/>
      <w:szCs w:val="24"/>
    </w:rPr>
  </w:style>
  <w:style w:type="character" w:customStyle="1" w:styleId="323">
    <w:name w:val="明显参考1"/>
    <w:link w:val="1"/>
    <w:qFormat/>
    <w:uiPriority w:val="99"/>
    <w:rPr>
      <w:b/>
      <w:bCs/>
      <w:smallCaps/>
      <w:color w:val="000000"/>
      <w:spacing w:val="5"/>
      <w:u w:val="single"/>
    </w:rPr>
  </w:style>
  <w:style w:type="character" w:customStyle="1" w:styleId="324">
    <w:name w:val="明显强调1"/>
    <w:link w:val="1"/>
    <w:qFormat/>
    <w:uiPriority w:val="99"/>
    <w:rPr>
      <w:b/>
      <w:bCs/>
      <w:i/>
      <w:iCs/>
      <w:color w:val="4F81BD"/>
    </w:rPr>
  </w:style>
  <w:style w:type="character" w:customStyle="1" w:styleId="325">
    <w:name w:val="引用 Char1"/>
    <w:link w:val="1"/>
    <w:qFormat/>
    <w:uiPriority w:val="99"/>
    <w:rPr>
      <w:rFonts w:ascii="Times New Roman" w:hAnsi="Times New Roman" w:eastAsia="宋体" w:cs="Times New Roman"/>
      <w:i/>
      <w:iCs/>
      <w:color w:val="000000"/>
      <w:sz w:val="24"/>
      <w:szCs w:val="24"/>
    </w:rPr>
  </w:style>
  <w:style w:type="character" w:customStyle="1" w:styleId="326">
    <w:name w:val="引用 Char"/>
    <w:link w:val="327"/>
    <w:qFormat/>
    <w:uiPriority w:val="99"/>
    <w:rPr>
      <w:i/>
      <w:iCs/>
      <w:color w:val="000000"/>
    </w:rPr>
  </w:style>
  <w:style w:type="paragraph" w:customStyle="1" w:styleId="327">
    <w:name w:val="引用1"/>
    <w:basedOn w:val="1"/>
    <w:next w:val="1"/>
    <w:link w:val="326"/>
    <w:qFormat/>
    <w:uiPriority w:val="99"/>
    <w:rPr>
      <w:i/>
      <w:iCs/>
      <w:color w:val="000000"/>
      <w:sz w:val="20"/>
      <w:szCs w:val="20"/>
    </w:rPr>
  </w:style>
  <w:style w:type="character" w:customStyle="1" w:styleId="328">
    <w:name w:val="标题 Char2"/>
    <w:link w:val="1"/>
    <w:qFormat/>
    <w:uiPriority w:val="99"/>
    <w:rPr>
      <w:rFonts w:ascii="Cambria" w:hAnsi="Cambria" w:eastAsia="宋体" w:cs="Cambria"/>
      <w:b/>
      <w:bCs/>
      <w:sz w:val="32"/>
      <w:szCs w:val="32"/>
    </w:rPr>
  </w:style>
  <w:style w:type="character" w:customStyle="1" w:styleId="329">
    <w:name w:val="Char Char23"/>
    <w:link w:val="1"/>
    <w:qFormat/>
    <w:uiPriority w:val="99"/>
    <w:rPr>
      <w:rFonts w:eastAsia="宋体"/>
      <w:b/>
      <w:bCs/>
      <w:sz w:val="44"/>
      <w:szCs w:val="44"/>
      <w:lang w:val="en-US" w:eastAsia="zh-CN"/>
    </w:rPr>
  </w:style>
  <w:style w:type="character" w:customStyle="1" w:styleId="330">
    <w:name w:val="Plain Text Char"/>
    <w:link w:val="1"/>
    <w:qFormat/>
    <w:uiPriority w:val="99"/>
    <w:rPr>
      <w:rFonts w:ascii="宋体" w:hAnsi="Courier New" w:eastAsia="宋体" w:cs="宋体"/>
      <w:sz w:val="24"/>
      <w:szCs w:val="24"/>
    </w:rPr>
  </w:style>
  <w:style w:type="character" w:customStyle="1" w:styleId="331">
    <w:name w:val="Char Char91"/>
    <w:link w:val="1"/>
    <w:qFormat/>
    <w:uiPriority w:val="99"/>
    <w:rPr>
      <w:rFonts w:eastAsia="宋体"/>
      <w:b/>
      <w:bCs/>
      <w:sz w:val="44"/>
      <w:szCs w:val="44"/>
      <w:lang w:val="en-US" w:eastAsia="zh-CN"/>
    </w:rPr>
  </w:style>
  <w:style w:type="character" w:customStyle="1" w:styleId="332">
    <w:name w:val="Char Char181"/>
    <w:link w:val="1"/>
    <w:qFormat/>
    <w:uiPriority w:val="99"/>
    <w:rPr>
      <w:b/>
      <w:bCs/>
      <w:sz w:val="44"/>
      <w:szCs w:val="44"/>
    </w:rPr>
  </w:style>
  <w:style w:type="character" w:customStyle="1" w:styleId="333">
    <w:name w:val="Heading 5 Char"/>
    <w:link w:val="1"/>
    <w:qFormat/>
    <w:uiPriority w:val="99"/>
    <w:rPr>
      <w:rFonts w:eastAsia="宋体"/>
      <w:b/>
      <w:bCs/>
      <w:sz w:val="28"/>
      <w:szCs w:val="28"/>
      <w:lang w:val="en-US" w:eastAsia="zh-CN"/>
    </w:rPr>
  </w:style>
  <w:style w:type="character" w:customStyle="1" w:styleId="334">
    <w:name w:val="Char Char19"/>
    <w:link w:val="1"/>
    <w:qFormat/>
    <w:uiPriority w:val="99"/>
    <w:rPr>
      <w:rFonts w:ascii="Arial" w:hAnsi="Arial" w:eastAsia="宋体" w:cs="Arial"/>
      <w:b/>
      <w:bCs/>
      <w:sz w:val="28"/>
      <w:szCs w:val="28"/>
    </w:rPr>
  </w:style>
  <w:style w:type="character" w:customStyle="1" w:styleId="335">
    <w:name w:val="日期 Char1"/>
    <w:link w:val="1"/>
    <w:qFormat/>
    <w:uiPriority w:val="99"/>
    <w:rPr>
      <w:rFonts w:ascii="Times New Roman" w:hAnsi="Times New Roman" w:eastAsia="宋体" w:cs="Times New Roman"/>
      <w:sz w:val="24"/>
      <w:szCs w:val="24"/>
    </w:rPr>
  </w:style>
  <w:style w:type="character" w:customStyle="1" w:styleId="336">
    <w:name w:val="Date Char"/>
    <w:link w:val="1"/>
    <w:qFormat/>
    <w:uiPriority w:val="99"/>
    <w:rPr>
      <w:rFonts w:eastAsia="宋体"/>
      <w:sz w:val="24"/>
      <w:szCs w:val="24"/>
      <w:lang w:val="en-US" w:eastAsia="zh-CN"/>
    </w:rPr>
  </w:style>
  <w:style w:type="character" w:customStyle="1" w:styleId="337">
    <w:name w:val="Title Char"/>
    <w:link w:val="1"/>
    <w:qFormat/>
    <w:uiPriority w:val="99"/>
    <w:rPr>
      <w:rFonts w:ascii="Cambria" w:hAnsi="Cambria" w:cs="Cambria"/>
      <w:b/>
      <w:bCs/>
      <w:sz w:val="32"/>
      <w:szCs w:val="32"/>
    </w:rPr>
  </w:style>
  <w:style w:type="character" w:customStyle="1" w:styleId="338">
    <w:name w:val="书籍标题1"/>
    <w:link w:val="1"/>
    <w:qFormat/>
    <w:uiPriority w:val="99"/>
    <w:rPr>
      <w:b/>
      <w:bCs/>
      <w:smallCaps/>
      <w:spacing w:val="5"/>
    </w:rPr>
  </w:style>
  <w:style w:type="character" w:customStyle="1" w:styleId="339">
    <w:name w:val="不明显强调1"/>
    <w:link w:val="1"/>
    <w:qFormat/>
    <w:uiPriority w:val="99"/>
    <w:rPr>
      <w:i/>
      <w:iCs/>
      <w:color w:val="808080"/>
    </w:rPr>
  </w:style>
  <w:style w:type="paragraph" w:customStyle="1" w:styleId="340">
    <w:name w:val="样式1"/>
    <w:basedOn w:val="1"/>
    <w:next w:val="193"/>
    <w:qFormat/>
    <w:uiPriority w:val="99"/>
    <w:pPr>
      <w:spacing w:line="360" w:lineRule="auto"/>
      <w:ind w:firstLine="420"/>
    </w:pPr>
    <w:rPr>
      <w:rFonts w:ascii="宋体" w:hAnsi="宋体" w:cs="宋体"/>
      <w:szCs w:val="21"/>
    </w:rPr>
  </w:style>
  <w:style w:type="paragraph" w:customStyle="1" w:styleId="341">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342">
    <w:name w:val="Char Char Char Char Char Char Char"/>
    <w:basedOn w:val="1"/>
    <w:qFormat/>
    <w:uiPriority w:val="99"/>
    <w:pPr>
      <w:widowControl/>
      <w:spacing w:after="160" w:line="240" w:lineRule="exact"/>
      <w:jc w:val="left"/>
    </w:pPr>
    <w:rPr>
      <w:szCs w:val="21"/>
    </w:rPr>
  </w:style>
  <w:style w:type="paragraph" w:customStyle="1" w:styleId="343">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4">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5">
    <w:name w:val="TOC 标题1"/>
    <w:basedOn w:val="190"/>
    <w:next w:val="1"/>
    <w:qFormat/>
    <w:uiPriority w:val="99"/>
    <w:pPr>
      <w:spacing w:line="576" w:lineRule="auto"/>
      <w:outlineLvl w:val="9"/>
    </w:pPr>
    <w:rPr>
      <w:rFonts w:ascii="Calibri" w:hAnsi="Calibri" w:eastAsia="黑体" w:cs="Calibri"/>
      <w:lang w:val="zh-CN" w:eastAsia="zh-CN"/>
    </w:rPr>
  </w:style>
  <w:style w:type="paragraph" w:customStyle="1" w:styleId="346">
    <w:name w:val="空半行"/>
    <w:basedOn w:val="1"/>
    <w:qFormat/>
    <w:uiPriority w:val="99"/>
    <w:pPr>
      <w:spacing w:line="120" w:lineRule="exact"/>
    </w:pPr>
    <w:rPr>
      <w:rFonts w:eastAsia="仿宋_GB2312"/>
      <w:color w:val="FFFFFF"/>
      <w:sz w:val="30"/>
      <w:szCs w:val="30"/>
    </w:rPr>
  </w:style>
  <w:style w:type="paragraph" w:customStyle="1" w:styleId="347">
    <w:name w:val="p0"/>
    <w:basedOn w:val="1"/>
    <w:qFormat/>
    <w:uiPriority w:val="0"/>
    <w:pPr>
      <w:widowControl/>
    </w:pPr>
    <w:rPr>
      <w:rFonts w:ascii="Calibri" w:hAnsi="Calibri" w:cs="Calibri"/>
      <w:szCs w:val="21"/>
    </w:rPr>
  </w:style>
  <w:style w:type="paragraph" w:customStyle="1" w:styleId="348">
    <w:name w:val="Char"/>
    <w:basedOn w:val="1"/>
    <w:qFormat/>
    <w:uiPriority w:val="99"/>
    <w:pPr>
      <w:widowControl/>
      <w:spacing w:after="160" w:line="240" w:lineRule="exact"/>
      <w:jc w:val="left"/>
    </w:pPr>
    <w:rPr>
      <w:szCs w:val="21"/>
    </w:rPr>
  </w:style>
  <w:style w:type="paragraph" w:customStyle="1" w:styleId="349">
    <w:name w:val="1"/>
    <w:basedOn w:val="1"/>
    <w:next w:val="1"/>
    <w:qFormat/>
    <w:uiPriority w:val="99"/>
    <w:rPr>
      <w:szCs w:val="21"/>
    </w:rPr>
  </w:style>
  <w:style w:type="paragraph" w:customStyle="1" w:styleId="350">
    <w:name w:val="列出段落2"/>
    <w:basedOn w:val="1"/>
    <w:qFormat/>
    <w:uiPriority w:val="99"/>
    <w:pPr>
      <w:ind w:firstLine="420"/>
    </w:pPr>
    <w:rPr>
      <w:rFonts w:ascii="Calibri" w:hAnsi="Calibri" w:cs="Calibri"/>
      <w:szCs w:val="21"/>
    </w:rPr>
  </w:style>
  <w:style w:type="paragraph" w:customStyle="1" w:styleId="351">
    <w:name w:val="修订"/>
    <w:qFormat/>
    <w:uiPriority w:val="99"/>
    <w:rPr>
      <w:rFonts w:hint="default" w:ascii="Times New Roman" w:hAnsi="Times New Roman" w:eastAsia="宋体" w:cs="Times New Roman"/>
      <w:sz w:val="21"/>
      <w:szCs w:val="21"/>
      <w:lang w:val="en-US" w:eastAsia="zh-CN" w:bidi="ar-SA"/>
    </w:rPr>
  </w:style>
  <w:style w:type="paragraph" w:customStyle="1" w:styleId="352">
    <w:name w:val="无间隔1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53">
    <w:name w:val="修订1"/>
    <w:qFormat/>
    <w:uiPriority w:val="99"/>
    <w:rPr>
      <w:rFonts w:hint="default" w:ascii="Times New Roman" w:hAnsi="Times New Roman" w:eastAsia="宋体" w:cs="Times New Roman"/>
      <w:sz w:val="21"/>
      <w:szCs w:val="21"/>
      <w:lang w:val="en-US" w:eastAsia="zh-CN" w:bidi="ar-SA"/>
    </w:rPr>
  </w:style>
  <w:style w:type="paragraph" w:customStyle="1" w:styleId="354">
    <w:name w:val="样式 标题 2 + Times New Roman 四号 非加粗 段前: 5 磅 段后: 0 磅 行距: 固定值 20..."/>
    <w:basedOn w:val="191"/>
    <w:qFormat/>
    <w:uiPriority w:val="99"/>
    <w:pPr>
      <w:spacing w:before="100" w:after="0" w:line="400" w:lineRule="exact"/>
    </w:pPr>
    <w:rPr>
      <w:rFonts w:ascii="Times New Roman" w:hAnsi="Times New Roman" w:eastAsia="黑体"/>
      <w:b w:val="0"/>
      <w:bCs w:val="0"/>
      <w:sz w:val="28"/>
      <w:szCs w:val="28"/>
      <w:lang w:val="zh-CN" w:eastAsia="zh-CN"/>
    </w:rPr>
  </w:style>
  <w:style w:type="paragraph" w:customStyle="1" w:styleId="355">
    <w:name w:val="2-2ji"/>
    <w:basedOn w:val="191"/>
    <w:qFormat/>
    <w:uiPriority w:val="99"/>
    <w:pPr>
      <w:spacing w:before="0" w:after="0" w:line="360" w:lineRule="auto"/>
      <w:jc w:val="center"/>
    </w:pPr>
    <w:rPr>
      <w:rFonts w:ascii="宋体" w:hAnsi="宋体" w:cs="宋体"/>
      <w:sz w:val="36"/>
      <w:szCs w:val="36"/>
      <w:lang w:val="zh-CN" w:eastAsia="zh-CN"/>
    </w:rPr>
  </w:style>
  <w:style w:type="paragraph" w:customStyle="1" w:styleId="356">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57">
    <w:name w:val="flNote"/>
    <w:basedOn w:val="1"/>
    <w:qFormat/>
    <w:uiPriority w:val="99"/>
    <w:pPr>
      <w:spacing w:before="320" w:after="160" w:line="360" w:lineRule="atLeast"/>
      <w:jc w:val="center"/>
    </w:pPr>
    <w:rPr>
      <w:rFonts w:ascii="Arial" w:eastAsia="黑体" w:cs="Arial"/>
      <w:sz w:val="30"/>
      <w:szCs w:val="30"/>
    </w:rPr>
  </w:style>
  <w:style w:type="paragraph" w:customStyle="1" w:styleId="358">
    <w:name w:val="列出段落1"/>
    <w:basedOn w:val="1"/>
    <w:qFormat/>
    <w:uiPriority w:val="99"/>
    <w:pPr>
      <w:ind w:firstLine="420"/>
    </w:pPr>
    <w:rPr>
      <w:rFonts w:ascii="Calibri" w:hAnsi="Calibri" w:cs="Calibri"/>
      <w:szCs w:val="21"/>
    </w:rPr>
  </w:style>
  <w:style w:type="paragraph" w:customStyle="1" w:styleId="359">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60">
    <w:name w:val="Char1"/>
    <w:basedOn w:val="1"/>
    <w:qFormat/>
    <w:uiPriority w:val="99"/>
    <w:pPr>
      <w:widowControl/>
      <w:spacing w:after="160" w:line="240" w:lineRule="exact"/>
      <w:jc w:val="left"/>
    </w:pPr>
    <w:rPr>
      <w:szCs w:val="21"/>
    </w:rPr>
  </w:style>
  <w:style w:type="paragraph" w:customStyle="1" w:styleId="361">
    <w:name w:val="_Style 37"/>
    <w:basedOn w:val="1"/>
    <w:next w:val="1"/>
    <w:qFormat/>
    <w:uiPriority w:val="99"/>
    <w:rPr>
      <w:szCs w:val="21"/>
    </w:rPr>
  </w:style>
  <w:style w:type="paragraph" w:customStyle="1" w:styleId="362">
    <w:name w:val="样式 标题 3 + (中文) 黑体 小四 非加粗 段前: 7.8 磅 段后: 0 磅 行距: 固定值 20 磅"/>
    <w:basedOn w:val="192"/>
    <w:qFormat/>
    <w:uiPriority w:val="99"/>
    <w:pPr>
      <w:spacing w:before="0" w:after="0" w:line="400" w:lineRule="exact"/>
    </w:pPr>
    <w:rPr>
      <w:rFonts w:eastAsia="黑体"/>
      <w:b w:val="0"/>
      <w:bCs w:val="0"/>
      <w:lang w:val="zh-CN"/>
    </w:rPr>
  </w:style>
  <w:style w:type="paragraph" w:customStyle="1" w:styleId="363">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4">
    <w:name w:val="Body text|1"/>
    <w:basedOn w:val="1"/>
    <w:link w:val="365"/>
    <w:qFormat/>
    <w:uiPriority w:val="0"/>
    <w:pPr>
      <w:spacing w:line="360" w:lineRule="auto"/>
      <w:ind w:firstLine="400"/>
    </w:pPr>
    <w:rPr>
      <w:rFonts w:ascii="宋体" w:hAnsi="宋体" w:cs="宋体"/>
      <w:szCs w:val="20"/>
      <w:lang w:val="zh-CN" w:bidi="zh-CN"/>
    </w:rPr>
  </w:style>
  <w:style w:type="character" w:customStyle="1" w:styleId="365">
    <w:name w:val="Body text|1_"/>
    <w:link w:val="364"/>
    <w:qFormat/>
    <w:uiPriority w:val="0"/>
    <w:rPr>
      <w:rFonts w:ascii="宋体" w:hAnsi="宋体" w:cs="宋体"/>
      <w:sz w:val="21"/>
      <w:lang w:val="zh-CN" w:bidi="zh-CN"/>
    </w:rPr>
  </w:style>
  <w:style w:type="character" w:customStyle="1" w:styleId="366">
    <w:name w:val="Body text|3_"/>
    <w:link w:val="367"/>
    <w:qFormat/>
    <w:uiPriority w:val="0"/>
    <w:rPr>
      <w:rFonts w:ascii="宋体" w:hAnsi="宋体" w:cs="宋体"/>
      <w:lang w:val="zh-CN" w:bidi="zh-CN"/>
    </w:rPr>
  </w:style>
  <w:style w:type="paragraph" w:customStyle="1" w:styleId="367">
    <w:name w:val="Body text|3"/>
    <w:basedOn w:val="1"/>
    <w:link w:val="366"/>
    <w:qFormat/>
    <w:uiPriority w:val="0"/>
    <w:pPr>
      <w:spacing w:after="340"/>
      <w:jc w:val="left"/>
    </w:pPr>
    <w:rPr>
      <w:rFonts w:ascii="宋体" w:hAnsi="宋体" w:cs="宋体"/>
      <w:sz w:val="20"/>
      <w:szCs w:val="20"/>
      <w:lang w:val="zh-CN" w:bidi="zh-CN"/>
    </w:rPr>
  </w:style>
  <w:style w:type="character" w:customStyle="1" w:styleId="368">
    <w:name w:val="Other|1_"/>
    <w:link w:val="369"/>
    <w:qFormat/>
    <w:uiPriority w:val="0"/>
    <w:rPr>
      <w:rFonts w:ascii="宋体" w:hAnsi="宋体" w:cs="宋体"/>
      <w:lang w:val="zh-CN" w:bidi="zh-CN"/>
    </w:rPr>
  </w:style>
  <w:style w:type="paragraph" w:customStyle="1" w:styleId="369">
    <w:name w:val="Other|1"/>
    <w:basedOn w:val="1"/>
    <w:link w:val="368"/>
    <w:qFormat/>
    <w:uiPriority w:val="0"/>
    <w:pPr>
      <w:spacing w:line="360" w:lineRule="auto"/>
      <w:ind w:firstLine="400"/>
      <w:jc w:val="left"/>
    </w:pPr>
    <w:rPr>
      <w:rFonts w:ascii="宋体" w:hAnsi="宋体" w:cs="宋体"/>
      <w:sz w:val="20"/>
      <w:szCs w:val="20"/>
      <w:lang w:val="zh-CN" w:bidi="zh-CN"/>
    </w:rPr>
  </w:style>
  <w:style w:type="character" w:customStyle="1" w:styleId="370">
    <w:name w:val="Table of contents|1_"/>
    <w:link w:val="371"/>
    <w:qFormat/>
    <w:uiPriority w:val="0"/>
    <w:rPr>
      <w:rFonts w:ascii="宋体" w:hAnsi="宋体" w:cs="宋体"/>
      <w:lang w:val="zh-CN" w:bidi="zh-CN"/>
    </w:rPr>
  </w:style>
  <w:style w:type="paragraph" w:customStyle="1" w:styleId="371">
    <w:name w:val="Table of contents|1"/>
    <w:basedOn w:val="1"/>
    <w:link w:val="370"/>
    <w:qFormat/>
    <w:uiPriority w:val="0"/>
    <w:pPr>
      <w:spacing w:after="100"/>
      <w:ind w:firstLine="600"/>
      <w:jc w:val="left"/>
    </w:pPr>
    <w:rPr>
      <w:rFonts w:ascii="宋体" w:hAnsi="宋体" w:cs="宋体"/>
      <w:sz w:val="20"/>
      <w:szCs w:val="20"/>
      <w:lang w:val="zh-CN" w:bidi="zh-CN"/>
    </w:rPr>
  </w:style>
  <w:style w:type="character" w:customStyle="1" w:styleId="372">
    <w:name w:val="Header or footer|1_"/>
    <w:link w:val="373"/>
    <w:qFormat/>
    <w:uiPriority w:val="0"/>
    <w:rPr>
      <w:sz w:val="17"/>
      <w:szCs w:val="17"/>
      <w:lang w:val="zh-CN" w:bidi="zh-CN"/>
    </w:rPr>
  </w:style>
  <w:style w:type="paragraph" w:customStyle="1" w:styleId="373">
    <w:name w:val="Header or footer|1"/>
    <w:basedOn w:val="1"/>
    <w:link w:val="372"/>
    <w:qFormat/>
    <w:uiPriority w:val="0"/>
    <w:pPr>
      <w:jc w:val="center"/>
    </w:pPr>
    <w:rPr>
      <w:sz w:val="17"/>
      <w:szCs w:val="17"/>
      <w:lang w:val="zh-CN" w:bidi="zh-CN"/>
    </w:rPr>
  </w:style>
  <w:style w:type="character" w:customStyle="1" w:styleId="374">
    <w:name w:val="Heading #3|1_"/>
    <w:link w:val="375"/>
    <w:qFormat/>
    <w:uiPriority w:val="0"/>
    <w:rPr>
      <w:rFonts w:ascii="宋体" w:hAnsi="宋体" w:cs="宋体"/>
      <w:sz w:val="28"/>
      <w:szCs w:val="28"/>
      <w:lang w:val="zh-CN" w:bidi="zh-CN"/>
    </w:rPr>
  </w:style>
  <w:style w:type="paragraph" w:customStyle="1" w:styleId="375">
    <w:name w:val="Heading #3|1"/>
    <w:basedOn w:val="1"/>
    <w:link w:val="374"/>
    <w:qFormat/>
    <w:uiPriority w:val="0"/>
    <w:pPr>
      <w:spacing w:after="570"/>
      <w:jc w:val="center"/>
      <w:outlineLvl w:val="2"/>
    </w:pPr>
    <w:rPr>
      <w:rFonts w:ascii="宋体" w:hAnsi="宋体" w:cs="宋体"/>
      <w:sz w:val="28"/>
      <w:szCs w:val="28"/>
      <w:lang w:val="zh-CN" w:bidi="zh-CN"/>
    </w:rPr>
  </w:style>
  <w:style w:type="character" w:customStyle="1" w:styleId="376">
    <w:name w:val="Body text|7_"/>
    <w:link w:val="377"/>
    <w:qFormat/>
    <w:uiPriority w:val="0"/>
    <w:rPr>
      <w:rFonts w:ascii="Courier New" w:hAnsi="Courier New" w:eastAsia="Courier New" w:cs="Courier New"/>
      <w:b/>
      <w:bCs/>
      <w:sz w:val="8"/>
      <w:szCs w:val="8"/>
      <w:lang w:val="zh-CN"/>
    </w:rPr>
  </w:style>
  <w:style w:type="paragraph" w:customStyle="1" w:styleId="377">
    <w:name w:val="Body text|7"/>
    <w:basedOn w:val="1"/>
    <w:link w:val="376"/>
    <w:qFormat/>
    <w:uiPriority w:val="0"/>
    <w:pPr>
      <w:ind w:hanging="1760"/>
      <w:jc w:val="left"/>
    </w:pPr>
    <w:rPr>
      <w:rFonts w:ascii="Courier New" w:hAnsi="Courier New" w:eastAsia="Courier New"/>
      <w:b/>
      <w:bCs/>
      <w:sz w:val="8"/>
      <w:szCs w:val="8"/>
      <w:lang w:val="zh-CN"/>
    </w:rPr>
  </w:style>
  <w:style w:type="character" w:customStyle="1" w:styleId="378">
    <w:name w:val="Body text|4_"/>
    <w:link w:val="379"/>
    <w:qFormat/>
    <w:uiPriority w:val="0"/>
    <w:rPr>
      <w:rFonts w:ascii="宋体" w:hAnsi="宋体" w:cs="宋体"/>
      <w:b/>
      <w:bCs/>
      <w:sz w:val="17"/>
      <w:szCs w:val="17"/>
      <w:lang w:val="zh-CN" w:bidi="zh-CN"/>
    </w:rPr>
  </w:style>
  <w:style w:type="paragraph" w:customStyle="1" w:styleId="379">
    <w:name w:val="Body text|4"/>
    <w:basedOn w:val="1"/>
    <w:link w:val="378"/>
    <w:qFormat/>
    <w:uiPriority w:val="0"/>
    <w:pPr>
      <w:spacing w:line="281" w:lineRule="exact"/>
      <w:jc w:val="center"/>
    </w:pPr>
    <w:rPr>
      <w:rFonts w:ascii="宋体" w:hAnsi="宋体" w:cs="宋体"/>
      <w:b/>
      <w:bCs/>
      <w:sz w:val="17"/>
      <w:szCs w:val="17"/>
      <w:lang w:val="zh-CN" w:bidi="zh-CN"/>
    </w:rPr>
  </w:style>
  <w:style w:type="character" w:customStyle="1" w:styleId="380">
    <w:name w:val="Heading #4|1_"/>
    <w:link w:val="381"/>
    <w:qFormat/>
    <w:uiPriority w:val="0"/>
    <w:rPr>
      <w:rFonts w:ascii="宋体" w:hAnsi="宋体" w:cs="宋体"/>
      <w:lang w:val="zh-CN" w:bidi="zh-CN"/>
    </w:rPr>
  </w:style>
  <w:style w:type="paragraph" w:customStyle="1" w:styleId="381">
    <w:name w:val="Heading #4|1"/>
    <w:basedOn w:val="1"/>
    <w:link w:val="380"/>
    <w:qFormat/>
    <w:uiPriority w:val="0"/>
    <w:pPr>
      <w:spacing w:after="120"/>
      <w:jc w:val="left"/>
      <w:outlineLvl w:val="3"/>
    </w:pPr>
    <w:rPr>
      <w:rFonts w:ascii="宋体" w:hAnsi="宋体" w:cs="宋体"/>
      <w:sz w:val="20"/>
      <w:szCs w:val="20"/>
      <w:lang w:val="zh-CN" w:bidi="zh-CN"/>
    </w:rPr>
  </w:style>
  <w:style w:type="character" w:customStyle="1" w:styleId="382">
    <w:name w:val="Body text|5_"/>
    <w:link w:val="383"/>
    <w:qFormat/>
    <w:uiPriority w:val="0"/>
    <w:rPr>
      <w:rFonts w:ascii="宋体" w:hAnsi="宋体" w:cs="宋体"/>
      <w:sz w:val="52"/>
      <w:szCs w:val="52"/>
      <w:lang w:val="zh-CN" w:bidi="zh-CN"/>
    </w:rPr>
  </w:style>
  <w:style w:type="paragraph" w:customStyle="1" w:styleId="383">
    <w:name w:val="Body text|5"/>
    <w:basedOn w:val="1"/>
    <w:link w:val="382"/>
    <w:qFormat/>
    <w:uiPriority w:val="0"/>
    <w:pPr>
      <w:jc w:val="center"/>
    </w:pPr>
    <w:rPr>
      <w:rFonts w:ascii="宋体" w:hAnsi="宋体" w:cs="宋体"/>
      <w:sz w:val="52"/>
      <w:szCs w:val="52"/>
      <w:lang w:val="zh-CN" w:bidi="zh-CN"/>
    </w:rPr>
  </w:style>
  <w:style w:type="character" w:customStyle="1" w:styleId="384">
    <w:name w:val="Header or footer|2_"/>
    <w:link w:val="385"/>
    <w:qFormat/>
    <w:uiPriority w:val="0"/>
    <w:rPr>
      <w:lang w:val="zh-CN" w:bidi="zh-CN"/>
    </w:rPr>
  </w:style>
  <w:style w:type="paragraph" w:customStyle="1" w:styleId="385">
    <w:name w:val="Header or footer|2"/>
    <w:basedOn w:val="1"/>
    <w:link w:val="384"/>
    <w:qFormat/>
    <w:uiPriority w:val="0"/>
    <w:pPr>
      <w:jc w:val="left"/>
    </w:pPr>
    <w:rPr>
      <w:sz w:val="20"/>
      <w:szCs w:val="20"/>
      <w:lang w:val="zh-CN" w:bidi="zh-CN"/>
    </w:rPr>
  </w:style>
  <w:style w:type="character" w:customStyle="1" w:styleId="386">
    <w:name w:val="Heading #2|1_"/>
    <w:link w:val="387"/>
    <w:qFormat/>
    <w:uiPriority w:val="0"/>
    <w:rPr>
      <w:rFonts w:ascii="宋体" w:hAnsi="宋体" w:cs="宋体"/>
      <w:sz w:val="34"/>
      <w:szCs w:val="34"/>
      <w:lang w:val="zh-CN" w:bidi="zh-CN"/>
    </w:rPr>
  </w:style>
  <w:style w:type="paragraph" w:customStyle="1" w:styleId="387">
    <w:name w:val="Heading #2|1"/>
    <w:basedOn w:val="1"/>
    <w:link w:val="386"/>
    <w:qFormat/>
    <w:uiPriority w:val="0"/>
    <w:pPr>
      <w:spacing w:after="900"/>
      <w:jc w:val="center"/>
      <w:outlineLvl w:val="1"/>
    </w:pPr>
    <w:rPr>
      <w:rFonts w:ascii="宋体" w:hAnsi="宋体" w:cs="宋体"/>
      <w:sz w:val="34"/>
      <w:szCs w:val="34"/>
      <w:lang w:val="zh-CN" w:bidi="zh-CN"/>
    </w:rPr>
  </w:style>
  <w:style w:type="character" w:customStyle="1" w:styleId="388">
    <w:name w:val="Table caption|1_"/>
    <w:link w:val="389"/>
    <w:qFormat/>
    <w:uiPriority w:val="0"/>
    <w:rPr>
      <w:rFonts w:ascii="宋体" w:hAnsi="宋体" w:cs="宋体"/>
      <w:lang w:val="zh-CN" w:bidi="zh-CN"/>
    </w:rPr>
  </w:style>
  <w:style w:type="paragraph" w:customStyle="1" w:styleId="389">
    <w:name w:val="Table caption|1"/>
    <w:basedOn w:val="1"/>
    <w:link w:val="388"/>
    <w:qFormat/>
    <w:uiPriority w:val="0"/>
    <w:pPr>
      <w:jc w:val="left"/>
    </w:pPr>
    <w:rPr>
      <w:rFonts w:ascii="宋体" w:hAnsi="宋体" w:cs="宋体"/>
      <w:sz w:val="20"/>
      <w:szCs w:val="20"/>
      <w:lang w:val="zh-CN" w:bidi="zh-CN"/>
    </w:rPr>
  </w:style>
  <w:style w:type="character" w:customStyle="1" w:styleId="390">
    <w:name w:val="Body text|6_"/>
    <w:link w:val="391"/>
    <w:qFormat/>
    <w:uiPriority w:val="0"/>
    <w:rPr>
      <w:rFonts w:ascii="Arial" w:hAnsi="Arial" w:eastAsia="Arial" w:cs="Arial"/>
      <w:lang w:val="zh-CN"/>
    </w:rPr>
  </w:style>
  <w:style w:type="paragraph" w:customStyle="1" w:styleId="391">
    <w:name w:val="Body text|6"/>
    <w:basedOn w:val="1"/>
    <w:link w:val="390"/>
    <w:qFormat/>
    <w:uiPriority w:val="0"/>
    <w:pPr>
      <w:ind w:hanging="2220"/>
      <w:jc w:val="left"/>
    </w:pPr>
    <w:rPr>
      <w:rFonts w:ascii="Arial" w:hAnsi="Arial" w:eastAsia="Arial"/>
      <w:sz w:val="20"/>
      <w:szCs w:val="20"/>
      <w:lang w:val="zh-CN"/>
    </w:rPr>
  </w:style>
  <w:style w:type="character" w:customStyle="1" w:styleId="392">
    <w:name w:val="Heading #1|1_"/>
    <w:link w:val="393"/>
    <w:qFormat/>
    <w:uiPriority w:val="0"/>
    <w:rPr>
      <w:rFonts w:ascii="宋体" w:hAnsi="宋体" w:cs="宋体"/>
      <w:sz w:val="38"/>
      <w:szCs w:val="38"/>
      <w:lang w:val="zh-CN" w:bidi="zh-CN"/>
    </w:rPr>
  </w:style>
  <w:style w:type="paragraph" w:customStyle="1" w:styleId="393">
    <w:name w:val="Heading #1|1"/>
    <w:basedOn w:val="1"/>
    <w:link w:val="392"/>
    <w:qFormat/>
    <w:uiPriority w:val="0"/>
    <w:pPr>
      <w:spacing w:after="440" w:line="564" w:lineRule="exact"/>
      <w:jc w:val="center"/>
      <w:outlineLvl w:val="0"/>
    </w:pPr>
    <w:rPr>
      <w:rFonts w:ascii="宋体" w:hAnsi="宋体" w:cs="宋体"/>
      <w:sz w:val="38"/>
      <w:szCs w:val="38"/>
      <w:lang w:val="zh-CN" w:bidi="zh-CN"/>
    </w:rPr>
  </w:style>
  <w:style w:type="character" w:customStyle="1" w:styleId="394">
    <w:name w:val="Body text|2_"/>
    <w:link w:val="395"/>
    <w:qFormat/>
    <w:uiPriority w:val="0"/>
    <w:rPr>
      <w:sz w:val="21"/>
    </w:rPr>
  </w:style>
  <w:style w:type="paragraph" w:customStyle="1" w:styleId="395">
    <w:name w:val="Body text|2"/>
    <w:basedOn w:val="1"/>
    <w:link w:val="394"/>
    <w:qFormat/>
    <w:uiPriority w:val="0"/>
    <w:pPr>
      <w:spacing w:after="30"/>
      <w:ind w:firstLine="420"/>
      <w:jc w:val="left"/>
    </w:pPr>
    <w:rPr>
      <w:szCs w:val="20"/>
    </w:rPr>
  </w:style>
  <w:style w:type="character" w:customStyle="1" w:styleId="396">
    <w:name w:val="占位符文本"/>
    <w:link w:val="1"/>
    <w:unhideWhenUsed/>
    <w:qFormat/>
    <w:uiPriority w:val="99"/>
    <w:rPr>
      <w:color w:val="808080"/>
    </w:rPr>
  </w:style>
  <w:style w:type="paragraph" w:customStyle="1" w:styleId="397">
    <w:name w:val="正正正正"/>
    <w:basedOn w:val="44"/>
    <w:qFormat/>
    <w:uiPriority w:val="1"/>
    <w:pPr>
      <w:tabs>
        <w:tab w:val="left" w:pos="2812"/>
        <w:tab w:val="left" w:pos="3986"/>
      </w:tabs>
      <w:spacing w:after="0" w:line="360" w:lineRule="exact"/>
      <w:ind w:firstLine="200"/>
    </w:pPr>
    <w:rPr>
      <w:rFonts w:ascii="Calibri" w:hAnsi="Calibri"/>
      <w:sz w:val="20"/>
      <w:szCs w:val="21"/>
      <w:lang w:val="en-US" w:eastAsia="en-US"/>
    </w:rPr>
  </w:style>
  <w:style w:type="paragraph" w:customStyle="1" w:styleId="398">
    <w:name w:val="_Style 1"/>
    <w:basedOn w:val="1"/>
    <w:qFormat/>
    <w:uiPriority w:val="99"/>
    <w:pPr>
      <w:ind w:firstLine="420"/>
      <w:jc w:val="left"/>
    </w:pPr>
    <w:rPr>
      <w:rFonts w:ascii="Times New Roman)" w:hAnsi="Times New Roman)" w:eastAsia="宋体正文"/>
      <w:color w:val="000000"/>
      <w:lang w:eastAsia="en-US" w:bidi="en-US"/>
    </w:rPr>
  </w:style>
  <w:style w:type="paragraph" w:customStyle="1" w:styleId="399">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character" w:customStyle="1" w:styleId="400">
    <w:name w:val="纯文本 Char1"/>
    <w:link w:val="1"/>
    <w:qFormat/>
    <w:uiPriority w:val="99"/>
    <w:rPr>
      <w:rFonts w:ascii="宋体" w:hAnsi="Courier New" w:eastAsia="宋体" w:cs="Courier New"/>
      <w:szCs w:val="21"/>
    </w:rPr>
  </w:style>
  <w:style w:type="character" w:customStyle="1" w:styleId="401">
    <w:name w:val="标题 3 Char"/>
    <w:link w:val="1"/>
    <w:qFormat/>
    <w:uiPriority w:val="0"/>
    <w:rPr>
      <w:b/>
      <w:bCs/>
      <w:sz w:val="32"/>
      <w:szCs w:val="32"/>
    </w:rPr>
  </w:style>
  <w:style w:type="character" w:customStyle="1" w:styleId="402">
    <w:name w:val="标题 4 Char"/>
    <w:link w:val="1"/>
    <w:qFormat/>
    <w:uiPriority w:val="9"/>
    <w:rPr>
      <w:rFonts w:ascii="Arial" w:hAnsi="Arial"/>
      <w:b/>
      <w:bCs/>
      <w:sz w:val="28"/>
      <w:szCs w:val="28"/>
    </w:rPr>
  </w:style>
  <w:style w:type="paragraph" w:customStyle="1" w:styleId="403">
    <w:name w:val="正文_3"/>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04">
    <w:name w:val="正文_4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05">
    <w:name w:val="font5"/>
    <w:basedOn w:val="1"/>
    <w:next w:val="232"/>
    <w:qFormat/>
    <w:uiPriority w:val="0"/>
    <w:pPr>
      <w:widowControl/>
      <w:spacing w:before="280" w:after="280"/>
    </w:pPr>
    <w:rPr>
      <w:rFonts w:ascii="宋体"/>
      <w:sz w:val="18"/>
    </w:rPr>
  </w:style>
  <w:style w:type="paragraph" w:customStyle="1" w:styleId="406">
    <w:name w:val="正文_4"/>
    <w:next w:val="407"/>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07">
    <w:name w:val="页脚_0"/>
    <w:basedOn w:val="406"/>
    <w:unhideWhenUsed/>
    <w:qFormat/>
    <w:uiPriority w:val="99"/>
    <w:pPr>
      <w:tabs>
        <w:tab w:val="center" w:pos="4153"/>
        <w:tab w:val="right" w:pos="8306"/>
      </w:tabs>
      <w:snapToGrid w:val="0"/>
      <w:jc w:val="left"/>
    </w:pPr>
    <w:rPr>
      <w:rFonts w:ascii="Calibri" w:hAnsi="Calibri"/>
      <w:sz w:val="18"/>
      <w:szCs w:val="18"/>
    </w:rPr>
  </w:style>
  <w:style w:type="character" w:customStyle="1" w:styleId="408">
    <w:name w:val="3impact1"/>
    <w:link w:val="1"/>
    <w:qFormat/>
    <w:uiPriority w:val="0"/>
  </w:style>
  <w:style w:type="paragraph" w:customStyle="1" w:styleId="409">
    <w:name w:val="正文_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10">
    <w:name w:val="表格文字"/>
    <w:basedOn w:val="16"/>
    <w:next w:val="15"/>
    <w:qFormat/>
    <w:uiPriority w:val="0"/>
    <w:pPr>
      <w:spacing w:before="25" w:after="25"/>
      <w:jc w:val="left"/>
    </w:pPr>
    <w:rPr>
      <w:bCs/>
      <w:spacing w:val="10"/>
      <w:sz w:val="24"/>
      <w:szCs w:val="20"/>
    </w:rPr>
  </w:style>
  <w:style w:type="paragraph" w:customStyle="1" w:styleId="411">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3">
    <w:name w:val="标题 2_0_0"/>
    <w:basedOn w:val="414"/>
    <w:next w:val="414"/>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414">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标题 3_0"/>
    <w:basedOn w:val="414"/>
    <w:next w:val="414"/>
    <w:unhideWhenUsed/>
    <w:qFormat/>
    <w:uiPriority w:val="0"/>
    <w:pPr>
      <w:keepNext/>
      <w:keepLines/>
      <w:spacing w:before="260" w:after="260" w:line="416" w:lineRule="auto"/>
      <w:outlineLvl w:val="2"/>
    </w:pPr>
    <w:rPr>
      <w:rFonts w:ascii="Calibri" w:hAnsi="Calibri"/>
      <w:b/>
      <w:bCs/>
      <w:sz w:val="32"/>
      <w:szCs w:val="32"/>
    </w:rPr>
  </w:style>
  <w:style w:type="paragraph" w:customStyle="1" w:styleId="416">
    <w:name w:val="正文_2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7">
    <w:name w:val="标题 3_0_0"/>
    <w:basedOn w:val="414"/>
    <w:next w:val="414"/>
    <w:unhideWhenUsed/>
    <w:qFormat/>
    <w:uiPriority w:val="0"/>
    <w:pPr>
      <w:keepNext/>
      <w:keepLines/>
      <w:spacing w:line="360" w:lineRule="auto"/>
      <w:outlineLvl w:val="2"/>
    </w:pPr>
    <w:rPr>
      <w:rFonts w:ascii="Calibri" w:hAnsi="Calibri" w:eastAsia="黑体"/>
      <w:b/>
      <w:bCs/>
      <w:kern w:val="0"/>
      <w:sz w:val="32"/>
      <w:szCs w:val="32"/>
      <w:lang w:val="zh-CN"/>
    </w:rPr>
  </w:style>
  <w:style w:type="paragraph" w:customStyle="1" w:styleId="418">
    <w:name w:val="纯文本_0"/>
    <w:basedOn w:val="414"/>
    <w:qFormat/>
    <w:uiPriority w:val="0"/>
    <w:rPr>
      <w:rFonts w:ascii="宋体" w:hAnsi="Courier New"/>
      <w:szCs w:val="24"/>
    </w:rPr>
  </w:style>
  <w:style w:type="paragraph" w:customStyle="1" w:styleId="419">
    <w:name w:val="正文_2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0">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9642e582-1c17-409a-87ef-3d015ebe58e9</errorID>
      <errorWord>(</errorWord>
      <group>L1_Format</group>
      <groupName>格式问题</groupName>
      <ability>L2_HalfPunc_CN</ability>
      <abilityName/>
      <candidateList>
        <item>（</item>
      </candidateList>
      <explain>文本全半角错误。</explain>
      <paraID>2061B725</paraID>
      <start>19</start>
      <end>20</end>
      <status>unmodified</status>
      <modifiedWord/>
      <trackRevisions>false</trackRevisions>
    </reviewItem>
    <reviewItem>
      <errorID>d77a868d-2ff5-4b61-90e2-103bc8f53378</errorID>
      <errorWord>)</errorWord>
      <group>L1_Format</group>
      <groupName>格式问题</groupName>
      <ability>L2_HalfPunc_CN</ability>
      <abilityName/>
      <candidateList>
        <item>）</item>
      </candidateList>
      <explain>文本全半角错误。</explain>
      <paraID>2061B725</paraID>
      <start>24</start>
      <end>25</end>
      <status>unmodified</status>
      <modifiedWord/>
      <trackRevisions>false</trackRevisions>
    </reviewItem>
    <reviewItem>
      <errorID>64c2a032-4ae8-47dc-a63d-7de5623a349c</errorID>
      <errorWord>(</errorWord>
      <group>L1_Format</group>
      <groupName>格式问题</groupName>
      <ability>L2_HalfPunc_CN</ability>
      <abilityName/>
      <candidateList>
        <item>（</item>
      </candidateList>
      <explain>文本全半角错误。</explain>
      <paraID>2061B725</paraID>
      <start>27</start>
      <end>28</end>
      <status>unmodified</status>
      <modifiedWord/>
      <trackRevisions>false</trackRevisions>
    </reviewItem>
    <reviewItem>
      <errorID>91755125-28a8-4469-930b-e447e61081ab</errorID>
      <errorWord>)</errorWord>
      <group>L1_Format</group>
      <groupName>格式问题</groupName>
      <ability>L2_HalfPunc_CN</ability>
      <abilityName/>
      <candidateList>
        <item>）</item>
      </candidateList>
      <explain>文本全半角错误。</explain>
      <paraID>2061B725</paraID>
      <start>30</start>
      <end>31</end>
      <status>unmodified</status>
      <modifiedWord/>
      <trackRevisions>false</trackRevisions>
    </reviewItem>
    <reviewItem>
      <errorID>2819983c-8d31-43af-b277-a1dfbd987cb7</errorID>
      <errorWord>-</errorWord>
      <group>L1_Format</group>
      <groupName>格式问题</groupName>
      <ability>L2_HalfPunc_CN</ability>
      <abilityName/>
      <candidateList>
        <item>－</item>
      </candidateList>
      <explain>文本全半角错误。</explain>
      <paraID>2061B725</paraID>
      <start>32</start>
      <end>33</end>
      <status>unmodified</status>
      <modifiedWord/>
      <trackRevisions>false</trackRevisions>
    </reviewItem>
    <reviewItem>
      <errorID>2872a39f-2654-4b14-8b2f-83fc003c1ee0</errorID>
      <errorWord>(</errorWord>
      <group>L1_Format</group>
      <groupName>格式问题</groupName>
      <ability>L2_HalfPunc_CN</ability>
      <abilityName/>
      <candidateList>
        <item>（</item>
      </candidateList>
      <explain>文本全半角错误。</explain>
      <paraID>78E1E097</paraID>
      <start>27</start>
      <end>28</end>
      <status>unmodified</status>
      <modifiedWord/>
      <trackRevisions>false</trackRevisions>
    </reviewItem>
    <reviewItem>
      <errorID>277340f6-9299-4af3-8dcc-b2800e93cd32</errorID>
      <errorWord>)</errorWord>
      <group>L1_Format</group>
      <groupName>格式问题</groupName>
      <ability>L2_HalfPunc_CN</ability>
      <abilityName/>
      <candidateList>
        <item>）</item>
      </candidateList>
      <explain>文本全半角错误。</explain>
      <paraID>78E1E097</paraID>
      <start>32</start>
      <end>33</end>
      <status>unmodified</status>
      <modifiedWord/>
      <trackRevisions>false</trackRevisions>
    </reviewItem>
    <reviewItem>
      <errorID>70018aa2-9875-4b9d-8e93-f30b7411cf12</errorID>
      <errorWord>(</errorWord>
      <group>L1_Format</group>
      <groupName>格式问题</groupName>
      <ability>L2_HalfPunc_CN</ability>
      <abilityName/>
      <candidateList>
        <item>（</item>
      </candidateList>
      <explain>文本全半角错误。</explain>
      <paraID>78E1E097</paraID>
      <start>35</start>
      <end>36</end>
      <status>unmodified</status>
      <modifiedWord/>
      <trackRevisions>false</trackRevisions>
    </reviewItem>
    <reviewItem>
      <errorID>889e103a-21eb-4522-bf11-7792180affef</errorID>
      <errorWord>)</errorWord>
      <group>L1_Format</group>
      <groupName>格式问题</groupName>
      <ability>L2_HalfPunc_CN</ability>
      <abilityName/>
      <candidateList>
        <item>）</item>
      </candidateList>
      <explain>文本全半角错误。</explain>
      <paraID>78E1E097</paraID>
      <start>38</start>
      <end>39</end>
      <status>unmodified</status>
      <modifiedWord/>
      <trackRevisions>false</trackRevisions>
    </reviewItem>
    <reviewItem>
      <errorID>0ed9af38-655e-4b40-b579-467633ca8022</errorID>
      <errorWord>-</errorWord>
      <group>L1_Format</group>
      <groupName>格式问题</groupName>
      <ability>L2_HalfPunc_CN</ability>
      <abilityName/>
      <candidateList>
        <item>－</item>
      </candidateList>
      <explain>文本全半角错误。</explain>
      <paraID>78E1E097</paraID>
      <start>40</start>
      <end>41</end>
      <status>unmodified</status>
      <modifiedWord/>
      <trackRevisions>false</trackRevisions>
    </reviewItem>
    <reviewItem>
      <errorID>da736a36-010d-424e-b181-387df100b4ff</errorID>
      <errorWord>(</errorWord>
      <group>L1_Format</group>
      <groupName>格式问题</groupName>
      <ability>L2_HalfPunc_CN</ability>
      <abilityName/>
      <candidateList>
        <item>（</item>
      </candidateList>
      <explain>文本全半角错误。</explain>
      <paraID> 82909A8</paraID>
      <start>14</start>
      <end>15</end>
      <status>unmodified</status>
      <modifiedWord/>
      <trackRevisions>false</trackRevisions>
    </reviewItem>
    <reviewItem>
      <errorID>aa7eec92-8ca6-41d3-bae4-cdf040051956</errorID>
      <errorWord>)</errorWord>
      <group>L1_Format</group>
      <groupName>格式问题</groupName>
      <ability>L2_HalfPunc_CN</ability>
      <abilityName/>
      <candidateList>
        <item>）</item>
      </candidateList>
      <explain>文本全半角错误。</explain>
      <paraID> 82909A8</paraID>
      <start>19</start>
      <end>20</end>
      <status>unmodified</status>
      <modifiedWord/>
      <trackRevisions>false</trackRevisions>
    </reviewItem>
    <reviewItem>
      <errorID>43261d9a-3ba0-4d40-a9ae-8babacb36556</errorID>
      <errorWord>(</errorWord>
      <group>L1_Format</group>
      <groupName>格式问题</groupName>
      <ability>L2_HalfPunc_CN</ability>
      <abilityName/>
      <candidateList>
        <item>（</item>
      </candidateList>
      <explain>文本全半角错误。</explain>
      <paraID> 82909A8</paraID>
      <start>22</start>
      <end>23</end>
      <status>unmodified</status>
      <modifiedWord/>
      <trackRevisions>false</trackRevisions>
    </reviewItem>
    <reviewItem>
      <errorID>2a5b163f-2275-4d5c-aa01-485eaac00a80</errorID>
      <errorWord>)</errorWord>
      <group>L1_Format</group>
      <groupName>格式问题</groupName>
      <ability>L2_HalfPunc_CN</ability>
      <abilityName/>
      <candidateList>
        <item>）</item>
      </candidateList>
      <explain>文本全半角错误。</explain>
      <paraID> 82909A8</paraID>
      <start>25</start>
      <end>26</end>
      <status>unmodified</status>
      <modifiedWord/>
      <trackRevisions>false</trackRevisions>
    </reviewItem>
    <reviewItem>
      <errorID>63be365b-effb-42f9-ac35-5ea227760e39</errorID>
      <errorWord>-</errorWord>
      <group>L1_Format</group>
      <groupName>格式问题</groupName>
      <ability>L2_HalfPunc_CN</ability>
      <abilityName/>
      <candidateList>
        <item>－</item>
      </candidateList>
      <explain>文本全半角错误。</explain>
      <paraID> 82909A8</paraID>
      <start>27</start>
      <end>28</end>
      <status>unmodified</status>
      <modifiedWord/>
      <trackRevisions>false</trackRevisions>
    </reviewItem>
    <reviewItem>
      <errorID>ec13dafb-9767-44a0-a97f-fc63e792cf06</errorID>
      <errorWord>(</errorWord>
      <group>L1_Format</group>
      <groupName>格式问题</groupName>
      <ability>L2_HalfPunc_CN</ability>
      <abilityName/>
      <candidateList>
        <item>（</item>
      </candidateList>
      <explain>文本全半角错误。</explain>
      <paraID>1AC6A48F</paraID>
      <start>19</start>
      <end>20</end>
      <status>unmodified</status>
      <modifiedWord/>
      <trackRevisions>false</trackRevisions>
    </reviewItem>
    <reviewItem>
      <errorID>b50c44e0-3125-4990-a759-97ce58735dd0</errorID>
      <errorWord>)</errorWord>
      <group>L1_Format</group>
      <groupName>格式问题</groupName>
      <ability>L2_HalfPunc_CN</ability>
      <abilityName/>
      <candidateList>
        <item>）</item>
      </candidateList>
      <explain>文本全半角错误。</explain>
      <paraID>1AC6A48F</paraID>
      <start>24</start>
      <end>25</end>
      <status>unmodified</status>
      <modifiedWord/>
      <trackRevisions>false</trackRevisions>
    </reviewItem>
    <reviewItem>
      <errorID>738ea595-b721-4fa4-a4dd-da6a27d95c1f</errorID>
      <errorWord>(</errorWord>
      <group>L1_Format</group>
      <groupName>格式问题</groupName>
      <ability>L2_HalfPunc_CN</ability>
      <abilityName/>
      <candidateList>
        <item>（</item>
      </candidateList>
      <explain>文本全半角错误。</explain>
      <paraID>1AC6A48F</paraID>
      <start>27</start>
      <end>28</end>
      <status>unmodified</status>
      <modifiedWord/>
      <trackRevisions>false</trackRevisions>
    </reviewItem>
    <reviewItem>
      <errorID>4c45671a-4e7b-48ec-b3e6-29f9ef9857b4</errorID>
      <errorWord>)</errorWord>
      <group>L1_Format</group>
      <groupName>格式问题</groupName>
      <ability>L2_HalfPunc_CN</ability>
      <abilityName/>
      <candidateList>
        <item>）</item>
      </candidateList>
      <explain>文本全半角错误。</explain>
      <paraID>1AC6A48F</paraID>
      <start>30</start>
      <end>31</end>
      <status>unmodified</status>
      <modifiedWord/>
      <trackRevisions>false</trackRevisions>
    </reviewItem>
    <reviewItem>
      <errorID>f8eb8252-6c29-4624-bf7d-923ad86e8ebb</errorID>
      <errorWord>-</errorWord>
      <group>L1_Format</group>
      <groupName>格式问题</groupName>
      <ability>L2_HalfPunc_CN</ability>
      <abilityName/>
      <candidateList>
        <item>－</item>
      </candidateList>
      <explain>文本全半角错误。</explain>
      <paraID>1AC6A48F</paraID>
      <start>32</start>
      <end>33</end>
      <status>unmodified</status>
      <modifiedWord/>
      <trackRevisions>false</trackRevisions>
    </reviewItem>
    <reviewItem>
      <errorID>e00c1b0e-b92a-4f6b-be88-205ffc811acf</errorID>
      <errorWord>(</errorWord>
      <group>L1_Format</group>
      <groupName>格式问题</groupName>
      <ability>L2_HalfPunc_CN</ability>
      <abilityName/>
      <candidateList>
        <item>（</item>
      </candidateList>
      <explain>文本全半角错误。</explain>
      <paraID>27B01AA5</paraID>
      <start>19</start>
      <end>20</end>
      <status>unmodified</status>
      <modifiedWord/>
      <trackRevisions>false</trackRevisions>
    </reviewItem>
    <reviewItem>
      <errorID>8e48ee95-4e3f-45eb-be97-93569815d3cf</errorID>
      <errorWord>)</errorWord>
      <group>L1_Format</group>
      <groupName>格式问题</groupName>
      <ability>L2_HalfPunc_CN</ability>
      <abilityName/>
      <candidateList>
        <item>）</item>
      </candidateList>
      <explain>文本全半角错误。</explain>
      <paraID>27B01AA5</paraID>
      <start>24</start>
      <end>25</end>
      <status>unmodified</status>
      <modifiedWord/>
      <trackRevisions>false</trackRevisions>
    </reviewItem>
    <reviewItem>
      <errorID>c7a8b27a-635b-49b0-914b-0e5181ed0616</errorID>
      <errorWord>-</errorWord>
      <group>L1_Format</group>
      <groupName>格式问题</groupName>
      <ability>L2_HalfPunc_CN</ability>
      <abilityName/>
      <candidateList>
        <item>－</item>
      </candidateList>
      <explain>文本全半角错误。</explain>
      <paraID>27B01AA5</paraID>
      <start>31</start>
      <end>32</end>
      <status>unmodified</status>
      <modifiedWord/>
      <trackRevisions>false</trackRevisions>
    </reviewItem>
    <reviewItem>
      <errorID>6100192f-85ae-47f5-8c55-9920eb3e5072</errorID>
      <errorWord>-</errorWord>
      <group>L1_Format</group>
      <groupName>格式问题</groupName>
      <ability>L2_HalfPunc_CN</ability>
      <abilityName/>
      <candidateList>
        <item>－</item>
      </candidateList>
      <explain>文本全半角错误。</explain>
      <paraID>27B01AA5</paraID>
      <start>32</start>
      <end>33</end>
      <status>unmodified</status>
      <modifiedWord/>
      <trackRevisions>false</trackRevisions>
    </reviewItem>
    <reviewItem>
      <errorID>039c45cd-c868-42b9-b587-022049b5af84</errorID>
      <errorWord>/）</errorWord>
      <group>L1_Punc</group>
      <groupName>标点问题</groupName>
      <ability>L2_Punc_CN</ability>
      <abilityName/>
      <candidateList>
        <item>）</item>
      </candidateList>
      <explain/>
      <paraID>1283C9FE</paraID>
      <start>42</start>
      <end>44</end>
      <status>unmodified</status>
      <modifiedWord/>
      <trackRevisions>false</trackRevisions>
    </reviewItem>
    <reviewItem>
      <errorID>122ec0f4-35d5-4556-93de-e8510aa6150a</errorID>
      <errorWord>/）</errorWord>
      <group>L1_Punc</group>
      <groupName>标点问题</groupName>
      <ability>L2_Punc_CN</ability>
      <abilityName/>
      <candidateList>
        <item>）</item>
      </candidateList>
      <explain/>
      <paraID>1283C9FE</paraID>
      <start>75</start>
      <end>77</end>
      <status>unmodified</status>
      <modifiedWord/>
      <trackRevisions>false</trackRevisions>
    </reviewItem>
    <reviewItem>
      <errorID>5f258845-1bc2-4b44-9b28-3b40225de4e0</errorID>
      <errorWord>/）</errorWord>
      <group>L1_Punc</group>
      <groupName>标点问题</groupName>
      <ability>L2_Punc_CN</ability>
      <abilityName/>
      <candidateList>
        <item>）</item>
      </candidateList>
      <explain/>
      <paraID>1283C9FE</paraID>
      <start>121</start>
      <end>123</end>
      <status>unmodified</status>
      <modifiedWord/>
      <trackRevisions>false</trackRevisions>
    </reviewItem>
    <reviewItem>
      <errorID>3998d72e-4409-4102-beb1-e169bd3b3719</errorID>
      <errorWord>(</errorWord>
      <group>L1_Format</group>
      <groupName>格式问题</groupName>
      <ability>L2_HalfPunc_CN</ability>
      <abilityName/>
      <candidateList>
        <item>（</item>
      </candidateList>
      <explain>文本全半角错误。</explain>
      <paraID>1283C9FE</paraID>
      <start>134</start>
      <end>135</end>
      <status>unmodified</status>
      <modifiedWord/>
      <trackRevisions>false</trackRevisions>
    </reviewItem>
    <reviewItem>
      <errorID>351dbcd5-f662-4892-933d-a8792b3ef715</errorID>
      <errorWord>)</errorWord>
      <group>L1_Format</group>
      <groupName>格式问题</groupName>
      <ability>L2_HalfPunc_CN</ability>
      <abilityName/>
      <candidateList>
        <item>）</item>
      </candidateList>
      <explain>文本全半角错误。</explain>
      <paraID>1283C9FE</paraID>
      <start>141</start>
      <end>142</end>
      <status>unmodified</status>
      <modifiedWord/>
      <trackRevisions>false</trackRevisions>
    </reviewItem>
    <reviewItem>
      <errorID>cd7ec1ea-e59d-4289-ba7c-b0bb5dd35357</errorID>
      <errorWord>/）</errorWord>
      <group>L1_Punc</group>
      <groupName>标点问题</groupName>
      <ability>L2_Punc_CN</ability>
      <abilityName/>
      <candidateList>
        <item>）</item>
      </candidateList>
      <explain/>
      <paraID>1283C9FE</paraID>
      <start>180</start>
      <end>182</end>
      <status>unmodified</status>
      <modifiedWord/>
      <trackRevisions>false</trackRevisions>
    </reviewItem>
    <reviewItem>
      <errorID>8eb15466-cbd1-493b-8845-7684716b12c5</errorID>
      <errorWord>-</errorWord>
      <group>L1_Format</group>
      <groupName>格式问题</groupName>
      <ability>L2_HalfPunc_CN</ability>
      <abilityName/>
      <candidateList>
        <item>－</item>
      </candidateList>
      <explain>文本全半角错误。</explain>
      <paraID>3085565F</paraID>
      <start>194</start>
      <end>195</end>
      <status>unmodified</status>
      <modifiedWord/>
      <trackRevisions>false</trackRevisions>
    </reviewItem>
    <reviewItem>
      <errorID>05bc4866-1d13-4821-afba-e407a56e1e29</errorID>
      <errorWord>-</errorWord>
      <group>L1_Format</group>
      <groupName>格式问题</groupName>
      <ability>L2_HalfPunc_CN</ability>
      <abilityName/>
      <candidateList>
        <item>－</item>
      </candidateList>
      <explain>文本全半角错误。</explain>
      <paraID>3085565F</paraID>
      <start>199</start>
      <end>200</end>
      <status>unmodified</status>
      <modifiedWord/>
      <trackRevisions>false</trackRevisions>
    </reviewItem>
    <reviewItem>
      <errorID>f27b3273-5b61-4972-93e2-ea0293586fe8</errorID>
      <errorWord>-</errorWord>
      <group>L1_Format</group>
      <groupName>格式问题</groupName>
      <ability>L2_HalfPunc_CN</ability>
      <abilityName/>
      <candidateList>
        <item>－</item>
      </candidateList>
      <explain>文本全半角错误。</explain>
      <paraID>3085565F</paraID>
      <start>227</start>
      <end>228</end>
      <status>unmodified</status>
      <modifiedWord/>
      <trackRevisions>false</trackRevisions>
    </reviewItem>
    <reviewItem>
      <errorID>c62e3a31-edce-4178-a4c2-7e09a8d0495b</errorID>
      <errorWord>-</errorWord>
      <group>L1_Format</group>
      <groupName>格式问题</groupName>
      <ability>L2_HalfPunc_CN</ability>
      <abilityName/>
      <candidateList>
        <item>－</item>
      </candidateList>
      <explain>文本全半角错误。</explain>
      <paraID>2657AF92</paraID>
      <start>112</start>
      <end>113</end>
      <status>unmodified</status>
      <modifiedWord/>
      <trackRevisions>false</trackRevisions>
    </reviewItem>
    <reviewItem>
      <errorID>a636be67-5757-4b36-9c6e-e89555769175</errorID>
      <errorWord>-</errorWord>
      <group>L1_Format</group>
      <groupName>格式问题</groupName>
      <ability>L2_HalfPunc_CN</ability>
      <abilityName/>
      <candidateList>
        <item>－</item>
      </candidateList>
      <explain>文本全半角错误。</explain>
      <paraID>2657AF92</paraID>
      <start>141</start>
      <end>142</end>
      <status>unmodified</status>
      <modifiedWord/>
      <trackRevisions>false</trackRevisions>
    </reviewItem>
    <reviewItem>
      <errorID>c7e415ea-f779-4009-9e10-7983f465cf84</errorID>
      <errorWord>操作合</errorWord>
      <group>L1_Word</group>
      <groupName>字词问题</groupName>
      <ability>L2_Typo</ability>
      <abilityName>字词错误</abilityName>
      <candidateList>
        <item>操作台</item>
      </candidateList>
      <explain/>
      <paraID>2AA3F123</paraID>
      <start>9</start>
      <end>12</end>
      <status>unmodified</status>
      <modifiedWord/>
      <trackRevisions>false</trackRevisions>
    </reviewItem>
    <reviewItem>
      <errorID>6a8fdd43-042f-4237-9b18-cb7a49cd8a1a</errorID>
      <errorWord>，</errorWord>
      <group>L1_Word</group>
      <groupName>字词问题</groupName>
      <ability>L2_Typo</ability>
      <abilityName>字词错误</abilityName>
      <candidateList>
        <item>，在</item>
      </candidateList>
      <explain/>
      <paraID>2AA3F123</paraID>
      <start>119</start>
      <end>120</end>
      <status>unmodified</status>
      <modifiedWord/>
      <trackRevisions>false</trackRevisions>
    </reviewItem>
    <reviewItem>
      <errorID>e4376fd6-bc59-4ceb-b20e-5a55005cd0d2</errorID>
      <errorWord>间</errorWord>
      <group>L1_Word</group>
      <groupName>字词问题</groupName>
      <ability>L2_Typo</ability>
      <abilityName>字词错误</abilityName>
      <candidateList>
        <item>间之</item>
      </candidateList>
      <explain/>
      <paraID>2AA3F123</paraID>
      <start>194</start>
      <end>195</end>
      <status>unmodified</status>
      <modifiedWord/>
      <trackRevisions>false</trackRevisions>
    </reviewItem>
    <reviewItem>
      <errorID>2146160a-3d45-4643-b08e-d83d6c81d337</errorID>
      <errorWord>(</errorWord>
      <group>L1_Format</group>
      <groupName>格式问题</groupName>
      <ability>L2_HalfPunc_CN</ability>
      <abilityName/>
      <candidateList>
        <item>（</item>
      </candidateList>
      <explain>文本全半角错误。</explain>
      <paraID> E08F7E9</paraID>
      <start>21</start>
      <end>22</end>
      <status>unmodified</status>
      <modifiedWord/>
      <trackRevisions>false</trackRevisions>
    </reviewItem>
    <reviewItem>
      <errorID>83f6eecd-df71-46e6-afb5-fe2b4b31e207</errorID>
      <errorWord>，</errorWord>
      <group>L1_Word</group>
      <groupName>字词问题</groupName>
      <ability>L2_Typo</ability>
      <abilityName>字词错误</abilityName>
      <candidateList>
        <item>，使</item>
      </candidateList>
      <explain/>
      <paraID>23099470</paraID>
      <start>32</start>
      <end>33</end>
      <status>unmodified</status>
      <modifiedWord/>
      <trackRevisions>false</trackRevisions>
    </reviewItem>
    <reviewItem>
      <errorID>4690e584-98de-4e33-87e6-ba18a239e5b4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7EC1FA19</paraID>
      <start>15</start>
      <end>18</end>
      <status>unmodified</status>
      <modifiedWord/>
      <trackRevisions>false</trackRevisions>
    </reviewItem>
    <reviewItem>
      <errorID>f4bc84a8-c624-4185-8c7e-375e6ef0159b</errorID>
      <errorWord>法律、法规</errorWord>
      <group>L1_Word</group>
      <groupName>字词问题</groupName>
      <ability>L2_Typo</ability>
      <abilityName>字词错误</abilityName>
      <candidateList>
        <item>法律法规</item>
      </candidateList>
      <explain/>
      <paraID>449435D3</paraID>
      <start>38</start>
      <end>43</end>
      <status>unmodified</status>
      <modifiedWord/>
      <trackRevisions>false</trackRevisions>
    </reviewItem>
    <reviewItem>
      <errorID>9b5c35e3-7c20-4697-97e0-40caf8eed45b</errorID>
      <errorWord>操作合</errorWord>
      <group>L1_Word</group>
      <groupName>字词问题</groupName>
      <ability>L2_Typo</ability>
      <abilityName>字词错误</abilityName>
      <candidateList>
        <item>操作台</item>
      </candidateList>
      <explain/>
      <paraID>576AB1C7</paraID>
      <start>9</start>
      <end>12</end>
      <status>unmodified</status>
      <modifiedWord/>
      <trackRevisions>false</trackRevisions>
    </reviewItem>
    <reviewItem>
      <errorID>3b66328f-1725-423e-b958-086be963d486</errorID>
      <errorWord>，</errorWord>
      <group>L1_Word</group>
      <groupName>字词问题</groupName>
      <ability>L2_Typo</ability>
      <abilityName>字词错误</abilityName>
      <candidateList>
        <item>，在</item>
      </candidateList>
      <explain/>
      <paraID>551C36E0</paraID>
      <start>36</start>
      <end>37</end>
      <status>unmodified</status>
      <modifiedWord/>
      <trackRevisions>false</trackRevisions>
    </reviewItem>
    <reviewItem>
      <errorID>84640353-dbfe-4798-9363-176036b6f521</errorID>
      <errorWord>间</errorWord>
      <group>L1_Word</group>
      <groupName>字词问题</groupName>
      <ability>L2_Typo</ability>
      <abilityName>字词错误</abilityName>
      <candidateList>
        <item>间之</item>
      </candidateList>
      <explain/>
      <paraID>610599C0</paraID>
      <start>14</start>
      <end>15</end>
      <status>unmodified</status>
      <modifiedWord/>
      <trackRevisions>false</trackRevisions>
    </reviewItem>
    <reviewItem>
      <errorID>218dcee6-2945-4670-91e8-71d3be053a8b</errorID>
      <errorWord>做出</errorWord>
      <group>L1_Word</group>
      <groupName>字词问题</groupName>
      <ability>L2_Typo</ability>
      <abilityName>字词错误</abilityName>
      <candidateList>
        <item>作出</item>
      </candidateList>
      <explain/>
      <paraID>  169EA8</paraID>
      <start>64</start>
      <end>66</end>
      <status>unmodified</status>
      <modifiedWord/>
      <trackRevisions>false</trackRevisions>
    </reviewItem>
    <reviewItem>
      <errorID>e5434473-8953-4cdf-8389-c26eda672106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5E0AF5B3</paraID>
      <start>0</start>
      <end>8</end>
      <status>unmodified</status>
      <modifiedWord/>
      <trackRevisions>false</trackRevisions>
    </reviewItem>
    <reviewItem>
      <errorID>782f854a-6586-480a-a691-7a45c69098d3</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67A3F0F7</paraID>
      <start>0</start>
      <end>9</end>
      <status>unmodified</status>
      <modifiedWord/>
      <trackRevisions>false</trackRevisions>
    </reviewItem>
    <reviewItem>
      <errorID>2cac8f78-9bcc-40c4-b40c-3043cd2526f2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72E8431A</paraID>
      <start>0</start>
      <end>10</end>
      <status>unmodified</status>
      <modifiedWord/>
      <trackRevisions>false</trackRevisions>
    </reviewItem>
    <reviewItem>
      <errorID>8a9eeb82-f91e-429d-b462-22da004f4447</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19F22C7F</paraID>
      <start>0</start>
      <end>4</end>
      <status>unmodified</status>
      <modifiedWord/>
      <trackRevisions>false</trackRevisions>
    </reviewItem>
    <reviewItem>
      <errorID>a58f6d58-59f2-4572-a29d-773f4b9976f7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36E1C0E3</paraID>
      <start>0</start>
      <end>5</end>
      <status>unmodified</status>
      <modifiedWord/>
      <trackRevisions>false</trackRevisions>
    </reviewItem>
    <reviewItem>
      <errorID>314f78c9-0b8e-4da0-b57c-84d9b25ef117</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10DEF274</paraID>
      <start>0</start>
      <end>6</end>
      <status>unmodified</status>
      <modifiedWord/>
      <trackRevisions>false</trackRevisions>
    </reviewItem>
    <reviewItem>
      <errorID>b3b456ba-68c3-40be-a77a-9e9ee7d28a9c</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1DC52AB3</paraID>
      <start>0</start>
      <end>7</end>
      <status>unmodified</status>
      <modifiedWord/>
      <trackRevisions>false</trackRevisions>
    </reviewItem>
    <reviewItem>
      <errorID>78ac8e6c-5c0d-4392-8a22-8229f793ea85</errorID>
      <errorWord>亿</errorWord>
      <group>L1_Word</group>
      <groupName>字词问题</groupName>
      <ability>L2_Typo</ability>
      <abilityName>字词错误</abilityName>
      <candidateList>
        <item>亿元</item>
      </candidateList>
      <explain/>
      <paraID>264085B3</paraID>
      <start>3</start>
      <end>4</end>
      <status>unmodified</status>
      <modifiedWord/>
      <trackRevisions>false</trackRevisions>
    </reviewItem>
    <reviewItem>
      <errorID>8366183f-535c-4147-a473-429fc865dc67</errorID>
      <errorWord>(</errorWord>
      <group>L1_Format</group>
      <groupName>格式问题</groupName>
      <ability>L2_HalfPunc_CN</ability>
      <abilityName/>
      <candidateList>
        <item>（</item>
      </candidateList>
      <explain>文本全半角错误。</explain>
      <paraID>7159E767</paraID>
      <start>21</start>
      <end>22</end>
      <status>unmodified</status>
      <modifiedWord/>
      <trackRevisions>false</trackRevisions>
    </reviewItem>
    <reviewItem>
      <errorID>7a85d2a7-a82a-4558-bfde-8d29872c321f</errorID>
      <errorWord>)</errorWord>
      <group>L1_Format</group>
      <groupName>格式问题</groupName>
      <ability>L2_HalfPunc_CN</ability>
      <abilityName/>
      <candidateList>
        <item>）</item>
      </candidateList>
      <explain>文本全半角错误。</explain>
      <paraID>7159E767</paraID>
      <start>26</start>
      <end>27</end>
      <status>unmodified</status>
      <modifiedWord/>
      <trackRevisions>false</trackRevisions>
    </reviewItem>
    <reviewItem>
      <errorID>dcf99e55-fb1d-43b7-8a47-2501d18b0a78</errorID>
      <errorWord>-</errorWord>
      <group>L1_Format</group>
      <groupName>格式问题</groupName>
      <ability>L2_HalfPunc_CN</ability>
      <abilityName/>
      <candidateList>
        <item>－</item>
      </candidateList>
      <explain>文本全半角错误。</explain>
      <paraID>7159E767</paraID>
      <start>33</start>
      <end>34</end>
      <status>unmodified</status>
      <modifiedWord/>
      <trackRevisions>false</trackRevisions>
    </reviewItem>
    <reviewItem>
      <errorID>ade42256-cbb9-48bc-a0a8-a54530d0b4cb</errorID>
      <errorWord>-</errorWord>
      <group>L1_Format</group>
      <groupName>格式问题</groupName>
      <ability>L2_HalfPunc_CN</ability>
      <abilityName/>
      <candidateList>
        <item>－</item>
      </candidateList>
      <explain>文本全半角错误。</explain>
      <paraID>7159E767</paraID>
      <start>34</start>
      <end>35</end>
      <status>unmodified</status>
      <modifiedWord/>
      <trackRevisions>false</trackRevisions>
    </reviewItem>
    <reviewItem>
      <errorID>2ceb1ed6-ba42-4bd6-8681-d0c020d57b0e</errorID>
      <errorWord>(</errorWord>
      <group>L1_Format</group>
      <groupName>格式问题</groupName>
      <ability>L2_HalfPunc_CN</ability>
      <abilityName/>
      <candidateList>
        <item>（</item>
      </candidateList>
      <explain>文本全半角错误。</explain>
      <paraID>38972F9E</paraID>
      <start>14</start>
      <end>15</end>
      <status>unmodified</status>
      <modifiedWord/>
      <trackRevisions>false</trackRevisions>
    </reviewItem>
    <reviewItem>
      <errorID>46629bd5-3eb6-42bf-a87e-1cf1b7aaae80</errorID>
      <errorWord>)</errorWord>
      <group>L1_Format</group>
      <groupName>格式问题</groupName>
      <ability>L2_HalfPunc_CN</ability>
      <abilityName/>
      <candidateList>
        <item>）</item>
      </candidateList>
      <explain>文本全半角错误。</explain>
      <paraID>38972F9E</paraID>
      <start>19</start>
      <end>20</end>
      <status>unmodified</status>
      <modifiedWord/>
      <trackRevisions>false</trackRevisions>
    </reviewItem>
    <reviewItem>
      <errorID>4c4afe50-58fd-4773-bdf7-db39b2d4086c</errorID>
      <errorWord>(</errorWord>
      <group>L1_Format</group>
      <groupName>格式问题</groupName>
      <ability>L2_HalfPunc_CN</ability>
      <abilityName/>
      <candidateList>
        <item>（</item>
      </candidateList>
      <explain>文本全半角错误。</explain>
      <paraID>38972F9E</paraID>
      <start>22</start>
      <end>23</end>
      <status>unmodified</status>
      <modifiedWord/>
      <trackRevisions>false</trackRevisions>
    </reviewItem>
    <reviewItem>
      <errorID>0b03148d-f6cd-41c9-8448-7c5dce81201b</errorID>
      <errorWord>)</errorWord>
      <group>L1_Format</group>
      <groupName>格式问题</groupName>
      <ability>L2_HalfPunc_CN</ability>
      <abilityName/>
      <candidateList>
        <item>）</item>
      </candidateList>
      <explain>文本全半角错误。</explain>
      <paraID>38972F9E</paraID>
      <start>25</start>
      <end>26</end>
      <status>unmodified</status>
      <modifiedWord/>
      <trackRevisions>false</trackRevisions>
    </reviewItem>
    <reviewItem>
      <errorID>a72d9064-dd30-4a13-85dd-4832cc0f3f96</errorID>
      <errorWord>-</errorWord>
      <group>L1_Format</group>
      <groupName>格式问题</groupName>
      <ability>L2_HalfPunc_CN</ability>
      <abilityName/>
      <candidateList>
        <item>－</item>
      </candidateList>
      <explain>文本全半角错误。</explain>
      <paraID>38972F9E</paraID>
      <start>27</start>
      <end>28</end>
      <status>unmodified</status>
      <modifiedWord/>
      <trackRevisions>false</trackRevisions>
    </reviewItem>
    <reviewItem>
      <errorID>4345ce77-eedb-4665-8f36-87170fab643c</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7BB63573</paraID>
      <start>19</start>
      <end>21</end>
      <status>unmodified</status>
      <modifiedWord/>
      <trackRevisions>false</trackRevisions>
    </reviewItem>
    <reviewItem>
      <errorID>0f281681-da4b-4ca7-81fa-5a7190b55eb3</errorID>
      <errorWord>-</errorWord>
      <group>L1_Format</group>
      <groupName>格式问题</groupName>
      <ability>L2_HalfPunc_CN</ability>
      <abilityName/>
      <candidateList>
        <item>－</item>
      </candidateList>
      <explain>文本全半角错误。</explain>
      <paraID>54982B43</paraID>
      <start>20</start>
      <end>21</end>
      <status>unmodified</status>
      <modifiedWord/>
      <trackRevisions>false</trackRevisions>
    </reviewItem>
    <reviewItem>
      <errorID>44edf64d-6b79-4ca2-afb5-88362c60dac2</errorID>
      <errorWord>法律、法规</errorWord>
      <group>L1_Word</group>
      <groupName>字词问题</groupName>
      <ability>L2_Typo</ability>
      <abilityName>字词错误</abilityName>
      <candidateList>
        <item>法律法规</item>
      </candidateList>
      <explain/>
      <paraID>5CDFA161</paraID>
      <start>3</start>
      <end>8</end>
      <status>unmodified</status>
      <modifiedWord/>
      <trackRevisions>false</trackRevisions>
    </reviewItem>
    <reviewItem>
      <errorID>9f945809-7c1b-4469-ad7f-41ec5450c63e</errorID>
      <errorWord>做</errorWord>
      <group>L1_Word</group>
      <groupName>字词问题</groupName>
      <ability>L2_Typo</ability>
      <abilityName>字词错误</abilityName>
      <candidateList>
        <item>作</item>
      </candidateList>
      <explain>存在发音相同字词的误用。</explain>
      <paraID>455F52E5</paraID>
      <start>187</start>
      <end>188</end>
      <status>unmodified</status>
      <modifiedWord/>
      <trackRevisions>false</trackRevisions>
    </reviewItem>
    <reviewItem>
      <errorID>9bcec920-c330-4a01-8117-03851f0648d3</errorID>
      <errorWord>详实</errorWord>
      <group>L1_Word</group>
      <groupName>字词问题</groupName>
      <ability>L2_Typo</ability>
      <abilityName>字词错误</abilityName>
      <candidateList>
        <item>翔实</item>
      </candidateList>
      <explain/>
      <paraID>6A026FDB</paraID>
      <start>74</start>
      <end>76</end>
      <status>unmodified</status>
      <modifiedWord/>
      <trackRevisions>false</trackRevisions>
    </reviewItem>
    <reviewItem>
      <errorID>99caed93-73f9-41ec-a9e7-ac2a2f900017</errorID>
      <errorWord>(</errorWord>
      <group>L1_Format</group>
      <groupName>格式问题</groupName>
      <ability>L2_HalfPunc_CN</ability>
      <abilityName/>
      <candidateList>
        <item>（</item>
      </candidateList>
      <explain>文本全半角错误。</explain>
      <paraID>6E2F0AFC</paraID>
      <start>37</start>
      <end>38</end>
      <status>unmodified</status>
      <modifiedWord/>
      <trackRevisions>false</trackRevisions>
    </reviewItem>
    <reviewItem>
      <errorID>bf90c1d8-ad24-4973-8959-bb9860f86050</errorID>
      <errorWord>)</errorWord>
      <group>L1_Format</group>
      <groupName>格式问题</groupName>
      <ability>L2_HalfPunc_CN</ability>
      <abilityName/>
      <candidateList>
        <item>）</item>
      </candidateList>
      <explain>文本全半角错误。</explain>
      <paraID>6E2F0AFC</paraID>
      <start>50</start>
      <end>51</end>
      <status>unmodified</status>
      <modifiedWord/>
      <trackRevisions>false</trackRevisions>
    </reviewItem>
    <reviewItem>
      <errorID>8f376414-0924-4210-96d4-82cbcc52ed24</errorID>
      <errorWord>(</errorWord>
      <group>L1_Format</group>
      <groupName>格式问题</groupName>
      <ability>L2_HalfPunc_CN</ability>
      <abilityName/>
      <candidateList>
        <item>（</item>
      </candidateList>
      <explain>文本全半角错误。</explain>
      <paraID>6E2F0AFC</paraID>
      <start>81</start>
      <end>82</end>
      <status>unmodified</status>
      <modifiedWord/>
      <trackRevisions>false</trackRevisions>
    </reviewItem>
    <reviewItem>
      <errorID>eeb4927e-128c-47d1-9799-0d70cdd3602a</errorID>
      <errorWord>)</errorWord>
      <group>L1_Format</group>
      <groupName>格式问题</groupName>
      <ability>L2_HalfPunc_CN</ability>
      <abilityName/>
      <candidateList>
        <item>）</item>
      </candidateList>
      <explain>文本全半角错误。</explain>
      <paraID>6E2F0AFC</paraID>
      <start>102</start>
      <end>103</end>
      <status>unmodified</status>
      <modifiedWord/>
      <trackRevisions>false</trackRevisions>
    </reviewItem>
    <reviewItem>
      <errorID>bf459f20-59b6-44e8-a9a3-43dd0430f4a7</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6E2F0AFC</paraID>
      <start>149</start>
      <end>156</end>
      <status>unmodified</status>
      <modifiedWord/>
      <trackRevisions>false</trackRevisions>
    </reviewItem>
    <reviewItem>
      <errorID>fd834045-cd6e-4ad0-a2e2-df6ba8dc7848</errorID>
      <errorWord>(</errorWord>
      <group>L1_Format</group>
      <groupName>格式问题</groupName>
      <ability>L2_HalfPunc_CN</ability>
      <abilityName/>
      <candidateList>
        <item>（</item>
      </candidateList>
      <explain>文本全半角错误。</explain>
      <paraID>6E2F0AFC</paraID>
      <start>186</start>
      <end>187</end>
      <status>unmodified</status>
      <modifiedWord/>
      <trackRevisions>false</trackRevisions>
    </reviewItem>
    <reviewItem>
      <errorID>aaea7470-c0c0-4b0d-9f08-404f66749d82</errorID>
      <errorWord>)</errorWord>
      <group>L1_Format</group>
      <groupName>格式问题</groupName>
      <ability>L2_HalfPunc_CN</ability>
      <abilityName/>
      <candidateList>
        <item>）</item>
      </candidateList>
      <explain>文本全半角错误。</explain>
      <paraID>6E2F0AFC</paraID>
      <start>199</start>
      <end>200</end>
      <status>unmodified</status>
      <modifiedWord/>
      <trackRevisions>false</trackRevisions>
    </reviewItem>
    <reviewItem>
      <errorID>1b6e0e83-2788-410e-908a-8979dc1be3c3</errorID>
      <errorWord>(</errorWord>
      <group>L1_Format</group>
      <groupName>格式问题</groupName>
      <ability>L2_HalfPunc_CN</ability>
      <abilityName/>
      <candidateList>
        <item>（</item>
      </candidateList>
      <explain>文本全半角错误。</explain>
      <paraID>6E2F0AFC</paraID>
      <start>252</start>
      <end>253</end>
      <status>unmodified</status>
      <modifiedWord/>
      <trackRevisions>false</trackRevisions>
    </reviewItem>
    <reviewItem>
      <errorID>df755bf9-6c22-4a0d-a3b3-94fe458a650f</errorID>
      <errorWord>)</errorWord>
      <group>L1_Format</group>
      <groupName>格式问题</groupName>
      <ability>L2_HalfPunc_CN</ability>
      <abilityName/>
      <candidateList>
        <item>）</item>
      </candidateList>
      <explain>文本全半角错误。</explain>
      <paraID>6E2F0AFC</paraID>
      <start>264</start>
      <end>265</end>
      <status>unmodified</status>
      <modifiedWord/>
      <trackRevisions>false</trackRevisions>
    </reviewItem>
    <reviewItem>
      <errorID>9003ba9c-2add-4ccb-81c3-9c448ee40161</errorID>
      <errorWord>(</errorWord>
      <group>L1_Format</group>
      <groupName>格式问题</groupName>
      <ability>L2_HalfPunc_CN</ability>
      <abilityName/>
      <candidateList>
        <item>（</item>
      </candidateList>
      <explain>文本全半角错误。</explain>
      <paraID>6E2F0AFC</paraID>
      <start>299</start>
      <end>300</end>
      <status>unmodified</status>
      <modifiedWord/>
      <trackRevisions>false</trackRevisions>
    </reviewItem>
    <reviewItem>
      <errorID>5ab80817-65ad-48a3-871d-e3c810e20fb1</errorID>
      <errorWord>)</errorWord>
      <group>L1_Format</group>
      <groupName>格式问题</groupName>
      <ability>L2_HalfPunc_CN</ability>
      <abilityName/>
      <candidateList>
        <item>）</item>
      </candidateList>
      <explain>文本全半角错误。</explain>
      <paraID>6E2F0AFC</paraID>
      <start>311</start>
      <end>312</end>
      <status>unmodified</status>
      <modifiedWord/>
      <trackRevisions>false</trackRevisions>
    </reviewItem>
    <reviewItem>
      <errorID>6333ba04-3222-42dd-97b0-a01c4e05d2c3</errorID>
      <errorWord>(</errorWord>
      <group>L1_Format</group>
      <groupName>格式问题</groupName>
      <ability>L2_HalfPunc_CN</ability>
      <abilityName/>
      <candidateList>
        <item>（</item>
      </candidateList>
      <explain>文本全半角错误。</explain>
      <paraID>6E2F0AFC</paraID>
      <start>350</start>
      <end>351</end>
      <status>unmodified</status>
      <modifiedWord/>
      <trackRevisions>false</trackRevisions>
    </reviewItem>
    <reviewItem>
      <errorID>eae30d35-3cff-47d0-957a-a43519c23c1a</errorID>
      <errorWord>)</errorWord>
      <group>L1_Format</group>
      <groupName>格式问题</groupName>
      <ability>L2_HalfPunc_CN</ability>
      <abilityName/>
      <candidateList>
        <item>）</item>
      </candidateList>
      <explain>文本全半角错误。</explain>
      <paraID>6E2F0AFC</paraID>
      <start>363</start>
      <end>364</end>
      <status>unmodified</status>
      <modifiedWord/>
      <trackRevisions>false</trackRevisions>
    </reviewItem>
    <reviewItem>
      <errorID>9662f32c-d3e3-47c2-8e8b-ce2a57abd861</errorID>
      <errorWord>房</errorWord>
      <group>L1_Word</group>
      <groupName>字词问题</groupName>
      <ability>L2_Typo</ability>
      <abilityName>字词错误</abilityName>
      <candidateList>
        <item>房和</item>
      </candidateList>
      <explain/>
      <paraID> E49DAB5</paraID>
      <start>35</start>
      <end>36</end>
      <status>unmodified</status>
      <modifiedWord/>
      <trackRevisions>false</trackRevisions>
    </reviewItem>
    <reviewItem>
      <errorID>46c5285a-930b-46af-bac2-d32326095ff0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47BBB808</paraID>
      <start>26</start>
      <end>29</end>
      <status>unmodified</status>
      <modifiedWord/>
      <trackRevisions>false</trackRevisions>
    </reviewItem>
    <reviewItem>
      <errorID>aff8998d-a579-46e1-ae92-ba489b47c43b</errorID>
      <errorWord>(</errorWord>
      <group>L1_Format</group>
      <groupName>格式问题</groupName>
      <ability>L2_HalfPunc_CN</ability>
      <abilityName/>
      <candidateList>
        <item>（</item>
      </candidateList>
      <explain>文本全半角错误。</explain>
      <paraID>3961FF60</paraID>
      <start>10</start>
      <end>11</end>
      <status>unmodified</status>
      <modifiedWord/>
      <trackRevisions>false</trackRevisions>
    </reviewItem>
    <reviewItem>
      <errorID>9a26cfb8-af87-4024-b22e-8bff401452e0</errorID>
      <errorWord>)</errorWord>
      <group>L1_Format</group>
      <groupName>格式问题</groupName>
      <ability>L2_HalfPunc_CN</ability>
      <abilityName/>
      <candidateList>
        <item>）</item>
      </candidateList>
      <explain>文本全半角错误。</explain>
      <paraID>3961FF60</paraID>
      <start>19</start>
      <end>20</end>
      <status>unmodified</status>
      <modifiedWord/>
      <trackRevisions>false</trackRevisions>
    </reviewItem>
    <reviewItem>
      <errorID>6c13c42d-1a5d-474b-ba40-f62a787cc3ff</errorID>
      <errorWord>股东大会</errorWord>
      <group>L1_Word</group>
      <groupName>字词问题</groupName>
      <ability>L2_Typo</ability>
      <abilityName>字词错误</abilityName>
      <candidateList>
        <item>股东会</item>
      </candidateList>
      <explain/>
      <paraID>7A83C5B0</paraID>
      <start>113</start>
      <end>117</end>
      <status>unmodified</status>
      <modifiedWord/>
      <trackRevisions>false</trackRevisions>
    </reviewItem>
    <reviewItem>
      <errorID>25d0e0b6-35bf-48b8-8075-9ba0200c3e70</errorID>
      <errorWord>:</errorWord>
      <group>L1_Format</group>
      <groupName>格式问题</groupName>
      <ability>L2_HalfPunc_CN</ability>
      <abilityName/>
      <candidateList>
        <item>：</item>
      </candidateList>
      <explain>文本全半角错误。</explain>
      <paraID>1E780E9E</paraID>
      <start>1</start>
      <end>2</end>
      <status>unmodified</status>
      <modifiedWord/>
      <trackRevisions>false</trackRevisions>
    </reviewItem>
    <reviewItem>
      <errorID>f042e4e6-cf67-4572-9746-a27baec3105f</errorID>
      <errorWord>&lt;</errorWord>
      <group>L1_Format</group>
      <groupName>格式问题</groupName>
      <ability>L2_HalfPunc_CN</ability>
      <abilityName/>
      <candidateList>
        <item>〈</item>
      </candidateList>
      <explain>文本全半角错误。</explain>
      <paraID>59934AFF</paraID>
      <start>106</start>
      <end>107</end>
      <status>unmodified</status>
      <modifiedWord/>
      <trackRevisions>false</trackRevisions>
    </reviewItem>
    <reviewItem>
      <errorID>e30eb948-20dd-40d7-947a-cfbd4ace444c</errorID>
      <errorWord>&gt;</errorWord>
      <group>L1_Format</group>
      <groupName>格式问题</groupName>
      <ability>L2_HalfPunc_CN</ability>
      <abilityName/>
      <candidateList>
        <item>〉</item>
      </candidateList>
      <explain>文本全半角错误。</explain>
      <paraID>59934AFF</paraID>
      <start>120</start>
      <end>121</end>
      <status>unmodified</status>
      <modifiedWord/>
      <trackRevisions>false</trackRevisions>
    </reviewItem>
    <reviewItem>
      <errorID>15117cc6-6812-4142-bcbd-d26728917e97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22315091</paraID>
      <start>0</start>
      <end>2</end>
      <status>unmodified</status>
      <modifiedWord/>
      <trackRevisions>false</trackRevisions>
    </reviewItem>
    <reviewItem>
      <errorID>aef78210-9727-429f-b02d-462de983354c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38E6FDBD</paraID>
      <start>0</start>
      <end>2</end>
      <status>unmodified</status>
      <modifiedWord/>
      <trackRevisions>false</trackRevisions>
    </reviewItem>
    <reviewItem>
      <errorID>6f734817-a05c-4e45-b9be-d8562497ca2e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35C22F96</paraID>
      <start>0</start>
      <end>2</end>
      <status>unmodified</status>
      <modifiedWord/>
      <trackRevisions>false</trackRevisions>
    </reviewItem>
    <reviewItem>
      <errorID>0af2d3fb-1b6e-4ec5-a06b-165772fd07b0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7E4818E</paraID>
      <start>0</start>
      <end>2</end>
      <status>unmodified</status>
      <modifiedWord/>
      <trackRevisions>false</trackRevisions>
    </reviewItem>
    <reviewItem>
      <errorID>a318e56d-8748-456b-98e7-bb14b53b6e30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5C5AB1DF</paraID>
      <start>0</start>
      <end>2</end>
      <status>unmodified</status>
      <modifiedWord/>
      <trackRevisions>false</trackRevisions>
    </reviewItem>
    <reviewItem>
      <errorID>b3d3d4e7-e44a-441f-94b9-c35dd0e2039d</errorID>
      <errorWord>其它</errorWord>
      <group>L1_Word</group>
      <groupName>字词问题</groupName>
      <ability>L2_Alias</ability>
      <abilityName>也作/曾用词</abilityName>
      <candidateList>
        <item>其他</item>
      </candidateList>
      <explain>词汇[其它]为不规范表述或旧称，其规范书面表述为[其他]。</explain>
      <paraID>55A890AA</paraID>
      <start>6</start>
      <end>8</end>
      <status>unmodified</status>
      <modifiedWord/>
      <trackRevisions>false</trackRevisions>
    </reviewItem>
    <reviewItem>
      <errorID>227f1d52-5a91-4e87-a00b-00c465ed7681</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71220372</paraID>
      <start>7</start>
      <end>12</end>
      <status>unmodified</status>
      <modifiedWord/>
      <trackRevisions>false</trackRevisions>
    </reviewItem>
    <reviewItem>
      <errorID>e20e33f5-17a3-426f-81f5-28787a9a099c</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74830CE1</paraID>
      <start>9</start>
      <end>14</end>
      <status>unmodified</status>
      <modifiedWord/>
      <trackRevisions>false</trackRevisions>
    </reviewItem>
    <reviewItem>
      <errorID>e72975bd-29d5-4bac-b482-fdad3fdc5c27</errorID>
      <errorWord>其它形式的</errorWord>
      <group>L1_Word</group>
      <groupName>字词问题</groupName>
      <ability>L2_Alias</ability>
      <abilityName>也作/曾用词</abilityName>
      <candidateList>
        <item>其他形式的</item>
      </candidateList>
      <explain>词汇[其它形式的]为不规范表述或旧称，其规范书面表述为[其他形式的]。</explain>
      <paraID>74830CE1</paraID>
      <start>28</start>
      <end>33</end>
      <status>unmodified</status>
      <modifiedWord/>
      <trackRevisions>false</trackRevisions>
    </reviewItem>
    <reviewItem>
      <errorID>ad3f14b9-f8a6-4e1f-bbef-aa43f50787f7</errorID>
      <errorWord>其它</errorWord>
      <group>L1_Word</group>
      <groupName>字词问题</groupName>
      <ability>L2_Alias</ability>
      <abilityName>也作/曾用词</abilityName>
      <candidateList>
        <item>其他</item>
      </candidateList>
      <explain>词汇[其它]为不规范表述或旧称，其规范书面表述为[其他]。</explain>
      <paraID>26B69B9F</paraID>
      <start>0</start>
      <end>2</end>
      <status>unmodified</status>
      <modifiedWord/>
      <trackRevisions>false</trackRevisions>
    </reviewItem>
    <reviewItem>
      <errorID>6ffb872a-3597-46ee-8055-bc6559f91a77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318CFA5</paraID>
      <start>41</start>
      <end>44</end>
      <status>unmodified</status>
      <modifiedWord/>
      <trackRevisions>false</trackRevisions>
    </reviewItem>
    <reviewItem>
      <errorID>e48250bf-56af-4a18-8e21-684552e8acec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3BFABCFC</paraID>
      <start>36</start>
      <end>39</end>
      <status>unmodified</status>
      <modifiedWord/>
      <trackRevisions>false</trackRevisions>
    </reviewItem>
    <reviewItem>
      <errorID>b610f700-6a02-4416-a8e1-52033744d72f</errorID>
      <errorWord>精炼</errorWord>
      <group>L1_Word</group>
      <groupName>字词问题</groupName>
      <ability>L2_Typo</ability>
      <abilityName>字词错误</abilityName>
      <candidateList>
        <item>精练</item>
      </candidateList>
      <explain/>
      <paraID>57589F25</paraID>
      <start>24</start>
      <end>26</end>
      <status>unmodified</status>
      <modifiedWord/>
      <trackRevisions>false</trackRevisions>
    </reviewItem>
    <reviewItem>
      <errorID>ccd3c97b-510f-4b6c-8d25-d9b9fe89f55f</errorID>
      <errorWord>提出质疑</errorWord>
      <group>L1_Grammar</group>
      <groupName>语法问题</groupName>
      <ability>L2_Grammar</ability>
      <abilityName>语法错误</abilityName>
      <candidateList>
        <item>质疑</item>
      </candidateList>
      <explain>〈动〉提出疑问：～问难。</explain>
      <paraID>7C93C2D0</paraID>
      <start>53</start>
      <end>57</end>
      <status>unmodified</status>
      <modifiedWord/>
      <trackRevisions>false</trackRevisions>
    </reviewItem>
    <reviewItem>
      <errorID>da69e631-8b60-43d9-ba7b-25c84956a470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28A83477</paraID>
      <start>13</start>
      <end>16</end>
      <status>unmodified</status>
      <modifiedWord/>
      <trackRevisions>false</trackRevisions>
    </reviewItem>
    <reviewItem>
      <errorID>0750b2e0-fecc-4c2f-9ba2-643a6352edc7</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268E110E</paraID>
      <start>56</start>
      <end>63</end>
      <status>unmodified</status>
      <modifiedWord/>
      <trackRevisions>false</trackRevisions>
    </reviewItem>
    <reviewItem>
      <errorID>23eb2a93-1a9d-4071-943b-bdbbbfa0ed81</errorID>
      <errorWord>交纳</errorWord>
      <group>L1_Word</group>
      <groupName>字词问题</groupName>
      <ability>L2_Typo</ability>
      <abilityName>字词错误</abilityName>
      <candidateList>
        <item>缴纳</item>
      </candidateList>
      <explain>〈动〉交纳：～税款。</explain>
      <paraID>65026216</paraID>
      <start>69</start>
      <end>71</end>
      <status>unmodified</status>
      <modifiedWord/>
      <trackRevisions>false</trackRevisions>
    </reviewItem>
    <reviewItem>
      <errorID>2a557360-5ae6-4e75-8ef4-9425705e5446</errorID>
      <errorWord>其它</errorWord>
      <group>L1_Word</group>
      <groupName>字词问题</groupName>
      <ability>L2_Alias</ability>
      <abilityName>也作/曾用词</abilityName>
      <candidateList>
        <item>其他</item>
      </candidateList>
      <explain>词汇[其它]为不规范表述或旧称，其规范书面表述为[其他]。</explain>
      <paraID>67F19ECA</paraID>
      <start>50</start>
      <end>52</end>
      <status>unmodified</status>
      <modifiedWord/>
      <trackRevisions>false</trackRevisions>
    </reviewItem>
    <reviewItem>
      <errorID>ba657e42-9f06-48a2-afef-76adeb359df4</errorID>
      <errorWord>其它</errorWord>
      <group>L1_Word</group>
      <groupName>字词问题</groupName>
      <ability>L2_Alias</ability>
      <abilityName>也作/曾用词</abilityName>
      <candidateList>
        <item>其他</item>
      </candidateList>
      <explain>词汇[其它]为不规范表述或旧称，其规范书面表述为[其他]。</explain>
      <paraID>67F19ECA</paraID>
      <start>150</start>
      <end>152</end>
      <status>unmodified</status>
      <modifiedWord/>
      <trackRevisions>false</trackRevisions>
    </reviewItem>
    <reviewItem>
      <errorID>3d4e175d-c143-4351-bab1-b35d40aeb5a3</errorID>
      <errorWord>其它</errorWord>
      <group>L1_Word</group>
      <groupName>字词问题</groupName>
      <ability>L2_Alias</ability>
      <abilityName>也作/曾用词</abilityName>
      <candidateList>
        <item>其他</item>
      </candidateList>
      <explain>词汇[其它]为不规范表述或旧称，其规范书面表述为[其他]。</explain>
      <paraID>380621D0</paraID>
      <start>140</start>
      <end>142</end>
      <status>unmodified</status>
      <modifiedWord/>
      <trackRevisions>false</trackRevisions>
    </reviewItem>
    <reviewItem>
      <errorID>832c1b50-c2e1-46a6-9383-57a7f1a9201d</errorID>
      <errorWord>【2015】16号</errorWord>
      <group>L1_Knowledge</group>
      <groupName>知识性问题</groupName>
      <ability>L2_Knowledge</ability>
      <abilityName>其他知识</abilityName>
      <candidateList>
        <item>〔2015〕16号</item>
      </candidateList>
      <explain>发文字号格式错误。</explain>
      <paraID>753EA7A8</paraID>
      <start>97</start>
      <end>106</end>
      <status>unmodified</status>
      <modifiedWord/>
      <trackRevisions>false</trackRevisions>
    </reviewItem>
    <reviewItem>
      <errorID>2757b47e-c099-4936-9cac-80c715260808</errorID>
      <errorWord>【2015】16号</errorWord>
      <group>L1_Knowledge</group>
      <groupName>知识性问题</groupName>
      <ability>L2_Knowledge</ability>
      <abilityName>其他知识</abilityName>
      <candidateList>
        <item>〔2015〕16号</item>
      </candidateList>
      <explain>发文字号格式错误。</explain>
      <paraID>599AA471</paraID>
      <start>86</start>
      <end>95</end>
      <status>unmodified</status>
      <modifiedWord/>
      <trackRevisions>false</trackRevisions>
    </reviewItem>
    <reviewItem>
      <errorID>3e55c2af-a79f-425f-a084-00b6c7af2b8b</errorID>
      <errorWord>费</errorWord>
      <group>L1_Word</group>
      <groupName>字词问题</groupName>
      <ability>L2_Typo</ability>
      <abilityName>字词错误</abilityName>
      <candidateList>
        <item>费用</item>
      </candidateList>
      <explain/>
      <paraID>3D2C02D1</paraID>
      <start>11</start>
      <end>12</end>
      <status>unmodified</status>
      <modifiedWord/>
      <trackRevisions>false</trackRevisions>
    </reviewItem>
    <reviewItem>
      <errorID>d0a83c8f-0925-4d5f-84d0-c574833dcac8</errorID>
      <errorWord>,</errorWord>
      <group>L1_Format</group>
      <groupName>格式问题</groupName>
      <ability>L2_HalfPunc_CN</ability>
      <abilityName/>
      <candidateList>
        <item>，</item>
      </candidateList>
      <explain>文本全半角错误。</explain>
      <paraID>4B289904</paraID>
      <start>94</start>
      <end>95</end>
      <status>unmodified</status>
      <modifiedWord/>
      <trackRevisions>false</trackRevisions>
    </reviewItem>
    <reviewItem>
      <errorID>3cad68e7-cdef-4738-8ab0-bf6617c4d635</errorID>
      <errorWord>,</errorWord>
      <group>L1_Format</group>
      <groupName>格式问题</groupName>
      <ability>L2_HalfPunc_CN</ability>
      <abilityName/>
      <candidateList>
        <item>，</item>
      </candidateList>
      <explain>文本全半角错误。</explain>
      <paraID>4B289904</paraID>
      <start>135</start>
      <end>136</end>
      <status>unmodified</status>
      <modifiedWord/>
      <trackRevisions>false</trackRevisions>
    </reviewItem>
    <reviewItem>
      <errorID>d1276efd-9660-469b-9074-5d85b20aabdb</errorID>
      <errorWord>（</errorWord>
      <group>L1_Format</group>
      <groupName>格式问题</groupName>
      <ability>L2_HalfPunc_CN</ability>
      <abilityName/>
      <candidateList>
        <item>(</item>
      </candidateList>
      <explain>文本全半角错误。</explain>
      <paraID> 393594A</paraID>
      <start>0</start>
      <end>1</end>
      <status>unmodified</status>
      <modifiedWord/>
      <trackRevisions>false</trackRevisions>
    </reviewItem>
    <reviewItem>
      <errorID>f69ae524-c89f-49e9-bdbd-2b6d7a495c01</errorID>
      <errorWord>）</errorWord>
      <group>L1_Format</group>
      <groupName>格式问题</groupName>
      <ability>L2_HalfPunc_CN</ability>
      <abilityName/>
      <candidateList>
        <item>)</item>
      </candidateList>
      <explain>文本全半角错误。</explain>
      <paraID> 393594A</paraID>
      <start>2</start>
      <end>3</end>
      <status>unmodified</status>
      <modifiedWord/>
      <trackRevisions>false</trackRevisions>
    </reviewItem>
    <reviewItem>
      <errorID>96a47383-070a-4641-839a-40ad66f5d281</errorID>
      <errorWord>；</errorWord>
      <group>L1_Format</group>
      <groupName>格式问题</groupName>
      <ability>L2_HalfPunc_CN</ability>
      <abilityName/>
      <candidateList>
        <item>;</item>
      </candidateList>
      <explain>文本全半角错误。</explain>
      <paraID> 393594A</paraID>
      <start>47</start>
      <end>48</end>
      <status>unmodified</status>
      <modifiedWord/>
      <trackRevisions>false</trackRevisions>
    </reviewItem>
    <reviewItem>
      <errorID>44c35b20-eb76-4a8b-939b-76662e73797f</errorID>
      <errorWord>（</errorWord>
      <group>L1_Format</group>
      <groupName>格式问题</groupName>
      <ability>L2_HalfPunc_CN</ability>
      <abilityName/>
      <candidateList>
        <item>(</item>
      </candidateList>
      <explain>文本全半角错误。</explain>
      <paraID>19FA6655</paraID>
      <start>0</start>
      <end>1</end>
      <status>unmodified</status>
      <modifiedWord/>
      <trackRevisions>false</trackRevisions>
    </reviewItem>
    <reviewItem>
      <errorID>e702e213-d7fa-464f-acb7-cbccbe0e7287</errorID>
      <errorWord>）</errorWord>
      <group>L1_Format</group>
      <groupName>格式问题</groupName>
      <ability>L2_HalfPunc_CN</ability>
      <abilityName/>
      <candidateList>
        <item>)</item>
      </candidateList>
      <explain>文本全半角错误。</explain>
      <paraID>19FA6655</paraID>
      <start>2</start>
      <end>3</end>
      <status>unmodified</status>
      <modifiedWord/>
      <trackRevisions>false</trackRevisions>
    </reviewItem>
    <reviewItem>
      <errorID>052a3f5d-fb88-4721-b642-17361564e3fa</errorID>
      <errorWord>。</errorWord>
      <group>L1_Format</group>
      <groupName>格式问题</groupName>
      <ability>L2_HalfPunc_CN</ability>
      <abilityName/>
      <candidateList>
        <item>.</item>
      </candidateList>
      <explain>文本全半角错误。</explain>
      <paraID>19FA6655</paraID>
      <start>46</start>
      <end>47</end>
      <status>unmodified</status>
      <modifiedWord/>
      <trackRevisions>false</trackRevisions>
    </reviewItem>
    <reviewItem>
      <errorID>0d441615-3839-43bb-b91b-8216d4b87a4d</errorID>
      <errorWord>人</errorWord>
      <group>L1_Word</group>
      <groupName>字词问题</groupName>
      <ability>L2_Typo</ability>
      <abilityName>字词错误</abilityName>
      <candidateList>
        <item>人在</item>
      </candidateList>
      <explain/>
      <paraID>13E869CC</paraID>
      <start>36</start>
      <end>37</end>
      <status>unmodified</status>
      <modifiedWord/>
      <trackRevisions>false</trackRevisions>
    </reviewItem>
    <reviewItem>
      <errorID>5d8c1a18-f6ee-4694-9fe8-e5fb5399d6d5</errorID>
      <errorWord>[2022]10号</errorWord>
      <group>L1_Knowledge</group>
      <groupName>知识性问题</groupName>
      <ability>L2_Knowledge</ability>
      <abilityName>其他知识</abilityName>
      <candidateList>
        <item>〔2022〕10号</item>
      </candidateList>
      <explain>发文字号格式错误。</explain>
      <paraID>356D5747</paraID>
      <start>104</start>
      <end>113</end>
      <status>unmodified</status>
      <modifiedWord/>
      <trackRevisions>false</trackRevisions>
    </reviewItem>
    <reviewItem>
      <errorID>e84ee424-96c7-4cf2-adfb-84151090cc81</errorID>
      <errorWord>:</errorWord>
      <group>L1_Format</group>
      <groupName>格式问题</groupName>
      <ability>L2_HalfPunc_CN</ability>
      <abilityName/>
      <candidateList>
        <item>：</item>
      </candidateList>
      <explain>文本全半角错误。</explain>
      <paraID>76109AC1</paraID>
      <start>9</start>
      <end>10</end>
      <status>unmodified</status>
      <modifiedWord/>
      <trackRevisions>false</trackRevisions>
    </reviewItem>
    <reviewItem>
      <errorID>33521b4b-a441-4811-93ff-bda5802829df</errorID>
      <errorWord>做</errorWord>
      <group>L1_Word</group>
      <groupName>字词问题</groupName>
      <ability>L2_Typo</ability>
      <abilityName>字词错误</abilityName>
      <candidateList>
        <item>作</item>
      </candidateList>
      <explain>存在发音相同字词的误用。</explain>
      <paraID> A8C54EF</paraID>
      <start>88</start>
      <end>89</end>
      <status>unmodified</status>
      <modifiedWord/>
      <trackRevisions>false</trackRevisions>
    </reviewItem>
    <reviewItem>
      <errorID>59e7890f-bda0-4161-97c8-cb2884770b90</errorID>
      <errorWord>[2016]31号</errorWord>
      <group>L1_Knowledge</group>
      <groupName>知识性问题</groupName>
      <ability>L2_Knowledge</ability>
      <abilityName>其他知识</abilityName>
      <candidateList>
        <item>〔2016〕31号</item>
      </candidateList>
      <explain>发文字号格式错误。</explain>
      <paraID> ED623B7</paraID>
      <start>5</start>
      <end>14</end>
      <status>unmodified</status>
      <modifiedWord/>
      <trackRevisions>false</trackRevisions>
    </reviewItem>
    <reviewItem>
      <errorID>43319800-a451-4529-b974-12d2034a5378</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62E07359</paraID>
      <start>15</start>
      <end>22</end>
      <status>unmodified</status>
      <modifiedWord/>
      <trackRevisions>false</trackRevisions>
    </reviewItem>
    <reviewItem>
      <errorID>52b0fe63-39e3-4a43-b60c-da648c1a24e9</errorID>
      <errorWord>其它</errorWord>
      <group>L1_Word</group>
      <groupName>字词问题</groupName>
      <ability>L2_Alias</ability>
      <abilityName>也作/曾用词</abilityName>
      <candidateList>
        <item>其他</item>
      </candidateList>
      <explain>词汇[其它]为不规范表述或旧称，其规范书面表述为[其他]。</explain>
      <paraID>41AD63A7</paraID>
      <start>15</start>
      <end>18</end>
      <status>unmodified</status>
      <modifiedWord/>
      <trackRevisions>false</trackRevisions>
    </reviewItem>
    <reviewItem>
      <errorID>c5e6e1e3-e91d-4d43-bf7e-ae0bf2d4b45a</errorID>
      <errorWord>，</errorWord>
      <group>L1_Word</group>
      <groupName>字词问题</groupName>
      <ability>L2_Typo</ability>
      <abilityName>字词错误</abilityName>
      <candidateList>
        <item>，由</item>
      </candidateList>
      <explain/>
      <paraID>3306DB74</paraID>
      <start>49</start>
      <end>50</end>
      <status>unmodified</status>
      <modifiedWord/>
      <trackRevisions>false</trackRevisions>
    </reviewItem>
    <reviewItem>
      <errorID>0cf2df2f-147f-49ab-98b9-583581f7f80c</errorID>
      <errorWord>:</errorWord>
      <group>L1_Format</group>
      <groupName>格式问题</groupName>
      <ability>L2_HalfPunc_CN</ability>
      <abilityName/>
      <candidateList>
        <item>：</item>
      </candidateList>
      <explain>文本全半角错误。</explain>
      <paraID>73D7AE5A</paraID>
      <start>9</start>
      <end>10</end>
      <status>unmodified</status>
      <modifiedWord/>
      <trackRevisions>false</trackRevisions>
    </reviewItem>
    <reviewItem>
      <errorID>255ed140-a458-47fa-9b08-0dcdcd1dcf8a</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48E7F207</paraID>
      <start>12</start>
      <end>13</end>
      <status>unmodified</status>
      <modifiedWord/>
      <trackRevisions>false</trackRevisions>
    </reviewItem>
    <reviewItem>
      <errorID>a67ea5d1-64c1-48fd-bc22-c487f3174e1b</errorID>
      <errorWord>)</errorWord>
      <group>L1_Format</group>
      <groupName>格式问题</groupName>
      <ability>L2_HalfPunc_CN</ability>
      <abilityName/>
      <candidateList>
        <item>）</item>
      </candidateList>
      <explain>文本全半角错误。</explain>
      <paraID>373D11AB</paraID>
      <start>3</start>
      <end>4</end>
      <status>unmodified</status>
      <modifiedWord/>
      <trackRevisions>false</trackRevisions>
    </reviewItem>
    <reviewItem>
      <errorID>ffc30995-1d12-4059-8e47-5dfa317d78d5</errorID>
      <errorWord>)</errorWord>
      <group>L1_Format</group>
      <groupName>格式问题</groupName>
      <ability>L2_HalfPunc_CN</ability>
      <abilityName/>
      <candidateList>
        <item>）</item>
      </candidateList>
      <explain>文本全半角错误。</explain>
      <paraID>6CC6E738</paraID>
      <start>2</start>
      <end>3</end>
      <status>unmodified</status>
      <modifiedWord/>
      <trackRevisions>false</trackRevisions>
    </reviewItem>
    <reviewItem>
      <errorID>eea2af06-4c84-4595-895e-76360ff457c0</errorID>
      <errorWord>)</errorWord>
      <group>L1_Format</group>
      <groupName>格式问题</groupName>
      <ability>L2_HalfPunc_CN</ability>
      <abilityName/>
      <candidateList>
        <item>）</item>
      </candidateList>
      <explain>文本全半角错误。</explain>
      <paraID> 4834704</paraID>
      <start>2</start>
      <end>3</end>
      <status>unmodified</status>
      <modifiedWord/>
      <trackRevisions>false</trackRevisions>
    </reviewItem>
    <reviewItem>
      <errorID>cbffd26a-4a36-4c56-a397-189593814d02</errorID>
      <errorWord>)</errorWord>
      <group>L1_Format</group>
      <groupName>格式问题</groupName>
      <ability>L2_HalfPunc_CN</ability>
      <abilityName/>
      <candidateList>
        <item>）</item>
      </candidateList>
      <explain>文本全半角错误。</explain>
      <paraID>428E5D65</paraID>
      <start>2</start>
      <end>3</end>
      <status>unmodified</status>
      <modifiedWord/>
      <trackRevisions>false</trackRevisions>
    </reviewItem>
    <reviewItem>
      <errorID>e3b73626-8a5f-4355-8d53-16174c4de612</errorID>
      <errorWord>)</errorWord>
      <group>L1_Format</group>
      <groupName>格式问题</groupName>
      <ability>L2_HalfPunc_CN</ability>
      <abilityName/>
      <candidateList>
        <item>）</item>
      </candidateList>
      <explain>文本全半角错误。</explain>
      <paraID>43E0717C</paraID>
      <start>2</start>
      <end>3</end>
      <status>unmodified</status>
      <modifiedWord/>
      <trackRevisions>false</trackRevisions>
    </reviewItem>
    <reviewItem>
      <errorID>0b65f218-91fb-4430-a434-03eb6b1127e5</errorID>
      <errorWord>)</errorWord>
      <group>L1_Format</group>
      <groupName>格式问题</groupName>
      <ability>L2_HalfPunc_CN</ability>
      <abilityName/>
      <candidateList>
        <item>）</item>
      </candidateList>
      <explain>文本全半角错误。</explain>
      <paraID>7F168071</paraID>
      <start>2</start>
      <end>3</end>
      <status>unmodified</status>
      <modifiedWord/>
      <trackRevisions>false</trackRevisions>
    </reviewItem>
    <reviewItem>
      <errorID>b02df29d-63bf-4324-b299-0c069b13b51c</errorID>
      <errorWord>)</errorWord>
      <group>L1_Format</group>
      <groupName>格式问题</groupName>
      <ability>L2_HalfPunc_CN</ability>
      <abilityName/>
      <candidateList>
        <item>）</item>
      </candidateList>
      <explain>文本全半角错误。</explain>
      <paraID>7BBF6655</paraID>
      <start>2</start>
      <end>3</end>
      <status>unmodified</status>
      <modifiedWord/>
      <trackRevisions>false</trackRevisions>
    </reviewItem>
    <reviewItem>
      <errorID>4b751f5f-d9e6-4f8b-a2e3-80c006219ca3</errorID>
      <errorWord>(</errorWord>
      <group>L1_Format</group>
      <groupName>格式问题</groupName>
      <ability>L2_HalfPunc_CN</ability>
      <abilityName/>
      <candidateList>
        <item>（</item>
      </candidateList>
      <explain>文本全半角错误。</explain>
      <paraID>140CC735</paraID>
      <start>10</start>
      <end>11</end>
      <status>unmodified</status>
      <modifiedWord/>
      <trackRevisions>false</trackRevisions>
    </reviewItem>
    <reviewItem>
      <errorID>c24b599f-8bb7-43b7-9049-5567c24f9741</errorID>
      <errorWord>)</errorWord>
      <group>L1_Format</group>
      <groupName>格式问题</groupName>
      <ability>L2_HalfPunc_CN</ability>
      <abilityName/>
      <candidateList>
        <item>）</item>
      </candidateList>
      <explain>文本全半角错误。</explain>
      <paraID>140CC735</paraID>
      <start>12</start>
      <end>13</end>
      <status>unmodified</status>
      <modifiedWord/>
      <trackRevisions>false</trackRevisions>
    </reviewItem>
    <reviewItem>
      <errorID>0d581cb3-deca-498f-947e-70e4308ce87f</errorID>
      <errorWord>:</errorWord>
      <group>L1_Format</group>
      <groupName>格式问题</groupName>
      <ability>L2_HalfPunc_CN</ability>
      <abilityName/>
      <candidateList>
        <item>：</item>
      </candidateList>
      <explain>文本全半角错误。</explain>
      <paraID>140CC735</paraID>
      <start>22</start>
      <end>23</end>
      <status>unmodified</status>
      <modifiedWord/>
      <trackRevisions>false</trackRevisions>
    </reviewItem>
    <reviewItem>
      <errorID>474d9bda-cc7c-4e71-8c5c-f4627b008a24</errorID>
      <errorWord>(</errorWord>
      <group>L1_Format</group>
      <groupName>格式问题</groupName>
      <ability>L2_HalfPunc_CN</ability>
      <abilityName/>
      <candidateList>
        <item>（</item>
      </candidateList>
      <explain>文本全半角错误。</explain>
      <paraID>140CC735</paraID>
      <start>76</start>
      <end>77</end>
      <status>unmodified</status>
      <modifiedWord/>
      <trackRevisions>false</trackRevisions>
    </reviewItem>
    <reviewItem>
      <errorID>b4c9373d-5e9a-4c64-9a08-2a018374bb51</errorID>
      <errorWord>[2023]16号</errorWord>
      <group>L1_Knowledge</group>
      <groupName>知识性问题</groupName>
      <ability>L2_Knowledge</ability>
      <abilityName>其他知识</abilityName>
      <candidateList>
        <item>〔2023〕16号</item>
      </candidateList>
      <explain>发文字号格式错误。</explain>
      <paraID>140CC735</paraID>
      <start>80</start>
      <end>89</end>
      <status>unmodified</status>
      <modifiedWord/>
      <trackRevisions>false</trackRevisions>
    </reviewItem>
    <reviewItem>
      <errorID>a2da4472-4024-48a6-be38-f171e300e868</errorID>
      <errorWord>)</errorWord>
      <group>L1_Format</group>
      <groupName>格式问题</groupName>
      <ability>L2_HalfPunc_CN</ability>
      <abilityName/>
      <candidateList>
        <item>）</item>
      </candidateList>
      <explain>文本全半角错误。</explain>
      <paraID>140CC735</paraID>
      <start>89</start>
      <end>90</end>
      <status>unmodified</status>
      <modifiedWord/>
      <trackRevisions>false</trackRevisions>
    </reviewItem>
    <reviewItem>
      <errorID>c313b06d-ed77-47fd-9e8d-320250c5dc46</errorID>
      <errorWord>:</errorWord>
      <group>L1_Format</group>
      <groupName>格式问题</groupName>
      <ability>L2_HalfPunc_CN</ability>
      <abilityName/>
      <candidateList>
        <item>：</item>
      </candidateList>
      <explain>文本全半角错误。</explain>
      <paraID>140CC735</paraID>
      <start>92</start>
      <end>93</end>
      <status>unmodified</status>
      <modifiedWord/>
      <trackRevisions>false</trackRevisions>
    </reviewItem>
    <reviewItem>
      <errorID>9e5fe54f-be60-4d5a-a8a3-e47f2c917334</errorID>
      <errorWord>(</errorWord>
      <group>L1_Format</group>
      <groupName>格式问题</groupName>
      <ability>L2_HalfPunc_CN</ability>
      <abilityName/>
      <candidateList>
        <item>（</item>
      </candidateList>
      <explain>文本全半角错误。</explain>
      <paraID>140CC735</paraID>
      <start>116</start>
      <end>117</end>
      <status>unmodified</status>
      <modifiedWord/>
      <trackRevisions>false</trackRevisions>
    </reviewItem>
    <reviewItem>
      <errorID>b6a07621-1e37-4252-83be-006bb897a493</errorID>
      <errorWord>)</errorWord>
      <group>L1_Format</group>
      <groupName>格式问题</groupName>
      <ability>L2_HalfPunc_CN</ability>
      <abilityName/>
      <candidateList>
        <item>）</item>
      </candidateList>
      <explain>文本全半角错误。</explain>
      <paraID>140CC735</paraID>
      <start>128</start>
      <end>129</end>
      <status>unmodified</status>
      <modifiedWord/>
      <trackRevisions>false</trackRevisions>
    </reviewItem>
    <reviewItem>
      <errorID>bb0bdd8c-8f10-4b9c-babb-627bb69f36a4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2B20E499</paraID>
      <start>0</start>
      <end>3</end>
      <status>unmodified</status>
      <modifiedWord/>
      <trackRevisions>false</trackRevisions>
    </reviewItem>
    <reviewItem>
      <errorID>6e53df5d-64f8-4e83-931f-4ef7b3734cf6</errorID>
      <errorWord>(</errorWord>
      <group>L1_Format</group>
      <groupName>格式问题</groupName>
      <ability>L2_HalfPunc_CN</ability>
      <abilityName/>
      <candidateList>
        <item>（</item>
      </candidateList>
      <explain>文本全半角错误。</explain>
      <paraID>40A529F2</paraID>
      <start>4</start>
      <end>5</end>
      <status>unmodified</status>
      <modifiedWord/>
      <trackRevisions>false</trackRevisions>
    </reviewItem>
    <reviewItem>
      <errorID>3de623df-f2ed-481c-a08e-c41dd48a0915</errorID>
      <errorWord>)</errorWord>
      <group>L1_Format</group>
      <groupName>格式问题</groupName>
      <ability>L2_HalfPunc_CN</ability>
      <abilityName/>
      <candidateList>
        <item>）</item>
      </candidateList>
      <explain>文本全半角错误。</explain>
      <paraID>40A529F2</paraID>
      <start>8</start>
      <end>9</end>
      <status>unmodified</status>
      <modifiedWord/>
      <trackRevisions>false</trackRevisions>
    </reviewItem>
    <reviewItem>
      <errorID>65494859-59dc-494b-92a5-17b3a9053ce2</errorID>
      <errorWord>７</errorWord>
      <group>L1_Format</group>
      <groupName>格式问题</groupName>
      <ability>L2_HalfPunc_CN</ability>
      <abilityName/>
      <candidateList>
        <item>7</item>
      </candidateList>
      <explain>文本全半角错误。</explain>
      <paraID>64AD5E0B</paraID>
      <start>25</start>
      <end>26</end>
      <status>unmodified</status>
      <modifiedWord/>
      <trackRevisions>false</trackRevisions>
    </reviewItem>
    <reviewItem>
      <errorID>37cd7258-9d09-4a9b-9a17-0fc9db9b6086</errorID>
      <errorWord>，</errorWord>
      <group>L1_Word</group>
      <groupName>字词问题</groupName>
      <ability>L2_Typo</ability>
      <abilityName>字词错误</abilityName>
      <candidateList>
        <item>，并</item>
      </candidateList>
      <explain/>
      <paraID>746D1610</paraID>
      <start>232</start>
      <end>233</end>
      <status>unmodified</status>
      <modifiedWord/>
      <trackRevisions>false</trackRevisions>
    </reviewItem>
    <reviewItem>
      <errorID>21fa2a89-f0d1-4bd4-81ac-4c641f810ec6</errorID>
      <errorWord>下</errorWord>
      <group>L1_Word</group>
      <groupName>字词问题</groupName>
      <ability>L2_Typo</ability>
      <abilityName>字词错误</abilityName>
      <candidateList>
        <item>下简</item>
      </candidateList>
      <explain/>
      <paraID> 8EF9EFB</paraID>
      <start>28</start>
      <end>29</end>
      <status>unmodified</status>
      <modifiedWord/>
      <trackRevisions>false</trackRevisions>
    </reviewItem>
    <reviewItem>
      <errorID>8528d5d7-f2dc-4b40-a6d5-0f17e244af09</errorID>
      <errorWord>７</errorWord>
      <group>L1_Format</group>
      <groupName>格式问题</groupName>
      <ability>L2_HalfPunc_CN</ability>
      <abilityName/>
      <candidateList>
        <item>7</item>
      </candidateList>
      <explain>文本全半角错误。</explain>
      <paraID>52AFD72F</paraID>
      <start>50</start>
      <end>51</end>
      <status>unmodified</status>
      <modifiedWord/>
      <trackRevisions>false</trackRevisions>
    </reviewItem>
    <reviewItem>
      <errorID>b875c4f5-0cc7-45c3-bcd8-12b3727fa26e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3C3E4470</paraID>
      <start>0</start>
      <end>2</end>
      <status>unmodified</status>
      <modifiedWord/>
      <trackRevisions>false</trackRevisions>
    </reviewItem>
    <reviewItem>
      <errorID>731e3810-6c69-47ac-86f7-8a29b2bf8e0e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31EA3D43</paraID>
      <start>0</start>
      <end>2</end>
      <status>unmodified</status>
      <modifiedWord/>
      <trackRevisions>false</trackRevisions>
    </reviewItem>
    <reviewItem>
      <errorID>512d6417-eae0-4b3e-8a20-d904fb53959b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16DD04A1</paraID>
      <start>0</start>
      <end>2</end>
      <status>unmodified</status>
      <modifiedWord/>
      <trackRevisions>false</trackRevisions>
    </reviewItem>
    <reviewItem>
      <errorID>dfc04e1b-9feb-4bce-91bc-178c65a34f0d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25B244F9</paraID>
      <start>0</start>
      <end>2</end>
      <status>unmodified</status>
      <modifiedWord/>
      <trackRevisions>false</trackRevisions>
    </reviewItem>
    <reviewItem>
      <errorID>99d3fa90-ca0c-450d-9438-6596aef53b45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1CD969F8</paraID>
      <start>0</start>
      <end>2</end>
      <status>unmodified</status>
      <modifiedWord/>
      <trackRevisions>false</trackRevisions>
    </reviewItem>
    <reviewItem>
      <errorID>8808d9d7-b41c-41a2-953d-d44e008e9a45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18E1CC23</paraID>
      <start>0</start>
      <end>2</end>
      <status>unmodified</status>
      <modifiedWord/>
      <trackRevisions>false</trackRevisions>
    </reviewItem>
    <reviewItem>
      <errorID>18117d8c-3182-49f0-919f-37a95cedef24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73A6956C</paraID>
      <start>0</start>
      <end>2</end>
      <status>unmodified</status>
      <modifiedWord/>
      <trackRevisions>false</trackRevisions>
    </reviewItem>
    <reviewItem>
      <errorID>c60d2cbf-09a5-4acb-86b8-a820e47ebfa2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4BCF3001</paraID>
      <start>0</start>
      <end>2</end>
      <status>unmodified</status>
      <modifiedWord/>
      <trackRevisions>false</trackRevisions>
    </reviewItem>
    <reviewItem>
      <errorID>ab117074-8da6-433d-8f57-6c90517ad841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62C107BE</paraID>
      <start>0</start>
      <end>2</end>
      <status>unmodified</status>
      <modifiedWord/>
      <trackRevisions>false</trackRevisions>
    </reviewItem>
    <reviewItem>
      <errorID>a596bf75-58f0-45fc-921f-b84eb9d4b9f4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FD2483E</paraID>
      <start>0</start>
      <end>2</end>
      <status>unmodified</status>
      <modifiedWord/>
      <trackRevisions>false</trackRevisions>
    </reviewItem>
    <reviewItem>
      <errorID>625167a0-d2ee-4149-a9e7-9ad6f48354c4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4E68EA8A</paraID>
      <start>0</start>
      <end>2</end>
      <status>unmodified</status>
      <modifiedWord/>
      <trackRevisions>false</trackRevisions>
    </reviewItem>
    <reviewItem>
      <errorID>788d12c3-a52f-4ef2-814c-d5c256e6c110</errorID>
      <errorWord>的</errorWord>
      <group>L1_Word</group>
      <groupName>字词问题</groupName>
      <ability>L2_Typo</ability>
      <abilityName>字词错误</abilityName>
      <candidateList>
        <item>的农</item>
      </candidateList>
      <explain/>
      <paraID> A095681</paraID>
      <start>43</start>
      <end>44</end>
      <status>unmodified</status>
      <modifiedWord/>
      <trackRevisions>false</trackRevisions>
    </reviewItem>
    <reviewItem>
      <errorID>5bed0fc8-fc6f-47c2-8e40-64ab82dd57e1</errorID>
      <errorWord>1%~3%</errorWord>
      <group>L1_Knowledge</group>
      <groupName>知识性问题</groupName>
      <ability>L2_Knowledge</ability>
      <abilityName>其他知识</abilityName>
      <candidateList>
        <item>1%～3%</item>
      </candidateList>
      <explain>1. “1%~3%”中的单位“%”仅出现在后一个数字上，容易引起歧义；根据《现代汉语标点符号数字用法规范手册》，数字表示范围两边需要使用统一的格式。2. 根据标点国标 4.13 中的规则，数字、时间或地域连接符应使用（视觉上更长的）“—”或“～”。</explain>
      <paraID> A095681</paraID>
      <start>133</start>
      <end>138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5855b-df18-4c1c-b841-7778f3bfd29c}">
  <ds:schemaRefs/>
</ds:datastoreItem>
</file>

<file path=docProps/app.xml><?xml version="1.0" encoding="utf-8"?>
<Properties xmlns="http://schemas.openxmlformats.org/officeDocument/2006/extended-properties" xmlns:vt="http://schemas.openxmlformats.org/officeDocument/2006/docPropsVTypes">
  <Template>Nor</Template>
  <Pages>144</Pages>
  <Words>19186</Words>
  <Characters>20356</Characters>
  <TotalTime>22</TotalTime>
  <ScaleCrop>false</ScaleCrop>
  <LinksUpToDate>false</LinksUpToDate>
  <CharactersWithSpaces>20660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2025-08-11T07:26:00Z</dcterms:created>
  <dc:creator>唐</dc:creator>
  <cp:lastModifiedBy>AUV</cp:lastModifiedBy>
  <dcterms:modified xsi:type="dcterms:W3CDTF">2026-05-26T00:16:02Z</dcterms:modified>
  <dc:title>竞争性谈判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C7812B8BF8D041D0BD3BAFBA7EFEFF72_13</vt:lpwstr>
  </property>
</Properties>
</file>