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151CA5">
      <w:pPr>
        <w:spacing w:line="360" w:lineRule="auto"/>
        <w:jc w:val="center"/>
        <w:rPr>
          <w:rFonts w:hint="eastAsia" w:ascii="宋体" w:hAnsi="宋体" w:cs="方正小标宋简体"/>
          <w:b/>
          <w:color w:val="auto"/>
          <w:sz w:val="52"/>
          <w:szCs w:val="52"/>
          <w:highlight w:val="none"/>
        </w:rPr>
      </w:pPr>
      <w:r>
        <w:rPr>
          <w:rFonts w:hint="eastAsia" w:ascii="宋体" w:hAnsi="宋体"/>
          <w:b/>
          <w:color w:val="auto"/>
          <w:sz w:val="52"/>
          <w:szCs w:val="52"/>
          <w:highlight w:val="none"/>
        </w:rPr>
        <w:t>云之龙咨询集团有限公司</w:t>
      </w:r>
    </w:p>
    <w:p w14:paraId="30C46F2C">
      <w:pPr>
        <w:spacing w:line="360" w:lineRule="auto"/>
        <w:jc w:val="center"/>
        <w:rPr>
          <w:rFonts w:hint="eastAsia" w:ascii="宋体" w:hAnsi="宋体" w:cs="方正小标宋简体"/>
          <w:b/>
          <w:color w:val="auto"/>
          <w:sz w:val="44"/>
          <w:szCs w:val="44"/>
          <w:highlight w:val="none"/>
        </w:rPr>
      </w:pPr>
    </w:p>
    <w:p w14:paraId="6C21B3E8">
      <w:pPr>
        <w:pStyle w:val="26"/>
        <w:rPr>
          <w:rFonts w:hint="eastAsia"/>
          <w:color w:val="auto"/>
          <w:highlight w:val="none"/>
        </w:rPr>
      </w:pPr>
    </w:p>
    <w:p w14:paraId="63199D4D">
      <w:pPr>
        <w:pStyle w:val="26"/>
        <w:rPr>
          <w:rFonts w:hint="eastAsia"/>
          <w:color w:val="auto"/>
          <w:highlight w:val="none"/>
        </w:rPr>
      </w:pPr>
    </w:p>
    <w:p w14:paraId="7EB36B42">
      <w:pPr>
        <w:pStyle w:val="26"/>
        <w:rPr>
          <w:rFonts w:hint="eastAsia"/>
          <w:color w:val="auto"/>
          <w:highlight w:val="none"/>
        </w:rPr>
      </w:pPr>
    </w:p>
    <w:p w14:paraId="394F7520">
      <w:pPr>
        <w:spacing w:before="156" w:line="360" w:lineRule="auto"/>
        <w:jc w:val="center"/>
        <w:rPr>
          <w:rFonts w:hint="eastAsia" w:ascii="宋体" w:hAnsi="宋体"/>
          <w:color w:val="auto"/>
          <w:sz w:val="120"/>
          <w:szCs w:val="120"/>
          <w:highlight w:val="none"/>
        </w:rPr>
      </w:pPr>
      <w:r>
        <w:rPr>
          <w:rFonts w:hint="eastAsia" w:ascii="宋体" w:hAnsi="宋体"/>
          <w:color w:val="auto"/>
          <w:sz w:val="120"/>
          <w:szCs w:val="120"/>
          <w:highlight w:val="none"/>
        </w:rPr>
        <w:t>竞争性磋商文件</w:t>
      </w:r>
    </w:p>
    <w:p w14:paraId="4BE6C42F">
      <w:pPr>
        <w:spacing w:before="156" w:line="360" w:lineRule="auto"/>
        <w:jc w:val="center"/>
        <w:rPr>
          <w:rFonts w:hint="eastAsia" w:ascii="宋体" w:hAnsi="宋体"/>
          <w:b/>
          <w:color w:val="auto"/>
          <w:sz w:val="48"/>
          <w:szCs w:val="48"/>
          <w:highlight w:val="none"/>
        </w:rPr>
      </w:pPr>
      <w:r>
        <w:rPr>
          <w:rFonts w:hint="eastAsia" w:ascii="宋体" w:hAnsi="宋体"/>
          <w:b/>
          <w:color w:val="auto"/>
          <w:sz w:val="48"/>
          <w:szCs w:val="48"/>
          <w:highlight w:val="none"/>
        </w:rPr>
        <w:t>（全流程电子化采购）</w:t>
      </w:r>
    </w:p>
    <w:p w14:paraId="4349ADD9">
      <w:pPr>
        <w:spacing w:before="156" w:line="360" w:lineRule="auto"/>
        <w:jc w:val="center"/>
        <w:rPr>
          <w:rFonts w:ascii="宋体" w:hAnsi="宋体"/>
          <w:b/>
          <w:color w:val="auto"/>
          <w:sz w:val="30"/>
          <w:szCs w:val="72"/>
          <w:highlight w:val="none"/>
        </w:rPr>
      </w:pPr>
    </w:p>
    <w:p w14:paraId="0A65687A">
      <w:pPr>
        <w:spacing w:line="360" w:lineRule="auto"/>
        <w:rPr>
          <w:rFonts w:hint="eastAsia" w:ascii="宋体" w:hAnsi="宋体"/>
          <w:color w:val="auto"/>
          <w:sz w:val="30"/>
          <w:szCs w:val="72"/>
          <w:highlight w:val="none"/>
        </w:rPr>
      </w:pPr>
    </w:p>
    <w:p w14:paraId="27F9B1F2">
      <w:pPr>
        <w:pStyle w:val="42"/>
        <w:spacing w:line="360" w:lineRule="auto"/>
        <w:ind w:left="2102" w:leftChars="284" w:hanging="1506" w:hangingChars="500"/>
        <w:rPr>
          <w:rFonts w:hint="eastAsia" w:hAnsi="宋体"/>
          <w:b/>
          <w:bCs/>
          <w:color w:val="auto"/>
          <w:sz w:val="30"/>
          <w:szCs w:val="30"/>
          <w:highlight w:val="none"/>
          <w:lang w:eastAsia="zh-CN"/>
        </w:rPr>
      </w:pPr>
      <w:r>
        <w:rPr>
          <w:rFonts w:hint="eastAsia" w:hAnsi="宋体"/>
          <w:b/>
          <w:bCs/>
          <w:color w:val="auto"/>
          <w:sz w:val="30"/>
          <w:szCs w:val="30"/>
          <w:highlight w:val="none"/>
        </w:rPr>
        <w:t>项目</w:t>
      </w:r>
      <w:r>
        <w:rPr>
          <w:rFonts w:hint="eastAsia" w:hAnsi="宋体" w:cs="Courier New"/>
          <w:b/>
          <w:bCs/>
          <w:color w:val="auto"/>
          <w:w w:val="95"/>
          <w:sz w:val="30"/>
          <w:szCs w:val="30"/>
          <w:highlight w:val="none"/>
        </w:rPr>
        <w:t>名称</w:t>
      </w:r>
      <w:r>
        <w:rPr>
          <w:rFonts w:hint="eastAsia" w:hAnsi="宋体"/>
          <w:b/>
          <w:bCs/>
          <w:color w:val="auto"/>
          <w:sz w:val="30"/>
          <w:szCs w:val="30"/>
          <w:highlight w:val="none"/>
        </w:rPr>
        <w:t>：</w:t>
      </w:r>
      <w:bookmarkStart w:id="0" w:name="OLE_LINK1"/>
      <w:bookmarkStart w:id="1" w:name="OLE_LINK2"/>
      <w:r>
        <w:rPr>
          <w:rFonts w:hint="eastAsia" w:hAnsi="宋体"/>
          <w:b/>
          <w:bCs/>
          <w:color w:val="auto"/>
          <w:sz w:val="30"/>
          <w:szCs w:val="30"/>
          <w:highlight w:val="none"/>
          <w:lang w:eastAsia="zh-CN"/>
        </w:rPr>
        <w:t>防城港市财政局食堂食材配送服务项目</w:t>
      </w:r>
    </w:p>
    <w:bookmarkEnd w:id="0"/>
    <w:bookmarkEnd w:id="1"/>
    <w:p w14:paraId="6C1DEF86">
      <w:pPr>
        <w:pStyle w:val="42"/>
        <w:spacing w:line="360" w:lineRule="auto"/>
        <w:ind w:firstLine="1193" w:firstLineChars="396"/>
        <w:jc w:val="center"/>
        <w:rPr>
          <w:rFonts w:hint="eastAsia" w:hAnsi="宋体"/>
          <w:b/>
          <w:bCs/>
          <w:color w:val="auto"/>
          <w:sz w:val="30"/>
          <w:szCs w:val="30"/>
          <w:highlight w:val="none"/>
        </w:rPr>
      </w:pPr>
    </w:p>
    <w:p w14:paraId="40C985A9">
      <w:pPr>
        <w:spacing w:line="360" w:lineRule="auto"/>
        <w:ind w:firstLine="599" w:firstLineChars="199"/>
        <w:rPr>
          <w:rFonts w:hint="eastAsia" w:ascii="宋体" w:hAnsi="宋体" w:eastAsia="宋体"/>
          <w:b/>
          <w:bCs/>
          <w:color w:val="auto"/>
          <w:kern w:val="0"/>
          <w:sz w:val="30"/>
          <w:szCs w:val="30"/>
          <w:highlight w:val="none"/>
          <w:lang w:eastAsia="zh-CN"/>
        </w:rPr>
      </w:pPr>
      <w:r>
        <w:rPr>
          <w:rFonts w:hint="eastAsia" w:ascii="宋体" w:hAnsi="宋体"/>
          <w:b/>
          <w:bCs/>
          <w:color w:val="auto"/>
          <w:kern w:val="0"/>
          <w:sz w:val="30"/>
          <w:szCs w:val="30"/>
          <w:highlight w:val="none"/>
        </w:rPr>
        <w:t>项目编号：FCZC2026-C3-990064-YZLZ</w:t>
      </w:r>
    </w:p>
    <w:p w14:paraId="4DC60A36">
      <w:pPr>
        <w:spacing w:line="360" w:lineRule="auto"/>
        <w:ind w:firstLine="1205" w:firstLineChars="400"/>
        <w:jc w:val="center"/>
        <w:rPr>
          <w:rFonts w:hint="eastAsia" w:ascii="宋体" w:hAnsi="宋体"/>
          <w:b/>
          <w:bCs/>
          <w:color w:val="auto"/>
          <w:kern w:val="0"/>
          <w:sz w:val="30"/>
          <w:szCs w:val="30"/>
          <w:highlight w:val="none"/>
        </w:rPr>
      </w:pPr>
    </w:p>
    <w:p w14:paraId="08D3B909">
      <w:pPr>
        <w:pStyle w:val="42"/>
        <w:spacing w:line="360" w:lineRule="auto"/>
        <w:ind w:firstLine="599" w:firstLineChars="199"/>
        <w:rPr>
          <w:rFonts w:hint="eastAsia" w:hAnsi="宋体"/>
          <w:b/>
          <w:bCs/>
          <w:color w:val="auto"/>
          <w:sz w:val="30"/>
          <w:szCs w:val="30"/>
          <w:highlight w:val="none"/>
          <w:lang w:val="en-US" w:eastAsia="zh-CN"/>
        </w:rPr>
      </w:pPr>
      <w:r>
        <w:rPr>
          <w:rFonts w:hint="eastAsia" w:hAnsi="宋体"/>
          <w:b/>
          <w:bCs/>
          <w:color w:val="auto"/>
          <w:sz w:val="30"/>
          <w:szCs w:val="30"/>
          <w:highlight w:val="none"/>
          <w:lang w:val="en-US" w:eastAsia="zh-CN"/>
        </w:rPr>
        <w:t xml:space="preserve">采 购 人： 防城港市财政局  </w:t>
      </w:r>
    </w:p>
    <w:p w14:paraId="46140E80">
      <w:pPr>
        <w:pStyle w:val="42"/>
        <w:spacing w:line="360" w:lineRule="auto"/>
        <w:ind w:firstLine="904" w:firstLineChars="300"/>
        <w:jc w:val="center"/>
        <w:rPr>
          <w:rFonts w:hint="eastAsia" w:hAnsi="宋体"/>
          <w:b/>
          <w:bCs/>
          <w:color w:val="auto"/>
          <w:sz w:val="30"/>
          <w:szCs w:val="30"/>
          <w:highlight w:val="none"/>
          <w:lang w:val="en-US" w:eastAsia="zh-CN"/>
        </w:rPr>
      </w:pPr>
    </w:p>
    <w:p w14:paraId="0118310F">
      <w:pPr>
        <w:pStyle w:val="42"/>
        <w:spacing w:line="360" w:lineRule="auto"/>
        <w:ind w:firstLine="599" w:firstLineChars="199"/>
        <w:rPr>
          <w:rFonts w:hint="eastAsia" w:hAnsi="宋体"/>
          <w:b/>
          <w:bCs/>
          <w:color w:val="auto"/>
          <w:sz w:val="30"/>
          <w:szCs w:val="30"/>
          <w:highlight w:val="none"/>
          <w:lang w:val="en-US" w:eastAsia="zh-CN"/>
        </w:rPr>
      </w:pPr>
      <w:r>
        <w:rPr>
          <w:rFonts w:hint="eastAsia" w:hAnsi="宋体"/>
          <w:b/>
          <w:bCs/>
          <w:color w:val="auto"/>
          <w:sz w:val="30"/>
          <w:szCs w:val="30"/>
          <w:highlight w:val="none"/>
          <w:lang w:val="en-US" w:eastAsia="zh-CN"/>
        </w:rPr>
        <w:t>采购代理机构：云之龙咨询集团有限公司</w:t>
      </w:r>
    </w:p>
    <w:p w14:paraId="5392B67B">
      <w:pPr>
        <w:pStyle w:val="42"/>
        <w:spacing w:line="360" w:lineRule="auto"/>
        <w:ind w:firstLine="1125" w:firstLineChars="393"/>
        <w:rPr>
          <w:rFonts w:hint="eastAsia" w:hAnsi="宋体"/>
          <w:b/>
          <w:bCs/>
          <w:color w:val="auto"/>
          <w:w w:val="95"/>
          <w:sz w:val="30"/>
          <w:szCs w:val="30"/>
          <w:highlight w:val="none"/>
        </w:rPr>
      </w:pPr>
    </w:p>
    <w:p w14:paraId="5998C5F7">
      <w:pPr>
        <w:pStyle w:val="42"/>
        <w:spacing w:line="360" w:lineRule="auto"/>
        <w:jc w:val="center"/>
        <w:rPr>
          <w:rFonts w:hint="eastAsia" w:hAnsi="宋体"/>
          <w:color w:val="auto"/>
          <w:szCs w:val="20"/>
          <w:highlight w:val="none"/>
        </w:rPr>
      </w:pPr>
      <w:r>
        <w:rPr>
          <w:rFonts w:hint="eastAsia" w:hAnsi="宋体"/>
          <w:b/>
          <w:bCs/>
          <w:color w:val="auto"/>
          <w:w w:val="95"/>
          <w:sz w:val="30"/>
          <w:szCs w:val="30"/>
          <w:highlight w:val="none"/>
        </w:rPr>
        <w:t>202</w:t>
      </w:r>
      <w:r>
        <w:rPr>
          <w:rFonts w:hint="eastAsia" w:hAnsi="宋体"/>
          <w:b/>
          <w:bCs/>
          <w:color w:val="auto"/>
          <w:w w:val="95"/>
          <w:sz w:val="30"/>
          <w:szCs w:val="30"/>
          <w:highlight w:val="none"/>
          <w:lang w:val="en-US" w:eastAsia="zh-CN"/>
        </w:rPr>
        <w:t>6</w:t>
      </w:r>
      <w:r>
        <w:rPr>
          <w:rFonts w:hint="eastAsia" w:hAnsi="宋体"/>
          <w:b/>
          <w:bCs/>
          <w:color w:val="auto"/>
          <w:w w:val="95"/>
          <w:sz w:val="30"/>
          <w:szCs w:val="30"/>
          <w:highlight w:val="none"/>
        </w:rPr>
        <w:t>年</w:t>
      </w:r>
      <w:r>
        <w:rPr>
          <w:rFonts w:hint="eastAsia" w:hAnsi="宋体"/>
          <w:b/>
          <w:bCs/>
          <w:color w:val="auto"/>
          <w:w w:val="95"/>
          <w:sz w:val="30"/>
          <w:szCs w:val="30"/>
          <w:highlight w:val="none"/>
          <w:lang w:val="en-US" w:eastAsia="zh-CN"/>
        </w:rPr>
        <w:t>5</w:t>
      </w:r>
      <w:r>
        <w:rPr>
          <w:rFonts w:hint="eastAsia" w:hAnsi="宋体"/>
          <w:b/>
          <w:bCs/>
          <w:color w:val="auto"/>
          <w:w w:val="95"/>
          <w:sz w:val="30"/>
          <w:szCs w:val="30"/>
          <w:highlight w:val="none"/>
        </w:rPr>
        <w:t>月</w:t>
      </w:r>
    </w:p>
    <w:p w14:paraId="1038F41A">
      <w:pPr>
        <w:spacing w:line="360" w:lineRule="auto"/>
        <w:jc w:val="center"/>
        <w:rPr>
          <w:rFonts w:hint="eastAsia" w:ascii="宋体" w:hAnsi="宋体" w:cs="宋体"/>
          <w:b/>
          <w:bCs/>
          <w:color w:val="auto"/>
          <w:kern w:val="0"/>
          <w:sz w:val="32"/>
          <w:szCs w:val="32"/>
          <w:highlight w:val="none"/>
        </w:rPr>
      </w:pPr>
    </w:p>
    <w:p w14:paraId="5FB95619">
      <w:pPr>
        <w:spacing w:line="360" w:lineRule="auto"/>
        <w:jc w:val="center"/>
        <w:rPr>
          <w:rFonts w:hint="eastAsia" w:ascii="宋体" w:hAnsi="宋体"/>
          <w:b/>
          <w:color w:val="auto"/>
          <w:sz w:val="44"/>
          <w:szCs w:val="44"/>
          <w:highlight w:val="none"/>
        </w:rPr>
      </w:pPr>
      <w:r>
        <w:rPr>
          <w:rFonts w:ascii="黑体" w:hAnsi="黑体" w:eastAsia="黑体" w:cs="宋体"/>
          <w:b/>
          <w:bCs/>
          <w:color w:val="auto"/>
          <w:kern w:val="0"/>
          <w:sz w:val="32"/>
          <w:szCs w:val="32"/>
          <w:highlight w:val="none"/>
        </w:rPr>
        <w:br w:type="page"/>
      </w:r>
      <w:r>
        <w:rPr>
          <w:rFonts w:hint="eastAsia" w:ascii="宋体" w:hAnsi="宋体"/>
          <w:b/>
          <w:color w:val="auto"/>
          <w:sz w:val="44"/>
          <w:szCs w:val="44"/>
          <w:highlight w:val="none"/>
        </w:rPr>
        <w:t>目  录</w:t>
      </w:r>
    </w:p>
    <w:p w14:paraId="39677E63">
      <w:pPr>
        <w:spacing w:line="400" w:lineRule="exact"/>
        <w:jc w:val="center"/>
        <w:rPr>
          <w:rFonts w:hint="eastAsia" w:ascii="宋体" w:hAnsi="宋体"/>
          <w:b/>
          <w:color w:val="auto"/>
          <w:sz w:val="44"/>
          <w:szCs w:val="44"/>
          <w:highlight w:val="none"/>
        </w:rPr>
      </w:pPr>
    </w:p>
    <w:p w14:paraId="3FC78042">
      <w:pPr>
        <w:pStyle w:val="51"/>
        <w:tabs>
          <w:tab w:val="right" w:leader="dot" w:pos="8869"/>
        </w:tabs>
        <w:spacing w:line="500" w:lineRule="atLeast"/>
        <w:rPr>
          <w:rFonts w:ascii="宋体" w:hAnsi="宋体"/>
          <w:b/>
          <w:color w:val="auto"/>
          <w:sz w:val="24"/>
          <w:highlight w:val="none"/>
        </w:rPr>
      </w:pPr>
      <w:r>
        <w:rPr>
          <w:rFonts w:ascii="宋体" w:hAnsi="宋体"/>
          <w:b/>
          <w:color w:val="auto"/>
          <w:sz w:val="24"/>
          <w:highlight w:val="none"/>
        </w:rPr>
        <w:fldChar w:fldCharType="begin"/>
      </w:r>
      <w:r>
        <w:rPr>
          <w:rFonts w:ascii="宋体" w:hAnsi="宋体"/>
          <w:b/>
          <w:color w:val="auto"/>
          <w:sz w:val="24"/>
          <w:highlight w:val="none"/>
        </w:rPr>
        <w:instrText xml:space="preserve"> </w:instrText>
      </w:r>
      <w:r>
        <w:rPr>
          <w:rFonts w:hint="eastAsia" w:ascii="宋体" w:hAnsi="宋体"/>
          <w:b/>
          <w:color w:val="auto"/>
          <w:sz w:val="24"/>
          <w:highlight w:val="none"/>
        </w:rPr>
        <w:instrText xml:space="preserve">TOC \o "1-3" \h \z \u</w:instrText>
      </w:r>
      <w:r>
        <w:rPr>
          <w:rFonts w:ascii="宋体" w:hAnsi="宋体"/>
          <w:b/>
          <w:color w:val="auto"/>
          <w:sz w:val="24"/>
          <w:highlight w:val="none"/>
        </w:rPr>
        <w:instrText xml:space="preserve"> </w:instrText>
      </w:r>
      <w:r>
        <w:rPr>
          <w:rFonts w:ascii="宋体" w:hAnsi="宋体"/>
          <w:b/>
          <w:color w:val="auto"/>
          <w:sz w:val="24"/>
          <w:highlight w:val="none"/>
        </w:rPr>
        <w:fldChar w:fldCharType="separate"/>
      </w:r>
      <w:r>
        <w:rPr>
          <w:rFonts w:ascii="宋体" w:hAnsi="宋体"/>
          <w:b/>
          <w:color w:val="auto"/>
          <w:sz w:val="24"/>
          <w:highlight w:val="none"/>
        </w:rPr>
        <w:fldChar w:fldCharType="begin"/>
      </w:r>
      <w:r>
        <w:rPr>
          <w:rFonts w:ascii="宋体" w:hAnsi="宋体"/>
          <w:b/>
          <w:color w:val="auto"/>
          <w:sz w:val="24"/>
          <w:highlight w:val="none"/>
        </w:rPr>
        <w:instrText xml:space="preserve"> HYPERLINK \l "_Toc74323456" </w:instrText>
      </w:r>
      <w:r>
        <w:rPr>
          <w:rFonts w:ascii="宋体" w:hAnsi="宋体"/>
          <w:b/>
          <w:color w:val="auto"/>
          <w:sz w:val="24"/>
          <w:highlight w:val="none"/>
        </w:rPr>
        <w:fldChar w:fldCharType="separate"/>
      </w:r>
      <w:r>
        <w:rPr>
          <w:rFonts w:hint="eastAsia" w:ascii="宋体" w:hAnsi="宋体"/>
          <w:b/>
          <w:color w:val="auto"/>
          <w:sz w:val="24"/>
          <w:highlight w:val="none"/>
        </w:rPr>
        <w:t>第一章</w:t>
      </w:r>
      <w:r>
        <w:rPr>
          <w:rFonts w:ascii="宋体" w:hAnsi="宋体"/>
          <w:b/>
          <w:color w:val="auto"/>
          <w:sz w:val="24"/>
          <w:highlight w:val="none"/>
        </w:rPr>
        <w:t xml:space="preserve"> </w:t>
      </w:r>
      <w:r>
        <w:rPr>
          <w:rFonts w:hint="eastAsia" w:ascii="宋体" w:hAnsi="宋体"/>
          <w:b/>
          <w:color w:val="auto"/>
          <w:sz w:val="24"/>
          <w:highlight w:val="none"/>
        </w:rPr>
        <w:t>竞争性磋商公告</w:t>
      </w:r>
      <w:r>
        <w:rPr>
          <w:rFonts w:ascii="宋体" w:hAnsi="宋体"/>
          <w:b/>
          <w:color w:val="auto"/>
          <w:sz w:val="24"/>
          <w:highlight w:val="none"/>
        </w:rPr>
        <w:tab/>
      </w:r>
      <w:r>
        <w:rPr>
          <w:rFonts w:ascii="宋体" w:hAnsi="宋体"/>
          <w:b/>
          <w:color w:val="auto"/>
          <w:sz w:val="24"/>
          <w:highlight w:val="none"/>
        </w:rPr>
        <w:fldChar w:fldCharType="begin"/>
      </w:r>
      <w:r>
        <w:rPr>
          <w:rFonts w:ascii="宋体" w:hAnsi="宋体"/>
          <w:b/>
          <w:color w:val="auto"/>
          <w:sz w:val="24"/>
          <w:highlight w:val="none"/>
        </w:rPr>
        <w:instrText xml:space="preserve"> PAGEREF _Toc74323456 \h </w:instrText>
      </w:r>
      <w:r>
        <w:rPr>
          <w:rFonts w:ascii="宋体" w:hAnsi="宋体"/>
          <w:b/>
          <w:color w:val="auto"/>
          <w:sz w:val="24"/>
          <w:highlight w:val="none"/>
        </w:rPr>
        <w:fldChar w:fldCharType="separate"/>
      </w:r>
      <w:r>
        <w:rPr>
          <w:rFonts w:ascii="宋体" w:hAnsi="宋体"/>
          <w:b/>
          <w:color w:val="auto"/>
          <w:sz w:val="24"/>
          <w:highlight w:val="none"/>
        </w:rPr>
        <w:t>3</w:t>
      </w:r>
      <w:r>
        <w:rPr>
          <w:rFonts w:ascii="宋体" w:hAnsi="宋体"/>
          <w:b/>
          <w:color w:val="auto"/>
          <w:sz w:val="24"/>
          <w:highlight w:val="none"/>
        </w:rPr>
        <w:fldChar w:fldCharType="end"/>
      </w:r>
      <w:r>
        <w:rPr>
          <w:rFonts w:ascii="宋体" w:hAnsi="宋体"/>
          <w:b/>
          <w:color w:val="auto"/>
          <w:sz w:val="24"/>
          <w:highlight w:val="none"/>
        </w:rPr>
        <w:fldChar w:fldCharType="end"/>
      </w:r>
    </w:p>
    <w:p w14:paraId="586A3D86">
      <w:pPr>
        <w:pStyle w:val="51"/>
        <w:tabs>
          <w:tab w:val="right" w:leader="dot" w:pos="8869"/>
        </w:tabs>
        <w:spacing w:line="500" w:lineRule="atLeast"/>
        <w:rPr>
          <w:rFonts w:ascii="宋体" w:hAnsi="宋体"/>
          <w:b/>
          <w:color w:val="auto"/>
          <w:sz w:val="24"/>
          <w:highlight w:val="none"/>
        </w:rPr>
      </w:pPr>
      <w:r>
        <w:rPr>
          <w:rFonts w:ascii="宋体" w:hAnsi="宋体"/>
          <w:b/>
          <w:color w:val="auto"/>
          <w:sz w:val="24"/>
          <w:highlight w:val="none"/>
        </w:rPr>
        <w:fldChar w:fldCharType="begin"/>
      </w:r>
      <w:r>
        <w:rPr>
          <w:rFonts w:ascii="宋体" w:hAnsi="宋体"/>
          <w:b/>
          <w:color w:val="auto"/>
          <w:sz w:val="24"/>
          <w:highlight w:val="none"/>
        </w:rPr>
        <w:instrText xml:space="preserve"> HYPERLINK \l "_Toc74323457" </w:instrText>
      </w:r>
      <w:r>
        <w:rPr>
          <w:rFonts w:ascii="宋体" w:hAnsi="宋体"/>
          <w:b/>
          <w:color w:val="auto"/>
          <w:sz w:val="24"/>
          <w:highlight w:val="none"/>
        </w:rPr>
        <w:fldChar w:fldCharType="separate"/>
      </w:r>
      <w:r>
        <w:rPr>
          <w:rFonts w:hint="eastAsia" w:ascii="宋体" w:hAnsi="宋体"/>
          <w:b/>
          <w:color w:val="auto"/>
          <w:sz w:val="24"/>
          <w:highlight w:val="none"/>
        </w:rPr>
        <w:t>第二章</w:t>
      </w:r>
      <w:r>
        <w:rPr>
          <w:rFonts w:ascii="宋体" w:hAnsi="宋体"/>
          <w:b/>
          <w:color w:val="auto"/>
          <w:sz w:val="24"/>
          <w:highlight w:val="none"/>
        </w:rPr>
        <w:t xml:space="preserve"> </w:t>
      </w:r>
      <w:r>
        <w:rPr>
          <w:rFonts w:hint="eastAsia" w:ascii="宋体" w:hAnsi="宋体"/>
          <w:b/>
          <w:color w:val="auto"/>
          <w:sz w:val="24"/>
          <w:highlight w:val="none"/>
        </w:rPr>
        <w:t>供应</w:t>
      </w:r>
      <w:bookmarkStart w:id="2" w:name="_Hlt82161237"/>
      <w:r>
        <w:rPr>
          <w:rFonts w:hint="eastAsia" w:ascii="宋体" w:hAnsi="宋体"/>
          <w:b/>
          <w:color w:val="auto"/>
          <w:sz w:val="24"/>
          <w:highlight w:val="none"/>
        </w:rPr>
        <w:t>商</w:t>
      </w:r>
      <w:bookmarkEnd w:id="2"/>
      <w:r>
        <w:rPr>
          <w:rFonts w:hint="eastAsia" w:ascii="宋体" w:hAnsi="宋体"/>
          <w:b/>
          <w:color w:val="auto"/>
          <w:sz w:val="24"/>
          <w:highlight w:val="none"/>
        </w:rPr>
        <w:t>须知</w:t>
      </w:r>
      <w:r>
        <w:rPr>
          <w:rFonts w:ascii="宋体" w:hAnsi="宋体"/>
          <w:b/>
          <w:color w:val="auto"/>
          <w:sz w:val="24"/>
          <w:highlight w:val="none"/>
        </w:rPr>
        <w:tab/>
      </w:r>
      <w:r>
        <w:rPr>
          <w:rFonts w:hint="eastAsia" w:ascii="宋体" w:hAnsi="宋体"/>
          <w:b/>
          <w:color w:val="auto"/>
          <w:sz w:val="24"/>
          <w:highlight w:val="none"/>
          <w:lang w:val="en-US" w:eastAsia="zh-CN"/>
        </w:rPr>
        <w:t>6</w:t>
      </w:r>
      <w:r>
        <w:rPr>
          <w:rFonts w:ascii="宋体" w:hAnsi="宋体"/>
          <w:b/>
          <w:color w:val="auto"/>
          <w:sz w:val="24"/>
          <w:highlight w:val="none"/>
        </w:rPr>
        <w:fldChar w:fldCharType="end"/>
      </w:r>
    </w:p>
    <w:p w14:paraId="4488B925">
      <w:pPr>
        <w:pStyle w:val="51"/>
        <w:tabs>
          <w:tab w:val="right" w:leader="dot" w:pos="8869"/>
        </w:tabs>
        <w:spacing w:line="500" w:lineRule="atLeast"/>
        <w:rPr>
          <w:rFonts w:ascii="宋体" w:hAnsi="宋体"/>
          <w:b/>
          <w:color w:val="auto"/>
          <w:sz w:val="24"/>
          <w:highlight w:val="none"/>
        </w:rPr>
      </w:pPr>
      <w:r>
        <w:rPr>
          <w:rFonts w:ascii="宋体" w:hAnsi="宋体"/>
          <w:b/>
          <w:color w:val="auto"/>
          <w:sz w:val="24"/>
          <w:highlight w:val="none"/>
        </w:rPr>
        <w:fldChar w:fldCharType="begin"/>
      </w:r>
      <w:r>
        <w:rPr>
          <w:rFonts w:ascii="宋体" w:hAnsi="宋体"/>
          <w:b/>
          <w:color w:val="auto"/>
          <w:sz w:val="24"/>
          <w:highlight w:val="none"/>
        </w:rPr>
        <w:instrText xml:space="preserve"> HYPERLINK \l "_Toc74323458" </w:instrText>
      </w:r>
      <w:r>
        <w:rPr>
          <w:rFonts w:ascii="宋体" w:hAnsi="宋体"/>
          <w:b/>
          <w:color w:val="auto"/>
          <w:sz w:val="24"/>
          <w:highlight w:val="none"/>
        </w:rPr>
        <w:fldChar w:fldCharType="separate"/>
      </w:r>
      <w:r>
        <w:rPr>
          <w:rFonts w:hint="eastAsia" w:ascii="宋体" w:hAnsi="宋体"/>
          <w:b/>
          <w:color w:val="auto"/>
          <w:sz w:val="24"/>
          <w:highlight w:val="none"/>
        </w:rPr>
        <w:t>第三章</w:t>
      </w:r>
      <w:r>
        <w:rPr>
          <w:rFonts w:ascii="宋体" w:hAnsi="宋体"/>
          <w:b/>
          <w:color w:val="auto"/>
          <w:sz w:val="24"/>
          <w:highlight w:val="none"/>
        </w:rPr>
        <w:t xml:space="preserve"> </w:t>
      </w:r>
      <w:r>
        <w:rPr>
          <w:rFonts w:hint="eastAsia" w:ascii="宋体" w:hAnsi="宋体"/>
          <w:b/>
          <w:color w:val="auto"/>
          <w:sz w:val="24"/>
          <w:highlight w:val="none"/>
        </w:rPr>
        <w:t>采购需</w:t>
      </w:r>
      <w:bookmarkStart w:id="3" w:name="_Hlt82166940"/>
      <w:r>
        <w:rPr>
          <w:rFonts w:hint="eastAsia" w:ascii="宋体" w:hAnsi="宋体"/>
          <w:b/>
          <w:color w:val="auto"/>
          <w:sz w:val="24"/>
          <w:highlight w:val="none"/>
        </w:rPr>
        <w:t>求</w:t>
      </w:r>
      <w:bookmarkEnd w:id="3"/>
      <w:r>
        <w:rPr>
          <w:rFonts w:ascii="宋体" w:hAnsi="宋体"/>
          <w:b/>
          <w:color w:val="auto"/>
          <w:sz w:val="24"/>
          <w:highlight w:val="none"/>
        </w:rPr>
        <w:tab/>
      </w:r>
      <w:r>
        <w:rPr>
          <w:rFonts w:ascii="宋体" w:hAnsi="宋体"/>
          <w:b/>
          <w:color w:val="auto"/>
          <w:sz w:val="24"/>
          <w:highlight w:val="none"/>
        </w:rPr>
        <w:fldChar w:fldCharType="begin"/>
      </w:r>
      <w:r>
        <w:rPr>
          <w:rFonts w:ascii="宋体" w:hAnsi="宋体"/>
          <w:b/>
          <w:color w:val="auto"/>
          <w:sz w:val="24"/>
          <w:highlight w:val="none"/>
        </w:rPr>
        <w:instrText xml:space="preserve"> PAGEREF _Toc74323458 \h </w:instrText>
      </w:r>
      <w:r>
        <w:rPr>
          <w:rFonts w:ascii="宋体" w:hAnsi="宋体"/>
          <w:b/>
          <w:color w:val="auto"/>
          <w:sz w:val="24"/>
          <w:highlight w:val="none"/>
        </w:rPr>
        <w:fldChar w:fldCharType="separate"/>
      </w:r>
      <w:r>
        <w:rPr>
          <w:rFonts w:ascii="宋体" w:hAnsi="宋体"/>
          <w:b/>
          <w:color w:val="auto"/>
          <w:sz w:val="24"/>
          <w:highlight w:val="none"/>
        </w:rPr>
        <w:t>21</w:t>
      </w:r>
      <w:r>
        <w:rPr>
          <w:rFonts w:ascii="宋体" w:hAnsi="宋体"/>
          <w:b/>
          <w:color w:val="auto"/>
          <w:sz w:val="24"/>
          <w:highlight w:val="none"/>
        </w:rPr>
        <w:fldChar w:fldCharType="end"/>
      </w:r>
      <w:r>
        <w:rPr>
          <w:rFonts w:ascii="宋体" w:hAnsi="宋体"/>
          <w:b/>
          <w:color w:val="auto"/>
          <w:sz w:val="24"/>
          <w:highlight w:val="none"/>
        </w:rPr>
        <w:fldChar w:fldCharType="end"/>
      </w:r>
    </w:p>
    <w:p w14:paraId="701DB87A">
      <w:pPr>
        <w:pStyle w:val="51"/>
        <w:tabs>
          <w:tab w:val="right" w:leader="dot" w:pos="8869"/>
        </w:tabs>
        <w:spacing w:line="500" w:lineRule="atLeast"/>
        <w:rPr>
          <w:rFonts w:hint="eastAsia" w:ascii="宋体" w:hAnsi="宋体" w:eastAsia="宋体"/>
          <w:b/>
          <w:color w:val="auto"/>
          <w:sz w:val="24"/>
          <w:highlight w:val="none"/>
          <w:lang w:eastAsia="zh-CN"/>
        </w:rPr>
      </w:pPr>
      <w:r>
        <w:rPr>
          <w:rFonts w:ascii="宋体" w:hAnsi="宋体"/>
          <w:b/>
          <w:color w:val="auto"/>
          <w:sz w:val="24"/>
          <w:highlight w:val="none"/>
        </w:rPr>
        <w:fldChar w:fldCharType="begin"/>
      </w:r>
      <w:r>
        <w:rPr>
          <w:rFonts w:ascii="宋体" w:hAnsi="宋体"/>
          <w:b/>
          <w:color w:val="auto"/>
          <w:sz w:val="24"/>
          <w:highlight w:val="none"/>
        </w:rPr>
        <w:instrText xml:space="preserve"> HYPERLINK \l "_Toc74323459" </w:instrText>
      </w:r>
      <w:r>
        <w:rPr>
          <w:rFonts w:ascii="宋体" w:hAnsi="宋体"/>
          <w:b/>
          <w:color w:val="auto"/>
          <w:sz w:val="24"/>
          <w:highlight w:val="none"/>
        </w:rPr>
        <w:fldChar w:fldCharType="separate"/>
      </w:r>
      <w:r>
        <w:rPr>
          <w:rFonts w:hint="eastAsia" w:ascii="宋体" w:hAnsi="宋体"/>
          <w:b/>
          <w:color w:val="auto"/>
          <w:sz w:val="24"/>
          <w:highlight w:val="none"/>
        </w:rPr>
        <w:t>第四章</w:t>
      </w:r>
      <w:r>
        <w:rPr>
          <w:rFonts w:ascii="宋体" w:hAnsi="宋体"/>
          <w:b/>
          <w:color w:val="auto"/>
          <w:sz w:val="24"/>
          <w:highlight w:val="none"/>
        </w:rPr>
        <w:t xml:space="preserve"> </w:t>
      </w:r>
      <w:r>
        <w:rPr>
          <w:rFonts w:hint="eastAsia" w:ascii="宋体" w:hAnsi="宋体"/>
          <w:b/>
          <w:color w:val="auto"/>
          <w:sz w:val="24"/>
          <w:highlight w:val="none"/>
        </w:rPr>
        <w:t>评审程序、</w:t>
      </w:r>
      <w:bookmarkStart w:id="4" w:name="_Hlt82166000"/>
      <w:r>
        <w:rPr>
          <w:rFonts w:hint="eastAsia" w:ascii="宋体" w:hAnsi="宋体"/>
          <w:b/>
          <w:color w:val="auto"/>
          <w:sz w:val="24"/>
          <w:highlight w:val="none"/>
        </w:rPr>
        <w:t>评</w:t>
      </w:r>
      <w:bookmarkEnd w:id="4"/>
      <w:r>
        <w:rPr>
          <w:rFonts w:hint="eastAsia" w:ascii="宋体" w:hAnsi="宋体"/>
          <w:b/>
          <w:color w:val="auto"/>
          <w:sz w:val="24"/>
          <w:highlight w:val="none"/>
        </w:rPr>
        <w:t>审方法和评审标准</w:t>
      </w:r>
      <w:r>
        <w:rPr>
          <w:rFonts w:ascii="宋体" w:hAnsi="宋体"/>
          <w:b/>
          <w:color w:val="auto"/>
          <w:sz w:val="24"/>
          <w:highlight w:val="none"/>
        </w:rPr>
        <w:tab/>
      </w:r>
      <w:r>
        <w:rPr>
          <w:rFonts w:hint="eastAsia" w:ascii="宋体" w:hAnsi="宋体"/>
          <w:b/>
          <w:color w:val="auto"/>
          <w:sz w:val="24"/>
          <w:highlight w:val="none"/>
          <w:lang w:val="en-US" w:eastAsia="zh-CN"/>
        </w:rPr>
        <w:t>3</w:t>
      </w:r>
      <w:r>
        <w:rPr>
          <w:rFonts w:ascii="宋体" w:hAnsi="宋体"/>
          <w:b/>
          <w:color w:val="auto"/>
          <w:sz w:val="24"/>
          <w:highlight w:val="none"/>
        </w:rPr>
        <w:fldChar w:fldCharType="end"/>
      </w:r>
      <w:r>
        <w:rPr>
          <w:rFonts w:hint="eastAsia" w:ascii="宋体" w:hAnsi="宋体"/>
          <w:b/>
          <w:color w:val="auto"/>
          <w:sz w:val="24"/>
          <w:highlight w:val="none"/>
          <w:lang w:val="en-US" w:eastAsia="zh-CN"/>
        </w:rPr>
        <w:t>6</w:t>
      </w:r>
    </w:p>
    <w:p w14:paraId="41E7FA72">
      <w:pPr>
        <w:pStyle w:val="51"/>
        <w:tabs>
          <w:tab w:val="right" w:leader="dot" w:pos="8869"/>
        </w:tabs>
        <w:spacing w:line="500" w:lineRule="atLeast"/>
        <w:rPr>
          <w:rFonts w:hint="eastAsia" w:ascii="宋体" w:hAnsi="宋体" w:eastAsia="宋体"/>
          <w:b/>
          <w:color w:val="auto"/>
          <w:sz w:val="24"/>
          <w:highlight w:val="none"/>
          <w:lang w:val="en-US" w:eastAsia="zh-CN"/>
        </w:rPr>
      </w:pPr>
      <w:r>
        <w:rPr>
          <w:rFonts w:ascii="宋体" w:hAnsi="宋体"/>
          <w:b/>
          <w:color w:val="auto"/>
          <w:sz w:val="24"/>
          <w:highlight w:val="none"/>
        </w:rPr>
        <w:fldChar w:fldCharType="begin"/>
      </w:r>
      <w:r>
        <w:rPr>
          <w:rFonts w:ascii="宋体" w:hAnsi="宋体"/>
          <w:b/>
          <w:color w:val="auto"/>
          <w:sz w:val="24"/>
          <w:highlight w:val="none"/>
        </w:rPr>
        <w:instrText xml:space="preserve"> HYPERLINK \l "_Toc74323460" </w:instrText>
      </w:r>
      <w:r>
        <w:rPr>
          <w:rFonts w:ascii="宋体" w:hAnsi="宋体"/>
          <w:b/>
          <w:color w:val="auto"/>
          <w:sz w:val="24"/>
          <w:highlight w:val="none"/>
        </w:rPr>
        <w:fldChar w:fldCharType="separate"/>
      </w:r>
      <w:r>
        <w:rPr>
          <w:rFonts w:hint="eastAsia" w:ascii="宋体" w:hAnsi="宋体"/>
          <w:b/>
          <w:color w:val="auto"/>
          <w:sz w:val="24"/>
          <w:highlight w:val="none"/>
        </w:rPr>
        <w:t>第五章</w:t>
      </w:r>
      <w:r>
        <w:rPr>
          <w:rFonts w:ascii="宋体" w:hAnsi="宋体"/>
          <w:b/>
          <w:color w:val="auto"/>
          <w:sz w:val="24"/>
          <w:highlight w:val="none"/>
        </w:rPr>
        <w:t xml:space="preserve"> </w:t>
      </w:r>
      <w:r>
        <w:rPr>
          <w:rFonts w:hint="eastAsia" w:ascii="宋体" w:hAnsi="宋体"/>
          <w:b/>
          <w:color w:val="auto"/>
          <w:sz w:val="24"/>
          <w:highlight w:val="none"/>
        </w:rPr>
        <w:t>响应文件格式</w:t>
      </w:r>
      <w:r>
        <w:rPr>
          <w:rFonts w:ascii="宋体" w:hAnsi="宋体"/>
          <w:b/>
          <w:color w:val="auto"/>
          <w:sz w:val="24"/>
          <w:highlight w:val="none"/>
        </w:rPr>
        <w:tab/>
      </w:r>
      <w:r>
        <w:rPr>
          <w:rFonts w:hint="eastAsia" w:ascii="宋体" w:hAnsi="宋体"/>
          <w:b/>
          <w:color w:val="auto"/>
          <w:sz w:val="24"/>
          <w:highlight w:val="none"/>
          <w:lang w:val="en-US" w:eastAsia="zh-CN"/>
        </w:rPr>
        <w:t>4</w:t>
      </w:r>
      <w:r>
        <w:rPr>
          <w:rFonts w:ascii="宋体" w:hAnsi="宋体"/>
          <w:b/>
          <w:color w:val="auto"/>
          <w:sz w:val="24"/>
          <w:highlight w:val="none"/>
        </w:rPr>
        <w:fldChar w:fldCharType="end"/>
      </w:r>
      <w:r>
        <w:rPr>
          <w:rFonts w:hint="eastAsia" w:ascii="宋体" w:hAnsi="宋体"/>
          <w:b/>
          <w:color w:val="auto"/>
          <w:sz w:val="24"/>
          <w:highlight w:val="none"/>
          <w:lang w:val="en-US" w:eastAsia="zh-CN"/>
        </w:rPr>
        <w:t>6</w:t>
      </w:r>
    </w:p>
    <w:p w14:paraId="412DD974">
      <w:pPr>
        <w:pStyle w:val="51"/>
        <w:tabs>
          <w:tab w:val="right" w:leader="dot" w:pos="8869"/>
        </w:tabs>
        <w:spacing w:line="500" w:lineRule="atLeast"/>
        <w:rPr>
          <w:rFonts w:hint="eastAsia" w:ascii="宋体" w:hAnsi="宋体" w:eastAsia="宋体"/>
          <w:color w:val="auto"/>
          <w:sz w:val="24"/>
          <w:highlight w:val="none"/>
          <w:lang w:eastAsia="zh-CN"/>
        </w:rPr>
      </w:pPr>
      <w:r>
        <w:rPr>
          <w:rFonts w:ascii="宋体" w:hAnsi="宋体"/>
          <w:b/>
          <w:color w:val="auto"/>
          <w:sz w:val="24"/>
          <w:highlight w:val="none"/>
        </w:rPr>
        <w:fldChar w:fldCharType="begin"/>
      </w:r>
      <w:r>
        <w:rPr>
          <w:rFonts w:ascii="宋体" w:hAnsi="宋体"/>
          <w:b/>
          <w:color w:val="auto"/>
          <w:sz w:val="24"/>
          <w:highlight w:val="none"/>
        </w:rPr>
        <w:instrText xml:space="preserve"> HYPERLINK \l "_Toc74323461" </w:instrText>
      </w:r>
      <w:r>
        <w:rPr>
          <w:rFonts w:ascii="宋体" w:hAnsi="宋体"/>
          <w:b/>
          <w:color w:val="auto"/>
          <w:sz w:val="24"/>
          <w:highlight w:val="none"/>
        </w:rPr>
        <w:fldChar w:fldCharType="separate"/>
      </w:r>
      <w:r>
        <w:rPr>
          <w:rFonts w:hint="eastAsia" w:ascii="宋体" w:hAnsi="宋体"/>
          <w:b/>
          <w:color w:val="auto"/>
          <w:sz w:val="24"/>
          <w:highlight w:val="none"/>
        </w:rPr>
        <w:t>第六章</w:t>
      </w:r>
      <w:r>
        <w:rPr>
          <w:rFonts w:ascii="宋体" w:hAnsi="宋体"/>
          <w:b/>
          <w:color w:val="auto"/>
          <w:sz w:val="24"/>
          <w:highlight w:val="none"/>
        </w:rPr>
        <w:t xml:space="preserve"> </w:t>
      </w:r>
      <w:r>
        <w:rPr>
          <w:rFonts w:hint="eastAsia" w:ascii="宋体" w:hAnsi="宋体"/>
          <w:b/>
          <w:color w:val="auto"/>
          <w:sz w:val="24"/>
          <w:highlight w:val="none"/>
        </w:rPr>
        <w:t>合同文本</w:t>
      </w:r>
      <w:r>
        <w:rPr>
          <w:rFonts w:ascii="宋体" w:hAnsi="宋体"/>
          <w:b/>
          <w:color w:val="auto"/>
          <w:sz w:val="24"/>
          <w:highlight w:val="none"/>
        </w:rPr>
        <w:tab/>
      </w:r>
      <w:r>
        <w:rPr>
          <w:rFonts w:hint="eastAsia" w:ascii="宋体" w:hAnsi="宋体"/>
          <w:b/>
          <w:color w:val="auto"/>
          <w:sz w:val="24"/>
          <w:highlight w:val="none"/>
          <w:lang w:val="en-US" w:eastAsia="zh-CN"/>
        </w:rPr>
        <w:t>7</w:t>
      </w:r>
      <w:r>
        <w:rPr>
          <w:rFonts w:ascii="宋体" w:hAnsi="宋体"/>
          <w:b/>
          <w:color w:val="auto"/>
          <w:sz w:val="24"/>
          <w:highlight w:val="none"/>
        </w:rPr>
        <w:fldChar w:fldCharType="end"/>
      </w:r>
      <w:r>
        <w:rPr>
          <w:rFonts w:hint="eastAsia" w:ascii="宋体" w:hAnsi="宋体"/>
          <w:b/>
          <w:color w:val="auto"/>
          <w:sz w:val="24"/>
          <w:highlight w:val="none"/>
          <w:lang w:val="en-US" w:eastAsia="zh-CN"/>
        </w:rPr>
        <w:t>3</w:t>
      </w:r>
    </w:p>
    <w:p w14:paraId="50878C77">
      <w:pPr>
        <w:pStyle w:val="52"/>
        <w:tabs>
          <w:tab w:val="right" w:leader="dot" w:pos="8931"/>
          <w:tab w:val="clear" w:pos="8296"/>
        </w:tabs>
        <w:spacing w:line="500" w:lineRule="atLeast"/>
        <w:ind w:left="0" w:leftChars="0"/>
        <w:rPr>
          <w:rFonts w:hint="eastAsia" w:ascii="宋体" w:hAnsi="宋体"/>
          <w:b/>
          <w:color w:val="auto"/>
          <w:sz w:val="24"/>
          <w:highlight w:val="none"/>
        </w:rPr>
      </w:pPr>
      <w:r>
        <w:rPr>
          <w:rFonts w:ascii="宋体" w:hAnsi="宋体"/>
          <w:b/>
          <w:color w:val="auto"/>
          <w:sz w:val="24"/>
          <w:highlight w:val="none"/>
        </w:rPr>
        <w:fldChar w:fldCharType="end"/>
      </w:r>
    </w:p>
    <w:p w14:paraId="6078A624">
      <w:pPr>
        <w:spacing w:line="400" w:lineRule="exact"/>
        <w:jc w:val="left"/>
        <w:rPr>
          <w:rFonts w:hint="eastAsia" w:ascii="宋体" w:hAnsi="宋体"/>
          <w:b/>
          <w:color w:val="auto"/>
          <w:sz w:val="32"/>
          <w:szCs w:val="32"/>
          <w:highlight w:val="none"/>
        </w:rPr>
      </w:pPr>
    </w:p>
    <w:p w14:paraId="54F5418C">
      <w:pPr>
        <w:spacing w:line="400" w:lineRule="exact"/>
        <w:jc w:val="center"/>
        <w:rPr>
          <w:rFonts w:hint="eastAsia" w:ascii="宋体" w:hAnsi="宋体"/>
          <w:b/>
          <w:color w:val="auto"/>
          <w:sz w:val="32"/>
          <w:szCs w:val="32"/>
          <w:highlight w:val="none"/>
        </w:rPr>
      </w:pPr>
    </w:p>
    <w:p w14:paraId="2ADB73F4">
      <w:pPr>
        <w:spacing w:line="400" w:lineRule="exact"/>
        <w:jc w:val="center"/>
        <w:rPr>
          <w:rFonts w:hint="eastAsia" w:ascii="宋体" w:hAnsi="宋体"/>
          <w:b/>
          <w:color w:val="auto"/>
          <w:sz w:val="32"/>
          <w:szCs w:val="32"/>
          <w:highlight w:val="none"/>
        </w:rPr>
      </w:pPr>
    </w:p>
    <w:p w14:paraId="0FAC6A19">
      <w:pPr>
        <w:spacing w:line="400" w:lineRule="exact"/>
        <w:jc w:val="center"/>
        <w:rPr>
          <w:rFonts w:hint="eastAsia" w:ascii="宋体" w:hAnsi="宋体"/>
          <w:b/>
          <w:color w:val="auto"/>
          <w:sz w:val="32"/>
          <w:szCs w:val="32"/>
          <w:highlight w:val="none"/>
        </w:rPr>
      </w:pPr>
    </w:p>
    <w:p w14:paraId="6D3C5BD7">
      <w:pPr>
        <w:spacing w:line="400" w:lineRule="exact"/>
        <w:jc w:val="center"/>
        <w:rPr>
          <w:rFonts w:hint="eastAsia" w:ascii="宋体" w:hAnsi="宋体"/>
          <w:b/>
          <w:color w:val="auto"/>
          <w:sz w:val="32"/>
          <w:szCs w:val="32"/>
          <w:highlight w:val="none"/>
        </w:rPr>
      </w:pPr>
    </w:p>
    <w:p w14:paraId="6AE58D3C">
      <w:pPr>
        <w:spacing w:line="400" w:lineRule="exact"/>
        <w:rPr>
          <w:rFonts w:hint="eastAsia" w:ascii="宋体" w:hAnsi="宋体"/>
          <w:b/>
          <w:color w:val="auto"/>
          <w:sz w:val="32"/>
          <w:szCs w:val="32"/>
          <w:highlight w:val="none"/>
        </w:rPr>
        <w:sectPr>
          <w:headerReference r:id="rId4" w:type="first"/>
          <w:footerReference r:id="rId6" w:type="first"/>
          <w:headerReference r:id="rId3" w:type="default"/>
          <w:footerReference r:id="rId5" w:type="default"/>
          <w:pgSz w:w="11906" w:h="16838"/>
          <w:pgMar w:top="1440" w:right="1440" w:bottom="1440" w:left="1587" w:header="851" w:footer="992" w:gutter="0"/>
          <w:cols w:space="720" w:num="1"/>
          <w:titlePg/>
          <w:docGrid w:type="lines" w:linePitch="312" w:charSpace="0"/>
        </w:sectPr>
      </w:pPr>
    </w:p>
    <w:p w14:paraId="5B37C45E">
      <w:pPr>
        <w:pStyle w:val="19"/>
        <w:numPr>
          <w:ilvl w:val="0"/>
          <w:numId w:val="0"/>
        </w:numPr>
        <w:spacing w:line="360" w:lineRule="auto"/>
        <w:jc w:val="center"/>
        <w:rPr>
          <w:color w:val="auto"/>
          <w:highlight w:val="none"/>
        </w:rPr>
      </w:pPr>
      <w:bookmarkStart w:id="5" w:name="_Toc74323456"/>
      <w:r>
        <w:rPr>
          <w:rFonts w:hint="eastAsia"/>
          <w:color w:val="auto"/>
          <w:highlight w:val="none"/>
        </w:rPr>
        <w:t>第一章 竞争性磋商公告</w:t>
      </w:r>
      <w:bookmarkEnd w:id="5"/>
    </w:p>
    <w:p w14:paraId="522969E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b/>
          <w:bCs/>
          <w:color w:val="auto"/>
          <w:sz w:val="32"/>
          <w:szCs w:val="32"/>
          <w:highlight w:val="none"/>
        </w:rPr>
      </w:pPr>
      <w:r>
        <w:rPr>
          <w:rFonts w:hint="eastAsia" w:ascii="宋体" w:hAnsi="宋体"/>
          <w:b/>
          <w:bCs/>
          <w:color w:val="auto"/>
          <w:sz w:val="32"/>
          <w:szCs w:val="32"/>
          <w:highlight w:val="none"/>
        </w:rPr>
        <w:t>云之龙咨询集团有限公司关于</w:t>
      </w:r>
      <w:r>
        <w:rPr>
          <w:rFonts w:hint="eastAsia" w:ascii="宋体" w:hAnsi="宋体"/>
          <w:b/>
          <w:bCs/>
          <w:color w:val="auto"/>
          <w:sz w:val="32"/>
          <w:szCs w:val="32"/>
          <w:highlight w:val="none"/>
          <w:lang w:eastAsia="zh-CN"/>
        </w:rPr>
        <w:t>防城港市财政局食堂食材配送服务项目</w:t>
      </w:r>
      <w:r>
        <w:rPr>
          <w:rFonts w:hint="eastAsia" w:ascii="宋体" w:hAnsi="宋体"/>
          <w:b/>
          <w:bCs/>
          <w:color w:val="auto"/>
          <w:sz w:val="32"/>
          <w:szCs w:val="32"/>
          <w:highlight w:val="none"/>
        </w:rPr>
        <w:t>的竞争性磋商公告</w:t>
      </w:r>
    </w:p>
    <w:p w14:paraId="7F8BA20B">
      <w:pPr>
        <w:keepNext w:val="0"/>
        <w:keepLines w:val="0"/>
        <w:pageBreakBefore w:val="0"/>
        <w:pBdr>
          <w:top w:val="single" w:color="auto" w:sz="4" w:space="1"/>
          <w:left w:val="single" w:color="auto" w:sz="4" w:space="4"/>
          <w:bottom w:val="single" w:color="auto" w:sz="4" w:space="1"/>
          <w:right w:val="single" w:color="auto" w:sz="4" w:space="4"/>
        </w:pBdr>
        <w:kinsoku/>
        <w:overflowPunct/>
        <w:topLinePunct w:val="0"/>
        <w:autoSpaceDE/>
        <w:autoSpaceDN/>
        <w:bidi w:val="0"/>
        <w:adjustRightInd/>
        <w:snapToGrid/>
        <w:spacing w:line="400" w:lineRule="exact"/>
        <w:ind w:firstLine="420" w:firstLineChars="200"/>
        <w:textAlignment w:val="auto"/>
        <w:rPr>
          <w:rFonts w:ascii="宋体" w:hAnsi="宋体"/>
          <w:color w:val="auto"/>
          <w:szCs w:val="21"/>
          <w:highlight w:val="none"/>
        </w:rPr>
      </w:pPr>
      <w:bookmarkStart w:id="6" w:name="_Hlk37430271"/>
      <w:r>
        <w:rPr>
          <w:rFonts w:hint="eastAsia" w:ascii="宋体" w:hAnsi="宋体"/>
          <w:color w:val="auto"/>
          <w:szCs w:val="21"/>
          <w:highlight w:val="none"/>
        </w:rPr>
        <w:t>项目概况</w:t>
      </w:r>
    </w:p>
    <w:p w14:paraId="51C78D78">
      <w:pPr>
        <w:keepNext w:val="0"/>
        <w:keepLines w:val="0"/>
        <w:pageBreakBefore w:val="0"/>
        <w:pBdr>
          <w:top w:val="single" w:color="auto" w:sz="4" w:space="1"/>
          <w:left w:val="single" w:color="auto" w:sz="4" w:space="4"/>
          <w:bottom w:val="single" w:color="auto" w:sz="4" w:space="1"/>
          <w:right w:val="single" w:color="auto" w:sz="4" w:space="4"/>
        </w:pBdr>
        <w:kinsoku/>
        <w:overflowPunct/>
        <w:topLinePunct w:val="0"/>
        <w:autoSpaceDE/>
        <w:autoSpaceDN/>
        <w:bidi w:val="0"/>
        <w:adjustRightInd/>
        <w:snapToGrid/>
        <w:spacing w:line="400" w:lineRule="exact"/>
        <w:ind w:firstLine="420" w:firstLineChars="200"/>
        <w:textAlignment w:val="auto"/>
        <w:rPr>
          <w:rFonts w:ascii="宋体" w:hAnsi="宋体"/>
          <w:color w:val="auto"/>
          <w:szCs w:val="21"/>
          <w:highlight w:val="none"/>
        </w:rPr>
      </w:pPr>
      <w:r>
        <w:rPr>
          <w:rFonts w:hint="eastAsia" w:ascii="宋体" w:hAnsi="宋体"/>
          <w:bCs/>
          <w:color w:val="auto"/>
          <w:szCs w:val="21"/>
          <w:highlight w:val="none"/>
          <w:lang w:eastAsia="zh-CN"/>
        </w:rPr>
        <w:t>防城港市财政局食堂食材配送服务项目</w:t>
      </w:r>
      <w:r>
        <w:rPr>
          <w:rFonts w:hint="eastAsia" w:ascii="宋体" w:hAnsi="宋体"/>
          <w:color w:val="auto"/>
          <w:szCs w:val="21"/>
          <w:highlight w:val="none"/>
        </w:rPr>
        <w:t>潜在供应商应在</w:t>
      </w:r>
      <w:r>
        <w:rPr>
          <w:rFonts w:ascii="宋体" w:hAnsi="宋体"/>
          <w:color w:val="auto"/>
          <w:szCs w:val="21"/>
          <w:highlight w:val="none"/>
        </w:rPr>
        <w:t>广西政府采购云平台</w:t>
      </w:r>
      <w:r>
        <w:rPr>
          <w:rFonts w:hint="eastAsia" w:ascii="宋体" w:hAnsi="宋体"/>
          <w:color w:val="auto"/>
          <w:szCs w:val="21"/>
          <w:highlight w:val="none"/>
        </w:rPr>
        <w:t>（</w:t>
      </w:r>
      <w:r>
        <w:rPr>
          <w:rFonts w:ascii="宋体" w:hAnsi="宋体"/>
          <w:bCs/>
          <w:color w:val="auto"/>
          <w:szCs w:val="21"/>
          <w:highlight w:val="none"/>
        </w:rPr>
        <w:t>https://www.gcy.zfcg.gxzf.gov.cn/</w:t>
      </w:r>
      <w:r>
        <w:rPr>
          <w:rFonts w:hint="eastAsia" w:ascii="宋体" w:hAnsi="宋体"/>
          <w:color w:val="auto"/>
          <w:szCs w:val="21"/>
          <w:highlight w:val="none"/>
        </w:rPr>
        <w:t>）获取（下载）竞争性磋商文件，并于202</w:t>
      </w:r>
      <w:r>
        <w:rPr>
          <w:rFonts w:hint="eastAsia" w:ascii="宋体" w:hAnsi="宋体"/>
          <w:color w:val="auto"/>
          <w:szCs w:val="21"/>
          <w:highlight w:val="none"/>
          <w:lang w:val="en-US" w:eastAsia="zh-CN"/>
        </w:rPr>
        <w:t>6</w:t>
      </w:r>
      <w:r>
        <w:rPr>
          <w:rFonts w:hint="eastAsia" w:ascii="宋体" w:hAnsi="宋体"/>
          <w:bCs/>
          <w:color w:val="auto"/>
          <w:szCs w:val="21"/>
          <w:highlight w:val="none"/>
        </w:rPr>
        <w:t>年</w:t>
      </w:r>
      <w:r>
        <w:rPr>
          <w:rFonts w:hint="eastAsia" w:ascii="宋体" w:hAnsi="宋体"/>
          <w:bCs/>
          <w:color w:val="auto"/>
          <w:szCs w:val="21"/>
          <w:highlight w:val="none"/>
          <w:lang w:val="en-US" w:eastAsia="zh-CN"/>
        </w:rPr>
        <w:t>5</w:t>
      </w:r>
      <w:r>
        <w:rPr>
          <w:rFonts w:hint="eastAsia" w:ascii="宋体" w:hAnsi="宋体"/>
          <w:bCs/>
          <w:color w:val="auto"/>
          <w:szCs w:val="21"/>
          <w:highlight w:val="none"/>
        </w:rPr>
        <w:t>月</w:t>
      </w:r>
      <w:r>
        <w:rPr>
          <w:rFonts w:hint="eastAsia" w:ascii="宋体" w:hAnsi="宋体"/>
          <w:bCs/>
          <w:color w:val="auto"/>
          <w:szCs w:val="21"/>
          <w:highlight w:val="none"/>
          <w:lang w:val="en-US" w:eastAsia="zh-CN"/>
        </w:rPr>
        <w:t>28</w:t>
      </w:r>
      <w:r>
        <w:rPr>
          <w:rFonts w:hint="eastAsia" w:ascii="宋体" w:hAnsi="宋体"/>
          <w:bCs/>
          <w:color w:val="auto"/>
          <w:szCs w:val="21"/>
          <w:highlight w:val="none"/>
        </w:rPr>
        <w:t>日</w:t>
      </w:r>
      <w:r>
        <w:rPr>
          <w:rFonts w:hint="eastAsia" w:ascii="宋体" w:hAnsi="宋体"/>
          <w:bCs/>
          <w:color w:val="auto"/>
          <w:szCs w:val="21"/>
          <w:highlight w:val="none"/>
          <w:lang w:val="en-US" w:eastAsia="zh-CN"/>
        </w:rPr>
        <w:t>15</w:t>
      </w:r>
      <w:r>
        <w:rPr>
          <w:rFonts w:hint="eastAsia" w:ascii="宋体" w:hAnsi="宋体"/>
          <w:bCs/>
          <w:color w:val="auto"/>
          <w:szCs w:val="21"/>
          <w:highlight w:val="none"/>
        </w:rPr>
        <w:t>时30分（北京时间）前提交（上传）</w:t>
      </w:r>
      <w:r>
        <w:rPr>
          <w:rFonts w:hint="eastAsia" w:ascii="宋体" w:hAnsi="宋体"/>
          <w:color w:val="auto"/>
          <w:szCs w:val="21"/>
          <w:highlight w:val="none"/>
        </w:rPr>
        <w:t>响应</w:t>
      </w:r>
      <w:r>
        <w:rPr>
          <w:rFonts w:hint="eastAsia" w:ascii="宋体" w:hAnsi="宋体"/>
          <w:bCs/>
          <w:color w:val="auto"/>
          <w:szCs w:val="21"/>
          <w:highlight w:val="none"/>
        </w:rPr>
        <w:t>文件</w:t>
      </w:r>
      <w:r>
        <w:rPr>
          <w:rFonts w:hint="eastAsia" w:ascii="宋体" w:hAnsi="宋体"/>
          <w:color w:val="auto"/>
          <w:szCs w:val="21"/>
          <w:highlight w:val="none"/>
        </w:rPr>
        <w:t>。</w:t>
      </w:r>
    </w:p>
    <w:p w14:paraId="06B2A3F5">
      <w:pPr>
        <w:keepNext w:val="0"/>
        <w:keepLines w:val="0"/>
        <w:pageBreakBefore w:val="0"/>
        <w:kinsoku/>
        <w:overflowPunct/>
        <w:topLinePunct w:val="0"/>
        <w:autoSpaceDE/>
        <w:autoSpaceDN/>
        <w:bidi w:val="0"/>
        <w:adjustRightInd/>
        <w:snapToGrid/>
        <w:spacing w:line="400" w:lineRule="exact"/>
        <w:ind w:firstLine="354" w:firstLineChars="147"/>
        <w:textAlignment w:val="auto"/>
        <w:rPr>
          <w:rFonts w:ascii="黑体" w:hAnsi="黑体" w:eastAsia="黑体"/>
          <w:b/>
          <w:color w:val="auto"/>
          <w:sz w:val="24"/>
          <w:highlight w:val="none"/>
        </w:rPr>
      </w:pPr>
      <w:bookmarkStart w:id="7" w:name="_Toc28359089"/>
      <w:bookmarkStart w:id="8" w:name="_Toc35393629"/>
      <w:bookmarkStart w:id="9" w:name="_Toc44229878"/>
      <w:bookmarkStart w:id="10" w:name="_Toc71365905"/>
      <w:bookmarkStart w:id="11" w:name="_Toc35393798"/>
      <w:bookmarkStart w:id="12" w:name="_Toc28359012"/>
      <w:r>
        <w:rPr>
          <w:rFonts w:hint="eastAsia" w:ascii="黑体" w:hAnsi="黑体" w:eastAsia="黑体"/>
          <w:b/>
          <w:color w:val="auto"/>
          <w:sz w:val="24"/>
          <w:highlight w:val="none"/>
        </w:rPr>
        <w:t>一、项目基本情况</w:t>
      </w:r>
      <w:bookmarkEnd w:id="6"/>
      <w:bookmarkEnd w:id="7"/>
      <w:bookmarkEnd w:id="8"/>
      <w:bookmarkEnd w:id="9"/>
      <w:bookmarkEnd w:id="10"/>
      <w:bookmarkEnd w:id="11"/>
    </w:p>
    <w:p w14:paraId="04202126">
      <w:pPr>
        <w:keepNext w:val="0"/>
        <w:keepLines w:val="0"/>
        <w:pageBreakBefore w:val="0"/>
        <w:kinsoku/>
        <w:overflowPunct/>
        <w:topLinePunct w:val="0"/>
        <w:autoSpaceDE/>
        <w:autoSpaceDN/>
        <w:bidi w:val="0"/>
        <w:adjustRightInd/>
        <w:snapToGrid/>
        <w:spacing w:line="400" w:lineRule="exact"/>
        <w:ind w:firstLine="420" w:firstLineChars="200"/>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项目编号：FCZC2026-C3-990064-YZLZ</w:t>
      </w:r>
    </w:p>
    <w:p w14:paraId="207ADE31">
      <w:pPr>
        <w:pStyle w:val="26"/>
        <w:keepNext w:val="0"/>
        <w:keepLines w:val="0"/>
        <w:pageBreakBefore w:val="0"/>
        <w:kinsoku/>
        <w:overflowPunct/>
        <w:topLinePunct w:val="0"/>
        <w:autoSpaceDE/>
        <w:autoSpaceDN/>
        <w:bidi w:val="0"/>
        <w:adjustRightInd/>
        <w:snapToGrid/>
        <w:spacing w:line="400" w:lineRule="exac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项目名称：</w:t>
      </w:r>
      <w:r>
        <w:rPr>
          <w:rFonts w:hint="eastAsia" w:ascii="宋体" w:hAnsi="宋体"/>
          <w:color w:val="auto"/>
          <w:szCs w:val="21"/>
          <w:highlight w:val="none"/>
          <w:lang w:eastAsia="zh-CN"/>
        </w:rPr>
        <w:t>防城港市财政局食堂食材配送服务项目</w:t>
      </w:r>
    </w:p>
    <w:p w14:paraId="5321A1CE">
      <w:pPr>
        <w:pStyle w:val="26"/>
        <w:keepNext w:val="0"/>
        <w:keepLines w:val="0"/>
        <w:pageBreakBefore w:val="0"/>
        <w:kinsoku/>
        <w:overflowPunct/>
        <w:topLinePunct w:val="0"/>
        <w:autoSpaceDE/>
        <w:autoSpaceDN/>
        <w:bidi w:val="0"/>
        <w:adjustRightInd/>
        <w:snapToGrid/>
        <w:spacing w:line="400" w:lineRule="exact"/>
        <w:textAlignment w:val="auto"/>
        <w:rPr>
          <w:rFonts w:hint="eastAsia" w:ascii="宋体" w:hAnsi="宋体"/>
          <w:color w:val="auto"/>
          <w:szCs w:val="21"/>
          <w:highlight w:val="none"/>
        </w:rPr>
      </w:pPr>
      <w:r>
        <w:rPr>
          <w:rFonts w:hint="eastAsia" w:ascii="宋体" w:hAnsi="宋体"/>
          <w:color w:val="auto"/>
          <w:szCs w:val="21"/>
          <w:highlight w:val="none"/>
        </w:rPr>
        <w:t>采购方式：竞争性磋商</w:t>
      </w:r>
    </w:p>
    <w:p w14:paraId="7B5A07AD">
      <w:pPr>
        <w:pStyle w:val="26"/>
        <w:keepNext w:val="0"/>
        <w:keepLines w:val="0"/>
        <w:pageBreakBefore w:val="0"/>
        <w:kinsoku/>
        <w:overflowPunct/>
        <w:topLinePunct w:val="0"/>
        <w:autoSpaceDE/>
        <w:autoSpaceDN/>
        <w:bidi w:val="0"/>
        <w:adjustRightInd/>
        <w:snapToGrid/>
        <w:spacing w:line="400" w:lineRule="exac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预算金额：人民币</w:t>
      </w:r>
      <w:r>
        <w:rPr>
          <w:rFonts w:hint="eastAsia" w:ascii="宋体" w:hAnsi="宋体"/>
          <w:color w:val="auto"/>
          <w:szCs w:val="21"/>
          <w:highlight w:val="none"/>
          <w:lang w:eastAsia="zh-CN"/>
        </w:rPr>
        <w:t>壹佰陆拾万元整</w:t>
      </w:r>
      <w:r>
        <w:rPr>
          <w:rFonts w:hint="eastAsia" w:ascii="宋体" w:hAnsi="宋体"/>
          <w:color w:val="auto"/>
          <w:szCs w:val="21"/>
          <w:highlight w:val="none"/>
        </w:rPr>
        <w:t>（¥</w:t>
      </w:r>
      <w:r>
        <w:rPr>
          <w:rFonts w:hint="eastAsia" w:ascii="宋体" w:hAnsi="宋体"/>
          <w:color w:val="auto"/>
          <w:szCs w:val="21"/>
          <w:highlight w:val="none"/>
          <w:lang w:val="en-US" w:eastAsia="zh-CN"/>
        </w:rPr>
        <w:t>1,60</w:t>
      </w:r>
      <w:r>
        <w:rPr>
          <w:rFonts w:hint="eastAsia" w:ascii="宋体" w:hAnsi="宋体"/>
          <w:color w:val="auto"/>
          <w:szCs w:val="21"/>
          <w:highlight w:val="none"/>
        </w:rPr>
        <w:t>0,000.00）</w:t>
      </w:r>
    </w:p>
    <w:p w14:paraId="64FB3519">
      <w:pPr>
        <w:keepNext w:val="0"/>
        <w:keepLines w:val="0"/>
        <w:pageBreakBefore w:val="0"/>
        <w:kinsoku/>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最高限价：人民币</w:t>
      </w:r>
      <w:r>
        <w:rPr>
          <w:rFonts w:hint="eastAsia" w:ascii="宋体" w:hAnsi="宋体"/>
          <w:color w:val="auto"/>
          <w:szCs w:val="21"/>
          <w:highlight w:val="none"/>
          <w:lang w:eastAsia="zh-CN"/>
        </w:rPr>
        <w:t>壹佰陆拾万元整</w:t>
      </w:r>
      <w:r>
        <w:rPr>
          <w:rFonts w:hint="eastAsia" w:ascii="宋体" w:hAnsi="宋体"/>
          <w:color w:val="auto"/>
          <w:szCs w:val="21"/>
          <w:highlight w:val="none"/>
        </w:rPr>
        <w:t>（¥</w:t>
      </w:r>
      <w:r>
        <w:rPr>
          <w:rFonts w:hint="eastAsia" w:ascii="宋体" w:hAnsi="宋体"/>
          <w:color w:val="auto"/>
          <w:szCs w:val="21"/>
          <w:highlight w:val="none"/>
          <w:lang w:val="en-US" w:eastAsia="zh-CN"/>
        </w:rPr>
        <w:t>1,60</w:t>
      </w:r>
      <w:r>
        <w:rPr>
          <w:rFonts w:hint="eastAsia" w:ascii="宋体" w:hAnsi="宋体"/>
          <w:color w:val="auto"/>
          <w:szCs w:val="21"/>
          <w:highlight w:val="none"/>
        </w:rPr>
        <w:t>0,000.00）</w:t>
      </w:r>
    </w:p>
    <w:p w14:paraId="6CF558F2">
      <w:pPr>
        <w:keepNext w:val="0"/>
        <w:keepLines w:val="0"/>
        <w:pageBreakBefore w:val="0"/>
        <w:kinsoku/>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采购需求：防城港市</w:t>
      </w:r>
      <w:r>
        <w:rPr>
          <w:rFonts w:hint="eastAsia" w:ascii="宋体" w:hAnsi="宋体"/>
          <w:color w:val="auto"/>
          <w:szCs w:val="21"/>
          <w:highlight w:val="none"/>
          <w:lang w:eastAsia="zh-CN"/>
        </w:rPr>
        <w:t>财政局</w:t>
      </w:r>
      <w:r>
        <w:rPr>
          <w:rFonts w:hint="eastAsia" w:ascii="宋体" w:hAnsi="宋体"/>
          <w:color w:val="auto"/>
          <w:szCs w:val="21"/>
          <w:highlight w:val="none"/>
        </w:rPr>
        <w:t>食堂食材配送服务1项，</w:t>
      </w:r>
      <w:r>
        <w:rPr>
          <w:rFonts w:hint="eastAsia" w:ascii="宋体" w:hAnsi="宋体"/>
          <w:color w:val="auto"/>
          <w:szCs w:val="21"/>
          <w:highlight w:val="none"/>
          <w:lang w:val="en-US" w:eastAsia="zh-CN"/>
        </w:rPr>
        <w:t>具体</w:t>
      </w:r>
      <w:r>
        <w:rPr>
          <w:rFonts w:hint="eastAsia" w:ascii="宋体" w:hAnsi="宋体"/>
          <w:color w:val="auto"/>
          <w:szCs w:val="21"/>
          <w:highlight w:val="none"/>
        </w:rPr>
        <w:t>附件采购需求。</w:t>
      </w:r>
    </w:p>
    <w:p w14:paraId="073BBCBA">
      <w:pPr>
        <w:keepNext w:val="0"/>
        <w:keepLines w:val="0"/>
        <w:pageBreakBefore w:val="0"/>
        <w:kinsoku/>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highlight w:val="none"/>
          <w:lang w:val="en-US" w:eastAsia="zh-CN"/>
        </w:rPr>
      </w:pPr>
      <w:r>
        <w:rPr>
          <w:rFonts w:hint="eastAsia" w:ascii="宋体" w:hAnsi="宋体"/>
          <w:color w:val="auto"/>
          <w:szCs w:val="21"/>
          <w:highlight w:val="none"/>
        </w:rPr>
        <w:t>合同履行期限：自合同签订之日起24个月。采购结算金额以服务期限内实际采购金额为准，服务期内实际采购金额不超过本标的预算金额。若服务期内采购金额达预算金额，合同自动终止。</w:t>
      </w:r>
    </w:p>
    <w:p w14:paraId="020C26F6">
      <w:pPr>
        <w:keepNext w:val="0"/>
        <w:keepLines w:val="0"/>
        <w:pageBreakBefore w:val="0"/>
        <w:kinsoku/>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本项目不接受联合体竞标。</w:t>
      </w:r>
    </w:p>
    <w:p w14:paraId="29460DD0">
      <w:pPr>
        <w:keepNext w:val="0"/>
        <w:keepLines w:val="0"/>
        <w:pageBreakBefore w:val="0"/>
        <w:kinsoku/>
        <w:overflowPunct/>
        <w:topLinePunct w:val="0"/>
        <w:autoSpaceDE/>
        <w:autoSpaceDN/>
        <w:bidi w:val="0"/>
        <w:adjustRightInd/>
        <w:snapToGrid/>
        <w:spacing w:line="400" w:lineRule="exact"/>
        <w:ind w:firstLine="354" w:firstLineChars="147"/>
        <w:textAlignment w:val="auto"/>
        <w:rPr>
          <w:rFonts w:ascii="黑体" w:hAnsi="黑体" w:eastAsia="黑体"/>
          <w:b/>
          <w:color w:val="auto"/>
          <w:sz w:val="24"/>
          <w:highlight w:val="none"/>
        </w:rPr>
      </w:pPr>
      <w:bookmarkStart w:id="13" w:name="_Toc44229879"/>
      <w:bookmarkStart w:id="14" w:name="_Toc28359090"/>
      <w:bookmarkStart w:id="15" w:name="_Toc71365906"/>
      <w:bookmarkStart w:id="16" w:name="_Toc35393799"/>
      <w:bookmarkStart w:id="17" w:name="_Toc35393630"/>
      <w:bookmarkStart w:id="18" w:name="_Toc28359013"/>
      <w:r>
        <w:rPr>
          <w:rFonts w:hint="eastAsia" w:ascii="黑体" w:hAnsi="黑体" w:eastAsia="黑体"/>
          <w:b/>
          <w:color w:val="auto"/>
          <w:sz w:val="24"/>
          <w:highlight w:val="none"/>
        </w:rPr>
        <w:t>二、申请人的资格条件：</w:t>
      </w:r>
      <w:bookmarkEnd w:id="12"/>
      <w:bookmarkEnd w:id="13"/>
      <w:bookmarkEnd w:id="14"/>
      <w:bookmarkEnd w:id="15"/>
      <w:bookmarkEnd w:id="16"/>
      <w:bookmarkEnd w:id="17"/>
    </w:p>
    <w:p w14:paraId="6B57F9B1">
      <w:pPr>
        <w:keepNext w:val="0"/>
        <w:keepLines w:val="0"/>
        <w:pageBreakBefore w:val="0"/>
        <w:kinsoku/>
        <w:overflowPunct/>
        <w:topLinePunct w:val="0"/>
        <w:autoSpaceDE/>
        <w:autoSpaceDN/>
        <w:bidi w:val="0"/>
        <w:adjustRightInd/>
        <w:snapToGrid/>
        <w:spacing w:line="400" w:lineRule="exact"/>
        <w:ind w:firstLine="420" w:firstLineChars="200"/>
        <w:textAlignment w:val="auto"/>
        <w:rPr>
          <w:rFonts w:hint="eastAsia" w:ascii="宋体" w:hAnsi="宋体" w:cs="宋体"/>
          <w:bCs/>
          <w:color w:val="auto"/>
          <w:kern w:val="0"/>
          <w:szCs w:val="21"/>
          <w:highlight w:val="none"/>
        </w:rPr>
      </w:pPr>
      <w:bookmarkStart w:id="19" w:name="_Toc28359091"/>
      <w:bookmarkStart w:id="20" w:name="_Toc28359014"/>
      <w:bookmarkStart w:id="21" w:name="_Toc44229880"/>
      <w:bookmarkStart w:id="22" w:name="_Toc35393631"/>
      <w:bookmarkStart w:id="23" w:name="_Toc35393800"/>
      <w:r>
        <w:rPr>
          <w:rFonts w:hint="eastAsia" w:ascii="宋体" w:hAnsi="宋体" w:cs="宋体"/>
          <w:bCs/>
          <w:color w:val="auto"/>
          <w:kern w:val="0"/>
          <w:szCs w:val="21"/>
          <w:highlight w:val="none"/>
        </w:rPr>
        <w:t>1.满足《中华人民共和国政府采购法》第二十二条规定；</w:t>
      </w:r>
    </w:p>
    <w:p w14:paraId="484D9E15">
      <w:pPr>
        <w:keepNext w:val="0"/>
        <w:keepLines w:val="0"/>
        <w:pageBreakBefore w:val="0"/>
        <w:kinsoku/>
        <w:overflowPunct/>
        <w:topLinePunct w:val="0"/>
        <w:autoSpaceDE/>
        <w:autoSpaceDN/>
        <w:bidi w:val="0"/>
        <w:adjustRightInd/>
        <w:snapToGrid/>
        <w:spacing w:line="400" w:lineRule="exact"/>
        <w:ind w:firstLine="420" w:firstLineChars="20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2.落实政府采购政策需满足的资格要求：本项目为专门面向中小企业预留项目，参加本项目磋商的供应商必须为中小微型企业【符合《政府采购促进中小企业发展管理办法》（财库〔2020〕46号）规定】、监狱企业【符合《财政部、司法部关于政府采购支持监狱企业发展有关问题的通知》（财库〔2014〕68号）规定】、残疾人福利性单位【符合《关于促进残疾人就业政府采购政策的通知》（财库〔2017〕141号）规定】；</w:t>
      </w:r>
    </w:p>
    <w:p w14:paraId="5BF83095">
      <w:pPr>
        <w:keepNext w:val="0"/>
        <w:keepLines w:val="0"/>
        <w:pageBreakBefore w:val="0"/>
        <w:kinsoku/>
        <w:overflowPunct/>
        <w:topLinePunct w:val="0"/>
        <w:autoSpaceDE/>
        <w:autoSpaceDN/>
        <w:bidi w:val="0"/>
        <w:adjustRightInd/>
        <w:snapToGrid/>
        <w:spacing w:line="400" w:lineRule="exact"/>
        <w:ind w:firstLine="420" w:firstLineChars="200"/>
        <w:textAlignment w:val="auto"/>
        <w:rPr>
          <w:rFonts w:hint="eastAsia" w:ascii="宋体" w:hAnsi="宋体" w:cs="宋体"/>
          <w:bCs/>
          <w:color w:val="auto"/>
          <w:kern w:val="0"/>
          <w:szCs w:val="21"/>
          <w:highlight w:val="none"/>
          <w:lang w:eastAsia="zh-CN"/>
        </w:rPr>
      </w:pPr>
      <w:r>
        <w:rPr>
          <w:rFonts w:hint="eastAsia" w:ascii="宋体" w:hAnsi="宋体" w:cs="宋体"/>
          <w:bCs/>
          <w:color w:val="auto"/>
          <w:kern w:val="0"/>
          <w:szCs w:val="21"/>
          <w:highlight w:val="none"/>
        </w:rPr>
        <w:t>3.本项目的特定资格要求：供应商具有</w:t>
      </w:r>
      <w:r>
        <w:rPr>
          <w:rFonts w:hint="eastAsia" w:ascii="宋体" w:hAnsi="宋体" w:cs="宋体"/>
          <w:bCs/>
          <w:color w:val="auto"/>
          <w:kern w:val="0"/>
          <w:szCs w:val="21"/>
          <w:highlight w:val="none"/>
          <w:lang w:val="en-US" w:eastAsia="zh-CN"/>
        </w:rPr>
        <w:t>相应</w:t>
      </w:r>
      <w:r>
        <w:rPr>
          <w:rFonts w:hint="eastAsia" w:ascii="宋体" w:hAnsi="宋体" w:cs="宋体"/>
          <w:bCs/>
          <w:color w:val="auto"/>
          <w:kern w:val="0"/>
          <w:szCs w:val="21"/>
          <w:highlight w:val="none"/>
        </w:rPr>
        <w:t>有效的《食品经营许可证》</w:t>
      </w:r>
      <w:r>
        <w:rPr>
          <w:rFonts w:hint="eastAsia" w:ascii="宋体" w:hAnsi="宋体" w:cs="宋体"/>
          <w:bCs/>
          <w:color w:val="auto"/>
          <w:kern w:val="0"/>
          <w:szCs w:val="21"/>
          <w:highlight w:val="none"/>
          <w:lang w:eastAsia="zh-CN"/>
        </w:rPr>
        <w:t>。</w:t>
      </w:r>
    </w:p>
    <w:p w14:paraId="17DA4340">
      <w:pPr>
        <w:keepNext w:val="0"/>
        <w:keepLines w:val="0"/>
        <w:pageBreakBefore w:val="0"/>
        <w:kinsoku/>
        <w:overflowPunct/>
        <w:topLinePunct w:val="0"/>
        <w:autoSpaceDE/>
        <w:autoSpaceDN/>
        <w:bidi w:val="0"/>
        <w:adjustRightInd/>
        <w:snapToGrid/>
        <w:spacing w:line="400" w:lineRule="exact"/>
        <w:ind w:firstLine="354" w:firstLineChars="147"/>
        <w:textAlignment w:val="auto"/>
        <w:rPr>
          <w:rFonts w:ascii="黑体" w:hAnsi="黑体" w:eastAsia="黑体"/>
          <w:b/>
          <w:color w:val="auto"/>
          <w:sz w:val="24"/>
          <w:highlight w:val="none"/>
        </w:rPr>
      </w:pPr>
      <w:bookmarkStart w:id="24" w:name="_Toc71365907"/>
      <w:r>
        <w:rPr>
          <w:rFonts w:hint="eastAsia" w:ascii="黑体" w:hAnsi="黑体" w:eastAsia="黑体"/>
          <w:b/>
          <w:color w:val="auto"/>
          <w:sz w:val="24"/>
          <w:highlight w:val="none"/>
        </w:rPr>
        <w:t>三、获取竞争性磋商文件</w:t>
      </w:r>
      <w:bookmarkEnd w:id="18"/>
      <w:bookmarkEnd w:id="19"/>
      <w:bookmarkEnd w:id="20"/>
      <w:bookmarkEnd w:id="21"/>
      <w:bookmarkEnd w:id="22"/>
      <w:bookmarkEnd w:id="23"/>
    </w:p>
    <w:p w14:paraId="7FFE2E67">
      <w:pPr>
        <w:keepNext w:val="0"/>
        <w:keepLines w:val="0"/>
        <w:pageBreakBefore w:val="0"/>
        <w:kinsoku/>
        <w:overflowPunct/>
        <w:topLinePunct w:val="0"/>
        <w:autoSpaceDE/>
        <w:autoSpaceDN/>
        <w:bidi w:val="0"/>
        <w:adjustRightInd/>
        <w:snapToGrid/>
        <w:spacing w:line="400" w:lineRule="exact"/>
        <w:ind w:firstLine="420" w:firstLineChars="200"/>
        <w:textAlignment w:val="auto"/>
        <w:rPr>
          <w:rFonts w:ascii="宋体" w:hAnsi="宋体" w:cs="宋体"/>
          <w:bCs/>
          <w:color w:val="auto"/>
          <w:kern w:val="0"/>
          <w:szCs w:val="21"/>
          <w:highlight w:val="none"/>
        </w:rPr>
      </w:pPr>
      <w:bookmarkStart w:id="25" w:name="_Toc35393801"/>
      <w:bookmarkStart w:id="26" w:name="_Toc28359015"/>
      <w:bookmarkStart w:id="27" w:name="_Toc28359092"/>
      <w:bookmarkStart w:id="28" w:name="_Toc44229881"/>
      <w:bookmarkStart w:id="29" w:name="_Toc35393632"/>
      <w:r>
        <w:rPr>
          <w:rFonts w:hint="eastAsia" w:ascii="宋体" w:hAnsi="宋体" w:cs="宋体"/>
          <w:bCs/>
          <w:color w:val="auto"/>
          <w:kern w:val="0"/>
          <w:szCs w:val="21"/>
          <w:highlight w:val="none"/>
        </w:rPr>
        <w:t>时间：</w:t>
      </w:r>
      <w:r>
        <w:rPr>
          <w:rFonts w:hint="eastAsia" w:ascii="宋体" w:hAnsi="宋体"/>
          <w:color w:val="auto"/>
          <w:szCs w:val="21"/>
          <w:highlight w:val="none"/>
        </w:rPr>
        <w:t>202</w:t>
      </w:r>
      <w:r>
        <w:rPr>
          <w:rFonts w:hint="eastAsia" w:ascii="宋体" w:hAnsi="宋体"/>
          <w:color w:val="auto"/>
          <w:szCs w:val="21"/>
          <w:highlight w:val="none"/>
          <w:lang w:val="en-US" w:eastAsia="zh-CN"/>
        </w:rPr>
        <w:t>6</w:t>
      </w:r>
      <w:r>
        <w:rPr>
          <w:rFonts w:hint="eastAsia" w:ascii="宋体" w:hAnsi="宋体"/>
          <w:bCs/>
          <w:color w:val="auto"/>
          <w:szCs w:val="21"/>
          <w:highlight w:val="none"/>
        </w:rPr>
        <w:t>年</w:t>
      </w:r>
      <w:r>
        <w:rPr>
          <w:rFonts w:hint="eastAsia" w:ascii="宋体" w:hAnsi="宋体"/>
          <w:bCs/>
          <w:color w:val="auto"/>
          <w:szCs w:val="21"/>
          <w:highlight w:val="none"/>
          <w:lang w:val="en-US" w:eastAsia="zh-CN"/>
        </w:rPr>
        <w:t>5</w:t>
      </w:r>
      <w:r>
        <w:rPr>
          <w:rFonts w:hint="eastAsia" w:ascii="宋体" w:hAnsi="宋体"/>
          <w:bCs/>
          <w:color w:val="auto"/>
          <w:szCs w:val="21"/>
          <w:highlight w:val="none"/>
        </w:rPr>
        <w:t>月</w:t>
      </w:r>
      <w:r>
        <w:rPr>
          <w:rFonts w:hint="eastAsia" w:ascii="宋体" w:hAnsi="宋体"/>
          <w:bCs/>
          <w:color w:val="auto"/>
          <w:szCs w:val="21"/>
          <w:highlight w:val="none"/>
          <w:lang w:val="en-US" w:eastAsia="zh-CN"/>
        </w:rPr>
        <w:t>15</w:t>
      </w:r>
      <w:r>
        <w:rPr>
          <w:rFonts w:hint="eastAsia" w:ascii="宋体" w:hAnsi="宋体"/>
          <w:bCs/>
          <w:color w:val="auto"/>
          <w:szCs w:val="21"/>
          <w:highlight w:val="none"/>
        </w:rPr>
        <w:t>日</w:t>
      </w:r>
      <w:r>
        <w:rPr>
          <w:rFonts w:hint="eastAsia" w:ascii="宋体" w:hAnsi="宋体" w:cs="宋体"/>
          <w:bCs/>
          <w:color w:val="auto"/>
          <w:kern w:val="0"/>
          <w:szCs w:val="21"/>
          <w:highlight w:val="none"/>
        </w:rPr>
        <w:t>至</w:t>
      </w:r>
      <w:r>
        <w:rPr>
          <w:rFonts w:hint="eastAsia" w:ascii="宋体" w:hAnsi="宋体"/>
          <w:color w:val="auto"/>
          <w:szCs w:val="21"/>
          <w:highlight w:val="none"/>
        </w:rPr>
        <w:t>202</w:t>
      </w:r>
      <w:r>
        <w:rPr>
          <w:rFonts w:hint="eastAsia" w:ascii="宋体" w:hAnsi="宋体"/>
          <w:color w:val="auto"/>
          <w:szCs w:val="21"/>
          <w:highlight w:val="none"/>
          <w:lang w:val="en-US" w:eastAsia="zh-CN"/>
        </w:rPr>
        <w:t>6</w:t>
      </w:r>
      <w:r>
        <w:rPr>
          <w:rFonts w:hint="eastAsia" w:ascii="宋体" w:hAnsi="宋体"/>
          <w:bCs/>
          <w:color w:val="auto"/>
          <w:szCs w:val="21"/>
          <w:highlight w:val="none"/>
        </w:rPr>
        <w:t>年</w:t>
      </w:r>
      <w:r>
        <w:rPr>
          <w:rFonts w:hint="eastAsia" w:ascii="宋体" w:hAnsi="宋体"/>
          <w:bCs/>
          <w:color w:val="auto"/>
          <w:szCs w:val="21"/>
          <w:highlight w:val="none"/>
          <w:lang w:val="en-US" w:eastAsia="zh-CN"/>
        </w:rPr>
        <w:t>5</w:t>
      </w:r>
      <w:r>
        <w:rPr>
          <w:rFonts w:hint="eastAsia" w:ascii="宋体" w:hAnsi="宋体"/>
          <w:bCs/>
          <w:color w:val="auto"/>
          <w:szCs w:val="21"/>
          <w:highlight w:val="none"/>
        </w:rPr>
        <w:t>月</w:t>
      </w:r>
      <w:r>
        <w:rPr>
          <w:rFonts w:hint="eastAsia" w:ascii="宋体" w:hAnsi="宋体"/>
          <w:bCs/>
          <w:color w:val="auto"/>
          <w:szCs w:val="21"/>
          <w:highlight w:val="none"/>
          <w:lang w:val="en-US" w:eastAsia="zh-CN"/>
        </w:rPr>
        <w:t>22</w:t>
      </w:r>
      <w:r>
        <w:rPr>
          <w:rFonts w:hint="eastAsia" w:ascii="宋体" w:hAnsi="宋体"/>
          <w:bCs/>
          <w:color w:val="auto"/>
          <w:szCs w:val="21"/>
          <w:highlight w:val="none"/>
        </w:rPr>
        <w:t>日</w:t>
      </w:r>
      <w:r>
        <w:rPr>
          <w:rFonts w:hint="eastAsia" w:ascii="宋体" w:hAnsi="宋体" w:cs="宋体"/>
          <w:bCs/>
          <w:color w:val="auto"/>
          <w:kern w:val="0"/>
          <w:szCs w:val="21"/>
          <w:highlight w:val="none"/>
        </w:rPr>
        <w:t>，每天8时00分至12时00分，15时00分至18时00分（北京时间，</w:t>
      </w:r>
      <w:r>
        <w:rPr>
          <w:rFonts w:ascii="宋体" w:hAnsi="宋体" w:cs="宋体"/>
          <w:bCs/>
          <w:color w:val="auto"/>
          <w:kern w:val="0"/>
          <w:szCs w:val="21"/>
          <w:highlight w:val="none"/>
        </w:rPr>
        <w:t>法定节假日</w:t>
      </w:r>
      <w:r>
        <w:rPr>
          <w:rFonts w:hint="eastAsia" w:ascii="宋体" w:hAnsi="宋体" w:cs="宋体"/>
          <w:bCs/>
          <w:color w:val="auto"/>
          <w:kern w:val="0"/>
          <w:szCs w:val="21"/>
          <w:highlight w:val="none"/>
        </w:rPr>
        <w:t>除外）</w:t>
      </w:r>
    </w:p>
    <w:p w14:paraId="5F3DF1FA">
      <w:pPr>
        <w:keepNext w:val="0"/>
        <w:keepLines w:val="0"/>
        <w:pageBreakBefore w:val="0"/>
        <w:kinsoku/>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highlight w:val="none"/>
        </w:rPr>
      </w:pPr>
      <w:r>
        <w:rPr>
          <w:rFonts w:hint="eastAsia" w:ascii="宋体" w:hAnsi="宋体" w:cs="宋体"/>
          <w:bCs/>
          <w:color w:val="auto"/>
          <w:kern w:val="0"/>
          <w:szCs w:val="21"/>
          <w:highlight w:val="none"/>
        </w:rPr>
        <w:t>地点：</w:t>
      </w:r>
      <w:r>
        <w:rPr>
          <w:rFonts w:hint="eastAsia" w:ascii="宋体" w:hAnsi="宋体"/>
          <w:color w:val="auto"/>
          <w:szCs w:val="21"/>
          <w:highlight w:val="none"/>
        </w:rPr>
        <w:t>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w:t>
      </w:r>
    </w:p>
    <w:p w14:paraId="1C9AA476">
      <w:pPr>
        <w:keepNext w:val="0"/>
        <w:keepLines w:val="0"/>
        <w:pageBreakBefore w:val="0"/>
        <w:kinsoku/>
        <w:overflowPunct/>
        <w:topLinePunct w:val="0"/>
        <w:autoSpaceDE/>
        <w:autoSpaceDN/>
        <w:bidi w:val="0"/>
        <w:adjustRightInd/>
        <w:snapToGrid/>
        <w:spacing w:line="400" w:lineRule="exact"/>
        <w:ind w:firstLine="420" w:firstLineChars="20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方式：网上下载。本项目不提供纸质文件，潜在供应商需在</w:t>
      </w:r>
      <w:r>
        <w:rPr>
          <w:rFonts w:ascii="宋体" w:hAnsi="宋体" w:cs="宋体"/>
          <w:bCs/>
          <w:color w:val="auto"/>
          <w:kern w:val="0"/>
          <w:szCs w:val="21"/>
          <w:highlight w:val="none"/>
        </w:rPr>
        <w:t>广西政府采购云平台</w:t>
      </w:r>
      <w:r>
        <w:rPr>
          <w:rFonts w:hint="eastAsia" w:ascii="宋体" w:hAnsi="宋体" w:cs="宋体"/>
          <w:bCs/>
          <w:color w:val="auto"/>
          <w:kern w:val="0"/>
          <w:szCs w:val="21"/>
          <w:highlight w:val="none"/>
        </w:rPr>
        <w:t>（</w:t>
      </w:r>
      <w:r>
        <w:rPr>
          <w:rFonts w:ascii="宋体" w:hAnsi="宋体" w:cs="宋体"/>
          <w:bCs/>
          <w:color w:val="auto"/>
          <w:kern w:val="0"/>
          <w:szCs w:val="21"/>
          <w:highlight w:val="none"/>
        </w:rPr>
        <w:t>https://www.gcy.zfcg.gxzf.gov.cn/</w:t>
      </w:r>
      <w:r>
        <w:rPr>
          <w:rFonts w:hint="eastAsia" w:ascii="宋体" w:hAnsi="宋体" w:cs="宋体"/>
          <w:bCs/>
          <w:color w:val="auto"/>
          <w:kern w:val="0"/>
          <w:szCs w:val="21"/>
          <w:highlight w:val="none"/>
        </w:rPr>
        <w:t>）-进入“项目采购”应用，在获取采购文件菜单中选择项目，获取竞争性磋商文件。电子响应文件制作需要基于</w:t>
      </w:r>
      <w:r>
        <w:rPr>
          <w:rFonts w:ascii="宋体" w:hAnsi="宋体" w:cs="宋体"/>
          <w:bCs/>
          <w:color w:val="auto"/>
          <w:kern w:val="0"/>
          <w:szCs w:val="21"/>
          <w:highlight w:val="none"/>
        </w:rPr>
        <w:t>广西政府采购云平台</w:t>
      </w:r>
      <w:r>
        <w:rPr>
          <w:rFonts w:hint="eastAsia" w:ascii="宋体" w:hAnsi="宋体" w:cs="宋体"/>
          <w:bCs/>
          <w:color w:val="auto"/>
          <w:kern w:val="0"/>
          <w:szCs w:val="21"/>
          <w:highlight w:val="none"/>
        </w:rPr>
        <w:t>获取的竞争性磋商文件编制，通过其他方式获取竞争性磋商文件的，将有可能导致供应商无法在</w:t>
      </w:r>
      <w:r>
        <w:rPr>
          <w:rFonts w:ascii="宋体" w:hAnsi="宋体" w:cs="宋体"/>
          <w:bCs/>
          <w:color w:val="auto"/>
          <w:kern w:val="0"/>
          <w:szCs w:val="21"/>
          <w:highlight w:val="none"/>
        </w:rPr>
        <w:t>广西政府采购云平台</w:t>
      </w:r>
      <w:r>
        <w:rPr>
          <w:rFonts w:hint="eastAsia" w:ascii="宋体" w:hAnsi="宋体" w:cs="宋体"/>
          <w:bCs/>
          <w:color w:val="auto"/>
          <w:kern w:val="0"/>
          <w:szCs w:val="21"/>
          <w:highlight w:val="none"/>
        </w:rPr>
        <w:t>编制及上传响应文件。</w:t>
      </w:r>
    </w:p>
    <w:p w14:paraId="19CC96F7">
      <w:pPr>
        <w:keepNext w:val="0"/>
        <w:keepLines w:val="0"/>
        <w:pageBreakBefore w:val="0"/>
        <w:kinsoku/>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bCs/>
          <w:color w:val="auto"/>
          <w:kern w:val="0"/>
          <w:szCs w:val="21"/>
          <w:highlight w:val="none"/>
        </w:rPr>
        <w:t>售价：</w:t>
      </w:r>
      <w:r>
        <w:rPr>
          <w:rFonts w:hint="eastAsia" w:ascii="宋体" w:hAnsi="宋体" w:cs="宋体"/>
          <w:color w:val="auto"/>
          <w:szCs w:val="21"/>
          <w:highlight w:val="none"/>
        </w:rPr>
        <w:t>0元</w:t>
      </w:r>
    </w:p>
    <w:p w14:paraId="2FF2508B">
      <w:pPr>
        <w:keepNext w:val="0"/>
        <w:keepLines w:val="0"/>
        <w:pageBreakBefore w:val="0"/>
        <w:kinsoku/>
        <w:overflowPunct/>
        <w:topLinePunct w:val="0"/>
        <w:autoSpaceDE/>
        <w:autoSpaceDN/>
        <w:bidi w:val="0"/>
        <w:adjustRightInd/>
        <w:snapToGrid/>
        <w:spacing w:line="400" w:lineRule="exact"/>
        <w:ind w:firstLine="354" w:firstLineChars="147"/>
        <w:textAlignment w:val="auto"/>
        <w:rPr>
          <w:rFonts w:ascii="黑体" w:hAnsi="黑体" w:eastAsia="黑体"/>
          <w:b/>
          <w:color w:val="auto"/>
          <w:sz w:val="24"/>
          <w:highlight w:val="none"/>
        </w:rPr>
      </w:pPr>
      <w:bookmarkStart w:id="30" w:name="_Toc71365908"/>
      <w:r>
        <w:rPr>
          <w:rFonts w:hint="eastAsia" w:ascii="黑体" w:hAnsi="黑体" w:eastAsia="黑体"/>
          <w:b/>
          <w:color w:val="auto"/>
          <w:sz w:val="24"/>
          <w:highlight w:val="none"/>
        </w:rPr>
        <w:t>四、响应文件提交</w:t>
      </w:r>
      <w:bookmarkEnd w:id="24"/>
      <w:bookmarkEnd w:id="25"/>
      <w:bookmarkEnd w:id="26"/>
      <w:bookmarkEnd w:id="27"/>
      <w:bookmarkEnd w:id="28"/>
      <w:bookmarkEnd w:id="29"/>
    </w:p>
    <w:p w14:paraId="76ED39B6">
      <w:pPr>
        <w:keepNext w:val="0"/>
        <w:keepLines w:val="0"/>
        <w:pageBreakBefore w:val="0"/>
        <w:kinsoku/>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bookmarkStart w:id="31" w:name="_Toc28359093"/>
      <w:bookmarkStart w:id="32" w:name="_Toc35393802"/>
      <w:bookmarkStart w:id="33" w:name="_Toc44229882"/>
      <w:bookmarkStart w:id="34" w:name="_Toc28359016"/>
      <w:bookmarkStart w:id="35" w:name="_Toc35393633"/>
      <w:r>
        <w:rPr>
          <w:rFonts w:hint="eastAsia" w:ascii="宋体" w:hAnsi="宋体"/>
          <w:color w:val="auto"/>
          <w:szCs w:val="21"/>
          <w:highlight w:val="none"/>
        </w:rPr>
        <w:t>截止时间：202</w:t>
      </w:r>
      <w:r>
        <w:rPr>
          <w:rFonts w:hint="eastAsia" w:ascii="宋体" w:hAnsi="宋体"/>
          <w:color w:val="auto"/>
          <w:szCs w:val="21"/>
          <w:highlight w:val="none"/>
          <w:lang w:val="en-US" w:eastAsia="zh-CN"/>
        </w:rPr>
        <w:t>6</w:t>
      </w:r>
      <w:r>
        <w:rPr>
          <w:rFonts w:hint="eastAsia" w:ascii="宋体" w:hAnsi="宋体"/>
          <w:bCs/>
          <w:color w:val="auto"/>
          <w:szCs w:val="21"/>
          <w:highlight w:val="none"/>
        </w:rPr>
        <w:t>年</w:t>
      </w:r>
      <w:r>
        <w:rPr>
          <w:rFonts w:hint="eastAsia" w:ascii="宋体" w:hAnsi="宋体"/>
          <w:bCs/>
          <w:color w:val="auto"/>
          <w:szCs w:val="21"/>
          <w:highlight w:val="none"/>
          <w:lang w:val="en-US" w:eastAsia="zh-CN"/>
        </w:rPr>
        <w:t>5</w:t>
      </w:r>
      <w:r>
        <w:rPr>
          <w:rFonts w:hint="eastAsia" w:ascii="宋体" w:hAnsi="宋体"/>
          <w:bCs/>
          <w:color w:val="auto"/>
          <w:szCs w:val="21"/>
          <w:highlight w:val="none"/>
        </w:rPr>
        <w:t>月</w:t>
      </w:r>
      <w:r>
        <w:rPr>
          <w:rFonts w:hint="eastAsia" w:ascii="宋体" w:hAnsi="宋体"/>
          <w:bCs/>
          <w:color w:val="auto"/>
          <w:szCs w:val="21"/>
          <w:highlight w:val="none"/>
          <w:lang w:val="en-US" w:eastAsia="zh-CN"/>
        </w:rPr>
        <w:t>28</w:t>
      </w:r>
      <w:r>
        <w:rPr>
          <w:rFonts w:hint="eastAsia" w:ascii="宋体" w:hAnsi="宋体"/>
          <w:bCs/>
          <w:color w:val="auto"/>
          <w:szCs w:val="21"/>
          <w:highlight w:val="none"/>
        </w:rPr>
        <w:t>日</w:t>
      </w:r>
      <w:r>
        <w:rPr>
          <w:rFonts w:hint="eastAsia" w:ascii="宋体" w:hAnsi="宋体"/>
          <w:bCs/>
          <w:color w:val="auto"/>
          <w:szCs w:val="21"/>
          <w:highlight w:val="none"/>
          <w:lang w:val="en-US" w:eastAsia="zh-CN"/>
        </w:rPr>
        <w:t>15</w:t>
      </w:r>
      <w:r>
        <w:rPr>
          <w:rFonts w:hint="eastAsia" w:ascii="宋体" w:hAnsi="宋体"/>
          <w:bCs/>
          <w:color w:val="auto"/>
          <w:szCs w:val="21"/>
          <w:highlight w:val="none"/>
        </w:rPr>
        <w:t>时30分（北京时间）</w:t>
      </w:r>
    </w:p>
    <w:p w14:paraId="61CDC549">
      <w:pPr>
        <w:keepNext w:val="0"/>
        <w:keepLines w:val="0"/>
        <w:pageBreakBefore w:val="0"/>
        <w:kinsoku/>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地点：</w:t>
      </w:r>
      <w:r>
        <w:rPr>
          <w:rFonts w:ascii="宋体" w:hAnsi="宋体"/>
          <w:color w:val="auto"/>
          <w:szCs w:val="21"/>
          <w:highlight w:val="none"/>
        </w:rPr>
        <w:t>广西政府采购云平台</w:t>
      </w:r>
      <w:r>
        <w:rPr>
          <w:rFonts w:hint="eastAsia" w:ascii="宋体" w:hAnsi="宋体"/>
          <w:color w:val="auto"/>
          <w:szCs w:val="21"/>
          <w:highlight w:val="none"/>
        </w:rPr>
        <w:t>（</w:t>
      </w:r>
      <w:r>
        <w:rPr>
          <w:rFonts w:ascii="宋体" w:hAnsi="宋体"/>
          <w:bCs/>
          <w:color w:val="auto"/>
          <w:szCs w:val="21"/>
          <w:highlight w:val="none"/>
        </w:rPr>
        <w:t>https://www.gcy.zfcg.gxzf.gov.cn/</w:t>
      </w:r>
      <w:r>
        <w:rPr>
          <w:rFonts w:hint="eastAsia" w:ascii="宋体" w:hAnsi="宋体"/>
          <w:color w:val="auto"/>
          <w:szCs w:val="21"/>
          <w:highlight w:val="none"/>
        </w:rPr>
        <w:t>）</w:t>
      </w:r>
    </w:p>
    <w:p w14:paraId="113E9E9C">
      <w:pPr>
        <w:keepNext w:val="0"/>
        <w:keepLines w:val="0"/>
        <w:pageBreakBefore w:val="0"/>
        <w:kinsoku/>
        <w:overflowPunct/>
        <w:topLinePunct w:val="0"/>
        <w:autoSpaceDE/>
        <w:autoSpaceDN/>
        <w:bidi w:val="0"/>
        <w:adjustRightInd/>
        <w:snapToGrid/>
        <w:spacing w:line="400" w:lineRule="exact"/>
        <w:ind w:firstLine="354" w:firstLineChars="147"/>
        <w:textAlignment w:val="auto"/>
        <w:rPr>
          <w:rFonts w:ascii="黑体" w:hAnsi="黑体" w:eastAsia="黑体"/>
          <w:b/>
          <w:color w:val="auto"/>
          <w:sz w:val="24"/>
          <w:highlight w:val="none"/>
        </w:rPr>
      </w:pPr>
      <w:bookmarkStart w:id="36" w:name="_Toc71365909"/>
      <w:r>
        <w:rPr>
          <w:rFonts w:hint="eastAsia" w:ascii="黑体" w:hAnsi="黑体" w:eastAsia="黑体"/>
          <w:b/>
          <w:color w:val="auto"/>
          <w:sz w:val="24"/>
          <w:highlight w:val="none"/>
        </w:rPr>
        <w:t>五、开启</w:t>
      </w:r>
      <w:bookmarkEnd w:id="30"/>
      <w:bookmarkEnd w:id="31"/>
      <w:bookmarkEnd w:id="32"/>
      <w:bookmarkEnd w:id="33"/>
      <w:bookmarkEnd w:id="34"/>
      <w:bookmarkEnd w:id="35"/>
    </w:p>
    <w:p w14:paraId="31ACB3D2">
      <w:pPr>
        <w:keepNext w:val="0"/>
        <w:keepLines w:val="0"/>
        <w:pageBreakBefore w:val="0"/>
        <w:kinsoku/>
        <w:overflowPunct/>
        <w:topLinePunct w:val="0"/>
        <w:autoSpaceDE/>
        <w:autoSpaceDN/>
        <w:bidi w:val="0"/>
        <w:adjustRightInd/>
        <w:snapToGrid/>
        <w:spacing w:line="400" w:lineRule="exact"/>
        <w:ind w:firstLine="420" w:firstLineChars="200"/>
        <w:textAlignment w:val="auto"/>
        <w:rPr>
          <w:rFonts w:ascii="宋体" w:hAnsi="宋体"/>
          <w:bCs/>
          <w:color w:val="auto"/>
          <w:szCs w:val="21"/>
          <w:highlight w:val="none"/>
          <w:u w:val="singl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时间：202</w:t>
      </w:r>
      <w:r>
        <w:rPr>
          <w:rFonts w:hint="eastAsia" w:ascii="宋体" w:hAnsi="宋体"/>
          <w:color w:val="auto"/>
          <w:szCs w:val="21"/>
          <w:highlight w:val="none"/>
          <w:lang w:val="en-US" w:eastAsia="zh-CN"/>
        </w:rPr>
        <w:t>6</w:t>
      </w:r>
      <w:r>
        <w:rPr>
          <w:rFonts w:hint="eastAsia" w:ascii="宋体" w:hAnsi="宋体"/>
          <w:bCs/>
          <w:color w:val="auto"/>
          <w:szCs w:val="21"/>
          <w:highlight w:val="none"/>
        </w:rPr>
        <w:t>年</w:t>
      </w:r>
      <w:r>
        <w:rPr>
          <w:rFonts w:hint="eastAsia" w:ascii="宋体" w:hAnsi="宋体"/>
          <w:bCs/>
          <w:color w:val="auto"/>
          <w:szCs w:val="21"/>
          <w:highlight w:val="none"/>
          <w:lang w:val="en-US" w:eastAsia="zh-CN"/>
        </w:rPr>
        <w:t>5</w:t>
      </w:r>
      <w:r>
        <w:rPr>
          <w:rFonts w:hint="eastAsia" w:ascii="宋体" w:hAnsi="宋体"/>
          <w:bCs/>
          <w:color w:val="auto"/>
          <w:szCs w:val="21"/>
          <w:highlight w:val="none"/>
        </w:rPr>
        <w:t>月</w:t>
      </w:r>
      <w:r>
        <w:rPr>
          <w:rFonts w:hint="eastAsia" w:ascii="宋体" w:hAnsi="宋体"/>
          <w:bCs/>
          <w:color w:val="auto"/>
          <w:szCs w:val="21"/>
          <w:highlight w:val="none"/>
          <w:lang w:val="en-US" w:eastAsia="zh-CN"/>
        </w:rPr>
        <w:t>28</w:t>
      </w:r>
      <w:r>
        <w:rPr>
          <w:rFonts w:hint="eastAsia" w:ascii="宋体" w:hAnsi="宋体"/>
          <w:bCs/>
          <w:color w:val="auto"/>
          <w:szCs w:val="21"/>
          <w:highlight w:val="none"/>
        </w:rPr>
        <w:t>日</w:t>
      </w:r>
      <w:r>
        <w:rPr>
          <w:rFonts w:hint="eastAsia" w:ascii="宋体" w:hAnsi="宋体"/>
          <w:bCs/>
          <w:color w:val="auto"/>
          <w:szCs w:val="21"/>
          <w:highlight w:val="none"/>
          <w:lang w:val="en-US" w:eastAsia="zh-CN"/>
        </w:rPr>
        <w:t>15</w:t>
      </w:r>
      <w:r>
        <w:rPr>
          <w:rFonts w:hint="eastAsia" w:ascii="宋体" w:hAnsi="宋体"/>
          <w:bCs/>
          <w:color w:val="auto"/>
          <w:szCs w:val="21"/>
          <w:highlight w:val="none"/>
        </w:rPr>
        <w:t>时30分（北京时间）后</w:t>
      </w:r>
    </w:p>
    <w:p w14:paraId="42B7ED14">
      <w:pPr>
        <w:keepNext w:val="0"/>
        <w:keepLines w:val="0"/>
        <w:pageBreakBefore w:val="0"/>
        <w:kinsoku/>
        <w:overflowPunct/>
        <w:topLinePunct w:val="0"/>
        <w:autoSpaceDE/>
        <w:autoSpaceDN/>
        <w:bidi w:val="0"/>
        <w:adjustRightInd/>
        <w:snapToGrid/>
        <w:spacing w:line="400" w:lineRule="exact"/>
        <w:ind w:firstLine="420" w:firstLineChars="200"/>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地点：</w:t>
      </w:r>
      <w:r>
        <w:rPr>
          <w:rFonts w:hint="eastAsia"/>
          <w:color w:val="auto"/>
          <w:szCs w:val="21"/>
          <w:highlight w:val="none"/>
          <w:shd w:val="clear" w:color="auto" w:fill="FFFFFF"/>
        </w:rPr>
        <w:t>广西政府采购云平台政府采购开评标室</w:t>
      </w:r>
      <w:r>
        <w:rPr>
          <w:rFonts w:hint="eastAsia"/>
          <w:color w:val="auto"/>
          <w:szCs w:val="21"/>
          <w:highlight w:val="none"/>
          <w:u w:val="single"/>
          <w:shd w:val="clear" w:color="auto" w:fill="FFFFFF"/>
          <w:lang w:val="en-US" w:eastAsia="zh-CN"/>
        </w:rPr>
        <w:t xml:space="preserve">3 </w:t>
      </w:r>
      <w:r>
        <w:rPr>
          <w:rFonts w:hint="eastAsia"/>
          <w:color w:val="auto"/>
          <w:szCs w:val="21"/>
          <w:highlight w:val="none"/>
          <w:shd w:val="clear" w:color="auto" w:fill="FFFFFF"/>
          <w:lang w:val="en-US" w:eastAsia="zh-CN"/>
        </w:rPr>
        <w:t xml:space="preserve">  </w:t>
      </w:r>
    </w:p>
    <w:p w14:paraId="69F18050">
      <w:pPr>
        <w:keepNext w:val="0"/>
        <w:keepLines w:val="0"/>
        <w:pageBreakBefore w:val="0"/>
        <w:kinsoku/>
        <w:overflowPunct/>
        <w:topLinePunct w:val="0"/>
        <w:autoSpaceDE/>
        <w:autoSpaceDN/>
        <w:bidi w:val="0"/>
        <w:adjustRightInd/>
        <w:snapToGrid/>
        <w:spacing w:line="400" w:lineRule="exact"/>
        <w:ind w:firstLine="354" w:firstLineChars="147"/>
        <w:textAlignment w:val="auto"/>
        <w:rPr>
          <w:rFonts w:ascii="黑体" w:hAnsi="黑体" w:eastAsia="黑体"/>
          <w:b/>
          <w:color w:val="auto"/>
          <w:sz w:val="24"/>
          <w:highlight w:val="none"/>
        </w:rPr>
      </w:pPr>
      <w:bookmarkStart w:id="37" w:name="_Toc28359017"/>
      <w:bookmarkStart w:id="38" w:name="_Toc44229883"/>
      <w:bookmarkStart w:id="39" w:name="_Toc71365910"/>
      <w:bookmarkStart w:id="40" w:name="_Toc35393634"/>
      <w:bookmarkStart w:id="41" w:name="_Toc35393803"/>
      <w:bookmarkStart w:id="42" w:name="_Toc28359094"/>
      <w:r>
        <w:rPr>
          <w:rFonts w:hint="eastAsia" w:ascii="黑体" w:hAnsi="黑体" w:eastAsia="黑体"/>
          <w:b/>
          <w:color w:val="auto"/>
          <w:sz w:val="24"/>
          <w:highlight w:val="none"/>
        </w:rPr>
        <w:t>六、公告期限</w:t>
      </w:r>
      <w:bookmarkEnd w:id="36"/>
      <w:bookmarkEnd w:id="37"/>
      <w:bookmarkEnd w:id="38"/>
      <w:bookmarkEnd w:id="39"/>
      <w:bookmarkEnd w:id="40"/>
      <w:bookmarkEnd w:id="41"/>
    </w:p>
    <w:p w14:paraId="02616743">
      <w:pPr>
        <w:keepNext w:val="0"/>
        <w:keepLines w:val="0"/>
        <w:pageBreakBefore w:val="0"/>
        <w:kinsoku/>
        <w:overflowPunct/>
        <w:topLinePunct w:val="0"/>
        <w:autoSpaceDE/>
        <w:autoSpaceDN/>
        <w:bidi w:val="0"/>
        <w:adjustRightInd/>
        <w:snapToGrid/>
        <w:spacing w:line="40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6ED8974F">
      <w:pPr>
        <w:keepNext w:val="0"/>
        <w:keepLines w:val="0"/>
        <w:pageBreakBefore w:val="0"/>
        <w:kinsoku/>
        <w:overflowPunct/>
        <w:topLinePunct w:val="0"/>
        <w:autoSpaceDE/>
        <w:autoSpaceDN/>
        <w:bidi w:val="0"/>
        <w:adjustRightInd/>
        <w:snapToGrid/>
        <w:spacing w:line="400" w:lineRule="exact"/>
        <w:ind w:firstLine="354" w:firstLineChars="147"/>
        <w:textAlignment w:val="auto"/>
        <w:rPr>
          <w:rFonts w:ascii="黑体" w:hAnsi="黑体" w:eastAsia="黑体"/>
          <w:b/>
          <w:color w:val="auto"/>
          <w:sz w:val="24"/>
          <w:highlight w:val="none"/>
        </w:rPr>
      </w:pPr>
      <w:bookmarkStart w:id="43" w:name="_Toc71365911"/>
      <w:bookmarkStart w:id="44" w:name="_Toc44229884"/>
      <w:bookmarkStart w:id="45" w:name="_Toc35393635"/>
      <w:bookmarkStart w:id="46" w:name="_Toc35393804"/>
      <w:r>
        <w:rPr>
          <w:rFonts w:hint="eastAsia" w:ascii="黑体" w:hAnsi="黑体" w:eastAsia="黑体"/>
          <w:b/>
          <w:color w:val="auto"/>
          <w:sz w:val="24"/>
          <w:highlight w:val="none"/>
        </w:rPr>
        <w:t>七、其他补充事宜</w:t>
      </w:r>
      <w:bookmarkEnd w:id="42"/>
      <w:bookmarkEnd w:id="43"/>
      <w:bookmarkEnd w:id="44"/>
      <w:bookmarkEnd w:id="45"/>
    </w:p>
    <w:p w14:paraId="41335CDD">
      <w:pPr>
        <w:keepNext w:val="0"/>
        <w:keepLines w:val="0"/>
        <w:pageBreakBefore w:val="0"/>
        <w:widowControl/>
        <w:kinsoku/>
        <w:overflowPunct/>
        <w:topLinePunct w:val="0"/>
        <w:autoSpaceDE/>
        <w:autoSpaceDN/>
        <w:bidi w:val="0"/>
        <w:adjustRightInd/>
        <w:snapToGrid/>
        <w:spacing w:line="400" w:lineRule="exact"/>
        <w:ind w:firstLine="420" w:firstLineChars="200"/>
        <w:jc w:val="left"/>
        <w:textAlignment w:val="auto"/>
        <w:rPr>
          <w:rFonts w:hint="eastAsia" w:ascii="宋体" w:hAnsi="宋体" w:cs="宋体"/>
          <w:iCs/>
          <w:color w:val="auto"/>
          <w:kern w:val="0"/>
          <w:szCs w:val="21"/>
          <w:highlight w:val="none"/>
        </w:rPr>
      </w:pPr>
      <w:r>
        <w:rPr>
          <w:rFonts w:hint="eastAsia" w:ascii="宋体" w:hAnsi="宋体" w:cs="宋体"/>
          <w:iCs/>
          <w:color w:val="auto"/>
          <w:kern w:val="0"/>
          <w:szCs w:val="21"/>
          <w:highlight w:val="none"/>
        </w:rPr>
        <w:t>1.网上查询地址</w:t>
      </w:r>
      <w:r>
        <w:rPr>
          <w:rFonts w:hint="eastAsia" w:ascii="宋体" w:hAnsi="宋体" w:cs="宋体"/>
          <w:iCs/>
          <w:color w:val="auto"/>
          <w:kern w:val="0"/>
          <w:szCs w:val="21"/>
          <w:highlight w:val="none"/>
          <w:lang w:eastAsia="zh-CN"/>
        </w:rPr>
        <w:t>：</w:t>
      </w:r>
      <w:r>
        <w:rPr>
          <w:rFonts w:hint="eastAsia" w:ascii="宋体" w:hAnsi="宋体" w:cs="宋体"/>
          <w:iCs/>
          <w:color w:val="auto"/>
          <w:kern w:val="0"/>
          <w:szCs w:val="21"/>
          <w:highlight w:val="none"/>
        </w:rPr>
        <w:t>中国政府采购网（http://www.ccgp.gov.cn/）、广西壮族自治区政府采购网（http://www.ccgp-guangxi.gov.cn/）</w:t>
      </w:r>
      <w:r>
        <w:rPr>
          <w:rFonts w:hint="eastAsia" w:ascii="宋体" w:hAnsi="宋体" w:cs="宋体"/>
          <w:iCs/>
          <w:color w:val="auto"/>
          <w:kern w:val="0"/>
          <w:szCs w:val="21"/>
          <w:highlight w:val="none"/>
          <w:lang w:eastAsia="zh-CN"/>
        </w:rPr>
        <w:t>、全国公共资源交易平台(广西·防城港)（http://ggzy.jgswj.gxzf.gov.cn/fcgggzy/）</w:t>
      </w:r>
      <w:r>
        <w:rPr>
          <w:rFonts w:hint="eastAsia" w:ascii="宋体" w:hAnsi="宋体" w:cs="宋体"/>
          <w:iCs/>
          <w:color w:val="auto"/>
          <w:kern w:val="0"/>
          <w:szCs w:val="21"/>
          <w:highlight w:val="none"/>
        </w:rPr>
        <w:t>。</w:t>
      </w:r>
    </w:p>
    <w:p w14:paraId="093FEA50">
      <w:pPr>
        <w:keepNext w:val="0"/>
        <w:keepLines w:val="0"/>
        <w:pageBreakBefore w:val="0"/>
        <w:widowControl/>
        <w:kinsoku/>
        <w:overflowPunct/>
        <w:topLinePunct w:val="0"/>
        <w:autoSpaceDE/>
        <w:autoSpaceDN/>
        <w:bidi w:val="0"/>
        <w:adjustRightInd/>
        <w:snapToGrid/>
        <w:spacing w:line="400" w:lineRule="exact"/>
        <w:ind w:firstLine="420" w:firstLineChars="200"/>
        <w:jc w:val="left"/>
        <w:textAlignment w:val="auto"/>
        <w:rPr>
          <w:rFonts w:hint="eastAsia" w:ascii="宋体" w:hAnsi="宋体" w:cs="宋体"/>
          <w:iCs/>
          <w:color w:val="auto"/>
          <w:kern w:val="0"/>
          <w:szCs w:val="21"/>
          <w:highlight w:val="none"/>
        </w:rPr>
      </w:pPr>
      <w:bookmarkStart w:id="47" w:name="_Toc35393805"/>
      <w:bookmarkStart w:id="48" w:name="_Toc44229885"/>
      <w:bookmarkStart w:id="49" w:name="_Hlk37429674"/>
      <w:bookmarkStart w:id="50" w:name="_Toc28359095"/>
      <w:bookmarkStart w:id="51" w:name="_Toc35393636"/>
      <w:bookmarkStart w:id="52" w:name="_Toc28359018"/>
      <w:r>
        <w:rPr>
          <w:rFonts w:hint="eastAsia" w:ascii="宋体" w:hAnsi="宋体" w:cs="宋体"/>
          <w:iCs/>
          <w:color w:val="auto"/>
          <w:kern w:val="0"/>
          <w:szCs w:val="21"/>
          <w:highlight w:val="none"/>
        </w:rPr>
        <w:t>2.本项目需要落实的政府采购政策</w:t>
      </w:r>
    </w:p>
    <w:bookmarkEnd w:id="46"/>
    <w:p w14:paraId="3A56850F">
      <w:pPr>
        <w:keepNext w:val="0"/>
        <w:keepLines w:val="0"/>
        <w:pageBreakBefore w:val="0"/>
        <w:widowControl/>
        <w:kinsoku/>
        <w:overflowPunct/>
        <w:topLinePunct w:val="0"/>
        <w:autoSpaceDE/>
        <w:autoSpaceDN/>
        <w:bidi w:val="0"/>
        <w:adjustRightInd/>
        <w:snapToGrid/>
        <w:spacing w:line="400" w:lineRule="exact"/>
        <w:ind w:firstLine="420" w:firstLineChars="200"/>
        <w:jc w:val="left"/>
        <w:textAlignment w:val="auto"/>
        <w:rPr>
          <w:rFonts w:ascii="宋体" w:hAnsi="宋体" w:cs="宋体"/>
          <w:iCs/>
          <w:color w:val="auto"/>
          <w:kern w:val="0"/>
          <w:szCs w:val="21"/>
          <w:highlight w:val="none"/>
        </w:rPr>
      </w:pPr>
      <w:r>
        <w:rPr>
          <w:rFonts w:hint="eastAsia" w:ascii="宋体" w:hAnsi="宋体" w:cs="宋体"/>
          <w:iCs/>
          <w:color w:val="auto"/>
          <w:kern w:val="0"/>
          <w:szCs w:val="21"/>
          <w:highlight w:val="none"/>
        </w:rPr>
        <w:t>（1）政府采购促进中小企业发展。</w:t>
      </w:r>
    </w:p>
    <w:p w14:paraId="1CE33015">
      <w:pPr>
        <w:keepNext w:val="0"/>
        <w:keepLines w:val="0"/>
        <w:pageBreakBefore w:val="0"/>
        <w:widowControl/>
        <w:kinsoku/>
        <w:overflowPunct/>
        <w:topLinePunct w:val="0"/>
        <w:autoSpaceDE/>
        <w:autoSpaceDN/>
        <w:bidi w:val="0"/>
        <w:adjustRightInd/>
        <w:snapToGrid/>
        <w:spacing w:line="400" w:lineRule="exact"/>
        <w:ind w:firstLine="420" w:firstLineChars="200"/>
        <w:jc w:val="left"/>
        <w:textAlignment w:val="auto"/>
        <w:rPr>
          <w:rFonts w:ascii="宋体" w:hAnsi="宋体" w:cs="宋体"/>
          <w:iCs/>
          <w:color w:val="auto"/>
          <w:kern w:val="0"/>
          <w:szCs w:val="21"/>
          <w:highlight w:val="none"/>
        </w:rPr>
      </w:pPr>
      <w:r>
        <w:rPr>
          <w:rFonts w:hint="eastAsia" w:ascii="宋体" w:hAnsi="宋体" w:cs="宋体"/>
          <w:iCs/>
          <w:color w:val="auto"/>
          <w:kern w:val="0"/>
          <w:szCs w:val="21"/>
          <w:highlight w:val="none"/>
        </w:rPr>
        <w:t>（2）政府采购支持采用本国产品的政策。</w:t>
      </w:r>
    </w:p>
    <w:p w14:paraId="719B50B3">
      <w:pPr>
        <w:keepNext w:val="0"/>
        <w:keepLines w:val="0"/>
        <w:pageBreakBefore w:val="0"/>
        <w:widowControl/>
        <w:kinsoku/>
        <w:overflowPunct/>
        <w:topLinePunct w:val="0"/>
        <w:autoSpaceDE/>
        <w:autoSpaceDN/>
        <w:bidi w:val="0"/>
        <w:adjustRightInd/>
        <w:snapToGrid/>
        <w:spacing w:line="400" w:lineRule="exact"/>
        <w:ind w:firstLine="420" w:firstLineChars="200"/>
        <w:jc w:val="left"/>
        <w:textAlignment w:val="auto"/>
        <w:rPr>
          <w:rFonts w:ascii="宋体" w:hAnsi="宋体" w:cs="宋体"/>
          <w:iCs/>
          <w:color w:val="auto"/>
          <w:kern w:val="0"/>
          <w:szCs w:val="21"/>
          <w:highlight w:val="none"/>
        </w:rPr>
      </w:pPr>
      <w:r>
        <w:rPr>
          <w:rFonts w:hint="eastAsia" w:ascii="宋体" w:hAnsi="宋体" w:cs="宋体"/>
          <w:iCs/>
          <w:color w:val="auto"/>
          <w:kern w:val="0"/>
          <w:szCs w:val="21"/>
          <w:highlight w:val="none"/>
        </w:rPr>
        <w:t>（3）强制采购节能产品；优先采购节能产品、环境标志产品。</w:t>
      </w:r>
    </w:p>
    <w:p w14:paraId="0B6A4026">
      <w:pPr>
        <w:keepNext w:val="0"/>
        <w:keepLines w:val="0"/>
        <w:pageBreakBefore w:val="0"/>
        <w:widowControl/>
        <w:kinsoku/>
        <w:overflowPunct/>
        <w:topLinePunct w:val="0"/>
        <w:autoSpaceDE/>
        <w:autoSpaceDN/>
        <w:bidi w:val="0"/>
        <w:adjustRightInd/>
        <w:snapToGrid/>
        <w:spacing w:line="400" w:lineRule="exact"/>
        <w:ind w:firstLine="420" w:firstLineChars="200"/>
        <w:jc w:val="left"/>
        <w:textAlignment w:val="auto"/>
        <w:rPr>
          <w:rFonts w:ascii="宋体" w:hAnsi="宋体" w:cs="宋体"/>
          <w:iCs/>
          <w:color w:val="auto"/>
          <w:kern w:val="0"/>
          <w:szCs w:val="21"/>
          <w:highlight w:val="none"/>
        </w:rPr>
      </w:pPr>
      <w:r>
        <w:rPr>
          <w:rFonts w:hint="eastAsia" w:ascii="宋体" w:hAnsi="宋体" w:cs="宋体"/>
          <w:iCs/>
          <w:color w:val="auto"/>
          <w:kern w:val="0"/>
          <w:szCs w:val="21"/>
          <w:highlight w:val="none"/>
        </w:rPr>
        <w:t>（4）政府采购促进残疾人就业政策。</w:t>
      </w:r>
    </w:p>
    <w:p w14:paraId="2DE59467">
      <w:pPr>
        <w:keepNext w:val="0"/>
        <w:keepLines w:val="0"/>
        <w:pageBreakBefore w:val="0"/>
        <w:widowControl/>
        <w:kinsoku/>
        <w:overflowPunct/>
        <w:topLinePunct w:val="0"/>
        <w:autoSpaceDE/>
        <w:autoSpaceDN/>
        <w:bidi w:val="0"/>
        <w:adjustRightInd/>
        <w:snapToGrid/>
        <w:spacing w:line="400" w:lineRule="exact"/>
        <w:ind w:firstLine="420" w:firstLineChars="200"/>
        <w:jc w:val="left"/>
        <w:textAlignment w:val="auto"/>
        <w:rPr>
          <w:rFonts w:hint="eastAsia" w:ascii="宋体" w:hAnsi="宋体" w:cs="宋体"/>
          <w:iCs/>
          <w:color w:val="auto"/>
          <w:kern w:val="0"/>
          <w:szCs w:val="21"/>
          <w:highlight w:val="none"/>
        </w:rPr>
      </w:pPr>
      <w:r>
        <w:rPr>
          <w:rFonts w:hint="eastAsia" w:ascii="宋体" w:hAnsi="宋体" w:cs="宋体"/>
          <w:iCs/>
          <w:color w:val="auto"/>
          <w:kern w:val="0"/>
          <w:szCs w:val="21"/>
          <w:highlight w:val="none"/>
        </w:rPr>
        <w:t>（5）政府采购支持监狱企业发展。</w:t>
      </w:r>
    </w:p>
    <w:p w14:paraId="6EB9CA96">
      <w:pPr>
        <w:keepNext w:val="0"/>
        <w:keepLines w:val="0"/>
        <w:pageBreakBefore w:val="0"/>
        <w:widowControl/>
        <w:kinsoku/>
        <w:overflowPunct/>
        <w:topLinePunct w:val="0"/>
        <w:autoSpaceDE/>
        <w:autoSpaceDN/>
        <w:bidi w:val="0"/>
        <w:adjustRightInd/>
        <w:snapToGrid/>
        <w:spacing w:line="400" w:lineRule="exact"/>
        <w:ind w:firstLine="420" w:firstLineChars="200"/>
        <w:jc w:val="left"/>
        <w:textAlignment w:val="auto"/>
        <w:rPr>
          <w:rFonts w:ascii="宋体" w:hAnsi="宋体"/>
          <w:color w:val="auto"/>
          <w:szCs w:val="21"/>
          <w:highlight w:val="none"/>
        </w:rPr>
      </w:pPr>
      <w:r>
        <w:rPr>
          <w:rFonts w:hint="eastAsia" w:ascii="宋体" w:hAnsi="宋体" w:cs="宋体"/>
          <w:color w:val="auto"/>
          <w:kern w:val="0"/>
          <w:szCs w:val="21"/>
          <w:highlight w:val="none"/>
        </w:rPr>
        <w:t>3.供应商</w:t>
      </w:r>
      <w:r>
        <w:rPr>
          <w:rFonts w:hint="eastAsia" w:ascii="宋体" w:hAnsi="宋体"/>
          <w:color w:val="auto"/>
          <w:szCs w:val="21"/>
          <w:highlight w:val="none"/>
        </w:rPr>
        <w:t>竞标注意事项</w:t>
      </w:r>
    </w:p>
    <w:p w14:paraId="21261E00">
      <w:pPr>
        <w:keepNext w:val="0"/>
        <w:keepLines w:val="0"/>
        <w:pageBreakBefore w:val="0"/>
        <w:widowControl/>
        <w:kinsoku/>
        <w:overflowPunct/>
        <w:topLinePunct w:val="0"/>
        <w:autoSpaceDE/>
        <w:autoSpaceDN/>
        <w:bidi w:val="0"/>
        <w:adjustRightInd/>
        <w:snapToGrid/>
        <w:spacing w:line="400" w:lineRule="exact"/>
        <w:ind w:firstLine="525" w:firstLineChars="250"/>
        <w:jc w:val="left"/>
        <w:textAlignment w:val="auto"/>
        <w:rPr>
          <w:rFonts w:hint="eastAsia" w:ascii="宋体" w:hAnsi="宋体"/>
          <w:color w:val="auto"/>
          <w:szCs w:val="21"/>
          <w:highlight w:val="none"/>
        </w:rPr>
      </w:pPr>
      <w:r>
        <w:rPr>
          <w:rFonts w:hint="eastAsia" w:ascii="宋体" w:hAnsi="宋体"/>
          <w:color w:val="auto"/>
          <w:szCs w:val="21"/>
          <w:highlight w:val="none"/>
        </w:rPr>
        <w:t>（1）本项目为全流程电子化采购项目，通过广西政府采购云平台（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）实行在线电子竞标，供应商应按照本项目竞争性磋商文件和广西政府采购云平台的要求编制、加密后在响应文件递交截止时间前通过网络上传至广西政府采购云平台（加密的电子</w:t>
      </w:r>
      <w:r>
        <w:rPr>
          <w:rFonts w:hint="eastAsia" w:ascii="宋体" w:hAnsi="宋体"/>
          <w:color w:val="auto"/>
          <w:szCs w:val="21"/>
          <w:highlight w:val="none"/>
          <w:lang w:eastAsia="zh-CN"/>
        </w:rPr>
        <w:t>响应文件</w:t>
      </w:r>
      <w:r>
        <w:rPr>
          <w:rFonts w:hint="eastAsia" w:ascii="宋体" w:hAnsi="宋体"/>
          <w:color w:val="auto"/>
          <w:szCs w:val="21"/>
          <w:highlight w:val="none"/>
        </w:rPr>
        <w:t>是指后缀名为“jm</w:t>
      </w:r>
      <w:r>
        <w:rPr>
          <w:rFonts w:ascii="宋体" w:hAnsi="宋体"/>
          <w:color w:val="auto"/>
          <w:szCs w:val="21"/>
          <w:highlight w:val="none"/>
        </w:rPr>
        <w:t>bs</w:t>
      </w:r>
      <w:r>
        <w:rPr>
          <w:rFonts w:hint="eastAsia" w:ascii="宋体" w:hAnsi="宋体"/>
          <w:color w:val="auto"/>
          <w:szCs w:val="21"/>
          <w:highlight w:val="none"/>
        </w:rPr>
        <w:t>”的文件），</w:t>
      </w:r>
      <w:r>
        <w:rPr>
          <w:rFonts w:hint="eastAsia" w:ascii="宋体" w:hAnsi="宋体"/>
          <w:b/>
          <w:color w:val="auto"/>
          <w:szCs w:val="21"/>
          <w:highlight w:val="none"/>
        </w:rPr>
        <w:t>供应商在</w:t>
      </w:r>
      <w:r>
        <w:rPr>
          <w:rFonts w:hint="eastAsia" w:ascii="宋体" w:hAnsi="宋体"/>
          <w:b/>
          <w:bCs/>
          <w:color w:val="auto"/>
          <w:szCs w:val="21"/>
          <w:highlight w:val="none"/>
        </w:rPr>
        <w:t>广西政府采购云平台</w:t>
      </w:r>
      <w:r>
        <w:rPr>
          <w:rFonts w:hint="eastAsia" w:ascii="宋体" w:hAnsi="宋体"/>
          <w:b/>
          <w:color w:val="auto"/>
          <w:szCs w:val="21"/>
          <w:highlight w:val="none"/>
        </w:rPr>
        <w:t>提交电子响应文件时，请填写参加远程开标活动经办人联系方式。</w:t>
      </w:r>
      <w:r>
        <w:rPr>
          <w:rFonts w:hint="eastAsia" w:ascii="宋体" w:hAnsi="宋体"/>
          <w:color w:val="auto"/>
          <w:szCs w:val="21"/>
          <w:highlight w:val="none"/>
        </w:rPr>
        <w:t>供应商登录广西政府采购云平台，依次进入“服务中心-项目采购-操作流程-电子招投标-</w:t>
      </w:r>
      <w:r>
        <w:rPr>
          <w:rFonts w:ascii="宋体" w:hAnsi="宋体"/>
          <w:color w:val="auto"/>
          <w:szCs w:val="21"/>
          <w:highlight w:val="none"/>
        </w:rPr>
        <w:t>政府采购项目电子交易管理操作指南-供应商</w:t>
      </w:r>
      <w:r>
        <w:rPr>
          <w:rFonts w:hint="eastAsia" w:ascii="宋体" w:hAnsi="宋体"/>
          <w:color w:val="auto"/>
          <w:szCs w:val="21"/>
          <w:highlight w:val="none"/>
        </w:rPr>
        <w:t>”查看电子竞标具体操作流程。</w:t>
      </w:r>
    </w:p>
    <w:p w14:paraId="58086D7E">
      <w:pPr>
        <w:keepNext w:val="0"/>
        <w:keepLines w:val="0"/>
        <w:pageBreakBefore w:val="0"/>
        <w:widowControl/>
        <w:kinsoku/>
        <w:overflowPunct/>
        <w:topLinePunct w:val="0"/>
        <w:autoSpaceDE/>
        <w:autoSpaceDN/>
        <w:bidi w:val="0"/>
        <w:adjustRightInd/>
        <w:snapToGrid/>
        <w:spacing w:line="400" w:lineRule="exact"/>
        <w:ind w:firstLine="525" w:firstLineChars="250"/>
        <w:jc w:val="left"/>
        <w:textAlignment w:val="auto"/>
        <w:rPr>
          <w:rFonts w:ascii="宋体" w:hAnsi="宋体"/>
          <w:color w:val="auto"/>
          <w:szCs w:val="21"/>
          <w:highlight w:val="none"/>
        </w:rPr>
      </w:pPr>
      <w:r>
        <w:rPr>
          <w:rFonts w:hint="eastAsia" w:ascii="宋体" w:hAnsi="宋体"/>
          <w:color w:val="auto"/>
          <w:szCs w:val="21"/>
          <w:highlight w:val="none"/>
        </w:rPr>
        <w:t>（2）未进行网上注册并办理数字证书（CA认证）的供应商将无法参与本项目政府采购活动，竞标供应商应当在</w:t>
      </w:r>
      <w:r>
        <w:rPr>
          <w:rFonts w:hint="eastAsia" w:ascii="宋体" w:hAnsi="宋体"/>
          <w:color w:val="auto"/>
          <w:szCs w:val="21"/>
          <w:highlight w:val="none"/>
          <w:lang w:val="en-US" w:eastAsia="zh-CN"/>
        </w:rPr>
        <w:t>响应文件递交截止时间</w:t>
      </w:r>
      <w:r>
        <w:rPr>
          <w:rFonts w:hint="eastAsia" w:ascii="宋体" w:hAnsi="宋体"/>
          <w:color w:val="auto"/>
          <w:szCs w:val="21"/>
          <w:highlight w:val="none"/>
        </w:rPr>
        <w:t>前，完成电子交易平台上的CA数字证书办理及响应文件的提交（供应商可登录“广西政府采购网”，依次进入“办事服务-下载专区”或者登录广西政府采购云平台，依次进入“服务中心-入驻与配置”中查看CA数字证书办理操作流程。</w:t>
      </w:r>
      <w:r>
        <w:rPr>
          <w:rFonts w:hint="eastAsia" w:ascii="宋体" w:hAnsi="宋体"/>
          <w:bCs/>
          <w:color w:val="auto"/>
          <w:szCs w:val="21"/>
          <w:highlight w:val="none"/>
        </w:rPr>
        <w:t>如在操作过程中遇到问题或者需要技术支持，请致电客服热线：95763或者0771-3381253</w:t>
      </w:r>
      <w:r>
        <w:rPr>
          <w:rFonts w:hint="eastAsia" w:ascii="宋体" w:hAnsi="宋体"/>
          <w:color w:val="auto"/>
          <w:szCs w:val="21"/>
          <w:highlight w:val="none"/>
        </w:rPr>
        <w:t>）。</w:t>
      </w:r>
    </w:p>
    <w:p w14:paraId="35AB19D7">
      <w:pPr>
        <w:keepNext w:val="0"/>
        <w:keepLines w:val="0"/>
        <w:pageBreakBefore w:val="0"/>
        <w:widowControl/>
        <w:kinsoku/>
        <w:overflowPunct/>
        <w:topLinePunct w:val="0"/>
        <w:autoSpaceDE/>
        <w:autoSpaceDN/>
        <w:bidi w:val="0"/>
        <w:adjustRightInd/>
        <w:snapToGrid/>
        <w:spacing w:line="400" w:lineRule="exact"/>
        <w:ind w:firstLine="525" w:firstLineChars="250"/>
        <w:jc w:val="left"/>
        <w:textAlignment w:val="auto"/>
        <w:rPr>
          <w:rFonts w:hint="eastAsia" w:ascii="宋体" w:hAnsi="宋体"/>
          <w:color w:val="auto"/>
          <w:szCs w:val="21"/>
          <w:highlight w:val="none"/>
        </w:rPr>
      </w:pPr>
      <w:r>
        <w:rPr>
          <w:rFonts w:hint="eastAsia" w:ascii="宋体" w:hAnsi="宋体"/>
          <w:color w:val="auto"/>
          <w:szCs w:val="21"/>
          <w:highlight w:val="none"/>
        </w:rPr>
        <w:t>（3）CA证书在线解密：供应商竞标时，需凭制作响应文件时用来加密的有效数字证书（CA认证）登录广西政府采购云平台电子开标大厅现场按规定时间对加密的响应文件进行解密，否则后果自负。</w:t>
      </w:r>
    </w:p>
    <w:p w14:paraId="4E524373">
      <w:pPr>
        <w:keepNext w:val="0"/>
        <w:keepLines w:val="0"/>
        <w:pageBreakBefore w:val="0"/>
        <w:widowControl/>
        <w:kinsoku/>
        <w:overflowPunct/>
        <w:topLinePunct w:val="0"/>
        <w:autoSpaceDE/>
        <w:autoSpaceDN/>
        <w:bidi w:val="0"/>
        <w:adjustRightInd/>
        <w:snapToGrid/>
        <w:spacing w:line="400" w:lineRule="exact"/>
        <w:ind w:firstLine="525" w:firstLineChars="250"/>
        <w:jc w:val="left"/>
        <w:textAlignment w:val="auto"/>
        <w:rPr>
          <w:rFonts w:hint="eastAsia" w:ascii="宋体" w:hAnsi="宋体"/>
          <w:bCs/>
          <w:color w:val="auto"/>
          <w:szCs w:val="21"/>
          <w:highlight w:val="none"/>
        </w:rPr>
      </w:pPr>
      <w:r>
        <w:rPr>
          <w:rFonts w:hint="eastAsia" w:ascii="宋体" w:hAnsi="宋体"/>
          <w:color w:val="auto"/>
          <w:szCs w:val="21"/>
          <w:highlight w:val="none"/>
        </w:rPr>
        <w:t>注：1）为确保网上操作合法、有效和安全，请供应商确保在电子竞标过程中能够对相关数据电文进行加密和使用电子签章，妥善保管C</w:t>
      </w:r>
      <w:r>
        <w:rPr>
          <w:rFonts w:ascii="宋体" w:hAnsi="宋体"/>
          <w:color w:val="auto"/>
          <w:szCs w:val="21"/>
          <w:highlight w:val="none"/>
        </w:rPr>
        <w:t>A</w:t>
      </w:r>
      <w:r>
        <w:rPr>
          <w:rFonts w:hint="eastAsia" w:ascii="宋体" w:hAnsi="宋体"/>
          <w:color w:val="auto"/>
          <w:szCs w:val="21"/>
          <w:highlight w:val="none"/>
        </w:rPr>
        <w:t>数字证书并使用有效的CA数字证书参与整个竞标活动。2）</w:t>
      </w:r>
      <w:r>
        <w:rPr>
          <w:rFonts w:hint="eastAsia" w:ascii="宋体" w:hAnsi="宋体"/>
          <w:bCs/>
          <w:color w:val="auto"/>
          <w:szCs w:val="21"/>
          <w:highlight w:val="none"/>
        </w:rPr>
        <w:t>供应商应当在响应文件递交截止时间前完成电子响应文件的上传、提交，响应文件递交截止时间前可以补充、修改或者撤回响应文件。补充或者修改响应文件的，应当先行撤回原响应文件，补充、修改后重新上传、提交，响应文件递交截止时间前未完成上传、提交的，视为撤回响应文件。响应文件递交截止时间以后上传递交的响应文件，</w:t>
      </w:r>
      <w:r>
        <w:rPr>
          <w:rFonts w:hint="eastAsia" w:ascii="宋体" w:hAnsi="宋体"/>
          <w:color w:val="auto"/>
          <w:szCs w:val="21"/>
          <w:highlight w:val="none"/>
        </w:rPr>
        <w:t>广西政府采购云平台</w:t>
      </w:r>
      <w:r>
        <w:rPr>
          <w:rFonts w:hint="eastAsia" w:ascii="宋体" w:hAnsi="宋体"/>
          <w:bCs/>
          <w:color w:val="auto"/>
          <w:szCs w:val="21"/>
          <w:highlight w:val="none"/>
        </w:rPr>
        <w:t>将予以拒收。</w:t>
      </w:r>
    </w:p>
    <w:p w14:paraId="6797B508">
      <w:pPr>
        <w:keepNext w:val="0"/>
        <w:keepLines w:val="0"/>
        <w:pageBreakBefore w:val="0"/>
        <w:widowControl/>
        <w:kinsoku/>
        <w:overflowPunct/>
        <w:topLinePunct w:val="0"/>
        <w:autoSpaceDE/>
        <w:autoSpaceDN/>
        <w:bidi w:val="0"/>
        <w:adjustRightInd/>
        <w:snapToGrid/>
        <w:spacing w:line="400" w:lineRule="exact"/>
        <w:ind w:firstLine="525" w:firstLineChars="250"/>
        <w:jc w:val="left"/>
        <w:textAlignment w:val="auto"/>
        <w:rPr>
          <w:rFonts w:hint="eastAsia" w:ascii="宋体" w:hAnsi="宋体"/>
          <w:bCs/>
          <w:color w:val="auto"/>
          <w:szCs w:val="21"/>
          <w:highlight w:val="none"/>
        </w:rPr>
      </w:pPr>
      <w:r>
        <w:rPr>
          <w:rFonts w:hint="eastAsia" w:ascii="宋体" w:hAnsi="宋体"/>
          <w:bCs/>
          <w:color w:val="auto"/>
          <w:szCs w:val="21"/>
          <w:highlight w:val="none"/>
        </w:rPr>
        <w:t>4.磋商保证金：无。</w:t>
      </w:r>
    </w:p>
    <w:p w14:paraId="29A80946">
      <w:pPr>
        <w:keepNext w:val="0"/>
        <w:keepLines w:val="0"/>
        <w:pageBreakBefore w:val="0"/>
        <w:widowControl/>
        <w:kinsoku/>
        <w:overflowPunct/>
        <w:topLinePunct w:val="0"/>
        <w:autoSpaceDE/>
        <w:autoSpaceDN/>
        <w:bidi w:val="0"/>
        <w:adjustRightInd/>
        <w:snapToGrid/>
        <w:spacing w:line="400" w:lineRule="exact"/>
        <w:ind w:firstLine="420" w:firstLineChars="200"/>
        <w:jc w:val="left"/>
        <w:textAlignment w:val="auto"/>
        <w:rPr>
          <w:rFonts w:hint="eastAsia" w:ascii="宋体" w:hAnsi="宋体"/>
          <w:bCs/>
          <w:color w:val="auto"/>
          <w:szCs w:val="21"/>
          <w:highlight w:val="none"/>
        </w:rPr>
      </w:pPr>
      <w:r>
        <w:rPr>
          <w:rFonts w:hint="eastAsia" w:ascii="宋体" w:hAnsi="宋体"/>
          <w:bCs/>
          <w:color w:val="auto"/>
          <w:szCs w:val="21"/>
          <w:highlight w:val="none"/>
        </w:rPr>
        <w:t xml:space="preserve"> 5</w:t>
      </w:r>
      <w:r>
        <w:rPr>
          <w:rFonts w:ascii="宋体" w:hAnsi="宋体"/>
          <w:bCs/>
          <w:color w:val="auto"/>
          <w:szCs w:val="21"/>
          <w:highlight w:val="none"/>
        </w:rPr>
        <w:t>.</w:t>
      </w:r>
      <w:r>
        <w:rPr>
          <w:rFonts w:hint="eastAsia" w:ascii="宋体" w:hAnsi="宋体"/>
          <w:bCs/>
          <w:color w:val="auto"/>
          <w:szCs w:val="21"/>
          <w:highlight w:val="none"/>
        </w:rPr>
        <w:t>监督部门</w:t>
      </w:r>
    </w:p>
    <w:p w14:paraId="46C30338">
      <w:pPr>
        <w:keepNext w:val="0"/>
        <w:keepLines w:val="0"/>
        <w:pageBreakBefore w:val="0"/>
        <w:widowControl/>
        <w:kinsoku/>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 xml:space="preserve">名称：防城港市财政局 </w:t>
      </w:r>
    </w:p>
    <w:p w14:paraId="40B622B4">
      <w:pPr>
        <w:keepNext w:val="0"/>
        <w:keepLines w:val="0"/>
        <w:pageBreakBefore w:val="0"/>
        <w:widowControl/>
        <w:kinsoku/>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电话：0770-6102323</w:t>
      </w:r>
    </w:p>
    <w:p w14:paraId="1C5F31ED">
      <w:pPr>
        <w:keepNext w:val="0"/>
        <w:keepLines w:val="0"/>
        <w:pageBreakBefore w:val="0"/>
        <w:kinsoku/>
        <w:overflowPunct/>
        <w:topLinePunct w:val="0"/>
        <w:autoSpaceDE/>
        <w:autoSpaceDN/>
        <w:bidi w:val="0"/>
        <w:adjustRightInd/>
        <w:snapToGrid/>
        <w:spacing w:line="400" w:lineRule="exact"/>
        <w:ind w:firstLine="354" w:firstLineChars="147"/>
        <w:textAlignment w:val="auto"/>
        <w:rPr>
          <w:rFonts w:ascii="黑体" w:hAnsi="黑体" w:eastAsia="黑体"/>
          <w:b/>
          <w:color w:val="auto"/>
          <w:sz w:val="24"/>
          <w:highlight w:val="none"/>
        </w:rPr>
      </w:pPr>
      <w:r>
        <w:rPr>
          <w:rFonts w:hint="eastAsia" w:ascii="黑体" w:hAnsi="黑体" w:eastAsia="黑体"/>
          <w:b/>
          <w:color w:val="auto"/>
          <w:sz w:val="24"/>
          <w:highlight w:val="none"/>
        </w:rPr>
        <w:t>八、凡对本次采购提出询问，请按</w:t>
      </w:r>
      <w:r>
        <w:rPr>
          <w:rFonts w:ascii="黑体" w:hAnsi="黑体" w:eastAsia="黑体"/>
          <w:b/>
          <w:color w:val="auto"/>
          <w:sz w:val="24"/>
          <w:highlight w:val="none"/>
        </w:rPr>
        <w:t>以下方式</w:t>
      </w:r>
      <w:r>
        <w:rPr>
          <w:rFonts w:hint="eastAsia" w:ascii="黑体" w:hAnsi="黑体" w:eastAsia="黑体"/>
          <w:b/>
          <w:color w:val="auto"/>
          <w:sz w:val="24"/>
          <w:highlight w:val="none"/>
        </w:rPr>
        <w:t>联系。</w:t>
      </w:r>
      <w:bookmarkEnd w:id="47"/>
      <w:bookmarkEnd w:id="48"/>
      <w:bookmarkEnd w:id="49"/>
      <w:bookmarkEnd w:id="50"/>
      <w:bookmarkEnd w:id="51"/>
    </w:p>
    <w:p w14:paraId="42A35CAC">
      <w:pPr>
        <w:keepNext w:val="0"/>
        <w:keepLines w:val="0"/>
        <w:pageBreakBefore w:val="0"/>
        <w:kinsoku/>
        <w:overflowPunct/>
        <w:topLinePunct w:val="0"/>
        <w:autoSpaceDE/>
        <w:autoSpaceDN/>
        <w:bidi w:val="0"/>
        <w:adjustRightInd/>
        <w:snapToGrid/>
        <w:spacing w:line="400" w:lineRule="exact"/>
        <w:ind w:firstLine="420" w:firstLineChars="200"/>
        <w:textAlignment w:val="auto"/>
        <w:rPr>
          <w:rFonts w:ascii="宋体" w:hAnsi="宋体" w:cs="宋体"/>
          <w:color w:val="auto"/>
          <w:kern w:val="0"/>
          <w:szCs w:val="21"/>
          <w:highlight w:val="none"/>
        </w:rPr>
      </w:pPr>
      <w:bookmarkStart w:id="53" w:name="_Toc35393637"/>
      <w:bookmarkStart w:id="54" w:name="_Toc28359096"/>
      <w:bookmarkStart w:id="55" w:name="_Toc28359019"/>
      <w:bookmarkStart w:id="56" w:name="_Toc35393806"/>
      <w:r>
        <w:rPr>
          <w:rFonts w:hint="eastAsia" w:ascii="宋体" w:hAnsi="宋体" w:cs="宋体"/>
          <w:color w:val="auto"/>
          <w:kern w:val="0"/>
          <w:szCs w:val="21"/>
          <w:highlight w:val="none"/>
        </w:rPr>
        <w:t>1.采购人信息</w:t>
      </w:r>
      <w:bookmarkEnd w:id="52"/>
      <w:bookmarkEnd w:id="53"/>
      <w:bookmarkEnd w:id="54"/>
      <w:bookmarkEnd w:id="55"/>
    </w:p>
    <w:p w14:paraId="70FE1CCD">
      <w:pPr>
        <w:keepNext w:val="0"/>
        <w:keepLines w:val="0"/>
        <w:pageBreakBefore w:val="0"/>
        <w:kinsoku/>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名称：</w:t>
      </w:r>
      <w:r>
        <w:rPr>
          <w:rFonts w:hint="eastAsia" w:ascii="宋体" w:hAnsi="宋体"/>
          <w:color w:val="auto"/>
          <w:szCs w:val="21"/>
          <w:highlight w:val="none"/>
          <w:lang w:eastAsia="zh-CN"/>
        </w:rPr>
        <w:t xml:space="preserve">防城港市财政局  </w:t>
      </w:r>
    </w:p>
    <w:p w14:paraId="449A994E">
      <w:pPr>
        <w:keepNext w:val="0"/>
        <w:keepLines w:val="0"/>
        <w:pageBreakBefore w:val="0"/>
        <w:kinsoku/>
        <w:overflowPunct/>
        <w:topLinePunct w:val="0"/>
        <w:autoSpaceDE/>
        <w:autoSpaceDN/>
        <w:bidi w:val="0"/>
        <w:adjustRightInd/>
        <w:snapToGrid/>
        <w:spacing w:line="400" w:lineRule="exact"/>
        <w:ind w:firstLine="420" w:firstLineChars="200"/>
        <w:textAlignment w:val="auto"/>
        <w:rPr>
          <w:rFonts w:hint="eastAsia" w:ascii="宋体" w:hAnsi="宋体" w:cs="宋体"/>
          <w:color w:val="auto"/>
          <w:kern w:val="0"/>
          <w:szCs w:val="21"/>
          <w:highlight w:val="none"/>
        </w:rPr>
      </w:pPr>
      <w:bookmarkStart w:id="57" w:name="_Toc35393807"/>
      <w:bookmarkStart w:id="58" w:name="_Toc28359020"/>
      <w:bookmarkStart w:id="59" w:name="_Toc35393638"/>
      <w:bookmarkStart w:id="60" w:name="_Toc28359097"/>
      <w:r>
        <w:rPr>
          <w:rFonts w:hint="eastAsia" w:ascii="宋体" w:hAnsi="宋体" w:cs="宋体"/>
          <w:color w:val="auto"/>
          <w:kern w:val="0"/>
          <w:szCs w:val="21"/>
          <w:highlight w:val="none"/>
        </w:rPr>
        <w:t>地址：</w:t>
      </w:r>
      <w:r>
        <w:rPr>
          <w:rFonts w:hint="eastAsia" w:ascii="宋体" w:hAnsi="宋体" w:cs="宋体"/>
          <w:kern w:val="0"/>
          <w:szCs w:val="21"/>
          <w:highlight w:val="none"/>
        </w:rPr>
        <w:t>防城港市港口区广场北路8号</w:t>
      </w:r>
    </w:p>
    <w:p w14:paraId="0438551C">
      <w:pPr>
        <w:keepNext w:val="0"/>
        <w:keepLines w:val="0"/>
        <w:pageBreakBefore w:val="0"/>
        <w:kinsoku/>
        <w:overflowPunct/>
        <w:topLinePunct w:val="0"/>
        <w:autoSpaceDE/>
        <w:autoSpaceDN/>
        <w:bidi w:val="0"/>
        <w:adjustRightInd/>
        <w:snapToGrid/>
        <w:spacing w:line="400" w:lineRule="exact"/>
        <w:ind w:firstLine="420" w:firstLineChars="200"/>
        <w:textAlignment w:val="auto"/>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联系方式：</w:t>
      </w:r>
      <w:r>
        <w:rPr>
          <w:rFonts w:hint="eastAsia" w:ascii="宋体" w:hAnsi="宋体" w:cs="宋体"/>
          <w:color w:val="auto"/>
          <w:kern w:val="0"/>
          <w:szCs w:val="21"/>
          <w:highlight w:val="none"/>
          <w:lang w:eastAsia="zh-CN"/>
        </w:rPr>
        <w:t>禤</w:t>
      </w:r>
      <w:r>
        <w:rPr>
          <w:rFonts w:hint="eastAsia" w:ascii="宋体" w:hAnsi="宋体" w:cs="宋体"/>
          <w:color w:val="auto"/>
          <w:kern w:val="0"/>
          <w:szCs w:val="21"/>
          <w:highlight w:val="none"/>
          <w:lang w:val="en-US" w:eastAsia="zh-CN"/>
        </w:rPr>
        <w:t>菁菁</w:t>
      </w:r>
      <w:r>
        <w:rPr>
          <w:rFonts w:hint="eastAsia" w:ascii="宋体" w:hAnsi="宋体" w:cs="宋体"/>
          <w:color w:val="auto"/>
          <w:kern w:val="0"/>
          <w:szCs w:val="21"/>
          <w:highlight w:val="none"/>
        </w:rPr>
        <w:t>，0770-</w:t>
      </w:r>
      <w:r>
        <w:rPr>
          <w:rFonts w:hint="eastAsia" w:ascii="宋体" w:hAnsi="宋体" w:cs="宋体"/>
          <w:color w:val="auto"/>
          <w:kern w:val="0"/>
          <w:szCs w:val="21"/>
          <w:highlight w:val="none"/>
          <w:lang w:val="en-US" w:eastAsia="zh-CN"/>
        </w:rPr>
        <w:t>6102009</w:t>
      </w:r>
    </w:p>
    <w:p w14:paraId="41B2A73E">
      <w:pPr>
        <w:keepNext w:val="0"/>
        <w:keepLines w:val="0"/>
        <w:pageBreakBefore w:val="0"/>
        <w:kinsoku/>
        <w:overflowPunct/>
        <w:topLinePunct w:val="0"/>
        <w:autoSpaceDE/>
        <w:autoSpaceDN/>
        <w:bidi w:val="0"/>
        <w:adjustRightInd/>
        <w:snapToGrid/>
        <w:spacing w:line="40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2.采购代理机构信息</w:t>
      </w:r>
      <w:bookmarkEnd w:id="56"/>
      <w:bookmarkEnd w:id="57"/>
      <w:bookmarkEnd w:id="58"/>
      <w:bookmarkEnd w:id="59"/>
    </w:p>
    <w:p w14:paraId="5E070E7F">
      <w:pPr>
        <w:keepNext w:val="0"/>
        <w:keepLines w:val="0"/>
        <w:pageBreakBefore w:val="0"/>
        <w:kinsoku/>
        <w:overflowPunct/>
        <w:topLinePunct w:val="0"/>
        <w:autoSpaceDE/>
        <w:autoSpaceDN/>
        <w:bidi w:val="0"/>
        <w:adjustRightInd/>
        <w:snapToGrid/>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名称：云之龙咨询集团有限公司</w:t>
      </w:r>
    </w:p>
    <w:p w14:paraId="18FDC89E">
      <w:pPr>
        <w:keepNext w:val="0"/>
        <w:keepLines w:val="0"/>
        <w:pageBreakBefore w:val="0"/>
        <w:kinsoku/>
        <w:overflowPunct/>
        <w:topLinePunct w:val="0"/>
        <w:autoSpaceDE/>
        <w:autoSpaceDN/>
        <w:bidi w:val="0"/>
        <w:adjustRightInd/>
        <w:snapToGrid/>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地址：防城港市港口区桃花湾广场海悦华府一单元12楼1203室</w:t>
      </w:r>
    </w:p>
    <w:p w14:paraId="778123B2">
      <w:pPr>
        <w:keepNext w:val="0"/>
        <w:keepLines w:val="0"/>
        <w:pageBreakBefore w:val="0"/>
        <w:kinsoku/>
        <w:overflowPunct/>
        <w:topLinePunct w:val="0"/>
        <w:autoSpaceDE/>
        <w:autoSpaceDN/>
        <w:bidi w:val="0"/>
        <w:adjustRightInd/>
        <w:snapToGrid/>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联系方式：0770-2882899</w:t>
      </w:r>
    </w:p>
    <w:p w14:paraId="3803155C">
      <w:pPr>
        <w:keepNext w:val="0"/>
        <w:keepLines w:val="0"/>
        <w:pageBreakBefore w:val="0"/>
        <w:kinsoku/>
        <w:overflowPunct/>
        <w:topLinePunct w:val="0"/>
        <w:autoSpaceDE/>
        <w:autoSpaceDN/>
        <w:bidi w:val="0"/>
        <w:adjustRightInd/>
        <w:snapToGrid/>
        <w:spacing w:line="400" w:lineRule="exact"/>
        <w:ind w:firstLine="420" w:firstLineChars="200"/>
        <w:textAlignment w:val="auto"/>
        <w:rPr>
          <w:rFonts w:ascii="宋体" w:hAnsi="宋体" w:cs="宋体"/>
          <w:color w:val="auto"/>
          <w:kern w:val="0"/>
          <w:szCs w:val="21"/>
          <w:highlight w:val="none"/>
        </w:rPr>
      </w:pPr>
      <w:bookmarkStart w:id="61" w:name="_Toc28359098"/>
      <w:bookmarkStart w:id="62" w:name="_Toc35393808"/>
      <w:bookmarkStart w:id="63" w:name="_Toc35393639"/>
      <w:bookmarkStart w:id="64" w:name="_Toc28359021"/>
      <w:r>
        <w:rPr>
          <w:rFonts w:hint="eastAsia" w:ascii="宋体" w:hAnsi="宋体" w:cs="宋体"/>
          <w:color w:val="auto"/>
          <w:kern w:val="0"/>
          <w:szCs w:val="21"/>
          <w:highlight w:val="none"/>
        </w:rPr>
        <w:t>3.项目联系</w:t>
      </w:r>
      <w:r>
        <w:rPr>
          <w:rFonts w:ascii="宋体" w:hAnsi="宋体" w:cs="宋体"/>
          <w:color w:val="auto"/>
          <w:kern w:val="0"/>
          <w:szCs w:val="21"/>
          <w:highlight w:val="none"/>
        </w:rPr>
        <w:t>方式</w:t>
      </w:r>
      <w:bookmarkEnd w:id="60"/>
      <w:bookmarkEnd w:id="61"/>
      <w:bookmarkEnd w:id="62"/>
      <w:bookmarkEnd w:id="63"/>
    </w:p>
    <w:p w14:paraId="52AA41CF">
      <w:pPr>
        <w:pStyle w:val="42"/>
        <w:keepNext w:val="0"/>
        <w:keepLines w:val="0"/>
        <w:pageBreakBefore w:val="0"/>
        <w:kinsoku/>
        <w:overflowPunct/>
        <w:topLinePunct w:val="0"/>
        <w:autoSpaceDE/>
        <w:autoSpaceDN/>
        <w:bidi w:val="0"/>
        <w:adjustRightInd/>
        <w:snapToGrid/>
        <w:spacing w:line="400" w:lineRule="exact"/>
        <w:ind w:firstLine="420" w:firstLineChars="200"/>
        <w:textAlignment w:val="auto"/>
        <w:rPr>
          <w:rFonts w:hAnsi="宋体"/>
          <w:color w:val="auto"/>
          <w:sz w:val="21"/>
          <w:highlight w:val="none"/>
          <w:lang w:eastAsia="zh-CN"/>
        </w:rPr>
      </w:pPr>
      <w:r>
        <w:rPr>
          <w:rFonts w:hint="eastAsia" w:hAnsi="宋体"/>
          <w:color w:val="auto"/>
          <w:sz w:val="21"/>
          <w:highlight w:val="none"/>
        </w:rPr>
        <w:t>项目联系人：</w:t>
      </w:r>
      <w:r>
        <w:rPr>
          <w:rFonts w:hint="eastAsia" w:hAnsi="宋体"/>
          <w:color w:val="auto"/>
          <w:sz w:val="21"/>
          <w:highlight w:val="none"/>
          <w:lang w:eastAsia="zh-CN"/>
        </w:rPr>
        <w:t>熊福玉、</w:t>
      </w:r>
      <w:r>
        <w:rPr>
          <w:rFonts w:hint="eastAsia" w:hAnsi="宋体"/>
          <w:color w:val="auto"/>
          <w:sz w:val="21"/>
          <w:highlight w:val="none"/>
        </w:rPr>
        <w:t>包文杰</w:t>
      </w:r>
      <w:r>
        <w:rPr>
          <w:rFonts w:hint="eastAsia" w:hAnsi="宋体"/>
          <w:color w:val="auto"/>
          <w:sz w:val="21"/>
          <w:highlight w:val="none"/>
          <w:lang w:eastAsia="zh-CN"/>
        </w:rPr>
        <w:t>、陈义廷</w:t>
      </w:r>
    </w:p>
    <w:p w14:paraId="442FBA48">
      <w:pPr>
        <w:keepNext w:val="0"/>
        <w:keepLines w:val="0"/>
        <w:pageBreakBefore w:val="0"/>
        <w:kinsoku/>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电话：0770-2882899</w:t>
      </w:r>
      <w:bookmarkEnd w:id="64"/>
    </w:p>
    <w:p w14:paraId="22ADD185">
      <w:pPr>
        <w:keepNext w:val="0"/>
        <w:keepLines w:val="0"/>
        <w:pageBreakBefore w:val="0"/>
        <w:kinsoku/>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附件：采购需求</w:t>
      </w:r>
    </w:p>
    <w:p w14:paraId="4D9F3B55">
      <w:pPr>
        <w:pStyle w:val="36"/>
        <w:keepNext w:val="0"/>
        <w:keepLines w:val="0"/>
        <w:pageBreakBefore w:val="0"/>
        <w:kinsoku/>
        <w:overflowPunct/>
        <w:topLinePunct w:val="0"/>
        <w:bidi w:val="0"/>
        <w:adjustRightInd/>
        <w:snapToGrid/>
        <w:spacing w:line="400" w:lineRule="exact"/>
        <w:textAlignment w:val="auto"/>
        <w:rPr>
          <w:rFonts w:hint="eastAsia"/>
          <w:color w:val="auto"/>
          <w:highlight w:val="none"/>
        </w:rPr>
      </w:pPr>
    </w:p>
    <w:p w14:paraId="3F60EE7C">
      <w:pPr>
        <w:keepNext w:val="0"/>
        <w:keepLines w:val="0"/>
        <w:pageBreakBefore w:val="0"/>
        <w:kinsoku/>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highlight w:val="none"/>
        </w:rPr>
      </w:pPr>
    </w:p>
    <w:p w14:paraId="14ECFFCC">
      <w:pPr>
        <w:keepNext w:val="0"/>
        <w:keepLines w:val="0"/>
        <w:pageBreakBefore w:val="0"/>
        <w:kinsoku/>
        <w:overflowPunct/>
        <w:topLinePunct w:val="0"/>
        <w:autoSpaceDE/>
        <w:autoSpaceDN/>
        <w:bidi w:val="0"/>
        <w:adjustRightInd/>
        <w:snapToGrid/>
        <w:spacing w:line="400" w:lineRule="exact"/>
        <w:ind w:firstLine="420" w:firstLineChars="200"/>
        <w:jc w:val="right"/>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采购人：</w:t>
      </w:r>
      <w:r>
        <w:rPr>
          <w:rFonts w:hint="eastAsia" w:ascii="宋体" w:hAnsi="宋体" w:cs="宋体"/>
          <w:color w:val="auto"/>
          <w:kern w:val="0"/>
          <w:szCs w:val="21"/>
          <w:highlight w:val="none"/>
          <w:lang w:eastAsia="zh-CN"/>
        </w:rPr>
        <w:t xml:space="preserve"> 防城港市财政局  </w:t>
      </w:r>
    </w:p>
    <w:p w14:paraId="5ECBEFE3">
      <w:pPr>
        <w:keepNext w:val="0"/>
        <w:keepLines w:val="0"/>
        <w:pageBreakBefore w:val="0"/>
        <w:kinsoku/>
        <w:overflowPunct/>
        <w:topLinePunct w:val="0"/>
        <w:autoSpaceDE/>
        <w:autoSpaceDN/>
        <w:bidi w:val="0"/>
        <w:adjustRightInd/>
        <w:snapToGrid/>
        <w:spacing w:line="400" w:lineRule="exact"/>
        <w:ind w:firstLine="420" w:firstLineChars="200"/>
        <w:jc w:val="righ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采购代理机构：云之龙咨询集团有限公司</w:t>
      </w:r>
    </w:p>
    <w:p w14:paraId="1F082E3D">
      <w:pPr>
        <w:keepNext w:val="0"/>
        <w:keepLines w:val="0"/>
        <w:pageBreakBefore w:val="0"/>
        <w:kinsoku/>
        <w:wordWrap w:val="0"/>
        <w:overflowPunct/>
        <w:topLinePunct w:val="0"/>
        <w:autoSpaceDE/>
        <w:autoSpaceDN/>
        <w:bidi w:val="0"/>
        <w:adjustRightInd/>
        <w:snapToGrid/>
        <w:spacing w:line="400" w:lineRule="exact"/>
        <w:ind w:firstLine="420" w:firstLineChars="200"/>
        <w:jc w:val="right"/>
        <w:textAlignment w:val="auto"/>
        <w:rPr>
          <w:rFonts w:hint="eastAsia" w:ascii="宋体" w:hAnsi="宋体" w:cs="宋体"/>
          <w:color w:val="auto"/>
          <w:kern w:val="0"/>
          <w:szCs w:val="21"/>
          <w:highlight w:val="none"/>
        </w:rPr>
      </w:pP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202</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年</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月</w:t>
      </w:r>
      <w:r>
        <w:rPr>
          <w:rFonts w:hint="eastAsia" w:ascii="宋体" w:hAnsi="宋体" w:cs="宋体"/>
          <w:color w:val="auto"/>
          <w:kern w:val="0"/>
          <w:szCs w:val="21"/>
          <w:highlight w:val="none"/>
          <w:lang w:val="en-US" w:eastAsia="zh-CN"/>
        </w:rPr>
        <w:t>15</w:t>
      </w:r>
      <w:r>
        <w:rPr>
          <w:rFonts w:hint="eastAsia" w:ascii="宋体" w:hAnsi="宋体" w:cs="宋体"/>
          <w:color w:val="auto"/>
          <w:kern w:val="0"/>
          <w:szCs w:val="21"/>
          <w:highlight w:val="none"/>
        </w:rPr>
        <w:t>日</w:t>
      </w:r>
    </w:p>
    <w:p w14:paraId="48D0122F">
      <w:pPr>
        <w:keepNext w:val="0"/>
        <w:keepLines w:val="0"/>
        <w:pageBreakBefore w:val="0"/>
        <w:kinsoku/>
        <w:overflowPunct/>
        <w:topLinePunct w:val="0"/>
        <w:bidi w:val="0"/>
        <w:adjustRightInd/>
        <w:snapToGrid/>
        <w:spacing w:line="400" w:lineRule="exact"/>
        <w:jc w:val="center"/>
        <w:textAlignment w:val="auto"/>
        <w:rPr>
          <w:rFonts w:hint="eastAsia" w:ascii="宋体" w:hAnsi="宋体"/>
          <w:b/>
          <w:color w:val="auto"/>
          <w:sz w:val="32"/>
          <w:szCs w:val="32"/>
          <w:highlight w:val="none"/>
        </w:rPr>
      </w:pPr>
      <w:r>
        <w:rPr>
          <w:rFonts w:ascii="宋体" w:hAnsi="宋体"/>
          <w:color w:val="auto"/>
          <w:sz w:val="32"/>
          <w:szCs w:val="32"/>
          <w:highlight w:val="none"/>
        </w:rPr>
        <w:br w:type="page"/>
      </w:r>
      <w:bookmarkStart w:id="65" w:name="_Toc74323457"/>
      <w:r>
        <w:rPr>
          <w:rFonts w:hint="eastAsia" w:ascii="宋体" w:hAnsi="宋体"/>
          <w:b/>
          <w:color w:val="auto"/>
          <w:sz w:val="32"/>
          <w:szCs w:val="32"/>
          <w:highlight w:val="none"/>
        </w:rPr>
        <w:t>第二章 供应商须知</w:t>
      </w:r>
      <w:bookmarkEnd w:id="65"/>
    </w:p>
    <w:p w14:paraId="498BB951">
      <w:pPr>
        <w:keepNext w:val="0"/>
        <w:keepLines w:val="0"/>
        <w:pageBreakBefore w:val="0"/>
        <w:kinsoku/>
        <w:overflowPunct/>
        <w:topLinePunct w:val="0"/>
        <w:bidi w:val="0"/>
        <w:adjustRightInd/>
        <w:snapToGrid/>
        <w:spacing w:line="400" w:lineRule="exact"/>
        <w:jc w:val="center"/>
        <w:textAlignment w:val="auto"/>
        <w:rPr>
          <w:rFonts w:hint="eastAsia" w:ascii="宋体" w:hAnsi="宋体"/>
          <w:b/>
          <w:color w:val="auto"/>
          <w:sz w:val="32"/>
          <w:szCs w:val="32"/>
          <w:highlight w:val="none"/>
        </w:rPr>
      </w:pPr>
      <w:r>
        <w:rPr>
          <w:rFonts w:hint="eastAsia" w:ascii="宋体" w:hAnsi="宋体"/>
          <w:b/>
          <w:color w:val="auto"/>
          <w:sz w:val="32"/>
          <w:szCs w:val="32"/>
          <w:highlight w:val="none"/>
        </w:rPr>
        <w:t>供应商须知前附表</w:t>
      </w:r>
    </w:p>
    <w:p w14:paraId="15DC5EED">
      <w:pPr>
        <w:keepNext w:val="0"/>
        <w:keepLines w:val="0"/>
        <w:pageBreakBefore w:val="0"/>
        <w:kinsoku/>
        <w:overflowPunct/>
        <w:topLinePunct w:val="0"/>
        <w:bidi w:val="0"/>
        <w:adjustRightInd/>
        <w:snapToGrid/>
        <w:spacing w:line="400" w:lineRule="exact"/>
        <w:jc w:val="center"/>
        <w:textAlignment w:val="auto"/>
        <w:rPr>
          <w:rFonts w:hint="eastAsia" w:ascii="宋体" w:hAnsi="宋体"/>
          <w:b/>
          <w:color w:val="auto"/>
          <w:sz w:val="32"/>
          <w:szCs w:val="32"/>
          <w:highlight w:val="none"/>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7912"/>
      </w:tblGrid>
      <w:tr w14:paraId="05BAD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0"/>
            <w:vAlign w:val="top"/>
          </w:tcPr>
          <w:p w14:paraId="0CB1323F">
            <w:pPr>
              <w:keepNext w:val="0"/>
              <w:keepLines w:val="0"/>
              <w:pageBreakBefore w:val="0"/>
              <w:kinsoku/>
              <w:overflowPunct/>
              <w:topLinePunct w:val="0"/>
              <w:bidi w:val="0"/>
              <w:adjustRightInd/>
              <w:snapToGrid/>
              <w:spacing w:line="400" w:lineRule="exact"/>
              <w:jc w:val="center"/>
              <w:textAlignment w:val="auto"/>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7912" w:type="dxa"/>
            <w:tcBorders>
              <w:top w:val="single" w:color="auto" w:sz="4" w:space="0"/>
              <w:left w:val="single" w:color="auto" w:sz="4" w:space="0"/>
              <w:bottom w:val="single" w:color="auto" w:sz="4" w:space="0"/>
              <w:right w:val="single" w:color="auto" w:sz="4" w:space="0"/>
            </w:tcBorders>
            <w:noWrap w:val="0"/>
            <w:vAlign w:val="top"/>
          </w:tcPr>
          <w:p w14:paraId="249C7CE4">
            <w:pPr>
              <w:keepNext w:val="0"/>
              <w:keepLines w:val="0"/>
              <w:pageBreakBefore w:val="0"/>
              <w:kinsoku/>
              <w:overflowPunct/>
              <w:topLinePunct w:val="0"/>
              <w:bidi w:val="0"/>
              <w:adjustRightInd/>
              <w:snapToGrid/>
              <w:spacing w:line="400" w:lineRule="exact"/>
              <w:jc w:val="center"/>
              <w:textAlignment w:val="auto"/>
              <w:rPr>
                <w:rFonts w:hint="eastAsia" w:ascii="宋体" w:hAnsi="宋体" w:cs="宋体"/>
                <w:b/>
                <w:color w:val="auto"/>
                <w:szCs w:val="21"/>
                <w:highlight w:val="none"/>
              </w:rPr>
            </w:pPr>
            <w:r>
              <w:rPr>
                <w:rFonts w:hint="eastAsia" w:ascii="宋体" w:hAnsi="宋体" w:cs="宋体"/>
                <w:b/>
                <w:color w:val="auto"/>
                <w:szCs w:val="21"/>
                <w:highlight w:val="none"/>
              </w:rPr>
              <w:t>内    容</w:t>
            </w:r>
          </w:p>
        </w:tc>
      </w:tr>
      <w:tr w14:paraId="47E54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0FA25D20">
            <w:pPr>
              <w:keepNext w:val="0"/>
              <w:keepLines w:val="0"/>
              <w:pageBreakBefore w:val="0"/>
              <w:kinsoku/>
              <w:overflowPunct/>
              <w:topLinePunct w:val="0"/>
              <w:bidi w:val="0"/>
              <w:adjustRightInd/>
              <w:snapToGrid/>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3</w:t>
            </w:r>
          </w:p>
        </w:tc>
        <w:tc>
          <w:tcPr>
            <w:tcW w:w="7912" w:type="dxa"/>
            <w:tcBorders>
              <w:top w:val="single" w:color="auto" w:sz="4" w:space="0"/>
              <w:left w:val="single" w:color="auto" w:sz="4" w:space="0"/>
              <w:bottom w:val="single" w:color="auto" w:sz="4" w:space="0"/>
              <w:right w:val="single" w:color="auto" w:sz="4" w:space="0"/>
            </w:tcBorders>
            <w:noWrap w:val="0"/>
            <w:vAlign w:val="center"/>
          </w:tcPr>
          <w:p w14:paraId="5819598F">
            <w:pPr>
              <w:keepNext w:val="0"/>
              <w:keepLines w:val="0"/>
              <w:pageBreakBefore w:val="0"/>
              <w:kinsoku/>
              <w:overflowPunct/>
              <w:topLinePunct w:val="0"/>
              <w:bidi w:val="0"/>
              <w:adjustRightInd/>
              <w:snapToGrid/>
              <w:spacing w:line="400" w:lineRule="exact"/>
              <w:textAlignment w:val="auto"/>
              <w:rPr>
                <w:rFonts w:hint="eastAsia" w:ascii="宋体" w:hAnsi="宋体"/>
                <w:color w:val="auto"/>
                <w:szCs w:val="21"/>
                <w:highlight w:val="none"/>
              </w:rPr>
            </w:pPr>
            <w:r>
              <w:rPr>
                <w:rFonts w:hint="eastAsia" w:ascii="宋体" w:hAnsi="宋体" w:cs="宋体"/>
                <w:bCs/>
                <w:color w:val="auto"/>
                <w:szCs w:val="21"/>
                <w:highlight w:val="none"/>
              </w:rPr>
              <w:t>1.供应商的资格条件</w:t>
            </w:r>
            <w:r>
              <w:rPr>
                <w:rFonts w:hint="eastAsia" w:ascii="宋体" w:hAnsi="宋体" w:cs="宋体"/>
                <w:color w:val="auto"/>
                <w:szCs w:val="21"/>
                <w:highlight w:val="none"/>
              </w:rPr>
              <w:t>：详见竞争性磋商公告</w:t>
            </w:r>
          </w:p>
          <w:p w14:paraId="67DE7FE8">
            <w:pPr>
              <w:keepNext w:val="0"/>
              <w:keepLines w:val="0"/>
              <w:pageBreakBefore w:val="0"/>
              <w:kinsoku/>
              <w:overflowPunct/>
              <w:topLinePunct w:val="0"/>
              <w:bidi w:val="0"/>
              <w:adjustRightInd/>
              <w:snapToGrid/>
              <w:spacing w:line="400" w:lineRule="exact"/>
              <w:textAlignment w:val="auto"/>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Cs/>
                <w:color w:val="auto"/>
                <w:szCs w:val="21"/>
                <w:highlight w:val="none"/>
              </w:rPr>
              <w:t>供应商</w:t>
            </w:r>
            <w:r>
              <w:rPr>
                <w:rFonts w:hint="eastAsia" w:ascii="宋体" w:hAnsi="宋体" w:cs="宋体"/>
                <w:color w:val="auto"/>
                <w:szCs w:val="21"/>
                <w:highlight w:val="none"/>
              </w:rPr>
              <w:t>出现下列情形之一的，不得参加政府采购活动：</w:t>
            </w:r>
          </w:p>
          <w:p w14:paraId="3AC8C272">
            <w:pPr>
              <w:keepNext w:val="0"/>
              <w:keepLines w:val="0"/>
              <w:pageBreakBefore w:val="0"/>
              <w:kinsoku/>
              <w:overflowPunct/>
              <w:topLinePunct w:val="0"/>
              <w:bidi w:val="0"/>
              <w:adjustRightInd/>
              <w:snapToGrid/>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015B5F14">
            <w:pPr>
              <w:keepNext w:val="0"/>
              <w:keepLines w:val="0"/>
              <w:pageBreakBefore w:val="0"/>
              <w:kinsoku/>
              <w:overflowPunct/>
              <w:topLinePunct w:val="0"/>
              <w:bidi w:val="0"/>
              <w:adjustRightInd/>
              <w:snapToGrid/>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2.2对在“信用中国”网站（www.creditchina.gov.cn）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26248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0E65D4A8">
            <w:pPr>
              <w:keepNext w:val="0"/>
              <w:keepLines w:val="0"/>
              <w:pageBreakBefore w:val="0"/>
              <w:kinsoku/>
              <w:overflowPunct/>
              <w:topLinePunct w:val="0"/>
              <w:bidi w:val="0"/>
              <w:adjustRightInd/>
              <w:snapToGrid/>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5.1</w:t>
            </w:r>
          </w:p>
        </w:tc>
        <w:tc>
          <w:tcPr>
            <w:tcW w:w="7912" w:type="dxa"/>
            <w:tcBorders>
              <w:top w:val="single" w:color="auto" w:sz="4" w:space="0"/>
              <w:left w:val="single" w:color="auto" w:sz="4" w:space="0"/>
              <w:bottom w:val="single" w:color="auto" w:sz="4" w:space="0"/>
              <w:right w:val="single" w:color="auto" w:sz="4" w:space="0"/>
            </w:tcBorders>
            <w:noWrap w:val="0"/>
            <w:vAlign w:val="center"/>
          </w:tcPr>
          <w:p w14:paraId="3831B1BF">
            <w:pPr>
              <w:keepNext w:val="0"/>
              <w:keepLines w:val="0"/>
              <w:pageBreakBefore w:val="0"/>
              <w:kinsoku/>
              <w:overflowPunct/>
              <w:topLinePunct w:val="0"/>
              <w:bidi w:val="0"/>
              <w:adjustRightInd/>
              <w:snapToGrid/>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是否接受联合体竞标：详见竞争性磋商公告</w:t>
            </w:r>
          </w:p>
        </w:tc>
      </w:tr>
      <w:tr w14:paraId="2BF87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16260415">
            <w:pPr>
              <w:keepNext w:val="0"/>
              <w:keepLines w:val="0"/>
              <w:pageBreakBefore w:val="0"/>
              <w:kinsoku/>
              <w:overflowPunct/>
              <w:topLinePunct w:val="0"/>
              <w:bidi w:val="0"/>
              <w:adjustRightInd/>
              <w:snapToGrid/>
              <w:spacing w:line="400" w:lineRule="exact"/>
              <w:jc w:val="center"/>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6.</w:t>
            </w:r>
            <w:r>
              <w:rPr>
                <w:rFonts w:hint="eastAsia" w:ascii="宋体" w:hAnsi="宋体" w:cs="宋体"/>
                <w:color w:val="auto"/>
                <w:szCs w:val="21"/>
                <w:highlight w:val="none"/>
                <w:lang w:val="en-US" w:eastAsia="zh-CN"/>
              </w:rPr>
              <w:t>1</w:t>
            </w:r>
          </w:p>
        </w:tc>
        <w:tc>
          <w:tcPr>
            <w:tcW w:w="7912" w:type="dxa"/>
            <w:tcBorders>
              <w:top w:val="single" w:color="auto" w:sz="4" w:space="0"/>
              <w:left w:val="single" w:color="auto" w:sz="4" w:space="0"/>
              <w:bottom w:val="single" w:color="auto" w:sz="4" w:space="0"/>
              <w:right w:val="single" w:color="auto" w:sz="4" w:space="0"/>
            </w:tcBorders>
            <w:noWrap w:val="0"/>
            <w:vAlign w:val="center"/>
          </w:tcPr>
          <w:p w14:paraId="4F527A74">
            <w:pPr>
              <w:pStyle w:val="32"/>
              <w:keepNext w:val="0"/>
              <w:keepLines w:val="0"/>
              <w:pageBreakBefore w:val="0"/>
              <w:kinsoku/>
              <w:overflowPunct/>
              <w:topLinePunct w:val="0"/>
              <w:bidi w:val="0"/>
              <w:adjustRightInd/>
              <w:snapToGrid/>
              <w:spacing w:line="400" w:lineRule="exact"/>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不允许分包</w:t>
            </w:r>
          </w:p>
        </w:tc>
      </w:tr>
      <w:tr w14:paraId="7AAD3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18A796E8">
            <w:pPr>
              <w:keepNext w:val="0"/>
              <w:keepLines w:val="0"/>
              <w:pageBreakBefore w:val="0"/>
              <w:kinsoku/>
              <w:overflowPunct/>
              <w:topLinePunct w:val="0"/>
              <w:bidi w:val="0"/>
              <w:adjustRightInd/>
              <w:snapToGrid/>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12.1.</w:t>
            </w:r>
            <w:r>
              <w:rPr>
                <w:rFonts w:ascii="宋体" w:hAnsi="宋体" w:cs="宋体"/>
                <w:color w:val="auto"/>
                <w:szCs w:val="21"/>
                <w:highlight w:val="none"/>
              </w:rPr>
              <w:t>1</w:t>
            </w:r>
          </w:p>
        </w:tc>
        <w:tc>
          <w:tcPr>
            <w:tcW w:w="7912" w:type="dxa"/>
            <w:tcBorders>
              <w:top w:val="single" w:color="auto" w:sz="4" w:space="0"/>
              <w:left w:val="single" w:color="auto" w:sz="4" w:space="0"/>
              <w:bottom w:val="single" w:color="auto" w:sz="4" w:space="0"/>
              <w:right w:val="single" w:color="auto" w:sz="4" w:space="0"/>
            </w:tcBorders>
            <w:noWrap w:val="0"/>
            <w:vAlign w:val="center"/>
          </w:tcPr>
          <w:p w14:paraId="14AA17C6">
            <w:pPr>
              <w:keepNext w:val="0"/>
              <w:keepLines w:val="0"/>
              <w:pageBreakBefore w:val="0"/>
              <w:kinsoku/>
              <w:overflowPunct/>
              <w:topLinePunct w:val="0"/>
              <w:bidi w:val="0"/>
              <w:adjustRightInd/>
              <w:snapToGrid/>
              <w:spacing w:line="400" w:lineRule="exact"/>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资格证明文件</w:t>
            </w:r>
          </w:p>
          <w:p w14:paraId="22BB3EEC">
            <w:pPr>
              <w:pStyle w:val="32"/>
              <w:keepNext w:val="0"/>
              <w:keepLines w:val="0"/>
              <w:pageBreakBefore w:val="0"/>
              <w:kinsoku/>
              <w:overflowPunct/>
              <w:topLinePunct w:val="0"/>
              <w:bidi w:val="0"/>
              <w:adjustRightInd/>
              <w:snapToGrid/>
              <w:spacing w:line="400" w:lineRule="exact"/>
              <w:textAlignment w:val="auto"/>
              <w:rPr>
                <w:rFonts w:hint="eastAsia" w:ascii="宋体" w:hAnsi="宋体"/>
                <w:color w:val="auto"/>
                <w:szCs w:val="21"/>
                <w:highlight w:val="none"/>
                <w:lang w:val="en-US" w:eastAsia="zh-CN"/>
              </w:rPr>
            </w:pPr>
            <w:r>
              <w:rPr>
                <w:rFonts w:hint="eastAsia" w:ascii="宋体" w:hAnsi="宋体" w:cs="宋体"/>
                <w:color w:val="auto"/>
                <w:szCs w:val="21"/>
                <w:highlight w:val="none"/>
                <w:lang w:val="en-US" w:eastAsia="zh-CN"/>
              </w:rPr>
              <w:t>1.供应商为法人或者其他组织的提供其营业执照等证明文件（如营业执照或者事业单位法人证书或者执业许可证或者登记证书等）；（</w:t>
            </w:r>
            <w:r>
              <w:rPr>
                <w:rFonts w:hint="eastAsia" w:ascii="宋体" w:hAnsi="宋体" w:cs="宋体"/>
                <w:b/>
                <w:color w:val="auto"/>
                <w:szCs w:val="21"/>
                <w:highlight w:val="none"/>
                <w:lang w:val="en-US" w:eastAsia="zh-CN"/>
              </w:rPr>
              <w:t>必须提供，否则响应文件按无效响应处理</w:t>
            </w:r>
            <w:r>
              <w:rPr>
                <w:rFonts w:hint="eastAsia" w:ascii="宋体" w:hAnsi="宋体" w:cs="宋体"/>
                <w:color w:val="auto"/>
                <w:szCs w:val="21"/>
                <w:highlight w:val="none"/>
                <w:lang w:val="en-US" w:eastAsia="zh-CN"/>
              </w:rPr>
              <w:t>）</w:t>
            </w:r>
          </w:p>
          <w:p w14:paraId="6DF47A16">
            <w:pPr>
              <w:keepNext w:val="0"/>
              <w:keepLines w:val="0"/>
              <w:pageBreakBefore w:val="0"/>
              <w:kinsoku/>
              <w:overflowPunct/>
              <w:topLinePunct w:val="0"/>
              <w:bidi w:val="0"/>
              <w:adjustRightInd/>
              <w:snapToGrid/>
              <w:spacing w:line="400" w:lineRule="exact"/>
              <w:contextualSpacing/>
              <w:jc w:val="left"/>
              <w:textAlignment w:val="auto"/>
              <w:rPr>
                <w:rFonts w:hint="eastAsia" w:ascii="宋体" w:hAnsi="宋体" w:cs="宋体"/>
                <w:b/>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根据防财监〔2023〕58号文要求提供的《防城港市政府采购供应商信用承诺函》（格式附后）</w:t>
            </w:r>
            <w:r>
              <w:rPr>
                <w:rFonts w:hint="eastAsia" w:ascii="宋体" w:hAnsi="宋体" w:cs="宋体"/>
                <w:bCs/>
                <w:color w:val="auto"/>
                <w:szCs w:val="21"/>
                <w:highlight w:val="none"/>
              </w:rPr>
              <w:t>（</w:t>
            </w:r>
            <w:r>
              <w:rPr>
                <w:rFonts w:hint="eastAsia" w:ascii="宋体" w:hAnsi="宋体"/>
                <w:b/>
                <w:color w:val="auto"/>
                <w:szCs w:val="21"/>
                <w:highlight w:val="none"/>
              </w:rPr>
              <w:t>必须提供</w:t>
            </w:r>
            <w:r>
              <w:rPr>
                <w:rFonts w:hint="eastAsia" w:ascii="宋体" w:hAnsi="宋体" w:cs="宋体"/>
                <w:b/>
                <w:color w:val="auto"/>
                <w:szCs w:val="21"/>
                <w:highlight w:val="none"/>
              </w:rPr>
              <w:t>，否则响应文件按无效响应处理</w:t>
            </w:r>
            <w:r>
              <w:rPr>
                <w:rFonts w:hint="eastAsia" w:ascii="宋体" w:hAnsi="宋体" w:cs="宋体"/>
                <w:bCs/>
                <w:color w:val="auto"/>
                <w:szCs w:val="21"/>
                <w:highlight w:val="none"/>
              </w:rPr>
              <w:t>）</w:t>
            </w:r>
          </w:p>
          <w:p w14:paraId="6EEA4E78">
            <w:pPr>
              <w:keepNext w:val="0"/>
              <w:keepLines w:val="0"/>
              <w:pageBreakBefore w:val="0"/>
              <w:kinsoku/>
              <w:overflowPunct/>
              <w:topLinePunct w:val="0"/>
              <w:bidi w:val="0"/>
              <w:adjustRightInd/>
              <w:snapToGrid/>
              <w:spacing w:line="4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3.供应商直接控股、管理关系信息表（格式后附）；（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D144E21">
            <w:pPr>
              <w:keepNext w:val="0"/>
              <w:keepLines w:val="0"/>
              <w:pageBreakBefore w:val="0"/>
              <w:kinsoku/>
              <w:overflowPunct/>
              <w:topLinePunct w:val="0"/>
              <w:bidi w:val="0"/>
              <w:adjustRightInd/>
              <w:snapToGrid/>
              <w:spacing w:line="4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4.竞标声明（格式后附）；（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FF1FED3">
            <w:pPr>
              <w:keepNext w:val="0"/>
              <w:keepLines w:val="0"/>
              <w:pageBreakBefore w:val="0"/>
              <w:kinsoku/>
              <w:overflowPunct/>
              <w:topLinePunct w:val="0"/>
              <w:bidi w:val="0"/>
              <w:adjustRightInd/>
              <w:snapToGrid/>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供应商的《中小企业声明函》或《残疾人福利性单位声明函》或属于监狱企业的证明文件</w:t>
            </w:r>
            <w:r>
              <w:rPr>
                <w:rFonts w:hint="eastAsia" w:ascii="宋体" w:hAnsi="宋体" w:cs="宋体"/>
                <w:iCs/>
                <w:color w:val="auto"/>
                <w:szCs w:val="21"/>
                <w:highlight w:val="none"/>
              </w:rPr>
              <w:t>；</w:t>
            </w:r>
            <w:r>
              <w:rPr>
                <w:rFonts w:hint="eastAsia" w:ascii="宋体" w:hAnsi="宋体"/>
                <w:color w:val="auto"/>
                <w:szCs w:val="21"/>
                <w:highlight w:val="none"/>
              </w:rPr>
              <w:t>（</w:t>
            </w:r>
            <w:r>
              <w:rPr>
                <w:rFonts w:hint="eastAsia" w:ascii="宋体" w:hAnsi="宋体"/>
                <w:b/>
                <w:color w:val="auto"/>
                <w:szCs w:val="21"/>
                <w:highlight w:val="none"/>
              </w:rPr>
              <w:t>必须提供，否则响应文件按无效处理</w:t>
            </w:r>
            <w:r>
              <w:rPr>
                <w:rFonts w:hint="eastAsia" w:ascii="宋体" w:hAnsi="宋体"/>
                <w:color w:val="auto"/>
                <w:szCs w:val="21"/>
                <w:highlight w:val="none"/>
              </w:rPr>
              <w:t>）</w:t>
            </w:r>
          </w:p>
          <w:p w14:paraId="77BF8E8E">
            <w:pPr>
              <w:keepNext w:val="0"/>
              <w:keepLines w:val="0"/>
              <w:pageBreakBefore w:val="0"/>
              <w:kinsoku/>
              <w:overflowPunct/>
              <w:topLinePunct w:val="0"/>
              <w:bidi w:val="0"/>
              <w:adjustRightInd/>
              <w:snapToGrid/>
              <w:spacing w:line="400" w:lineRule="exact"/>
              <w:jc w:val="left"/>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SA"/>
              </w:rPr>
              <w:t>6.本项目的特定资格要求：供应商具有有效的《食品经营许可证》复印件</w:t>
            </w:r>
            <w:r>
              <w:rPr>
                <w:rFonts w:hint="eastAsia" w:ascii="宋体" w:hAnsi="宋体" w:cs="宋体"/>
                <w:color w:val="auto"/>
                <w:kern w:val="2"/>
                <w:sz w:val="21"/>
                <w:szCs w:val="21"/>
                <w:highlight w:val="none"/>
                <w:lang w:val="en-US" w:eastAsia="zh-CN" w:bidi="ar-SA"/>
              </w:rPr>
              <w:t>或扫描件</w:t>
            </w: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51832FDB">
            <w:pPr>
              <w:keepNext w:val="0"/>
              <w:keepLines w:val="0"/>
              <w:pageBreakBefore w:val="0"/>
              <w:kinsoku/>
              <w:overflowPunct/>
              <w:topLinePunct w:val="0"/>
              <w:bidi w:val="0"/>
              <w:adjustRightInd/>
              <w:snapToGrid/>
              <w:spacing w:line="4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.除磋商文件规定必须提供以外，供应商认为需要提供的其他证明材料；</w:t>
            </w:r>
          </w:p>
          <w:p w14:paraId="44CB4EF9">
            <w:pPr>
              <w:keepNext w:val="0"/>
              <w:keepLines w:val="0"/>
              <w:pageBreakBefore w:val="0"/>
              <w:kinsoku/>
              <w:overflowPunct/>
              <w:topLinePunct w:val="0"/>
              <w:bidi w:val="0"/>
              <w:adjustRightInd/>
              <w:snapToGrid/>
              <w:spacing w:line="400" w:lineRule="exact"/>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注：</w:t>
            </w:r>
          </w:p>
          <w:p w14:paraId="548091A7">
            <w:pPr>
              <w:keepNext w:val="0"/>
              <w:keepLines w:val="0"/>
              <w:pageBreakBefore w:val="0"/>
              <w:kinsoku/>
              <w:overflowPunct/>
              <w:topLinePunct w:val="0"/>
              <w:bidi w:val="0"/>
              <w:adjustRightInd/>
              <w:snapToGrid/>
              <w:spacing w:line="400" w:lineRule="exact"/>
              <w:ind w:firstLine="413" w:firstLineChars="196"/>
              <w:jc w:val="left"/>
              <w:textAlignment w:val="auto"/>
              <w:rPr>
                <w:rFonts w:hint="eastAsia"/>
                <w:color w:val="auto"/>
                <w:highlight w:val="none"/>
              </w:rPr>
            </w:pPr>
            <w:r>
              <w:rPr>
                <w:rFonts w:hint="eastAsia" w:ascii="宋体" w:hAnsi="宋体" w:cs="宋体"/>
                <w:b/>
                <w:color w:val="auto"/>
                <w:szCs w:val="21"/>
                <w:highlight w:val="none"/>
              </w:rPr>
              <w:t>以上标明“必须提供”的材料 ，必须加盖供应商公章；必须提供的材料在第五章“响应文件格式”中有要求法定代表人或委托代理人签字的，必须由法定代表人或委托代理人签字，否则响应文件按无效响应处理。其中，竞标声明必须由法定代表人在规定签章处签字（或盖章）并加盖供应商公章，否则响应文件按无效响应处理。</w:t>
            </w:r>
          </w:p>
        </w:tc>
      </w:tr>
      <w:tr w14:paraId="60D07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78F79495">
            <w:pPr>
              <w:keepNext w:val="0"/>
              <w:keepLines w:val="0"/>
              <w:pageBreakBefore w:val="0"/>
              <w:kinsoku/>
              <w:overflowPunct/>
              <w:topLinePunct w:val="0"/>
              <w:bidi w:val="0"/>
              <w:adjustRightInd/>
              <w:snapToGrid/>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12.1.2</w:t>
            </w:r>
          </w:p>
        </w:tc>
        <w:tc>
          <w:tcPr>
            <w:tcW w:w="7912" w:type="dxa"/>
            <w:tcBorders>
              <w:top w:val="single" w:color="auto" w:sz="4" w:space="0"/>
              <w:left w:val="single" w:color="auto" w:sz="4" w:space="0"/>
              <w:bottom w:val="single" w:color="auto" w:sz="4" w:space="0"/>
              <w:right w:val="single" w:color="auto" w:sz="4" w:space="0"/>
            </w:tcBorders>
            <w:noWrap w:val="0"/>
            <w:vAlign w:val="center"/>
          </w:tcPr>
          <w:p w14:paraId="6AD27621">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auto"/>
                <w:szCs w:val="21"/>
                <w:highlight w:val="none"/>
              </w:rPr>
            </w:pPr>
            <w:r>
              <w:rPr>
                <w:rFonts w:hint="eastAsia" w:ascii="宋体" w:hAnsi="宋体" w:cs="宋体"/>
                <w:color w:val="auto"/>
                <w:szCs w:val="21"/>
                <w:highlight w:val="none"/>
              </w:rPr>
              <w:t>报价文件</w:t>
            </w:r>
          </w:p>
          <w:p w14:paraId="371437E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1.竞标报价表（格式后附）；（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7BAA7F7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eastAsia="宋体"/>
                <w:b/>
                <w:bCs/>
                <w:color w:val="auto"/>
                <w:highlight w:val="none"/>
                <w:lang w:val="en-US" w:eastAsia="zh-CN"/>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w:t>
            </w:r>
            <w:r>
              <w:rPr>
                <w:rFonts w:hint="eastAsia" w:ascii="宋体" w:hAnsi="宋体"/>
                <w:color w:val="auto"/>
                <w:szCs w:val="21"/>
                <w:highlight w:val="none"/>
              </w:rPr>
              <w:t>《关于符合本国产品标准的声明函》或者财政部会同有关部门规定的有关证明文件；（供应商根据自身响应情况出具）</w:t>
            </w:r>
            <w:r>
              <w:rPr>
                <w:rFonts w:hint="eastAsia" w:ascii="宋体" w:hAnsi="宋体"/>
                <w:color w:val="auto"/>
                <w:szCs w:val="21"/>
                <w:highlight w:val="none"/>
                <w:lang w:eastAsia="zh-CN"/>
              </w:rPr>
              <w:t>。</w:t>
            </w:r>
          </w:p>
          <w:p w14:paraId="79215476">
            <w:pPr>
              <w:pStyle w:val="57"/>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color w:val="auto"/>
                <w:highlight w:val="none"/>
                <w:lang w:val="en-US" w:eastAsia="zh-CN"/>
              </w:rPr>
            </w:pP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w:t>
            </w:r>
            <w:r>
              <w:rPr>
                <w:color w:val="auto"/>
                <w:highlight w:val="none"/>
                <w:lang w:val="en-US" w:eastAsia="zh-CN"/>
              </w:rPr>
              <w:t>供应商认为需要提供的其他有关资料。</w:t>
            </w:r>
          </w:p>
        </w:tc>
      </w:tr>
      <w:tr w14:paraId="66F25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45657B9D">
            <w:pPr>
              <w:keepNext w:val="0"/>
              <w:keepLines w:val="0"/>
              <w:pageBreakBefore w:val="0"/>
              <w:kinsoku/>
              <w:overflowPunct/>
              <w:topLinePunct w:val="0"/>
              <w:bidi w:val="0"/>
              <w:adjustRightInd/>
              <w:snapToGrid/>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12.</w:t>
            </w:r>
            <w:r>
              <w:rPr>
                <w:rFonts w:ascii="宋体" w:hAnsi="宋体" w:cs="宋体"/>
                <w:color w:val="auto"/>
                <w:szCs w:val="21"/>
                <w:highlight w:val="none"/>
              </w:rPr>
              <w:t>1</w:t>
            </w:r>
            <w:r>
              <w:rPr>
                <w:rFonts w:hint="eastAsia" w:ascii="宋体" w:hAnsi="宋体" w:cs="宋体"/>
                <w:color w:val="auto"/>
                <w:szCs w:val="21"/>
                <w:highlight w:val="none"/>
              </w:rPr>
              <w:t>.3</w:t>
            </w:r>
          </w:p>
        </w:tc>
        <w:tc>
          <w:tcPr>
            <w:tcW w:w="7912" w:type="dxa"/>
            <w:tcBorders>
              <w:top w:val="single" w:color="auto" w:sz="4" w:space="0"/>
              <w:left w:val="single" w:color="auto" w:sz="4" w:space="0"/>
              <w:bottom w:val="single" w:color="auto" w:sz="4" w:space="0"/>
              <w:right w:val="single" w:color="auto" w:sz="4" w:space="0"/>
            </w:tcBorders>
            <w:noWrap w:val="0"/>
            <w:vAlign w:val="center"/>
          </w:tcPr>
          <w:p w14:paraId="2119C790">
            <w:pPr>
              <w:keepNext w:val="0"/>
              <w:keepLines w:val="0"/>
              <w:pageBreakBefore w:val="0"/>
              <w:kinsoku/>
              <w:overflowPunct/>
              <w:topLinePunct w:val="0"/>
              <w:bidi w:val="0"/>
              <w:adjustRightInd/>
              <w:snapToGrid/>
              <w:spacing w:line="400" w:lineRule="exact"/>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商务技术文件</w:t>
            </w:r>
          </w:p>
          <w:p w14:paraId="61577AE8">
            <w:pPr>
              <w:keepNext w:val="0"/>
              <w:keepLines w:val="0"/>
              <w:pageBreakBefore w:val="0"/>
              <w:kinsoku/>
              <w:overflowPunct/>
              <w:topLinePunct w:val="0"/>
              <w:bidi w:val="0"/>
              <w:adjustRightInd/>
              <w:snapToGrid/>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1.无串通竞标行为的承诺函（格式后附）；（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E91FDB9">
            <w:pPr>
              <w:keepNext w:val="0"/>
              <w:keepLines w:val="0"/>
              <w:pageBreakBefore w:val="0"/>
              <w:kinsoku/>
              <w:overflowPunct/>
              <w:topLinePunct w:val="0"/>
              <w:bidi w:val="0"/>
              <w:adjustRightInd/>
              <w:snapToGrid/>
              <w:spacing w:line="4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2.法定代表人身份证明书及法定代表人有效身份证正反面复印件</w:t>
            </w:r>
            <w:r>
              <w:rPr>
                <w:rFonts w:hint="eastAsia" w:ascii="宋体" w:hAnsi="宋体" w:cs="宋体"/>
                <w:color w:val="auto"/>
                <w:szCs w:val="21"/>
                <w:highlight w:val="none"/>
                <w:lang w:eastAsia="zh-CN"/>
              </w:rPr>
              <w:t>或扫描件。</w:t>
            </w:r>
            <w:r>
              <w:rPr>
                <w:rFonts w:hint="eastAsia" w:ascii="宋体" w:hAnsi="宋体" w:cs="宋体"/>
                <w:color w:val="auto"/>
                <w:szCs w:val="21"/>
                <w:highlight w:val="none"/>
              </w:rPr>
              <w:t>（格式后附）；（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D62A41E">
            <w:pPr>
              <w:keepNext w:val="0"/>
              <w:keepLines w:val="0"/>
              <w:pageBreakBefore w:val="0"/>
              <w:kinsoku/>
              <w:overflowPunct/>
              <w:topLinePunct w:val="0"/>
              <w:bidi w:val="0"/>
              <w:adjustRightInd/>
              <w:snapToGrid/>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3.授权委托书及委托代理人有效身份证正反面复印件</w:t>
            </w:r>
            <w:r>
              <w:rPr>
                <w:rFonts w:hint="eastAsia" w:ascii="宋体" w:hAnsi="宋体" w:cs="宋体"/>
                <w:color w:val="auto"/>
                <w:szCs w:val="21"/>
                <w:highlight w:val="none"/>
                <w:lang w:eastAsia="zh-CN"/>
              </w:rPr>
              <w:t>或扫描件</w:t>
            </w:r>
            <w:r>
              <w:rPr>
                <w:rFonts w:hint="eastAsia" w:ascii="宋体" w:hAnsi="宋体" w:cs="宋体"/>
                <w:color w:val="auto"/>
                <w:szCs w:val="21"/>
                <w:highlight w:val="none"/>
              </w:rPr>
              <w:t>（格式后附）；（</w:t>
            </w:r>
            <w:r>
              <w:rPr>
                <w:rFonts w:hint="eastAsia" w:ascii="宋体" w:hAnsi="宋体" w:cs="宋体"/>
                <w:b/>
                <w:color w:val="auto"/>
                <w:szCs w:val="21"/>
                <w:highlight w:val="none"/>
              </w:rPr>
              <w:t>委托时必须提供，否则响应文件按无效响应处理</w:t>
            </w:r>
            <w:r>
              <w:rPr>
                <w:rFonts w:hint="eastAsia" w:ascii="宋体" w:hAnsi="宋体" w:cs="宋体"/>
                <w:color w:val="auto"/>
                <w:szCs w:val="21"/>
                <w:highlight w:val="none"/>
              </w:rPr>
              <w:t>）</w:t>
            </w:r>
          </w:p>
          <w:p w14:paraId="2A99E6DC">
            <w:pPr>
              <w:keepNext w:val="0"/>
              <w:keepLines w:val="0"/>
              <w:pageBreakBefore w:val="0"/>
              <w:kinsoku/>
              <w:overflowPunct/>
              <w:topLinePunct w:val="0"/>
              <w:bidi w:val="0"/>
              <w:adjustRightInd/>
              <w:snapToGrid/>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.商务要求偏离表（格式后附）；（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765E122">
            <w:pPr>
              <w:pStyle w:val="26"/>
              <w:keepNext w:val="0"/>
              <w:keepLines w:val="0"/>
              <w:pageBreakBefore w:val="0"/>
              <w:kinsoku/>
              <w:overflowPunct/>
              <w:topLinePunct w:val="0"/>
              <w:bidi w:val="0"/>
              <w:adjustRightInd/>
              <w:snapToGrid/>
              <w:spacing w:line="400" w:lineRule="exact"/>
              <w:ind w:firstLine="0"/>
              <w:textAlignment w:val="auto"/>
              <w:rPr>
                <w:rFonts w:hint="eastAsia"/>
                <w:b/>
                <w:color w:val="auto"/>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w:t>
            </w:r>
            <w:r>
              <w:rPr>
                <w:rFonts w:hint="eastAsia" w:ascii="宋体" w:hAnsi="宋体"/>
                <w:color w:val="auto"/>
                <w:szCs w:val="21"/>
                <w:highlight w:val="none"/>
              </w:rPr>
              <w:t>技术要求偏离表（格式后附）；</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49C782C9">
            <w:pPr>
              <w:keepNext w:val="0"/>
              <w:keepLines w:val="0"/>
              <w:pageBreakBefore w:val="0"/>
              <w:kinsoku/>
              <w:overflowPunct/>
              <w:topLinePunct w:val="0"/>
              <w:bidi w:val="0"/>
              <w:adjustRightInd/>
              <w:snapToGrid/>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w:t>
            </w:r>
            <w:r>
              <w:rPr>
                <w:rFonts w:hint="eastAsia" w:ascii="宋体" w:hAnsi="宋体" w:cs="Arial"/>
                <w:bCs/>
                <w:iCs/>
                <w:color w:val="auto"/>
                <w:szCs w:val="21"/>
                <w:highlight w:val="none"/>
              </w:rPr>
              <w:t>技术服务方案</w:t>
            </w:r>
            <w:r>
              <w:rPr>
                <w:rFonts w:hint="eastAsia" w:ascii="宋体" w:hAnsi="宋体" w:eastAsia="宋体" w:cs="Times New Roman"/>
                <w:color w:val="auto"/>
                <w:szCs w:val="21"/>
                <w:highlight w:val="none"/>
                <w:lang w:val="en-US" w:eastAsia="zh-CN"/>
              </w:rPr>
              <w:t>（包括但不限于项目实施方案、食材安全措施方案、应急方案、服务保障方案、拟投入人员配置及管理方案</w:t>
            </w:r>
            <w:r>
              <w:rPr>
                <w:rFonts w:hint="eastAsia" w:ascii="宋体" w:hAnsi="宋体" w:cs="Times New Roman"/>
                <w:color w:val="auto"/>
                <w:szCs w:val="21"/>
                <w:highlight w:val="none"/>
                <w:lang w:val="en-US" w:eastAsia="zh-CN"/>
              </w:rPr>
              <w:t>等</w:t>
            </w:r>
            <w:r>
              <w:rPr>
                <w:rFonts w:hint="eastAsia" w:ascii="宋体" w:hAnsi="宋体" w:eastAsia="宋体" w:cs="Times New Roman"/>
                <w:color w:val="auto"/>
                <w:szCs w:val="21"/>
                <w:highlight w:val="none"/>
                <w:lang w:val="en-US" w:eastAsia="zh-CN"/>
              </w:rPr>
              <w:t>内容）</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CFE1572">
            <w:pPr>
              <w:pStyle w:val="26"/>
              <w:keepNext w:val="0"/>
              <w:keepLines w:val="0"/>
              <w:pageBreakBefore w:val="0"/>
              <w:kinsoku/>
              <w:overflowPunct/>
              <w:topLinePunct w:val="0"/>
              <w:bidi w:val="0"/>
              <w:adjustRightInd/>
              <w:snapToGrid/>
              <w:spacing w:line="400" w:lineRule="exact"/>
              <w:ind w:firstLine="0"/>
              <w:textAlignment w:val="auto"/>
              <w:rPr>
                <w:rFonts w:hint="eastAsia" w:ascii="宋体" w:hAnsi="宋体" w:cs="宋体"/>
                <w:color w:val="auto"/>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rPr>
              <w:t>.代理服务费承诺书（格式后附）；</w:t>
            </w:r>
            <w:r>
              <w:rPr>
                <w:rFonts w:hint="eastAsia" w:ascii="宋体" w:hAnsi="宋体" w:cs="宋体"/>
                <w:color w:val="auto"/>
                <w:szCs w:val="21"/>
                <w:highlight w:val="none"/>
              </w:rPr>
              <w:t xml:space="preserve"> </w:t>
            </w:r>
          </w:p>
          <w:p w14:paraId="6499A610">
            <w:pPr>
              <w:keepNext w:val="0"/>
              <w:keepLines w:val="0"/>
              <w:pageBreakBefore w:val="0"/>
              <w:kinsoku/>
              <w:overflowPunct/>
              <w:topLinePunct w:val="0"/>
              <w:bidi w:val="0"/>
              <w:adjustRightInd/>
              <w:snapToGrid/>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.对应采购需求的技术要求、商务要求提供的其他文件资料（格式自拟）；</w:t>
            </w:r>
          </w:p>
          <w:p w14:paraId="315C43C4">
            <w:pPr>
              <w:keepNext w:val="0"/>
              <w:keepLines w:val="0"/>
              <w:pageBreakBefore w:val="0"/>
              <w:kinsoku/>
              <w:overflowPunct/>
              <w:topLinePunct w:val="0"/>
              <w:bidi w:val="0"/>
              <w:adjustRightInd/>
              <w:snapToGrid/>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.供应商认为需要提供的其他有关资料。</w:t>
            </w:r>
          </w:p>
          <w:p w14:paraId="54489418">
            <w:pPr>
              <w:keepNext w:val="0"/>
              <w:keepLines w:val="0"/>
              <w:pageBreakBefore w:val="0"/>
              <w:kinsoku/>
              <w:overflowPunct/>
              <w:topLinePunct w:val="0"/>
              <w:bidi w:val="0"/>
              <w:adjustRightInd/>
              <w:snapToGrid/>
              <w:spacing w:line="400" w:lineRule="exact"/>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注：以上标明“必须提供”的材料 ，必须加盖供应商电子签章；必须提供的材料在第五章“响应文件格式”中有要求法定代表人或委托代理人签字的，必须由法定代表人或委托代理人签字；否则响应文件按无效响应处理。</w:t>
            </w:r>
          </w:p>
        </w:tc>
      </w:tr>
      <w:tr w14:paraId="4FD37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2D25F7D4">
            <w:pPr>
              <w:keepNext w:val="0"/>
              <w:keepLines w:val="0"/>
              <w:pageBreakBefore w:val="0"/>
              <w:kinsoku/>
              <w:overflowPunct/>
              <w:topLinePunct w:val="0"/>
              <w:bidi w:val="0"/>
              <w:adjustRightInd/>
              <w:snapToGrid/>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15.2</w:t>
            </w:r>
          </w:p>
        </w:tc>
        <w:tc>
          <w:tcPr>
            <w:tcW w:w="7912" w:type="dxa"/>
            <w:tcBorders>
              <w:top w:val="single" w:color="auto" w:sz="4" w:space="0"/>
              <w:left w:val="single" w:color="auto" w:sz="4" w:space="0"/>
              <w:bottom w:val="single" w:color="auto" w:sz="4" w:space="0"/>
              <w:right w:val="single" w:color="auto" w:sz="4" w:space="0"/>
            </w:tcBorders>
            <w:noWrap w:val="0"/>
            <w:vAlign w:val="center"/>
          </w:tcPr>
          <w:p w14:paraId="05454F8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textAlignment w:val="auto"/>
              <w:rPr>
                <w:rFonts w:hint="eastAsia"/>
                <w:color w:val="auto"/>
                <w:sz w:val="21"/>
                <w:szCs w:val="21"/>
                <w:highlight w:val="none"/>
                <w:lang w:val="en-US" w:eastAsia="zh-CN"/>
              </w:rPr>
            </w:pPr>
            <w:r>
              <w:rPr>
                <w:rFonts w:hint="eastAsia"/>
                <w:color w:val="auto"/>
                <w:sz w:val="21"/>
                <w:szCs w:val="21"/>
                <w:highlight w:val="none"/>
                <w:lang w:val="en-US" w:eastAsia="zh-CN"/>
              </w:rPr>
              <w:t>1.供应商的竞标报价包括但不限于以下内容：食材的购置、检验、粗加工、分拣、包装、仓储、运输、装卸、堆放、保险、损耗、退换、售后服务、雇员费用、管理费</w:t>
            </w:r>
            <w:r>
              <w:rPr>
                <w:rFonts w:hint="eastAsia"/>
                <w:highlight w:val="none"/>
                <w:lang w:val="en-US" w:eastAsia="zh-CN"/>
              </w:rPr>
              <w:t>、全额税费等合同履行过程中的一切费用</w:t>
            </w:r>
            <w:r>
              <w:rPr>
                <w:rFonts w:hint="eastAsia"/>
                <w:color w:val="auto"/>
                <w:sz w:val="21"/>
                <w:szCs w:val="21"/>
                <w:highlight w:val="none"/>
                <w:lang w:val="en-US" w:eastAsia="zh-CN"/>
              </w:rPr>
              <w:t>。本项目招标代理服务费、必要的保险费用和各项税金也包含在报价中。</w:t>
            </w:r>
          </w:p>
          <w:p w14:paraId="3C12ED8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textAlignment w:val="auto"/>
              <w:rPr>
                <w:rFonts w:hint="eastAsia"/>
                <w:color w:val="auto"/>
                <w:sz w:val="21"/>
                <w:szCs w:val="21"/>
                <w:highlight w:val="none"/>
                <w:lang w:val="en-US" w:eastAsia="zh-CN"/>
              </w:rPr>
            </w:pPr>
            <w:r>
              <w:rPr>
                <w:rFonts w:hint="eastAsia"/>
                <w:color w:val="auto"/>
                <w:sz w:val="21"/>
                <w:szCs w:val="21"/>
                <w:highlight w:val="none"/>
                <w:lang w:val="en-US" w:eastAsia="zh-CN"/>
              </w:rPr>
              <w:t>2.确定成交供应商并签订合同后，按实际提供的食材费用结算。</w:t>
            </w:r>
          </w:p>
          <w:p w14:paraId="2B2CED6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textAlignment w:val="auto"/>
              <w:rPr>
                <w:rFonts w:hint="eastAsia"/>
                <w:color w:val="auto"/>
                <w:sz w:val="21"/>
                <w:szCs w:val="21"/>
                <w:highlight w:val="none"/>
                <w:lang w:val="en-US" w:eastAsia="zh-CN"/>
              </w:rPr>
            </w:pPr>
            <w:r>
              <w:rPr>
                <w:rFonts w:hint="eastAsia"/>
                <w:color w:val="auto"/>
                <w:sz w:val="21"/>
                <w:szCs w:val="21"/>
                <w:highlight w:val="none"/>
                <w:lang w:val="en-US" w:eastAsia="zh-CN"/>
              </w:rPr>
              <w:t>3.若供应商被选定为成交供应商，服务期内的产品供应中应严格执行价格承诺。在一个定价周期内（1个月）确定好的采购价格不得随意更改，并必须按时按量供货，不得因市场价格上涨降低产品品质，否则按采购产品价值三倍扣除履约保证金；不得因市场价格上涨停止供货，否则采购人有权依法终止合同，扣除全部履约保证金，由此产生的一切经济损失由成交供应商自行承担。</w:t>
            </w:r>
          </w:p>
          <w:p w14:paraId="75646122">
            <w:pPr>
              <w:pStyle w:val="5"/>
              <w:keepNext w:val="0"/>
              <w:keepLines w:val="0"/>
              <w:pageBreakBefore w:val="0"/>
              <w:widowControl w:val="0"/>
              <w:kinsoku/>
              <w:wordWrap/>
              <w:overflowPunct/>
              <w:topLinePunct w:val="0"/>
              <w:autoSpaceDE/>
              <w:autoSpaceDN/>
              <w:bidi w:val="0"/>
              <w:adjustRightInd/>
              <w:snapToGrid/>
              <w:spacing w:after="0" w:line="360" w:lineRule="exact"/>
              <w:ind w:firstLine="422" w:firstLineChars="200"/>
              <w:textAlignment w:val="auto"/>
              <w:rPr>
                <w:rFonts w:hint="eastAsia" w:ascii="宋体" w:hAnsi="宋体" w:eastAsia="宋体" w:cs="Times New Roman"/>
                <w:b/>
                <w:bCs/>
                <w:color w:val="auto"/>
                <w:sz w:val="21"/>
                <w:szCs w:val="21"/>
                <w:highlight w:val="none"/>
                <w:lang w:val="en-US" w:eastAsia="zh-CN"/>
              </w:rPr>
            </w:pPr>
            <w:r>
              <w:rPr>
                <w:rFonts w:hint="eastAsia" w:ascii="宋体" w:hAnsi="宋体" w:cs="Times New Roman"/>
                <w:b/>
                <w:bCs/>
                <w:color w:val="auto"/>
                <w:sz w:val="21"/>
                <w:szCs w:val="21"/>
                <w:highlight w:val="none"/>
                <w:lang w:val="en-US" w:eastAsia="zh-CN"/>
              </w:rPr>
              <w:t>4.本项目</w:t>
            </w:r>
            <w:r>
              <w:rPr>
                <w:rFonts w:hint="eastAsia" w:ascii="宋体" w:hAnsi="宋体" w:eastAsia="宋体" w:cs="Times New Roman"/>
                <w:b/>
                <w:bCs/>
                <w:color w:val="auto"/>
                <w:sz w:val="21"/>
                <w:szCs w:val="21"/>
                <w:highlight w:val="none"/>
                <w:lang w:val="en-US" w:eastAsia="zh-CN"/>
              </w:rPr>
              <w:t>竞标报价按下浮系数报价，供应商结合采购人提供的市场调查物价、市场价格、成本及自身条件、市场风险报出综合下浮系数。有效报价范围为：下浮系数≥10%。实际采购单价=市场价格（基准单价）×（1-下浮系数）。供应商一旦</w:t>
            </w:r>
            <w:r>
              <w:rPr>
                <w:rFonts w:hint="eastAsia" w:ascii="宋体" w:hAnsi="宋体" w:cs="Times New Roman"/>
                <w:b/>
                <w:bCs/>
                <w:color w:val="auto"/>
                <w:sz w:val="21"/>
                <w:szCs w:val="21"/>
                <w:highlight w:val="none"/>
                <w:lang w:val="en-US" w:eastAsia="zh-CN"/>
              </w:rPr>
              <w:t>成交</w:t>
            </w:r>
            <w:r>
              <w:rPr>
                <w:rFonts w:hint="eastAsia" w:ascii="宋体" w:hAnsi="宋体" w:eastAsia="宋体" w:cs="Times New Roman"/>
                <w:b/>
                <w:bCs/>
                <w:color w:val="auto"/>
                <w:sz w:val="21"/>
                <w:szCs w:val="21"/>
                <w:highlight w:val="none"/>
                <w:lang w:val="en-US" w:eastAsia="zh-CN"/>
              </w:rPr>
              <w:t>，该</w:t>
            </w:r>
            <w:r>
              <w:rPr>
                <w:rFonts w:hint="eastAsia" w:ascii="宋体" w:hAnsi="宋体" w:cs="Times New Roman"/>
                <w:b/>
                <w:bCs/>
                <w:color w:val="auto"/>
                <w:sz w:val="21"/>
                <w:szCs w:val="21"/>
                <w:highlight w:val="none"/>
                <w:lang w:val="en-US" w:eastAsia="zh-CN"/>
              </w:rPr>
              <w:t>成交</w:t>
            </w:r>
            <w:r>
              <w:rPr>
                <w:rFonts w:hint="eastAsia" w:ascii="宋体" w:hAnsi="宋体" w:eastAsia="宋体" w:cs="Times New Roman"/>
                <w:b/>
                <w:bCs/>
                <w:color w:val="auto"/>
                <w:sz w:val="21"/>
                <w:szCs w:val="21"/>
                <w:highlight w:val="none"/>
                <w:lang w:val="en-US" w:eastAsia="zh-CN"/>
              </w:rPr>
              <w:t>下浮系数在合同服务期内不得改变。</w:t>
            </w:r>
          </w:p>
          <w:p w14:paraId="17FD97FE">
            <w:pPr>
              <w:pStyle w:val="5"/>
              <w:keepNext w:val="0"/>
              <w:keepLines w:val="0"/>
              <w:pageBreakBefore w:val="0"/>
              <w:widowControl w:val="0"/>
              <w:kinsoku/>
              <w:wordWrap/>
              <w:overflowPunct/>
              <w:topLinePunct w:val="0"/>
              <w:autoSpaceDE/>
              <w:autoSpaceDN/>
              <w:bidi w:val="0"/>
              <w:adjustRightInd/>
              <w:snapToGrid/>
              <w:spacing w:after="0" w:line="360" w:lineRule="exact"/>
              <w:ind w:firstLine="420" w:firstLineChars="200"/>
              <w:textAlignment w:val="auto"/>
              <w:rPr>
                <w:rFonts w:hint="eastAsia" w:ascii="宋体" w:hAnsi="宋体" w:eastAsia="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5.</w:t>
            </w:r>
            <w:r>
              <w:rPr>
                <w:rFonts w:hint="eastAsia" w:ascii="宋体" w:hAnsi="宋体" w:eastAsia="宋体" w:cs="Times New Roman"/>
                <w:color w:val="auto"/>
                <w:sz w:val="21"/>
                <w:szCs w:val="21"/>
                <w:highlight w:val="none"/>
                <w:lang w:val="en-US" w:eastAsia="zh-CN"/>
              </w:rPr>
              <w:t>市场价格（基准单价）的确定：</w:t>
            </w:r>
          </w:p>
          <w:p w14:paraId="1E606ED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highlight w:val="none"/>
                <w:lang w:val="en-US" w:eastAsia="zh-CN"/>
              </w:rPr>
            </w:pPr>
            <w:r>
              <w:rPr>
                <w:rFonts w:hint="eastAsia"/>
                <w:highlight w:val="none"/>
                <w:lang w:val="en-US" w:eastAsia="zh-CN"/>
              </w:rPr>
              <w:t>①定价机制：市场价格由采购人和成交供应商到港口区紫金城海鲜综合市场（含配送服务价格及税费；如采购商品在该市场无销售的，可参照港口区辉龙市场、港口区采珠市场、港口区金海市场等客流量大、菜品种类齐全的农贸市场的价格），每月询价一次。若成交供应商拒绝参与询价，则以采购人单独询价结果为准。</w:t>
            </w:r>
          </w:p>
          <w:p w14:paraId="2C98AD5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highlight w:val="none"/>
                <w:lang w:val="en-US" w:eastAsia="zh-CN"/>
              </w:rPr>
            </w:pPr>
            <w:r>
              <w:rPr>
                <w:rFonts w:hint="eastAsia"/>
                <w:highlight w:val="none"/>
                <w:lang w:val="en-US" w:eastAsia="zh-CN"/>
              </w:rPr>
              <w:t xml:space="preserve">②询价：由采购人和成交供应商共同派员组成3人以上询价小组，每月到港口区紫金城海鲜综合市场考察询价 1 次，所询价格作为当月的市场价格。结算价格按以上公式计算实际采购价格。 </w:t>
            </w:r>
          </w:p>
          <w:p w14:paraId="1828B8E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highlight w:val="none"/>
                <w:lang w:val="en-US" w:eastAsia="zh-CN"/>
              </w:rPr>
            </w:pPr>
            <w:r>
              <w:rPr>
                <w:rFonts w:hint="eastAsia"/>
                <w:highlight w:val="none"/>
                <w:lang w:val="en-US" w:eastAsia="zh-CN"/>
              </w:rPr>
              <w:t xml:space="preserve">③定价：询价小组以询价得出的结果为参考依据，对所询价格与上周期价格对比，若市场价格涨幅超过10%，成交供应商须提供配送书面调价函告知采购人，经采购人核实审批同意后方可实行。 </w:t>
            </w:r>
          </w:p>
          <w:p w14:paraId="7E74DFB4">
            <w:pPr>
              <w:pStyle w:val="5"/>
              <w:keepNext w:val="0"/>
              <w:keepLines w:val="0"/>
              <w:pageBreakBefore w:val="0"/>
              <w:widowControl w:val="0"/>
              <w:kinsoku/>
              <w:wordWrap/>
              <w:overflowPunct/>
              <w:topLinePunct w:val="0"/>
              <w:autoSpaceDE/>
              <w:autoSpaceDN/>
              <w:bidi w:val="0"/>
              <w:adjustRightInd/>
              <w:snapToGrid/>
              <w:spacing w:after="0" w:line="360" w:lineRule="exact"/>
              <w:ind w:firstLine="420" w:firstLineChars="200"/>
              <w:textAlignment w:val="auto"/>
              <w:rPr>
                <w:rFonts w:hint="eastAsia" w:hAnsi="宋体" w:cs="宋体"/>
                <w:b/>
                <w:bCs/>
                <w:color w:val="auto"/>
                <w:sz w:val="21"/>
                <w:highlight w:val="none"/>
                <w:lang w:val="en-US" w:eastAsia="zh-CN"/>
              </w:rPr>
            </w:pPr>
            <w:r>
              <w:rPr>
                <w:rFonts w:hint="eastAsia"/>
                <w:highlight w:val="none"/>
                <w:lang w:val="en-US" w:eastAsia="zh-CN"/>
              </w:rPr>
              <w:t>④对未列入询价范围的急需食材，采取临时询价机制。即：采购人提出需求的次日，由询价小组开展询价共同商定。</w:t>
            </w:r>
          </w:p>
        </w:tc>
      </w:tr>
      <w:tr w14:paraId="7265D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090B512C">
            <w:pPr>
              <w:keepNext w:val="0"/>
              <w:keepLines w:val="0"/>
              <w:pageBreakBefore w:val="0"/>
              <w:kinsoku/>
              <w:overflowPunct/>
              <w:topLinePunct w:val="0"/>
              <w:bidi w:val="0"/>
              <w:adjustRightInd/>
              <w:snapToGrid/>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16.</w:t>
            </w:r>
            <w:r>
              <w:rPr>
                <w:rFonts w:ascii="宋体" w:hAnsi="宋体" w:cs="宋体"/>
                <w:color w:val="auto"/>
                <w:szCs w:val="21"/>
                <w:highlight w:val="none"/>
              </w:rPr>
              <w:t>2</w:t>
            </w:r>
          </w:p>
        </w:tc>
        <w:tc>
          <w:tcPr>
            <w:tcW w:w="7912" w:type="dxa"/>
            <w:tcBorders>
              <w:top w:val="single" w:color="auto" w:sz="4" w:space="0"/>
              <w:left w:val="single" w:color="auto" w:sz="4" w:space="0"/>
              <w:bottom w:val="single" w:color="auto" w:sz="4" w:space="0"/>
              <w:right w:val="single" w:color="auto" w:sz="4" w:space="0"/>
            </w:tcBorders>
            <w:noWrap w:val="0"/>
            <w:vAlign w:val="center"/>
          </w:tcPr>
          <w:p w14:paraId="141C0BF2">
            <w:pPr>
              <w:pStyle w:val="31"/>
              <w:keepNext w:val="0"/>
              <w:keepLines w:val="0"/>
              <w:pageBreakBefore w:val="0"/>
              <w:widowControl w:val="0"/>
              <w:tabs>
                <w:tab w:val="clear" w:pos="454"/>
              </w:tabs>
              <w:kinsoku/>
              <w:overflowPunct/>
              <w:topLinePunct w:val="0"/>
              <w:bidi w:val="0"/>
              <w:adjustRightInd/>
              <w:snapToGrid/>
              <w:spacing w:line="400" w:lineRule="exact"/>
              <w:ind w:left="283" w:hanging="283" w:hangingChars="135"/>
              <w:textAlignment w:val="auto"/>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竞标有效期：自首次响应文件提交截止之日起</w:t>
            </w:r>
            <w:r>
              <w:rPr>
                <w:rFonts w:hint="eastAsia" w:ascii="宋体" w:hAnsi="宋体" w:cs="宋体"/>
                <w:color w:val="auto"/>
                <w:kern w:val="2"/>
                <w:sz w:val="21"/>
                <w:szCs w:val="21"/>
                <w:highlight w:val="none"/>
                <w:u w:val="single"/>
              </w:rPr>
              <w:t>90</w:t>
            </w:r>
            <w:r>
              <w:rPr>
                <w:rFonts w:hint="eastAsia" w:ascii="宋体" w:hAnsi="宋体" w:cs="宋体"/>
                <w:color w:val="auto"/>
                <w:kern w:val="2"/>
                <w:sz w:val="21"/>
                <w:szCs w:val="21"/>
                <w:highlight w:val="none"/>
              </w:rPr>
              <w:t>日。</w:t>
            </w:r>
          </w:p>
        </w:tc>
      </w:tr>
      <w:tr w14:paraId="655D8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0C84F9A3">
            <w:pPr>
              <w:keepNext w:val="0"/>
              <w:keepLines w:val="0"/>
              <w:pageBreakBefore w:val="0"/>
              <w:kinsoku/>
              <w:overflowPunct/>
              <w:topLinePunct w:val="0"/>
              <w:bidi w:val="0"/>
              <w:adjustRightInd/>
              <w:snapToGrid/>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17</w:t>
            </w:r>
          </w:p>
        </w:tc>
        <w:tc>
          <w:tcPr>
            <w:tcW w:w="7912" w:type="dxa"/>
            <w:tcBorders>
              <w:top w:val="single" w:color="auto" w:sz="4" w:space="0"/>
              <w:left w:val="single" w:color="auto" w:sz="4" w:space="0"/>
              <w:bottom w:val="single" w:color="auto" w:sz="4" w:space="0"/>
              <w:right w:val="single" w:color="auto" w:sz="4" w:space="0"/>
            </w:tcBorders>
            <w:noWrap w:val="0"/>
            <w:vAlign w:val="center"/>
          </w:tcPr>
          <w:p w14:paraId="3A05463A">
            <w:pPr>
              <w:keepNext w:val="0"/>
              <w:keepLines w:val="0"/>
              <w:pageBreakBefore w:val="0"/>
              <w:kinsoku/>
              <w:overflowPunct/>
              <w:topLinePunct w:val="0"/>
              <w:autoSpaceDE w:val="0"/>
              <w:autoSpaceDN w:val="0"/>
              <w:bidi w:val="0"/>
              <w:adjustRightInd/>
              <w:snapToGrid/>
              <w:spacing w:line="400" w:lineRule="exact"/>
              <w:textAlignment w:val="auto"/>
              <w:rPr>
                <w:rFonts w:hint="eastAsia"/>
                <w:highlight w:val="none"/>
                <w:lang w:eastAsia="zh-CN"/>
              </w:rPr>
            </w:pPr>
            <w:r>
              <w:rPr>
                <w:rFonts w:hint="eastAsia"/>
                <w:highlight w:val="none"/>
              </w:rPr>
              <w:t>本项目不收取磋商保证金。</w:t>
            </w:r>
          </w:p>
        </w:tc>
      </w:tr>
      <w:tr w14:paraId="4E08D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67AED6E8">
            <w:pPr>
              <w:keepNext w:val="0"/>
              <w:keepLines w:val="0"/>
              <w:pageBreakBefore w:val="0"/>
              <w:kinsoku/>
              <w:overflowPunct/>
              <w:topLinePunct w:val="0"/>
              <w:bidi w:val="0"/>
              <w:adjustRightInd/>
              <w:snapToGrid/>
              <w:spacing w:line="400" w:lineRule="exact"/>
              <w:jc w:val="center"/>
              <w:textAlignment w:val="auto"/>
              <w:rPr>
                <w:rFonts w:hint="eastAsia" w:ascii="宋体" w:hAnsi="宋体" w:cs="宋体"/>
                <w:color w:val="auto"/>
                <w:szCs w:val="21"/>
                <w:highlight w:val="none"/>
              </w:rPr>
            </w:pPr>
            <w:r>
              <w:rPr>
                <w:rFonts w:ascii="宋体" w:hAnsi="宋体" w:cs="宋体"/>
                <w:color w:val="auto"/>
                <w:szCs w:val="21"/>
                <w:highlight w:val="none"/>
              </w:rPr>
              <w:t>19</w:t>
            </w:r>
          </w:p>
        </w:tc>
        <w:tc>
          <w:tcPr>
            <w:tcW w:w="7912" w:type="dxa"/>
            <w:tcBorders>
              <w:top w:val="single" w:color="auto" w:sz="4" w:space="0"/>
              <w:left w:val="single" w:color="auto" w:sz="4" w:space="0"/>
              <w:bottom w:val="single" w:color="auto" w:sz="4" w:space="0"/>
              <w:right w:val="single" w:color="auto" w:sz="4" w:space="0"/>
            </w:tcBorders>
            <w:noWrap w:val="0"/>
            <w:vAlign w:val="center"/>
          </w:tcPr>
          <w:p w14:paraId="42C013A8">
            <w:pPr>
              <w:keepNext w:val="0"/>
              <w:keepLines w:val="0"/>
              <w:pageBreakBefore w:val="0"/>
              <w:kinsoku/>
              <w:overflowPunct/>
              <w:topLinePunct w:val="0"/>
              <w:bidi w:val="0"/>
              <w:adjustRightInd/>
              <w:snapToGrid/>
              <w:spacing w:line="400" w:lineRule="exact"/>
              <w:textAlignment w:val="auto"/>
              <w:rPr>
                <w:rFonts w:hint="eastAsia" w:ascii="宋体" w:hAnsi="宋体" w:cs="宋体"/>
                <w:color w:val="auto"/>
                <w:szCs w:val="21"/>
                <w:highlight w:val="none"/>
              </w:rPr>
            </w:pPr>
            <w:r>
              <w:rPr>
                <w:rFonts w:hint="eastAsia" w:ascii="宋体" w:hAnsi="宋体"/>
                <w:color w:val="auto"/>
                <w:szCs w:val="21"/>
                <w:highlight w:val="none"/>
              </w:rPr>
              <w:t>本项目不接受</w:t>
            </w:r>
            <w:r>
              <w:rPr>
                <w:rFonts w:hint="eastAsia"/>
                <w:color w:val="auto"/>
                <w:highlight w:val="none"/>
              </w:rPr>
              <w:t>电子</w:t>
            </w:r>
            <w:r>
              <w:rPr>
                <w:rFonts w:hint="eastAsia" w:ascii="宋体" w:hAnsi="宋体"/>
                <w:color w:val="auto"/>
                <w:szCs w:val="21"/>
                <w:highlight w:val="none"/>
              </w:rPr>
              <w:t>备份响应文件</w:t>
            </w:r>
          </w:p>
        </w:tc>
      </w:tr>
      <w:tr w14:paraId="7ED86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16E66B83">
            <w:pPr>
              <w:keepNext w:val="0"/>
              <w:keepLines w:val="0"/>
              <w:pageBreakBefore w:val="0"/>
              <w:kinsoku/>
              <w:overflowPunct/>
              <w:topLinePunct w:val="0"/>
              <w:bidi w:val="0"/>
              <w:adjustRightInd/>
              <w:snapToGrid/>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20.1</w:t>
            </w:r>
          </w:p>
        </w:tc>
        <w:tc>
          <w:tcPr>
            <w:tcW w:w="7912" w:type="dxa"/>
            <w:tcBorders>
              <w:top w:val="single" w:color="auto" w:sz="4" w:space="0"/>
              <w:left w:val="single" w:color="auto" w:sz="4" w:space="0"/>
              <w:bottom w:val="single" w:color="auto" w:sz="4" w:space="0"/>
              <w:right w:val="single" w:color="auto" w:sz="4" w:space="0"/>
            </w:tcBorders>
            <w:noWrap w:val="0"/>
            <w:vAlign w:val="center"/>
          </w:tcPr>
          <w:p w14:paraId="3D8E339D">
            <w:pPr>
              <w:keepNext w:val="0"/>
              <w:keepLines w:val="0"/>
              <w:pageBreakBefore w:val="0"/>
              <w:kinsoku/>
              <w:overflowPunct/>
              <w:topLinePunct w:val="0"/>
              <w:bidi w:val="0"/>
              <w:adjustRightInd/>
              <w:snapToGrid/>
              <w:spacing w:line="400" w:lineRule="exact"/>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响应文件提交截止时间：详见竞争性磋商公告</w:t>
            </w:r>
          </w:p>
          <w:p w14:paraId="739296E6">
            <w:pPr>
              <w:keepNext w:val="0"/>
              <w:keepLines w:val="0"/>
              <w:pageBreakBefore w:val="0"/>
              <w:kinsoku/>
              <w:overflowPunct/>
              <w:topLinePunct w:val="0"/>
              <w:bidi w:val="0"/>
              <w:adjustRightInd/>
              <w:snapToGrid/>
              <w:spacing w:line="400" w:lineRule="exact"/>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响应文件提交地点：详见竞争性磋商公告。</w:t>
            </w:r>
          </w:p>
        </w:tc>
      </w:tr>
      <w:tr w14:paraId="2CF7B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591012A2">
            <w:pPr>
              <w:keepNext w:val="0"/>
              <w:keepLines w:val="0"/>
              <w:pageBreakBefore w:val="0"/>
              <w:kinsoku/>
              <w:overflowPunct/>
              <w:topLinePunct w:val="0"/>
              <w:bidi w:val="0"/>
              <w:adjustRightInd/>
              <w:snapToGrid/>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24.1</w:t>
            </w:r>
          </w:p>
        </w:tc>
        <w:tc>
          <w:tcPr>
            <w:tcW w:w="7912" w:type="dxa"/>
            <w:tcBorders>
              <w:top w:val="single" w:color="auto" w:sz="4" w:space="0"/>
              <w:left w:val="single" w:color="auto" w:sz="4" w:space="0"/>
              <w:bottom w:val="single" w:color="auto" w:sz="4" w:space="0"/>
              <w:right w:val="single" w:color="auto" w:sz="4" w:space="0"/>
            </w:tcBorders>
            <w:noWrap w:val="0"/>
            <w:vAlign w:val="center"/>
          </w:tcPr>
          <w:p w14:paraId="1FEA9256">
            <w:pPr>
              <w:keepNext w:val="0"/>
              <w:keepLines w:val="0"/>
              <w:pageBreakBefore w:val="0"/>
              <w:kinsoku/>
              <w:overflowPunct/>
              <w:topLinePunct w:val="0"/>
              <w:bidi w:val="0"/>
              <w:adjustRightInd/>
              <w:snapToGrid/>
              <w:spacing w:line="400" w:lineRule="exact"/>
              <w:jc w:val="left"/>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磋商小组的人数：</w:t>
            </w:r>
            <w:r>
              <w:rPr>
                <w:rFonts w:hint="eastAsia" w:ascii="宋体" w:hAnsi="宋体" w:cs="宋体"/>
                <w:color w:val="auto"/>
                <w:szCs w:val="21"/>
                <w:highlight w:val="none"/>
                <w:u w:val="single"/>
              </w:rPr>
              <w:t>3</w:t>
            </w:r>
            <w:r>
              <w:rPr>
                <w:rFonts w:hint="eastAsia" w:ascii="宋体" w:hAnsi="宋体" w:cs="宋体"/>
                <w:color w:val="auto"/>
                <w:szCs w:val="21"/>
                <w:highlight w:val="none"/>
              </w:rPr>
              <w:t>人。</w:t>
            </w:r>
          </w:p>
        </w:tc>
      </w:tr>
      <w:tr w14:paraId="2733A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6706DB3B">
            <w:pPr>
              <w:keepNext w:val="0"/>
              <w:keepLines w:val="0"/>
              <w:pageBreakBefore w:val="0"/>
              <w:kinsoku/>
              <w:overflowPunct/>
              <w:topLinePunct w:val="0"/>
              <w:bidi w:val="0"/>
              <w:adjustRightInd/>
              <w:snapToGrid/>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p>
        </w:tc>
        <w:tc>
          <w:tcPr>
            <w:tcW w:w="7912" w:type="dxa"/>
            <w:tcBorders>
              <w:top w:val="single" w:color="auto" w:sz="4" w:space="0"/>
              <w:left w:val="single" w:color="auto" w:sz="4" w:space="0"/>
              <w:bottom w:val="single" w:color="auto" w:sz="4" w:space="0"/>
              <w:right w:val="single" w:color="auto" w:sz="4" w:space="0"/>
            </w:tcBorders>
            <w:noWrap w:val="0"/>
            <w:vAlign w:val="center"/>
          </w:tcPr>
          <w:p w14:paraId="481A83C1">
            <w:pPr>
              <w:keepNext w:val="0"/>
              <w:keepLines w:val="0"/>
              <w:pageBreakBefore w:val="0"/>
              <w:kinsoku/>
              <w:overflowPunct/>
              <w:topLinePunct w:val="0"/>
              <w:bidi w:val="0"/>
              <w:adjustRightInd/>
              <w:snapToGrid/>
              <w:spacing w:line="4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首次响应文件开启时间详见“竞争性磋商公告”</w:t>
            </w:r>
          </w:p>
          <w:p w14:paraId="5BF0D509">
            <w:pPr>
              <w:keepNext w:val="0"/>
              <w:keepLines w:val="0"/>
              <w:pageBreakBefore w:val="0"/>
              <w:kinsoku/>
              <w:overflowPunct/>
              <w:topLinePunct w:val="0"/>
              <w:bidi w:val="0"/>
              <w:adjustRightInd/>
              <w:snapToGrid/>
              <w:spacing w:line="4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首次响应文件解密时间：</w:t>
            </w:r>
            <w:r>
              <w:rPr>
                <w:rFonts w:hint="eastAsia" w:hAnsi="宋体"/>
                <w:color w:val="auto"/>
                <w:highlight w:val="none"/>
              </w:rPr>
              <w:t>30分钟</w:t>
            </w:r>
          </w:p>
        </w:tc>
      </w:tr>
      <w:tr w14:paraId="09EE0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3678BA81">
            <w:pPr>
              <w:keepNext w:val="0"/>
              <w:keepLines w:val="0"/>
              <w:pageBreakBefore w:val="0"/>
              <w:kinsoku/>
              <w:overflowPunct/>
              <w:topLinePunct w:val="0"/>
              <w:bidi w:val="0"/>
              <w:adjustRightInd/>
              <w:snapToGrid/>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6.3</w:t>
            </w:r>
          </w:p>
        </w:tc>
        <w:tc>
          <w:tcPr>
            <w:tcW w:w="7912" w:type="dxa"/>
            <w:tcBorders>
              <w:top w:val="single" w:color="auto" w:sz="4" w:space="0"/>
              <w:left w:val="single" w:color="auto" w:sz="4" w:space="0"/>
              <w:bottom w:val="single" w:color="auto" w:sz="4" w:space="0"/>
              <w:right w:val="single" w:color="auto" w:sz="4" w:space="0"/>
            </w:tcBorders>
            <w:noWrap w:val="0"/>
            <w:vAlign w:val="center"/>
          </w:tcPr>
          <w:p w14:paraId="7A4042BD">
            <w:pPr>
              <w:keepNext w:val="0"/>
              <w:keepLines w:val="0"/>
              <w:pageBreakBefore w:val="0"/>
              <w:kinsoku/>
              <w:overflowPunct/>
              <w:topLinePunct w:val="0"/>
              <w:bidi w:val="0"/>
              <w:adjustRightInd/>
              <w:snapToGrid/>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商务/技术要求评审中允许负偏离的条款数为</w:t>
            </w:r>
            <w:r>
              <w:rPr>
                <w:rFonts w:hint="eastAsia" w:ascii="宋体" w:hAnsi="宋体" w:cs="宋体"/>
                <w:color w:val="auto"/>
                <w:szCs w:val="21"/>
                <w:highlight w:val="none"/>
                <w:u w:val="single"/>
              </w:rPr>
              <w:t>0</w:t>
            </w:r>
            <w:r>
              <w:rPr>
                <w:rFonts w:hint="eastAsia" w:ascii="宋体" w:hAnsi="宋体" w:cs="宋体"/>
                <w:color w:val="auto"/>
                <w:szCs w:val="21"/>
                <w:highlight w:val="none"/>
              </w:rPr>
              <w:t>项。</w:t>
            </w:r>
          </w:p>
        </w:tc>
      </w:tr>
      <w:tr w14:paraId="6BA35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666666DA">
            <w:pPr>
              <w:keepNext w:val="0"/>
              <w:keepLines w:val="0"/>
              <w:pageBreakBefore w:val="0"/>
              <w:kinsoku/>
              <w:overflowPunct/>
              <w:topLinePunct w:val="0"/>
              <w:bidi w:val="0"/>
              <w:adjustRightInd/>
              <w:snapToGrid/>
              <w:spacing w:line="400" w:lineRule="exact"/>
              <w:jc w:val="center"/>
              <w:textAlignment w:val="auto"/>
              <w:rPr>
                <w:rFonts w:hint="eastAsia" w:ascii="宋体" w:hAnsi="宋体" w:cs="宋体"/>
                <w:color w:val="auto"/>
                <w:szCs w:val="21"/>
                <w:highlight w:val="none"/>
              </w:rPr>
            </w:pPr>
            <w:r>
              <w:rPr>
                <w:rFonts w:ascii="宋体" w:hAnsi="宋体" w:cs="宋体"/>
                <w:color w:val="auto"/>
                <w:szCs w:val="21"/>
                <w:highlight w:val="none"/>
              </w:rPr>
              <w:t>28.1</w:t>
            </w:r>
          </w:p>
        </w:tc>
        <w:tc>
          <w:tcPr>
            <w:tcW w:w="7912" w:type="dxa"/>
            <w:tcBorders>
              <w:top w:val="single" w:color="auto" w:sz="4" w:space="0"/>
              <w:left w:val="single" w:color="auto" w:sz="4" w:space="0"/>
              <w:bottom w:val="single" w:color="auto" w:sz="4" w:space="0"/>
              <w:right w:val="single" w:color="auto" w:sz="4" w:space="0"/>
            </w:tcBorders>
            <w:noWrap w:val="0"/>
            <w:vAlign w:val="center"/>
          </w:tcPr>
          <w:p w14:paraId="7E9116C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履约保证金金额：按</w:t>
            </w:r>
            <w:r>
              <w:rPr>
                <w:rFonts w:hint="eastAsia" w:ascii="宋体" w:hAnsi="宋体" w:cs="Times New Roman"/>
                <w:color w:val="auto"/>
                <w:szCs w:val="21"/>
                <w:highlight w:val="none"/>
                <w:lang w:val="en-US" w:eastAsia="zh-CN"/>
              </w:rPr>
              <w:t>预算</w:t>
            </w:r>
            <w:r>
              <w:rPr>
                <w:rFonts w:hint="eastAsia" w:ascii="宋体" w:hAnsi="宋体" w:eastAsia="宋体" w:cs="Times New Roman"/>
                <w:color w:val="auto"/>
                <w:szCs w:val="21"/>
                <w:highlight w:val="none"/>
                <w:lang w:val="en-US" w:eastAsia="zh-CN"/>
              </w:rPr>
              <w:t>金额</w:t>
            </w:r>
            <w:r>
              <w:rPr>
                <w:rFonts w:hint="eastAsia" w:ascii="宋体" w:hAnsi="宋体" w:eastAsia="宋体" w:cs="Times New Roman"/>
                <w:color w:val="auto"/>
                <w:szCs w:val="21"/>
                <w:highlight w:val="none"/>
                <w:lang w:val="en-US" w:eastAsia="zh-CN"/>
              </w:rPr>
              <w:t>的2%。</w:t>
            </w:r>
          </w:p>
          <w:p w14:paraId="3A03C56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履约保证金缴纳期限：自成交通知书发出之日起5个工作日内。</w:t>
            </w:r>
          </w:p>
          <w:p w14:paraId="5F0F8D2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履约保证金提交方式：银行转账、支票、汇票、本票或者银行、保险机构出具的保函等非现金方式。</w:t>
            </w:r>
          </w:p>
          <w:p w14:paraId="2108A9E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履约保证金退付方式、时间及条件：由成交供应商向履约保证金收取单位提供《广西壮族自治区政府采购项目合同验收书》（详见桂财采〔2015〕22号）及《政府采购项目履约保证金退付意见书》（详见附件），保证金收取单位在收到合格材料后5个工作日内办理退还手续（不计利息）。</w:t>
            </w:r>
          </w:p>
          <w:p w14:paraId="78E8740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履约保证金指定账户：采购人在签订采购合同前向成交人提供。</w:t>
            </w:r>
          </w:p>
          <w:p w14:paraId="5E57098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lang w:val="en-US" w:eastAsia="zh-CN"/>
              </w:rPr>
              <w:t>备注：</w:t>
            </w:r>
          </w:p>
          <w:p w14:paraId="59729A5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lang w:val="en-US" w:eastAsia="zh-CN"/>
              </w:rPr>
              <w:t>1.</w:t>
            </w:r>
            <w:bookmarkStart w:id="66" w:name="_Hlk54170335"/>
            <w:r>
              <w:rPr>
                <w:rFonts w:hint="eastAsia" w:ascii="宋体" w:hAnsi="宋体" w:eastAsia="宋体" w:cs="Times New Roman"/>
                <w:b/>
                <w:bCs/>
                <w:color w:val="auto"/>
                <w:szCs w:val="21"/>
                <w:highlight w:val="none"/>
                <w:lang w:val="en-US" w:eastAsia="zh-CN"/>
              </w:rPr>
              <w:t>根据《广西壮族自治区财政厅关于持续优化政府采购营商环境推动高质量发展的通知》（桂财采〔2024〕55号）的规定，履约保证金数额不得超过政府采购合同金额的5%；对中小企业收取的履约保证金数额不得超过政府采购合同金额的2%</w:t>
            </w:r>
            <w:bookmarkEnd w:id="66"/>
            <w:r>
              <w:rPr>
                <w:rFonts w:hint="eastAsia" w:ascii="宋体" w:hAnsi="宋体" w:eastAsia="宋体" w:cs="Times New Roman"/>
                <w:b/>
                <w:bCs/>
                <w:color w:val="auto"/>
                <w:szCs w:val="21"/>
                <w:highlight w:val="none"/>
                <w:lang w:val="en-US" w:eastAsia="zh-CN"/>
              </w:rPr>
              <w:t>。</w:t>
            </w:r>
          </w:p>
          <w:p w14:paraId="408D163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lang w:val="en-US" w:eastAsia="zh-CN"/>
              </w:rPr>
              <w:t>2.履约保证金不足额缴纳的，或者银行、保险机构出具的保函额度不足的或者保函有效期低于合同履行期限（即合同中规定的当事人履行自己的义务，如交付标的物、价款或者报酬、合同履行期限）的，不予签订合同。</w:t>
            </w:r>
          </w:p>
          <w:p w14:paraId="7A16D45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Cs w:val="21"/>
                <w:highlight w:val="none"/>
              </w:rPr>
            </w:pPr>
            <w:r>
              <w:rPr>
                <w:rFonts w:hint="eastAsia" w:ascii="宋体" w:hAnsi="宋体" w:eastAsia="宋体" w:cs="Times New Roman"/>
                <w:b/>
                <w:bCs/>
                <w:color w:val="auto"/>
                <w:szCs w:val="21"/>
                <w:highlight w:val="none"/>
                <w:lang w:val="en-US" w:eastAsia="zh-CN"/>
              </w:rPr>
              <w:t>3.采用银行、保险机构出具的保函的，必须为无条件保函，否则不予签订合同。</w:t>
            </w:r>
          </w:p>
        </w:tc>
      </w:tr>
      <w:tr w14:paraId="37C52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494D8A78">
            <w:pPr>
              <w:keepNext w:val="0"/>
              <w:keepLines w:val="0"/>
              <w:pageBreakBefore w:val="0"/>
              <w:kinsoku/>
              <w:overflowPunct/>
              <w:topLinePunct w:val="0"/>
              <w:bidi w:val="0"/>
              <w:adjustRightInd/>
              <w:snapToGrid/>
              <w:spacing w:line="400" w:lineRule="exact"/>
              <w:jc w:val="center"/>
              <w:textAlignment w:val="auto"/>
              <w:rPr>
                <w:rFonts w:hint="eastAsia" w:ascii="宋体" w:hAnsi="宋体" w:cs="宋体"/>
                <w:color w:val="auto"/>
                <w:szCs w:val="21"/>
                <w:highlight w:val="none"/>
              </w:rPr>
            </w:pPr>
            <w:r>
              <w:rPr>
                <w:rFonts w:ascii="宋体" w:hAnsi="宋体" w:cs="宋体"/>
                <w:color w:val="auto"/>
                <w:szCs w:val="21"/>
                <w:highlight w:val="none"/>
              </w:rPr>
              <w:t>29.1</w:t>
            </w:r>
          </w:p>
        </w:tc>
        <w:tc>
          <w:tcPr>
            <w:tcW w:w="7912" w:type="dxa"/>
            <w:tcBorders>
              <w:top w:val="single" w:color="auto" w:sz="4" w:space="0"/>
              <w:left w:val="single" w:color="auto" w:sz="4" w:space="0"/>
              <w:bottom w:val="single" w:color="auto" w:sz="4" w:space="0"/>
              <w:right w:val="single" w:color="auto" w:sz="4" w:space="0"/>
            </w:tcBorders>
            <w:noWrap w:val="0"/>
            <w:vAlign w:val="center"/>
          </w:tcPr>
          <w:p w14:paraId="6AB4AB98">
            <w:pPr>
              <w:keepNext w:val="0"/>
              <w:keepLines w:val="0"/>
              <w:pageBreakBefore w:val="0"/>
              <w:kinsoku/>
              <w:overflowPunct/>
              <w:topLinePunct w:val="0"/>
              <w:autoSpaceDE w:val="0"/>
              <w:autoSpaceDN w:val="0"/>
              <w:bidi w:val="0"/>
              <w:adjustRightInd/>
              <w:snapToGrid/>
              <w:spacing w:line="400" w:lineRule="exact"/>
              <w:textAlignment w:val="auto"/>
              <w:rPr>
                <w:rFonts w:hint="eastAsia" w:ascii="宋体" w:hAnsi="宋体" w:cs="宋体"/>
                <w:color w:val="auto"/>
                <w:szCs w:val="21"/>
                <w:highlight w:val="none"/>
              </w:rPr>
            </w:pPr>
            <w:r>
              <w:rPr>
                <w:rFonts w:hint="eastAsia" w:ascii="宋体" w:hAnsi="宋体"/>
                <w:color w:val="auto"/>
                <w:szCs w:val="21"/>
                <w:highlight w:val="none"/>
              </w:rPr>
              <w:t>签订合同携带的证明材料： 使用有效</w:t>
            </w:r>
            <w:r>
              <w:rPr>
                <w:rFonts w:hint="eastAsia" w:ascii="宋体" w:hAnsi="宋体"/>
                <w:color w:val="auto"/>
                <w:szCs w:val="21"/>
                <w:highlight w:val="none"/>
                <w:lang w:val="en-US" w:eastAsia="zh-CN"/>
              </w:rPr>
              <w:t>的</w:t>
            </w:r>
            <w:r>
              <w:rPr>
                <w:rFonts w:hint="eastAsia" w:ascii="宋体" w:hAnsi="宋体"/>
                <w:color w:val="auto"/>
                <w:szCs w:val="21"/>
                <w:highlight w:val="none"/>
              </w:rPr>
              <w:t>CA证书加盖单位电子公章</w:t>
            </w:r>
            <w:r>
              <w:rPr>
                <w:rFonts w:hint="eastAsia" w:ascii="宋体" w:hAnsi="宋体"/>
                <w:color w:val="auto"/>
                <w:szCs w:val="21"/>
                <w:highlight w:val="none"/>
                <w:lang w:eastAsia="zh-CN"/>
              </w:rPr>
              <w:t>。</w:t>
            </w:r>
          </w:p>
        </w:tc>
      </w:tr>
      <w:tr w14:paraId="75DEE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25232FA3">
            <w:pPr>
              <w:keepNext w:val="0"/>
              <w:keepLines w:val="0"/>
              <w:pageBreakBefore w:val="0"/>
              <w:kinsoku/>
              <w:overflowPunct/>
              <w:topLinePunct w:val="0"/>
              <w:bidi w:val="0"/>
              <w:adjustRightInd/>
              <w:snapToGrid/>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1.2</w:t>
            </w:r>
          </w:p>
        </w:tc>
        <w:tc>
          <w:tcPr>
            <w:tcW w:w="7912" w:type="dxa"/>
            <w:tcBorders>
              <w:top w:val="single" w:color="auto" w:sz="4" w:space="0"/>
              <w:left w:val="single" w:color="auto" w:sz="4" w:space="0"/>
              <w:bottom w:val="single" w:color="auto" w:sz="4" w:space="0"/>
              <w:right w:val="single" w:color="auto" w:sz="4" w:space="0"/>
            </w:tcBorders>
            <w:noWrap w:val="0"/>
            <w:vAlign w:val="center"/>
          </w:tcPr>
          <w:p w14:paraId="5E074968">
            <w:pPr>
              <w:keepNext w:val="0"/>
              <w:keepLines w:val="0"/>
              <w:pageBreakBefore w:val="0"/>
              <w:kinsoku/>
              <w:overflowPunct/>
              <w:topLinePunct w:val="0"/>
              <w:bidi w:val="0"/>
              <w:adjustRightInd/>
              <w:snapToGrid/>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接收质疑函方式：以书面形式。</w:t>
            </w:r>
          </w:p>
          <w:p w14:paraId="172BD5F1">
            <w:pPr>
              <w:pStyle w:val="42"/>
              <w:keepNext w:val="0"/>
              <w:keepLines w:val="0"/>
              <w:pageBreakBefore w:val="0"/>
              <w:kinsoku/>
              <w:overflowPunct/>
              <w:topLinePunct w:val="0"/>
              <w:bidi w:val="0"/>
              <w:adjustRightInd/>
              <w:snapToGrid/>
              <w:spacing w:line="400" w:lineRule="exact"/>
              <w:textAlignment w:val="auto"/>
              <w:rPr>
                <w:rFonts w:hint="eastAsia" w:hAnsi="宋体" w:cs="宋体"/>
                <w:color w:val="auto"/>
                <w:kern w:val="2"/>
                <w:sz w:val="21"/>
                <w:highlight w:val="none"/>
                <w:lang w:val="en-US" w:eastAsia="zh-CN"/>
              </w:rPr>
            </w:pPr>
            <w:r>
              <w:rPr>
                <w:rFonts w:hint="eastAsia" w:hAnsi="宋体" w:cs="宋体"/>
                <w:color w:val="auto"/>
                <w:kern w:val="2"/>
                <w:sz w:val="21"/>
                <w:highlight w:val="none"/>
                <w:lang w:val="en-US" w:eastAsia="zh-CN"/>
              </w:rPr>
              <w:t>质疑联系部门及联系方式：</w:t>
            </w:r>
            <w:r>
              <w:rPr>
                <w:rFonts w:hint="eastAsia" w:hAnsi="宋体" w:cs="宋体"/>
                <w:color w:val="auto"/>
                <w:kern w:val="2"/>
                <w:sz w:val="21"/>
                <w:highlight w:val="none"/>
                <w:u w:val="single"/>
                <w:lang w:val="en-US" w:eastAsia="zh-CN"/>
              </w:rPr>
              <w:t>云之龙咨询集团有限公司防城港市分公司</w:t>
            </w:r>
            <w:r>
              <w:rPr>
                <w:rFonts w:hint="eastAsia" w:hAnsi="宋体" w:cs="宋体"/>
                <w:color w:val="auto"/>
                <w:kern w:val="2"/>
                <w:sz w:val="21"/>
                <w:highlight w:val="none"/>
                <w:lang w:val="en-US" w:eastAsia="zh-CN"/>
              </w:rPr>
              <w:t>，联系电话：0770-2882899，通讯地址：防城港市港口区桃花湾广场海悦华府一单元12楼1203室）</w:t>
            </w:r>
          </w:p>
          <w:p w14:paraId="4DA2A802">
            <w:pPr>
              <w:keepNext w:val="0"/>
              <w:keepLines w:val="0"/>
              <w:pageBreakBefore w:val="0"/>
              <w:kinsoku/>
              <w:overflowPunct/>
              <w:topLinePunct w:val="0"/>
              <w:autoSpaceDE w:val="0"/>
              <w:autoSpaceDN w:val="0"/>
              <w:bidi w:val="0"/>
              <w:adjustRightInd/>
              <w:snapToGrid/>
              <w:spacing w:line="400" w:lineRule="exact"/>
              <w:textAlignment w:val="auto"/>
              <w:rPr>
                <w:rFonts w:hint="eastAsia" w:ascii="宋体" w:hAnsi="宋体"/>
                <w:color w:val="auto"/>
                <w:szCs w:val="21"/>
                <w:highlight w:val="none"/>
              </w:rPr>
            </w:pPr>
            <w:r>
              <w:rPr>
                <w:rFonts w:hint="eastAsia" w:hAnsi="宋体" w:cs="宋体"/>
                <w:color w:val="auto"/>
                <w:highlight w:val="none"/>
              </w:rPr>
              <w:t>业务时间：工作日每天</w:t>
            </w:r>
            <w:r>
              <w:rPr>
                <w:rFonts w:hint="eastAsia" w:ascii="宋体" w:hAnsi="宋体" w:eastAsia="宋体" w:cs="宋体"/>
                <w:color w:val="auto"/>
                <w:highlight w:val="none"/>
              </w:rPr>
              <w:t>8时00分到12时00分，15时00分到18时00分</w:t>
            </w:r>
            <w:r>
              <w:rPr>
                <w:rFonts w:hint="eastAsia" w:hAnsi="宋体"/>
                <w:color w:val="auto"/>
                <w:highlight w:val="none"/>
              </w:rPr>
              <w:t>。</w:t>
            </w:r>
          </w:p>
        </w:tc>
      </w:tr>
      <w:tr w14:paraId="79DE6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7658AFCC">
            <w:pPr>
              <w:keepNext w:val="0"/>
              <w:keepLines w:val="0"/>
              <w:pageBreakBefore w:val="0"/>
              <w:kinsoku/>
              <w:overflowPunct/>
              <w:topLinePunct w:val="0"/>
              <w:bidi w:val="0"/>
              <w:adjustRightInd/>
              <w:snapToGrid/>
              <w:spacing w:line="400" w:lineRule="exact"/>
              <w:jc w:val="center"/>
              <w:textAlignment w:val="auto"/>
              <w:rPr>
                <w:rFonts w:hint="eastAsia" w:ascii="宋体" w:hAnsi="宋体" w:cs="宋体"/>
                <w:color w:val="auto"/>
                <w:szCs w:val="21"/>
                <w:highlight w:val="none"/>
              </w:rPr>
            </w:pPr>
            <w:r>
              <w:rPr>
                <w:rFonts w:ascii="宋体" w:hAnsi="宋体" w:cs="宋体"/>
                <w:color w:val="auto"/>
                <w:szCs w:val="21"/>
                <w:highlight w:val="none"/>
              </w:rPr>
              <w:t>32.1</w:t>
            </w:r>
          </w:p>
        </w:tc>
        <w:tc>
          <w:tcPr>
            <w:tcW w:w="7912" w:type="dxa"/>
            <w:tcBorders>
              <w:top w:val="single" w:color="auto" w:sz="4" w:space="0"/>
              <w:left w:val="single" w:color="auto" w:sz="4" w:space="0"/>
              <w:bottom w:val="single" w:color="auto" w:sz="4" w:space="0"/>
              <w:right w:val="single" w:color="auto" w:sz="4" w:space="0"/>
            </w:tcBorders>
            <w:noWrap w:val="0"/>
            <w:vAlign w:val="center"/>
          </w:tcPr>
          <w:p w14:paraId="334A8530">
            <w:pPr>
              <w:pStyle w:val="42"/>
              <w:keepNext w:val="0"/>
              <w:keepLines w:val="0"/>
              <w:pageBreakBefore w:val="0"/>
              <w:kinsoku/>
              <w:overflowPunct/>
              <w:topLinePunct w:val="0"/>
              <w:bidi w:val="0"/>
              <w:adjustRightInd/>
              <w:snapToGrid/>
              <w:spacing w:line="400" w:lineRule="exact"/>
              <w:textAlignment w:val="auto"/>
              <w:rPr>
                <w:rFonts w:hint="eastAsia" w:hAnsi="宋体" w:cs="宋体"/>
                <w:color w:val="auto"/>
                <w:sz w:val="21"/>
                <w:highlight w:val="none"/>
                <w:lang w:val="en-US" w:eastAsia="zh-CN"/>
              </w:rPr>
            </w:pPr>
            <w:r>
              <w:rPr>
                <w:rFonts w:hint="eastAsia" w:hAnsi="宋体" w:cs="宋体"/>
                <w:color w:val="auto"/>
                <w:sz w:val="21"/>
                <w:highlight w:val="none"/>
                <w:lang w:val="en-US" w:eastAsia="zh-CN"/>
              </w:rPr>
              <w:t>1.采购代理费支付方式：</w:t>
            </w:r>
          </w:p>
          <w:p w14:paraId="35130BD0">
            <w:pPr>
              <w:pStyle w:val="42"/>
              <w:keepNext w:val="0"/>
              <w:keepLines w:val="0"/>
              <w:pageBreakBefore w:val="0"/>
              <w:kinsoku/>
              <w:overflowPunct/>
              <w:topLinePunct w:val="0"/>
              <w:bidi w:val="0"/>
              <w:adjustRightInd/>
              <w:snapToGrid/>
              <w:spacing w:line="400" w:lineRule="exact"/>
              <w:textAlignment w:val="auto"/>
              <w:rPr>
                <w:rFonts w:hint="eastAsia" w:hAnsi="宋体" w:cs="宋体"/>
                <w:color w:val="auto"/>
                <w:sz w:val="21"/>
                <w:highlight w:val="none"/>
                <w:lang w:val="en-US" w:eastAsia="zh-CN"/>
              </w:rPr>
            </w:pPr>
            <w:r>
              <w:rPr>
                <w:rFonts w:hint="eastAsia" w:hAnsi="宋体" w:cs="宋体"/>
                <w:color w:val="auto"/>
                <w:sz w:val="21"/>
                <w:highlight w:val="none"/>
                <w:lang w:val="en-US" w:eastAsia="zh-CN"/>
              </w:rPr>
              <w:t>本项目代理服务费：采购人与成交供应商完成签订合同后，由成交供应商向采购代理机构支付。</w:t>
            </w:r>
          </w:p>
          <w:p w14:paraId="5ECF4776">
            <w:pPr>
              <w:pStyle w:val="42"/>
              <w:keepNext w:val="0"/>
              <w:keepLines w:val="0"/>
              <w:pageBreakBefore w:val="0"/>
              <w:kinsoku/>
              <w:overflowPunct/>
              <w:topLinePunct w:val="0"/>
              <w:bidi w:val="0"/>
              <w:adjustRightInd/>
              <w:snapToGrid/>
              <w:spacing w:line="400" w:lineRule="exact"/>
              <w:textAlignment w:val="auto"/>
              <w:rPr>
                <w:rFonts w:hint="eastAsia" w:hAnsi="宋体" w:cs="宋体"/>
                <w:color w:val="auto"/>
                <w:sz w:val="21"/>
                <w:highlight w:val="none"/>
                <w:lang w:val="en-US" w:eastAsia="zh-CN"/>
              </w:rPr>
            </w:pPr>
            <w:r>
              <w:rPr>
                <w:rFonts w:hint="eastAsia" w:hAnsi="宋体" w:cs="宋体"/>
                <w:color w:val="auto"/>
                <w:sz w:val="21"/>
                <w:highlight w:val="none"/>
                <w:lang w:val="en-US" w:eastAsia="zh-CN"/>
              </w:rPr>
              <w:t>2.采购代理费收取标准：</w:t>
            </w:r>
          </w:p>
          <w:p w14:paraId="313B1A68">
            <w:pPr>
              <w:pStyle w:val="42"/>
              <w:keepNext w:val="0"/>
              <w:keepLines w:val="0"/>
              <w:pageBreakBefore w:val="0"/>
              <w:kinsoku/>
              <w:overflowPunct/>
              <w:topLinePunct w:val="0"/>
              <w:bidi w:val="0"/>
              <w:adjustRightInd/>
              <w:snapToGrid/>
              <w:spacing w:line="400" w:lineRule="exact"/>
              <w:textAlignment w:val="auto"/>
              <w:rPr>
                <w:rFonts w:hint="eastAsia" w:hAnsi="宋体" w:cs="宋体"/>
                <w:color w:val="auto"/>
                <w:sz w:val="21"/>
                <w:highlight w:val="none"/>
                <w:lang w:val="en-US" w:eastAsia="zh-CN"/>
              </w:rPr>
            </w:pPr>
            <w:r>
              <w:rPr>
                <w:rFonts w:hint="eastAsia" w:hAnsi="宋体" w:cs="宋体"/>
                <w:color w:val="auto"/>
                <w:sz w:val="21"/>
                <w:highlight w:val="none"/>
                <w:lang w:val="en-US" w:eastAsia="zh-CN"/>
              </w:rPr>
              <w:t>以预算金额为计费额，按本须知正文第</w:t>
            </w:r>
            <w:r>
              <w:rPr>
                <w:rFonts w:hAnsi="宋体" w:cs="宋体"/>
                <w:color w:val="auto"/>
                <w:sz w:val="21"/>
                <w:highlight w:val="none"/>
                <w:lang w:val="en-US" w:eastAsia="zh-CN"/>
              </w:rPr>
              <w:t>32</w:t>
            </w:r>
            <w:r>
              <w:rPr>
                <w:rFonts w:hint="eastAsia" w:hAnsi="宋体" w:cs="宋体"/>
                <w:color w:val="auto"/>
                <w:sz w:val="21"/>
                <w:highlight w:val="none"/>
                <w:lang w:val="en-US" w:eastAsia="zh-CN"/>
              </w:rPr>
              <w:t>.</w:t>
            </w:r>
            <w:r>
              <w:rPr>
                <w:rFonts w:hAnsi="宋体" w:cs="宋体"/>
                <w:color w:val="auto"/>
                <w:sz w:val="21"/>
                <w:highlight w:val="none"/>
                <w:lang w:val="en-US" w:eastAsia="zh-CN"/>
              </w:rPr>
              <w:t>2</w:t>
            </w:r>
            <w:r>
              <w:rPr>
                <w:rFonts w:hint="eastAsia" w:hAnsi="宋体" w:cs="宋体"/>
                <w:color w:val="auto"/>
                <w:sz w:val="21"/>
                <w:highlight w:val="none"/>
                <w:lang w:val="en-US" w:eastAsia="zh-CN"/>
              </w:rPr>
              <w:t>条规定的收费计算标准服务类采用差额定率累进法计算出收费基准价格，采购代理收费以收费基准价格下浮20%收取。</w:t>
            </w:r>
          </w:p>
          <w:p w14:paraId="72284F83">
            <w:pPr>
              <w:pStyle w:val="42"/>
              <w:keepNext w:val="0"/>
              <w:keepLines w:val="0"/>
              <w:pageBreakBefore w:val="0"/>
              <w:kinsoku/>
              <w:overflowPunct/>
              <w:topLinePunct w:val="0"/>
              <w:bidi w:val="0"/>
              <w:adjustRightInd/>
              <w:snapToGrid/>
              <w:spacing w:line="400" w:lineRule="exact"/>
              <w:textAlignment w:val="auto"/>
              <w:rPr>
                <w:rFonts w:hint="eastAsia" w:hAnsi="宋体" w:cs="宋体"/>
                <w:color w:val="auto"/>
                <w:sz w:val="21"/>
                <w:highlight w:val="none"/>
                <w:lang w:val="en-US" w:eastAsia="zh-CN"/>
              </w:rPr>
            </w:pPr>
            <w:r>
              <w:rPr>
                <w:rFonts w:hint="eastAsia" w:hAnsi="宋体" w:cs="宋体"/>
                <w:color w:val="auto"/>
                <w:sz w:val="21"/>
                <w:highlight w:val="none"/>
                <w:lang w:val="en-US" w:eastAsia="zh-CN"/>
              </w:rPr>
              <w:t>3.采购代理费收取银行账户</w:t>
            </w:r>
          </w:p>
          <w:p w14:paraId="4ACFA375">
            <w:pPr>
              <w:pStyle w:val="42"/>
              <w:keepNext w:val="0"/>
              <w:keepLines w:val="0"/>
              <w:pageBreakBefore w:val="0"/>
              <w:kinsoku/>
              <w:overflowPunct/>
              <w:topLinePunct w:val="0"/>
              <w:bidi w:val="0"/>
              <w:adjustRightInd/>
              <w:snapToGrid/>
              <w:spacing w:line="400" w:lineRule="exact"/>
              <w:textAlignment w:val="auto"/>
              <w:rPr>
                <w:rFonts w:hint="eastAsia" w:hAnsi="宋体" w:cs="宋体"/>
                <w:color w:val="auto"/>
                <w:sz w:val="21"/>
                <w:highlight w:val="none"/>
                <w:lang w:val="en-US" w:eastAsia="zh-CN"/>
              </w:rPr>
            </w:pPr>
            <w:r>
              <w:rPr>
                <w:rFonts w:hint="eastAsia" w:hAnsi="宋体" w:cs="宋体"/>
                <w:color w:val="auto"/>
                <w:sz w:val="21"/>
                <w:highlight w:val="none"/>
                <w:lang w:val="en-US" w:eastAsia="zh-CN"/>
              </w:rPr>
              <w:t>账户名称：云之龙咨询集团有限公司防城港分公司</w:t>
            </w:r>
          </w:p>
          <w:p w14:paraId="7BD6CAFE">
            <w:pPr>
              <w:pStyle w:val="42"/>
              <w:keepNext w:val="0"/>
              <w:keepLines w:val="0"/>
              <w:pageBreakBefore w:val="0"/>
              <w:kinsoku/>
              <w:overflowPunct/>
              <w:topLinePunct w:val="0"/>
              <w:bidi w:val="0"/>
              <w:adjustRightInd/>
              <w:snapToGrid/>
              <w:spacing w:line="400" w:lineRule="exact"/>
              <w:textAlignment w:val="auto"/>
              <w:rPr>
                <w:rFonts w:hint="eastAsia" w:hAnsi="宋体" w:cs="宋体"/>
                <w:color w:val="auto"/>
                <w:sz w:val="21"/>
                <w:highlight w:val="none"/>
                <w:lang w:val="en-US" w:eastAsia="zh-CN"/>
              </w:rPr>
            </w:pPr>
            <w:r>
              <w:rPr>
                <w:rFonts w:hint="eastAsia" w:hAnsi="宋体" w:cs="宋体"/>
                <w:color w:val="auto"/>
                <w:sz w:val="21"/>
                <w:highlight w:val="none"/>
                <w:lang w:val="en-US" w:eastAsia="zh-CN"/>
              </w:rPr>
              <w:t>开户银行：中信银行股份有限公司南宁园湖支行(行号：302611029137）</w:t>
            </w:r>
          </w:p>
          <w:p w14:paraId="26C3969D">
            <w:pPr>
              <w:pStyle w:val="42"/>
              <w:keepNext w:val="0"/>
              <w:keepLines w:val="0"/>
              <w:pageBreakBefore w:val="0"/>
              <w:kinsoku/>
              <w:overflowPunct/>
              <w:topLinePunct w:val="0"/>
              <w:bidi w:val="0"/>
              <w:adjustRightInd/>
              <w:snapToGrid/>
              <w:spacing w:line="400" w:lineRule="exact"/>
              <w:textAlignment w:val="auto"/>
              <w:rPr>
                <w:rFonts w:hint="eastAsia" w:hAnsi="宋体" w:cs="宋体"/>
                <w:color w:val="auto"/>
                <w:sz w:val="21"/>
                <w:highlight w:val="none"/>
                <w:lang w:val="en-US" w:eastAsia="zh-CN"/>
              </w:rPr>
            </w:pPr>
            <w:r>
              <w:rPr>
                <w:rFonts w:hint="eastAsia" w:hAnsi="宋体" w:cs="宋体"/>
                <w:color w:val="auto"/>
                <w:sz w:val="21"/>
                <w:highlight w:val="none"/>
                <w:lang w:val="en-US" w:eastAsia="zh-CN"/>
              </w:rPr>
              <w:t>银行账号：8113001014000157977</w:t>
            </w:r>
          </w:p>
        </w:tc>
      </w:tr>
      <w:tr w14:paraId="7C679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342D68FF">
            <w:pPr>
              <w:keepNext w:val="0"/>
              <w:keepLines w:val="0"/>
              <w:pageBreakBefore w:val="0"/>
              <w:kinsoku/>
              <w:overflowPunct/>
              <w:topLinePunct w:val="0"/>
              <w:bidi w:val="0"/>
              <w:adjustRightInd/>
              <w:snapToGrid/>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3.1</w:t>
            </w:r>
          </w:p>
        </w:tc>
        <w:tc>
          <w:tcPr>
            <w:tcW w:w="7912" w:type="dxa"/>
            <w:tcBorders>
              <w:top w:val="single" w:color="auto" w:sz="4" w:space="0"/>
              <w:left w:val="single" w:color="auto" w:sz="4" w:space="0"/>
              <w:bottom w:val="single" w:color="auto" w:sz="4" w:space="0"/>
              <w:right w:val="single" w:color="auto" w:sz="4" w:space="0"/>
            </w:tcBorders>
            <w:noWrap w:val="0"/>
            <w:vAlign w:val="center"/>
          </w:tcPr>
          <w:p w14:paraId="5AA1131A">
            <w:pPr>
              <w:pStyle w:val="42"/>
              <w:keepNext w:val="0"/>
              <w:keepLines w:val="0"/>
              <w:pageBreakBefore w:val="0"/>
              <w:kinsoku/>
              <w:overflowPunct/>
              <w:topLinePunct w:val="0"/>
              <w:bidi w:val="0"/>
              <w:adjustRightInd/>
              <w:snapToGrid/>
              <w:spacing w:line="400" w:lineRule="exact"/>
              <w:textAlignment w:val="auto"/>
              <w:rPr>
                <w:rFonts w:hint="eastAsia" w:hAnsi="宋体" w:cs="宋体"/>
                <w:color w:val="auto"/>
                <w:sz w:val="21"/>
                <w:highlight w:val="none"/>
                <w:lang w:val="en-US" w:eastAsia="zh-CN"/>
              </w:rPr>
            </w:pPr>
            <w:r>
              <w:rPr>
                <w:rFonts w:hint="eastAsia" w:hAnsi="宋体" w:cs="宋体"/>
                <w:color w:val="auto"/>
                <w:sz w:val="21"/>
                <w:highlight w:val="none"/>
                <w:lang w:val="en-US" w:eastAsia="zh-CN"/>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63DF1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tcBorders>
              <w:top w:val="single" w:color="auto" w:sz="4" w:space="0"/>
              <w:left w:val="single" w:color="auto" w:sz="4" w:space="0"/>
              <w:bottom w:val="single" w:color="auto" w:sz="4" w:space="0"/>
              <w:right w:val="single" w:color="auto" w:sz="4" w:space="0"/>
            </w:tcBorders>
            <w:noWrap w:val="0"/>
            <w:vAlign w:val="center"/>
          </w:tcPr>
          <w:p w14:paraId="555197D8">
            <w:pPr>
              <w:keepNext w:val="0"/>
              <w:keepLines w:val="0"/>
              <w:pageBreakBefore w:val="0"/>
              <w:kinsoku/>
              <w:overflowPunct/>
              <w:topLinePunct w:val="0"/>
              <w:bidi w:val="0"/>
              <w:adjustRightInd/>
              <w:snapToGrid/>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3.2</w:t>
            </w:r>
          </w:p>
        </w:tc>
        <w:tc>
          <w:tcPr>
            <w:tcW w:w="7912" w:type="dxa"/>
            <w:tcBorders>
              <w:top w:val="single" w:color="auto" w:sz="4" w:space="0"/>
              <w:left w:val="single" w:color="auto" w:sz="4" w:space="0"/>
              <w:bottom w:val="single" w:color="auto" w:sz="4" w:space="0"/>
              <w:right w:val="single" w:color="auto" w:sz="4" w:space="0"/>
            </w:tcBorders>
            <w:noWrap w:val="0"/>
            <w:vAlign w:val="center"/>
          </w:tcPr>
          <w:p w14:paraId="128C7510">
            <w:pPr>
              <w:pStyle w:val="42"/>
              <w:keepNext w:val="0"/>
              <w:keepLines w:val="0"/>
              <w:pageBreakBefore w:val="0"/>
              <w:kinsoku/>
              <w:overflowPunct/>
              <w:topLinePunct w:val="0"/>
              <w:bidi w:val="0"/>
              <w:adjustRightInd/>
              <w:snapToGrid/>
              <w:spacing w:line="400" w:lineRule="exact"/>
              <w:textAlignment w:val="auto"/>
              <w:rPr>
                <w:rFonts w:hint="eastAsia" w:hAnsi="宋体" w:cs="宋体"/>
                <w:color w:val="auto"/>
                <w:sz w:val="21"/>
                <w:highlight w:val="none"/>
                <w:lang w:val="en-US" w:eastAsia="zh-CN"/>
              </w:rPr>
            </w:pPr>
            <w:r>
              <w:rPr>
                <w:rFonts w:hint="eastAsia" w:hAnsi="宋体" w:cs="宋体"/>
                <w:color w:val="auto"/>
                <w:sz w:val="21"/>
                <w:highlight w:val="none"/>
                <w:lang w:val="en-US" w:eastAsia="zh-CN"/>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00E5FFEA">
            <w:pPr>
              <w:pStyle w:val="42"/>
              <w:keepNext w:val="0"/>
              <w:keepLines w:val="0"/>
              <w:pageBreakBefore w:val="0"/>
              <w:kinsoku/>
              <w:overflowPunct/>
              <w:topLinePunct w:val="0"/>
              <w:bidi w:val="0"/>
              <w:adjustRightInd/>
              <w:snapToGrid/>
              <w:spacing w:line="400" w:lineRule="exact"/>
              <w:textAlignment w:val="auto"/>
              <w:rPr>
                <w:rFonts w:hint="eastAsia" w:hAnsi="宋体" w:cs="宋体"/>
                <w:color w:val="auto"/>
                <w:sz w:val="21"/>
                <w:highlight w:val="none"/>
                <w:lang w:val="en-US" w:eastAsia="zh-CN"/>
              </w:rPr>
            </w:pPr>
            <w:r>
              <w:rPr>
                <w:rFonts w:hint="eastAsia" w:hAnsi="宋体" w:cs="宋体"/>
                <w:color w:val="auto"/>
                <w:sz w:val="21"/>
                <w:highlight w:val="none"/>
                <w:lang w:val="en-US" w:eastAsia="zh-CN"/>
              </w:rPr>
              <w:t>2.本磋商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14:paraId="0F86E30D">
            <w:pPr>
              <w:pStyle w:val="42"/>
              <w:keepNext w:val="0"/>
              <w:keepLines w:val="0"/>
              <w:pageBreakBefore w:val="0"/>
              <w:kinsoku/>
              <w:overflowPunct/>
              <w:topLinePunct w:val="0"/>
              <w:bidi w:val="0"/>
              <w:adjustRightInd/>
              <w:snapToGrid/>
              <w:spacing w:line="400" w:lineRule="exact"/>
              <w:textAlignment w:val="auto"/>
              <w:rPr>
                <w:rFonts w:hint="eastAsia" w:hAnsi="宋体" w:cs="宋体"/>
                <w:color w:val="auto"/>
                <w:sz w:val="21"/>
                <w:highlight w:val="none"/>
                <w:lang w:val="en-US" w:eastAsia="zh-CN"/>
              </w:rPr>
            </w:pPr>
            <w:r>
              <w:rPr>
                <w:rFonts w:hint="eastAsia" w:hAnsi="宋体" w:cs="宋体"/>
                <w:color w:val="auto"/>
                <w:sz w:val="21"/>
                <w:highlight w:val="none"/>
                <w:lang w:val="en-US" w:eastAsia="zh-CN"/>
              </w:rPr>
              <w:t>3.供应商为其他组织时，本磋商文件规定的法定代表人指负责人。本磋商文件所称负责人是指参加竞标的其他组织营业执照或者执业许可证等证照上的负责人。</w:t>
            </w:r>
          </w:p>
          <w:p w14:paraId="442AD69A">
            <w:pPr>
              <w:pStyle w:val="42"/>
              <w:keepNext w:val="0"/>
              <w:keepLines w:val="0"/>
              <w:pageBreakBefore w:val="0"/>
              <w:kinsoku/>
              <w:overflowPunct/>
              <w:topLinePunct w:val="0"/>
              <w:bidi w:val="0"/>
              <w:adjustRightInd/>
              <w:snapToGrid/>
              <w:spacing w:line="400" w:lineRule="exact"/>
              <w:textAlignment w:val="auto"/>
              <w:rPr>
                <w:rFonts w:hint="eastAsia" w:hAnsi="宋体" w:cs="宋体"/>
                <w:color w:val="auto"/>
                <w:sz w:val="21"/>
                <w:highlight w:val="none"/>
                <w:lang w:val="en-US" w:eastAsia="zh-CN"/>
              </w:rPr>
            </w:pPr>
            <w:r>
              <w:rPr>
                <w:rFonts w:hint="eastAsia" w:hAnsi="宋体" w:cs="宋体"/>
                <w:color w:val="auto"/>
                <w:sz w:val="21"/>
                <w:highlight w:val="none"/>
                <w:lang w:val="en-US" w:eastAsia="zh-CN"/>
              </w:rPr>
              <w:t>4.本磋商文件中描述供应商的“签字”是指供应商的法定代表人或者委托代理人亲自在文件规定签署处亲笔写上个人的名字的行为，私章、签字章、印鉴、影印等其他形式均不能代替亲笔签字。</w:t>
            </w:r>
          </w:p>
          <w:p w14:paraId="45C5A781">
            <w:pPr>
              <w:pStyle w:val="42"/>
              <w:keepNext w:val="0"/>
              <w:keepLines w:val="0"/>
              <w:pageBreakBefore w:val="0"/>
              <w:kinsoku/>
              <w:overflowPunct/>
              <w:topLinePunct w:val="0"/>
              <w:bidi w:val="0"/>
              <w:adjustRightInd/>
              <w:snapToGrid/>
              <w:spacing w:line="400" w:lineRule="exact"/>
              <w:textAlignment w:val="auto"/>
              <w:rPr>
                <w:rFonts w:hint="eastAsia" w:hAnsi="宋体" w:cs="宋体"/>
                <w:color w:val="auto"/>
                <w:sz w:val="21"/>
                <w:highlight w:val="none"/>
                <w:lang w:val="en-US" w:eastAsia="zh-CN"/>
              </w:rPr>
            </w:pPr>
            <w:r>
              <w:rPr>
                <w:rFonts w:hint="eastAsia" w:hAnsi="宋体" w:cs="宋体"/>
                <w:color w:val="auto"/>
                <w:sz w:val="21"/>
                <w:highlight w:val="none"/>
                <w:lang w:val="en-US" w:eastAsia="zh-CN"/>
              </w:rPr>
              <w:t>5.本磋商文件所称的“以上”“以下”“以内”“届满”，包括本数；所称的“不满”“超过”“以外”，不包括本数。</w:t>
            </w:r>
          </w:p>
        </w:tc>
      </w:tr>
    </w:tbl>
    <w:p w14:paraId="6B823022">
      <w:pPr>
        <w:keepNext w:val="0"/>
        <w:keepLines w:val="0"/>
        <w:pageBreakBefore w:val="0"/>
        <w:kinsoku/>
        <w:overflowPunct/>
        <w:topLinePunct w:val="0"/>
        <w:bidi w:val="0"/>
        <w:adjustRightInd/>
        <w:snapToGrid/>
        <w:spacing w:line="400" w:lineRule="exact"/>
        <w:jc w:val="center"/>
        <w:textAlignment w:val="auto"/>
        <w:rPr>
          <w:rFonts w:hint="eastAsia"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供应商须知正文</w:t>
      </w:r>
    </w:p>
    <w:p w14:paraId="2AC5038A">
      <w:pPr>
        <w:keepNext w:val="0"/>
        <w:keepLines w:val="0"/>
        <w:pageBreakBefore w:val="0"/>
        <w:kinsoku/>
        <w:overflowPunct/>
        <w:topLinePunct w:val="0"/>
        <w:bidi w:val="0"/>
        <w:adjustRightInd/>
        <w:snapToGrid/>
        <w:spacing w:line="400" w:lineRule="exact"/>
        <w:jc w:val="center"/>
        <w:textAlignment w:val="auto"/>
        <w:rPr>
          <w:rFonts w:hint="eastAsia" w:ascii="宋体" w:hAnsi="宋体"/>
          <w:b/>
          <w:color w:val="auto"/>
          <w:sz w:val="32"/>
          <w:szCs w:val="32"/>
          <w:highlight w:val="none"/>
        </w:rPr>
      </w:pPr>
    </w:p>
    <w:p w14:paraId="38CD7742">
      <w:pPr>
        <w:keepNext w:val="0"/>
        <w:keepLines w:val="0"/>
        <w:pageBreakBefore w:val="0"/>
        <w:kinsoku/>
        <w:overflowPunct/>
        <w:topLinePunct w:val="0"/>
        <w:bidi w:val="0"/>
        <w:adjustRightInd/>
        <w:snapToGrid/>
        <w:spacing w:line="400" w:lineRule="exact"/>
        <w:jc w:val="center"/>
        <w:textAlignment w:val="auto"/>
        <w:rPr>
          <w:rFonts w:hint="eastAsia" w:ascii="宋体" w:hAnsi="宋体"/>
          <w:b/>
          <w:color w:val="auto"/>
          <w:sz w:val="32"/>
          <w:szCs w:val="32"/>
          <w:highlight w:val="none"/>
        </w:rPr>
      </w:pPr>
      <w:r>
        <w:rPr>
          <w:rFonts w:hint="eastAsia" w:ascii="宋体" w:hAnsi="宋体"/>
          <w:b/>
          <w:color w:val="auto"/>
          <w:sz w:val="32"/>
          <w:szCs w:val="32"/>
          <w:highlight w:val="none"/>
        </w:rPr>
        <w:t>一、总则</w:t>
      </w:r>
    </w:p>
    <w:p w14:paraId="5FFAB3CD">
      <w:pPr>
        <w:keepNext w:val="0"/>
        <w:keepLines w:val="0"/>
        <w:pageBreakBefore w:val="0"/>
        <w:kinsoku/>
        <w:overflowPunct/>
        <w:topLinePunct w:val="0"/>
        <w:bidi w:val="0"/>
        <w:adjustRightInd/>
        <w:snapToGrid/>
        <w:spacing w:line="400" w:lineRule="exact"/>
        <w:textAlignment w:val="auto"/>
        <w:rPr>
          <w:rFonts w:hint="eastAsia" w:ascii="宋体" w:hAnsi="宋体"/>
          <w:color w:val="auto"/>
          <w:szCs w:val="21"/>
          <w:highlight w:val="none"/>
        </w:rPr>
      </w:pPr>
    </w:p>
    <w:p w14:paraId="1DA7384F">
      <w:pPr>
        <w:keepNext w:val="0"/>
        <w:keepLines w:val="0"/>
        <w:pageBreakBefore w:val="0"/>
        <w:kinsoku/>
        <w:overflowPunct/>
        <w:topLinePunct w:val="0"/>
        <w:bidi w:val="0"/>
        <w:adjustRightInd/>
        <w:snapToGrid/>
        <w:spacing w:line="400" w:lineRule="exact"/>
        <w:ind w:firstLine="482" w:firstLineChars="200"/>
        <w:textAlignment w:val="auto"/>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1.适用范围</w:t>
      </w:r>
    </w:p>
    <w:p w14:paraId="101901FD">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w:t>
      </w:r>
      <w:r>
        <w:rPr>
          <w:rFonts w:hint="eastAsia" w:ascii="宋体" w:hAnsi="宋体"/>
          <w:color w:val="auto"/>
          <w:szCs w:val="21"/>
          <w:highlight w:val="none"/>
        </w:rPr>
        <w:t>《政府采购竞争性磋商采购方式管理暂行办法》《财政部关于政府采购竞争性磋商采购方式管理暂行办法有关问题的补充通知》</w:t>
      </w:r>
      <w:r>
        <w:rPr>
          <w:rFonts w:hint="eastAsia" w:ascii="宋体" w:hAnsi="宋体" w:cs="宋体"/>
          <w:color w:val="auto"/>
          <w:szCs w:val="21"/>
          <w:highlight w:val="none"/>
        </w:rPr>
        <w:t>及本项目本级和上级财政部门政府采购有关规定的约束和保护。</w:t>
      </w:r>
    </w:p>
    <w:p w14:paraId="673222B3">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本竞争性磋商文件（以下简称磋商文件）适用于本项目的所有采购程序和环节（法律、法规另有规定的，从其规定）。</w:t>
      </w:r>
    </w:p>
    <w:p w14:paraId="2CF9B2D6">
      <w:pPr>
        <w:keepNext w:val="0"/>
        <w:keepLines w:val="0"/>
        <w:pageBreakBefore w:val="0"/>
        <w:kinsoku/>
        <w:overflowPunct/>
        <w:topLinePunct w:val="0"/>
        <w:bidi w:val="0"/>
        <w:adjustRightInd/>
        <w:snapToGrid/>
        <w:spacing w:line="400" w:lineRule="exact"/>
        <w:ind w:firstLine="482" w:firstLineChars="200"/>
        <w:textAlignment w:val="auto"/>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2.定义</w:t>
      </w:r>
    </w:p>
    <w:p w14:paraId="4BB6587A">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05423CD0">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2.2“采购代理机构”是指政府采购集中采购机构和集中采购机构以外的采购代理机构。</w:t>
      </w:r>
    </w:p>
    <w:p w14:paraId="5CB16DE6">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w:t>
      </w:r>
    </w:p>
    <w:p w14:paraId="4AB66F7D">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olor w:val="auto"/>
          <w:szCs w:val="21"/>
          <w:highlight w:val="none"/>
        </w:rPr>
        <w:t>2.4“服务”是指除货物和工程以外的其他政府采购对象。</w:t>
      </w:r>
    </w:p>
    <w:p w14:paraId="4E69F037">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r>
        <w:rPr>
          <w:rFonts w:hint="eastAsia" w:ascii="宋体" w:hAnsi="宋体" w:cs="宋体"/>
          <w:color w:val="auto"/>
          <w:szCs w:val="21"/>
          <w:highlight w:val="none"/>
        </w:rPr>
        <w:t>“竞标”是指供应商按照本项目竞争性磋商公告规定的方式获取磋商文件、提交响应文件并希望获得标的的行为。</w:t>
      </w:r>
    </w:p>
    <w:p w14:paraId="58BF3209">
      <w:pPr>
        <w:keepNext w:val="0"/>
        <w:keepLines w:val="0"/>
        <w:pageBreakBefore w:val="0"/>
        <w:kinsoku/>
        <w:overflowPunct/>
        <w:topLinePunct w:val="0"/>
        <w:bidi w:val="0"/>
        <w:adjustRightInd/>
        <w:snapToGrid/>
        <w:spacing w:line="400" w:lineRule="exact"/>
        <w:ind w:firstLine="420" w:firstLineChars="200"/>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2.6“书面形式”是指合同书、信件和数据电文（包括电报、电传、传真、电子数据交换和电子邮件）等可以有形地表现所载内容的形式。</w:t>
      </w:r>
    </w:p>
    <w:p w14:paraId="721C92EA">
      <w:pPr>
        <w:keepNext w:val="0"/>
        <w:keepLines w:val="0"/>
        <w:pageBreakBefore w:val="0"/>
        <w:kinsoku/>
        <w:overflowPunct/>
        <w:topLinePunct w:val="0"/>
        <w:bidi w:val="0"/>
        <w:adjustRightInd/>
        <w:snapToGrid/>
        <w:spacing w:line="400" w:lineRule="exact"/>
        <w:ind w:firstLine="420" w:firstLineChars="200"/>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2.7“响应文件”</w:t>
      </w:r>
      <w:r>
        <w:rPr>
          <w:rFonts w:hint="eastAsia" w:ascii="宋体" w:hAnsi="宋体" w:cs="宋体"/>
          <w:color w:val="auto"/>
          <w:spacing w:val="-6"/>
          <w:szCs w:val="21"/>
          <w:highlight w:val="none"/>
        </w:rPr>
        <w:t>是指：供应商根据本磋商文件要求，编制包含资格证明、报价、商务技术等所有内容的文件。</w:t>
      </w:r>
    </w:p>
    <w:p w14:paraId="30FAF005">
      <w:pPr>
        <w:keepNext w:val="0"/>
        <w:keepLines w:val="0"/>
        <w:pageBreakBefore w:val="0"/>
        <w:kinsoku/>
        <w:overflowPunct/>
        <w:topLinePunct w:val="0"/>
        <w:bidi w:val="0"/>
        <w:adjustRightInd/>
        <w:snapToGrid/>
        <w:spacing w:line="400" w:lineRule="exact"/>
        <w:ind w:firstLine="420" w:firstLineChars="200"/>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2.8“实质性要求”是指磋商文件中已经指明不满足则响应文件按无效响应处理的条款，或者不能负偏离的条款，或者采购需求中带“▲”的条款。</w:t>
      </w:r>
    </w:p>
    <w:p w14:paraId="5494D383">
      <w:pPr>
        <w:keepNext w:val="0"/>
        <w:keepLines w:val="0"/>
        <w:pageBreakBefore w:val="0"/>
        <w:kinsoku/>
        <w:overflowPunct/>
        <w:topLinePunct w:val="0"/>
        <w:bidi w:val="0"/>
        <w:adjustRightInd/>
        <w:snapToGrid/>
        <w:spacing w:line="400" w:lineRule="exact"/>
        <w:ind w:firstLine="420" w:firstLineChars="200"/>
        <w:contextualSpacing/>
        <w:textAlignment w:val="auto"/>
        <w:rPr>
          <w:rFonts w:ascii="宋体" w:hAnsi="宋体" w:cs="宋体"/>
          <w:color w:val="auto"/>
          <w:szCs w:val="21"/>
          <w:highlight w:val="none"/>
        </w:rPr>
      </w:pPr>
      <w:r>
        <w:rPr>
          <w:rFonts w:hint="eastAsia" w:ascii="宋体" w:hAnsi="宋体" w:cs="宋体"/>
          <w:color w:val="auto"/>
          <w:szCs w:val="21"/>
          <w:highlight w:val="none"/>
        </w:rPr>
        <w:t>2.9“正偏离”，是指响应文件对磋商文件“采购需求”中有关条款作出的响应优于条款要求并有利于采购人的情形。</w:t>
      </w:r>
    </w:p>
    <w:p w14:paraId="0630B192">
      <w:pPr>
        <w:keepNext w:val="0"/>
        <w:keepLines w:val="0"/>
        <w:pageBreakBefore w:val="0"/>
        <w:kinsoku/>
        <w:overflowPunct/>
        <w:topLinePunct w:val="0"/>
        <w:bidi w:val="0"/>
        <w:adjustRightInd/>
        <w:snapToGrid/>
        <w:spacing w:line="400" w:lineRule="exact"/>
        <w:ind w:firstLine="420" w:firstLineChars="200"/>
        <w:contextualSpacing/>
        <w:textAlignment w:val="auto"/>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10“负偏离”，是指响应文件对磋商文件“采购需求”中有关条款作出的响应不满足条款要求，导致采购人要求不能得到满足的情形。</w:t>
      </w:r>
    </w:p>
    <w:p w14:paraId="0374843C">
      <w:pPr>
        <w:keepNext w:val="0"/>
        <w:keepLines w:val="0"/>
        <w:pageBreakBefore w:val="0"/>
        <w:kinsoku/>
        <w:overflowPunct/>
        <w:topLinePunct w:val="0"/>
        <w:bidi w:val="0"/>
        <w:adjustRightInd/>
        <w:snapToGrid/>
        <w:spacing w:line="400" w:lineRule="exact"/>
        <w:ind w:firstLine="420" w:firstLineChars="200"/>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2.11“允许负偏离的条款”是指采购需求中的不属于“实质性要求”的条款。</w:t>
      </w:r>
    </w:p>
    <w:p w14:paraId="3567A52F">
      <w:pPr>
        <w:keepNext w:val="0"/>
        <w:keepLines w:val="0"/>
        <w:pageBreakBefore w:val="0"/>
        <w:kinsoku/>
        <w:overflowPunct/>
        <w:topLinePunct w:val="0"/>
        <w:bidi w:val="0"/>
        <w:adjustRightInd/>
        <w:snapToGrid/>
        <w:spacing w:line="400" w:lineRule="exact"/>
        <w:ind w:firstLine="420" w:firstLineChars="200"/>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1</w:t>
      </w:r>
      <w:r>
        <w:rPr>
          <w:rFonts w:hint="eastAsia" w:ascii="宋体" w:hAnsi="宋体" w:cs="宋体"/>
          <w:color w:val="auto"/>
          <w:szCs w:val="21"/>
          <w:highlight w:val="none"/>
        </w:rPr>
        <w:t>2“首次报价”是指供应商提交的首次响应文件中的报价。</w:t>
      </w:r>
    </w:p>
    <w:p w14:paraId="32DE6378">
      <w:pPr>
        <w:keepNext w:val="0"/>
        <w:keepLines w:val="0"/>
        <w:pageBreakBefore w:val="0"/>
        <w:kinsoku/>
        <w:overflowPunct/>
        <w:topLinePunct w:val="0"/>
        <w:bidi w:val="0"/>
        <w:adjustRightInd/>
        <w:snapToGrid/>
        <w:spacing w:line="400" w:lineRule="exact"/>
        <w:ind w:firstLine="482" w:firstLineChars="200"/>
        <w:textAlignment w:val="auto"/>
        <w:rPr>
          <w:rFonts w:ascii="黑体" w:hAnsi="黑体" w:eastAsia="黑体" w:cs="宋体"/>
          <w:b/>
          <w:bCs/>
          <w:color w:val="auto"/>
          <w:sz w:val="24"/>
          <w:highlight w:val="none"/>
        </w:rPr>
      </w:pPr>
      <w:r>
        <w:rPr>
          <w:rFonts w:hint="eastAsia" w:ascii="黑体" w:hAnsi="黑体" w:eastAsia="黑体" w:cs="宋体"/>
          <w:b/>
          <w:bCs/>
          <w:color w:val="auto"/>
          <w:sz w:val="24"/>
          <w:highlight w:val="none"/>
        </w:rPr>
        <w:t>3.供应商的资格条件</w:t>
      </w:r>
    </w:p>
    <w:p w14:paraId="6A84E014">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0DAA0AF1">
      <w:pPr>
        <w:keepNext w:val="0"/>
        <w:keepLines w:val="0"/>
        <w:pageBreakBefore w:val="0"/>
        <w:kinsoku/>
        <w:overflowPunct/>
        <w:topLinePunct w:val="0"/>
        <w:bidi w:val="0"/>
        <w:adjustRightInd/>
        <w:snapToGrid/>
        <w:spacing w:line="400" w:lineRule="exact"/>
        <w:ind w:firstLine="482" w:firstLineChars="200"/>
        <w:textAlignment w:val="auto"/>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4.竞标费用</w:t>
      </w:r>
    </w:p>
    <w:p w14:paraId="397CB82F">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供应商应承担参与本次采购活动有关的所有费用，包括但不限于获取磋商文件、勘查现场、编制和提交响应文件、参加磋商与应答、签订合同等，不论竞标结果如何，均应自行承担。</w:t>
      </w:r>
    </w:p>
    <w:p w14:paraId="6F4E65C5">
      <w:pPr>
        <w:keepNext w:val="0"/>
        <w:keepLines w:val="0"/>
        <w:pageBreakBefore w:val="0"/>
        <w:kinsoku/>
        <w:overflowPunct/>
        <w:topLinePunct w:val="0"/>
        <w:bidi w:val="0"/>
        <w:adjustRightInd/>
        <w:snapToGrid/>
        <w:spacing w:line="400" w:lineRule="exact"/>
        <w:ind w:firstLine="482" w:firstLineChars="200"/>
        <w:textAlignment w:val="auto"/>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5.联合体竞标</w:t>
      </w:r>
    </w:p>
    <w:p w14:paraId="5A012B54">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0023735D">
      <w:pPr>
        <w:keepNext w:val="0"/>
        <w:keepLines w:val="0"/>
        <w:pageBreakBefore w:val="0"/>
        <w:kinsoku/>
        <w:overflowPunct/>
        <w:topLinePunct w:val="0"/>
        <w:bidi w:val="0"/>
        <w:adjustRightInd/>
        <w:snapToGrid/>
        <w:spacing w:line="400" w:lineRule="exact"/>
        <w:ind w:firstLine="482" w:firstLineChars="200"/>
        <w:textAlignment w:val="auto"/>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 xml:space="preserve">6.转包与分包             </w:t>
      </w:r>
    </w:p>
    <w:p w14:paraId="1B3299B3">
      <w:pPr>
        <w:pStyle w:val="25"/>
        <w:keepNext w:val="0"/>
        <w:keepLines w:val="0"/>
        <w:pageBreakBefore w:val="0"/>
        <w:kinsoku/>
        <w:overflowPunct/>
        <w:topLinePunct w:val="0"/>
        <w:bidi w:val="0"/>
        <w:adjustRightInd/>
        <w:snapToGrid/>
        <w:spacing w:before="0" w:after="0" w:line="400" w:lineRule="exact"/>
        <w:ind w:left="420" w:leftChars="200"/>
        <w:textAlignment w:val="auto"/>
        <w:rPr>
          <w:rFonts w:hint="eastAsia" w:ascii="宋体" w:hAnsi="宋体"/>
          <w:b w:val="0"/>
          <w:color w:val="auto"/>
          <w:sz w:val="21"/>
          <w:szCs w:val="21"/>
          <w:highlight w:val="none"/>
        </w:rPr>
      </w:pPr>
      <w:bookmarkStart w:id="67" w:name="_Toc254970673"/>
      <w:bookmarkStart w:id="68" w:name="_Toc254970532"/>
      <w:r>
        <w:rPr>
          <w:rFonts w:hint="eastAsia" w:ascii="宋体" w:hAnsi="宋体"/>
          <w:b w:val="0"/>
          <w:color w:val="auto"/>
          <w:sz w:val="21"/>
          <w:szCs w:val="21"/>
          <w:highlight w:val="none"/>
        </w:rPr>
        <w:t>6.1本项目不允许转包。</w:t>
      </w:r>
    </w:p>
    <w:p w14:paraId="78803E40">
      <w:pPr>
        <w:keepNext w:val="0"/>
        <w:keepLines w:val="0"/>
        <w:pageBreakBefore w:val="0"/>
        <w:kinsoku/>
        <w:overflowPunct/>
        <w:topLinePunct w:val="0"/>
        <w:bidi w:val="0"/>
        <w:adjustRightInd/>
        <w:snapToGrid/>
        <w:spacing w:line="400" w:lineRule="exact"/>
        <w:ind w:firstLine="482" w:firstLineChars="200"/>
        <w:textAlignment w:val="auto"/>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7.特别说明</w:t>
      </w:r>
      <w:bookmarkEnd w:id="67"/>
      <w:bookmarkEnd w:id="68"/>
    </w:p>
    <w:p w14:paraId="5EA6B9AC">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bookmarkStart w:id="69" w:name="_8.1提供相同品牌产品且通过资格审查、符合性审查的不同投标人参加同一合"/>
      <w:bookmarkEnd w:id="69"/>
      <w:r>
        <w:rPr>
          <w:rFonts w:hint="eastAsia" w:ascii="宋体" w:hAnsi="宋体" w:cs="宋体"/>
          <w:color w:val="auto"/>
          <w:szCs w:val="21"/>
          <w:highlight w:val="none"/>
        </w:rPr>
        <w:t>7.</w:t>
      </w:r>
      <w:r>
        <w:rPr>
          <w:rFonts w:ascii="宋体" w:hAnsi="宋体" w:cs="宋体"/>
          <w:color w:val="auto"/>
          <w:szCs w:val="21"/>
          <w:highlight w:val="none"/>
        </w:rPr>
        <w:t>1</w:t>
      </w:r>
      <w:bookmarkStart w:id="70" w:name="_Hlk65832145"/>
      <w:r>
        <w:rPr>
          <w:rFonts w:hint="eastAsia" w:ascii="宋体" w:hAnsi="宋体"/>
          <w:color w:val="auto"/>
          <w:szCs w:val="21"/>
          <w:highlight w:val="none"/>
        </w:rPr>
        <w:t xml:space="preserve">如果本磋商文件要求提供供应商或制造商的资格、信誉、荣誉、业绩与企业认证等材料的，资格、信誉、荣誉、业绩与企业认证等必须为供应商或者制造商所拥有或自身获得 </w:t>
      </w:r>
      <w:r>
        <w:rPr>
          <w:rFonts w:hint="eastAsia" w:ascii="宋体" w:hAnsi="宋体" w:cs="宋体"/>
          <w:color w:val="auto"/>
          <w:szCs w:val="21"/>
          <w:highlight w:val="none"/>
        </w:rPr>
        <w:t>。</w:t>
      </w:r>
    </w:p>
    <w:bookmarkEnd w:id="70"/>
    <w:p w14:paraId="474A8010">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2</w:t>
      </w:r>
      <w:r>
        <w:rPr>
          <w:rFonts w:hint="eastAsia" w:ascii="宋体" w:hAnsi="宋体" w:cs="宋体"/>
          <w:color w:val="auto"/>
          <w:szCs w:val="21"/>
          <w:highlight w:val="none"/>
        </w:rPr>
        <w:t>供应商应仔细阅读磋商文件的所有内容，按照磋商文件的要求提交响应文件，并对所提供的全部资料的真实性承担法律责任。</w:t>
      </w:r>
    </w:p>
    <w:p w14:paraId="0FEC8194">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3</w:t>
      </w:r>
      <w:r>
        <w:rPr>
          <w:rFonts w:hint="eastAsia" w:ascii="宋体" w:hAnsi="宋体" w:cs="宋体"/>
          <w:color w:val="auto"/>
          <w:szCs w:val="21"/>
          <w:highlight w:val="none"/>
        </w:rPr>
        <w:t>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6FFB3CF1">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4</w:t>
      </w:r>
      <w:r>
        <w:rPr>
          <w:rFonts w:hint="eastAsia" w:ascii="宋体" w:hAnsi="宋体" w:cs="宋体"/>
          <w:color w:val="auto"/>
          <w:szCs w:val="21"/>
          <w:highlight w:val="none"/>
        </w:rPr>
        <w:t>在政府采购活动中，采购人员及相关人员与供应商有下列利害关系之一的，应当回避：</w:t>
      </w:r>
    </w:p>
    <w:p w14:paraId="08820460">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0CD95ECB">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198E03AA">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300C8456">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718E6709">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0FD99A97">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6AE6E81D">
      <w:pPr>
        <w:keepNext w:val="0"/>
        <w:keepLines w:val="0"/>
        <w:pageBreakBefore w:val="0"/>
        <w:kinsoku/>
        <w:overflowPunct/>
        <w:topLinePunct w:val="0"/>
        <w:bidi w:val="0"/>
        <w:adjustRightInd/>
        <w:snapToGrid/>
        <w:spacing w:line="400" w:lineRule="exact"/>
        <w:ind w:firstLine="422" w:firstLineChars="20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7.</w:t>
      </w:r>
      <w:r>
        <w:rPr>
          <w:rFonts w:ascii="宋体" w:hAnsi="宋体" w:cs="宋体"/>
          <w:b/>
          <w:bCs/>
          <w:color w:val="auto"/>
          <w:szCs w:val="21"/>
          <w:highlight w:val="none"/>
        </w:rPr>
        <w:t>5</w:t>
      </w:r>
      <w:r>
        <w:rPr>
          <w:rFonts w:hint="eastAsia" w:ascii="宋体" w:hAnsi="宋体" w:cs="宋体"/>
          <w:b/>
          <w:bCs/>
          <w:color w:val="auto"/>
          <w:szCs w:val="21"/>
          <w:highlight w:val="none"/>
        </w:rPr>
        <w:t>有下列情形之一的视为供应商相互串通竞标，响应文件将被视为无效：</w:t>
      </w:r>
    </w:p>
    <w:p w14:paraId="19ABA6A4">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（1）不同供应商的响应文件由同一单位或者个人编制</w:t>
      </w:r>
      <w:r>
        <w:rPr>
          <w:rFonts w:hint="eastAsia" w:ascii="宋体" w:hAnsi="宋体" w:cs="宋体"/>
          <w:color w:val="auto"/>
          <w:szCs w:val="21"/>
          <w:highlight w:val="none"/>
          <w:lang w:eastAsia="zh-CN"/>
        </w:rPr>
        <w:t>，或不同竞标人报名的IP地址一致的</w:t>
      </w:r>
      <w:r>
        <w:rPr>
          <w:rFonts w:hint="eastAsia" w:ascii="宋体" w:hAnsi="宋体" w:cs="宋体"/>
          <w:color w:val="auto"/>
          <w:szCs w:val="21"/>
          <w:highlight w:val="none"/>
        </w:rPr>
        <w:t xml:space="preserve">； </w:t>
      </w:r>
    </w:p>
    <w:p w14:paraId="3BC9AE0F">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26BB73D5">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3B31E5F7">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711A19F6">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70AE6E11">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6</w:t>
      </w:r>
      <w:r>
        <w:rPr>
          <w:rFonts w:hint="eastAsia" w:ascii="宋体" w:hAnsi="宋体" w:cs="宋体"/>
          <w:color w:val="auto"/>
          <w:szCs w:val="21"/>
          <w:highlight w:val="none"/>
        </w:rPr>
        <w:t>供应商有下列情形之一的，属于恶意串通行为，将报同级监督管理部门：</w:t>
      </w:r>
    </w:p>
    <w:p w14:paraId="68C50704">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161904C0">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1F4B370E">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15B0651F">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3FD8BA2D">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327715EF">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48194F55">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6478860D">
      <w:pPr>
        <w:pStyle w:val="3"/>
        <w:spacing w:line="360" w:lineRule="auto"/>
        <w:rPr>
          <w:rFonts w:hint="eastAsia" w:ascii="宋体" w:hAnsi="宋体"/>
          <w:color w:val="auto"/>
          <w:highlight w:val="none"/>
        </w:rPr>
      </w:pPr>
      <w:r>
        <w:rPr>
          <w:rFonts w:hint="eastAsia" w:ascii="宋体" w:hAnsi="宋体"/>
          <w:color w:val="auto"/>
          <w:highlight w:val="none"/>
        </w:rPr>
        <w:t>7.7根据《国务院办公厅关于在政府采购中实施本国产品标准及相关政策的通知》（国办发〔2025〕34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44E8517">
      <w:pPr>
        <w:pStyle w:val="3"/>
        <w:spacing w:line="360" w:lineRule="auto"/>
        <w:rPr>
          <w:rFonts w:hint="eastAsia" w:ascii="宋体" w:hAnsi="宋体"/>
          <w:color w:val="auto"/>
          <w:highlight w:val="none"/>
        </w:rPr>
      </w:pPr>
      <w:r>
        <w:rPr>
          <w:rFonts w:hint="eastAsia" w:ascii="宋体" w:hAnsi="宋体"/>
          <w:color w:val="auto"/>
          <w:highlight w:val="none"/>
        </w:rPr>
        <w:t>产品在中国境内生产的组件成本占比应当达到规定比例，计算公式为：</w:t>
      </w:r>
    </w:p>
    <w:p w14:paraId="690EDB4D">
      <w:pPr>
        <w:widowControl/>
        <w:shd w:val="clear" w:color="auto" w:fill="FFFFFF"/>
        <w:spacing w:before="30" w:after="30" w:line="360" w:lineRule="auto"/>
        <w:jc w:val="center"/>
        <w:rPr>
          <w:rFonts w:hint="eastAsia" w:ascii="宋体" w:hAnsi="宋体" w:cs="宋体"/>
          <w:color w:val="auto"/>
          <w:kern w:val="0"/>
          <w:sz w:val="24"/>
          <w:highlight w:val="none"/>
        </w:rPr>
      </w:pPr>
      <w:r>
        <w:rPr>
          <w:rFonts w:ascii="宋体" w:hAnsi="宋体" w:cs="宋体"/>
          <w:color w:val="auto"/>
          <w:kern w:val="0"/>
          <w:sz w:val="24"/>
          <w:highlight w:val="none"/>
        </w:rPr>
        <w:drawing>
          <wp:inline distT="0" distB="0" distL="114300" distR="114300">
            <wp:extent cx="4829175" cy="762000"/>
            <wp:effectExtent l="0" t="0" r="9525" b="0"/>
            <wp:docPr id="1" name="图片 1" descr="https://www.gov.cn/zhengce/content/202509/W0202509306452459476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www.gov.cn/zhengce/content/202509/W020250930645245947614.png"/>
                    <pic:cNvPicPr>
                      <a:picLocks noChangeAspect="1"/>
                    </pic:cNvPicPr>
                  </pic:nvPicPr>
                  <pic:blipFill>
                    <a:blip r:embed="rId10" r:link="rId11"/>
                    <a:stretch>
                      <a:fillRect/>
                    </a:stretch>
                  </pic:blipFill>
                  <pic:spPr>
                    <a:xfrm>
                      <a:off x="0" y="0"/>
                      <a:ext cx="4829175" cy="762000"/>
                    </a:xfrm>
                    <a:prstGeom prst="rect">
                      <a:avLst/>
                    </a:prstGeom>
                    <a:noFill/>
                    <a:ln>
                      <a:noFill/>
                    </a:ln>
                  </pic:spPr>
                </pic:pic>
              </a:graphicData>
            </a:graphic>
          </wp:inline>
        </w:drawing>
      </w:r>
    </w:p>
    <w:p w14:paraId="2D77369E">
      <w:pPr>
        <w:pStyle w:val="3"/>
        <w:spacing w:line="360" w:lineRule="auto"/>
        <w:rPr>
          <w:rFonts w:hint="eastAsia" w:ascii="宋体" w:hAnsi="宋体"/>
          <w:color w:val="auto"/>
          <w:highlight w:val="none"/>
        </w:rPr>
      </w:pPr>
      <w:r>
        <w:rPr>
          <w:rFonts w:hint="eastAsia" w:ascii="宋体" w:hAnsi="宋体"/>
          <w:color w:val="auto"/>
          <w:highlight w:val="none"/>
        </w:rPr>
        <w:t>财政部会同有关行业主管部门，分产品确定在中国境内生产的组件成本占比应当达到的规定比例。在分产品的中国境内生产的组件成本占比相关要求实施前，符合《国务院办公厅关于在政府采购中实施本国产品标准及相关政策的通知》第一条第（一）项条件的产品在政府采购活动中视同本国产品。</w:t>
      </w:r>
    </w:p>
    <w:p w14:paraId="778AADBF">
      <w:pPr>
        <w:pStyle w:val="3"/>
        <w:spacing w:line="360" w:lineRule="auto"/>
        <w:rPr>
          <w:rFonts w:hint="eastAsia" w:ascii="宋体" w:hAnsi="宋体"/>
          <w:color w:val="auto"/>
          <w:highlight w:val="none"/>
        </w:rPr>
      </w:pPr>
      <w:r>
        <w:rPr>
          <w:rFonts w:hint="eastAsia" w:ascii="宋体" w:hAnsi="宋体"/>
          <w:color w:val="auto"/>
          <w:highlight w:val="none"/>
        </w:rPr>
        <w:t>政府采购活动中既有本国产品又有非本国产品参与竞争的，依法对本国产品给予价格评审优惠，对本国产品的报价给予20%的价格扣除，用扣除后的价格参与评审。</w:t>
      </w:r>
    </w:p>
    <w:p w14:paraId="2F2D2249">
      <w:pPr>
        <w:pStyle w:val="3"/>
        <w:spacing w:line="360" w:lineRule="auto"/>
        <w:rPr>
          <w:rFonts w:hint="eastAsia" w:ascii="宋体" w:hAnsi="宋体"/>
          <w:color w:val="auto"/>
          <w:highlight w:val="none"/>
        </w:rPr>
      </w:pPr>
      <w:r>
        <w:rPr>
          <w:rFonts w:hint="eastAsia" w:ascii="宋体" w:hAnsi="宋体"/>
          <w:color w:val="auto"/>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F6337FC">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p>
    <w:p w14:paraId="64F88724">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p>
    <w:p w14:paraId="1130F00B">
      <w:pPr>
        <w:keepNext w:val="0"/>
        <w:keepLines w:val="0"/>
        <w:pageBreakBefore w:val="0"/>
        <w:kinsoku/>
        <w:overflowPunct/>
        <w:topLinePunct w:val="0"/>
        <w:bidi w:val="0"/>
        <w:adjustRightInd/>
        <w:snapToGrid/>
        <w:spacing w:line="400" w:lineRule="exact"/>
        <w:ind w:left="1" w:firstLine="417" w:firstLineChars="199"/>
        <w:jc w:val="center"/>
        <w:textAlignment w:val="auto"/>
        <w:rPr>
          <w:rFonts w:hint="eastAsia" w:ascii="宋体" w:hAnsi="宋体"/>
          <w:color w:val="auto"/>
          <w:highlight w:val="none"/>
        </w:rPr>
      </w:pPr>
      <w:bookmarkStart w:id="71" w:name="_Toc254970534"/>
      <w:bookmarkStart w:id="72" w:name="_Toc254970675"/>
    </w:p>
    <w:p w14:paraId="6F319311">
      <w:pPr>
        <w:keepNext w:val="0"/>
        <w:keepLines w:val="0"/>
        <w:pageBreakBefore w:val="0"/>
        <w:kinsoku/>
        <w:overflowPunct/>
        <w:topLinePunct w:val="0"/>
        <w:bidi w:val="0"/>
        <w:adjustRightInd/>
        <w:snapToGrid/>
        <w:spacing w:line="400" w:lineRule="exact"/>
        <w:jc w:val="center"/>
        <w:textAlignment w:val="auto"/>
        <w:rPr>
          <w:rFonts w:hint="eastAsia" w:ascii="宋体" w:hAnsi="宋体"/>
          <w:b/>
          <w:bCs/>
          <w:color w:val="auto"/>
          <w:sz w:val="32"/>
          <w:szCs w:val="32"/>
          <w:highlight w:val="none"/>
        </w:rPr>
      </w:pPr>
      <w:r>
        <w:rPr>
          <w:rFonts w:hint="eastAsia" w:ascii="宋体" w:hAnsi="宋体"/>
          <w:b/>
          <w:bCs/>
          <w:color w:val="auto"/>
          <w:sz w:val="32"/>
          <w:szCs w:val="32"/>
          <w:highlight w:val="none"/>
        </w:rPr>
        <w:t>二、磋商文件</w:t>
      </w:r>
      <w:bookmarkEnd w:id="71"/>
      <w:bookmarkEnd w:id="72"/>
    </w:p>
    <w:p w14:paraId="37436202">
      <w:pPr>
        <w:keepNext w:val="0"/>
        <w:keepLines w:val="0"/>
        <w:pageBreakBefore w:val="0"/>
        <w:kinsoku/>
        <w:overflowPunct/>
        <w:topLinePunct w:val="0"/>
        <w:bidi w:val="0"/>
        <w:adjustRightInd/>
        <w:snapToGrid/>
        <w:spacing w:line="400" w:lineRule="exact"/>
        <w:textAlignment w:val="auto"/>
        <w:rPr>
          <w:rFonts w:hint="eastAsia" w:ascii="宋体" w:hAnsi="宋体"/>
          <w:color w:val="auto"/>
          <w:szCs w:val="21"/>
          <w:highlight w:val="none"/>
        </w:rPr>
      </w:pPr>
    </w:p>
    <w:p w14:paraId="6BDBC446">
      <w:pPr>
        <w:keepNext w:val="0"/>
        <w:keepLines w:val="0"/>
        <w:pageBreakBefore w:val="0"/>
        <w:kinsoku/>
        <w:overflowPunct/>
        <w:topLinePunct w:val="0"/>
        <w:bidi w:val="0"/>
        <w:adjustRightInd/>
        <w:snapToGrid/>
        <w:spacing w:line="400" w:lineRule="exact"/>
        <w:ind w:firstLine="482" w:firstLineChars="200"/>
        <w:textAlignment w:val="auto"/>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8.磋商文件的构成</w:t>
      </w:r>
    </w:p>
    <w:p w14:paraId="22A1E9C3">
      <w:pPr>
        <w:keepNext w:val="0"/>
        <w:keepLines w:val="0"/>
        <w:pageBreakBefore w:val="0"/>
        <w:kinsoku/>
        <w:overflowPunct/>
        <w:topLinePunct w:val="0"/>
        <w:bidi w:val="0"/>
        <w:adjustRightInd/>
        <w:snapToGrid/>
        <w:spacing w:line="40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（1）竞争性磋商公告；</w:t>
      </w:r>
    </w:p>
    <w:p w14:paraId="3C13C600">
      <w:pPr>
        <w:keepNext w:val="0"/>
        <w:keepLines w:val="0"/>
        <w:pageBreakBefore w:val="0"/>
        <w:kinsoku/>
        <w:overflowPunct/>
        <w:topLinePunct w:val="0"/>
        <w:bidi w:val="0"/>
        <w:adjustRightInd/>
        <w:snapToGrid/>
        <w:spacing w:line="40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 xml:space="preserve">（2）供应商须知； </w:t>
      </w:r>
    </w:p>
    <w:p w14:paraId="5ABE240B">
      <w:pPr>
        <w:keepNext w:val="0"/>
        <w:keepLines w:val="0"/>
        <w:pageBreakBefore w:val="0"/>
        <w:kinsoku/>
        <w:overflowPunct/>
        <w:topLinePunct w:val="0"/>
        <w:bidi w:val="0"/>
        <w:adjustRightInd/>
        <w:snapToGrid/>
        <w:spacing w:line="40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（3）采购需求；</w:t>
      </w:r>
    </w:p>
    <w:p w14:paraId="40A4592E">
      <w:pPr>
        <w:keepNext w:val="0"/>
        <w:keepLines w:val="0"/>
        <w:pageBreakBefore w:val="0"/>
        <w:kinsoku/>
        <w:overflowPunct/>
        <w:topLinePunct w:val="0"/>
        <w:bidi w:val="0"/>
        <w:adjustRightInd/>
        <w:snapToGrid/>
        <w:spacing w:line="40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（4）评审程序、评审方法和评审标准；</w:t>
      </w:r>
    </w:p>
    <w:p w14:paraId="75FBA056">
      <w:pPr>
        <w:keepNext w:val="0"/>
        <w:keepLines w:val="0"/>
        <w:pageBreakBefore w:val="0"/>
        <w:kinsoku/>
        <w:overflowPunct/>
        <w:topLinePunct w:val="0"/>
        <w:bidi w:val="0"/>
        <w:adjustRightInd/>
        <w:snapToGrid/>
        <w:spacing w:line="40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（5）响应文件格式；</w:t>
      </w:r>
    </w:p>
    <w:p w14:paraId="0C7E1142">
      <w:pPr>
        <w:keepNext w:val="0"/>
        <w:keepLines w:val="0"/>
        <w:pageBreakBefore w:val="0"/>
        <w:kinsoku/>
        <w:overflowPunct/>
        <w:topLinePunct w:val="0"/>
        <w:bidi w:val="0"/>
        <w:adjustRightInd/>
        <w:snapToGrid/>
        <w:spacing w:line="40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（6）合同文本。</w:t>
      </w:r>
    </w:p>
    <w:p w14:paraId="19A1CC9D">
      <w:pPr>
        <w:keepNext w:val="0"/>
        <w:keepLines w:val="0"/>
        <w:pageBreakBefore w:val="0"/>
        <w:kinsoku/>
        <w:overflowPunct/>
        <w:topLinePunct w:val="0"/>
        <w:bidi w:val="0"/>
        <w:adjustRightInd/>
        <w:snapToGrid/>
        <w:spacing w:line="400" w:lineRule="exact"/>
        <w:ind w:firstLine="482" w:firstLineChars="200"/>
        <w:textAlignment w:val="auto"/>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9.供应商的询问</w:t>
      </w:r>
    </w:p>
    <w:p w14:paraId="71DD7D84">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供应商应认真阅读磋商文件的采购需求，如供应商对磋商文件有疑问的，如要求采购人作出澄清或者修改的，供应商尽可能在</w:t>
      </w:r>
      <w:r>
        <w:rPr>
          <w:rFonts w:ascii="宋体" w:hAnsi="宋体"/>
          <w:color w:val="auto"/>
          <w:szCs w:val="21"/>
          <w:highlight w:val="none"/>
        </w:rPr>
        <w:t>提交首次响应文件截止之日前</w:t>
      </w:r>
      <w:r>
        <w:rPr>
          <w:rFonts w:hint="eastAsia" w:ascii="宋体" w:hAnsi="宋体"/>
          <w:color w:val="auto"/>
          <w:szCs w:val="21"/>
          <w:highlight w:val="none"/>
        </w:rPr>
        <w:t>，以书面形式向</w:t>
      </w:r>
      <w:r>
        <w:rPr>
          <w:rFonts w:ascii="宋体" w:hAnsi="宋体"/>
          <w:color w:val="auto"/>
          <w:szCs w:val="21"/>
          <w:highlight w:val="none"/>
        </w:rPr>
        <w:t>采购人、采购代理机构</w:t>
      </w:r>
      <w:r>
        <w:rPr>
          <w:rFonts w:hint="eastAsia" w:ascii="宋体" w:hAnsi="宋体"/>
          <w:color w:val="auto"/>
          <w:szCs w:val="21"/>
          <w:highlight w:val="none"/>
        </w:rPr>
        <w:t>提出。</w:t>
      </w:r>
    </w:p>
    <w:p w14:paraId="4C9C8A00">
      <w:pPr>
        <w:keepNext w:val="0"/>
        <w:keepLines w:val="0"/>
        <w:pageBreakBefore w:val="0"/>
        <w:kinsoku/>
        <w:overflowPunct/>
        <w:topLinePunct w:val="0"/>
        <w:bidi w:val="0"/>
        <w:adjustRightInd/>
        <w:snapToGrid/>
        <w:spacing w:line="400" w:lineRule="exact"/>
        <w:ind w:firstLine="482" w:firstLineChars="200"/>
        <w:textAlignment w:val="auto"/>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10.磋商文件的澄清和修改</w:t>
      </w:r>
    </w:p>
    <w:p w14:paraId="0342FF32">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olor w:val="auto"/>
          <w:szCs w:val="21"/>
          <w:highlight w:val="none"/>
        </w:rPr>
      </w:pPr>
      <w:r>
        <w:rPr>
          <w:rFonts w:ascii="宋体" w:hAnsi="宋体"/>
          <w:color w:val="auto"/>
          <w:szCs w:val="21"/>
          <w:highlight w:val="none"/>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通知所有</w:t>
      </w:r>
      <w:r>
        <w:rPr>
          <w:rFonts w:hint="eastAsia" w:ascii="宋体" w:hAnsi="宋体"/>
          <w:color w:val="auto"/>
          <w:szCs w:val="21"/>
          <w:highlight w:val="none"/>
        </w:rPr>
        <w:t>获取</w:t>
      </w:r>
      <w:r>
        <w:rPr>
          <w:rFonts w:ascii="宋体" w:hAnsi="宋体"/>
          <w:color w:val="auto"/>
          <w:szCs w:val="21"/>
          <w:highlight w:val="none"/>
        </w:rPr>
        <w:t>磋商文件的供应商，不足3个工作日的，应当顺延提交首次响应文件截止之日。</w:t>
      </w:r>
    </w:p>
    <w:p w14:paraId="209539B3">
      <w:pPr>
        <w:keepNext w:val="0"/>
        <w:keepLines w:val="0"/>
        <w:pageBreakBefore w:val="0"/>
        <w:kinsoku/>
        <w:overflowPunct/>
        <w:topLinePunct w:val="0"/>
        <w:bidi w:val="0"/>
        <w:adjustRightInd/>
        <w:snapToGrid/>
        <w:spacing w:line="400" w:lineRule="exact"/>
        <w:textAlignment w:val="auto"/>
        <w:rPr>
          <w:rFonts w:hint="eastAsia" w:ascii="宋体" w:hAnsi="宋体"/>
          <w:color w:val="auto"/>
          <w:szCs w:val="21"/>
          <w:highlight w:val="none"/>
        </w:rPr>
      </w:pPr>
    </w:p>
    <w:p w14:paraId="3A9E1CDA">
      <w:pPr>
        <w:keepNext w:val="0"/>
        <w:keepLines w:val="0"/>
        <w:pageBreakBefore w:val="0"/>
        <w:kinsoku/>
        <w:overflowPunct/>
        <w:topLinePunct w:val="0"/>
        <w:bidi w:val="0"/>
        <w:adjustRightInd/>
        <w:snapToGrid/>
        <w:spacing w:line="400" w:lineRule="exact"/>
        <w:jc w:val="center"/>
        <w:textAlignment w:val="auto"/>
        <w:rPr>
          <w:rFonts w:hint="eastAsia" w:ascii="宋体" w:hAnsi="宋体"/>
          <w:b/>
          <w:bCs/>
          <w:color w:val="auto"/>
          <w:szCs w:val="21"/>
          <w:highlight w:val="none"/>
        </w:rPr>
      </w:pPr>
      <w:r>
        <w:rPr>
          <w:rFonts w:hint="eastAsia" w:ascii="宋体" w:hAnsi="宋体"/>
          <w:b/>
          <w:bCs/>
          <w:color w:val="auto"/>
          <w:sz w:val="32"/>
          <w:szCs w:val="32"/>
          <w:highlight w:val="none"/>
        </w:rPr>
        <w:t>三、响应文件的编制</w:t>
      </w:r>
    </w:p>
    <w:p w14:paraId="428693AF">
      <w:pPr>
        <w:keepNext w:val="0"/>
        <w:keepLines w:val="0"/>
        <w:pageBreakBefore w:val="0"/>
        <w:kinsoku/>
        <w:overflowPunct/>
        <w:topLinePunct w:val="0"/>
        <w:bidi w:val="0"/>
        <w:adjustRightInd/>
        <w:snapToGrid/>
        <w:spacing w:line="400" w:lineRule="exact"/>
        <w:textAlignment w:val="auto"/>
        <w:rPr>
          <w:rFonts w:hint="eastAsia" w:ascii="宋体" w:hAnsi="宋体"/>
          <w:color w:val="auto"/>
          <w:szCs w:val="21"/>
          <w:highlight w:val="none"/>
        </w:rPr>
      </w:pPr>
    </w:p>
    <w:p w14:paraId="3690FA3C">
      <w:pPr>
        <w:keepNext w:val="0"/>
        <w:keepLines w:val="0"/>
        <w:pageBreakBefore w:val="0"/>
        <w:kinsoku/>
        <w:overflowPunct/>
        <w:topLinePunct w:val="0"/>
        <w:bidi w:val="0"/>
        <w:adjustRightInd/>
        <w:snapToGrid/>
        <w:spacing w:line="400" w:lineRule="exact"/>
        <w:ind w:firstLine="482" w:firstLineChars="200"/>
        <w:textAlignment w:val="auto"/>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11.响应文件的编制原则</w:t>
      </w:r>
    </w:p>
    <w:p w14:paraId="3B2F76BD">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供应商必须按照磋商文件的要求编制响应文件，并对其提交的响应文件的真实性、合法性承担法律责任。响应文件必须对磋商文件作出实质性响应。</w:t>
      </w:r>
    </w:p>
    <w:p w14:paraId="295AF03E">
      <w:pPr>
        <w:keepNext w:val="0"/>
        <w:keepLines w:val="0"/>
        <w:pageBreakBefore w:val="0"/>
        <w:kinsoku/>
        <w:overflowPunct/>
        <w:topLinePunct w:val="0"/>
        <w:bidi w:val="0"/>
        <w:adjustRightInd/>
        <w:snapToGrid/>
        <w:spacing w:line="400" w:lineRule="exact"/>
        <w:ind w:firstLine="482" w:firstLineChars="200"/>
        <w:textAlignment w:val="auto"/>
        <w:rPr>
          <w:rFonts w:ascii="黑体" w:hAnsi="黑体" w:eastAsia="黑体" w:cs="宋体"/>
          <w:b/>
          <w:bCs/>
          <w:color w:val="auto"/>
          <w:sz w:val="24"/>
          <w:highlight w:val="none"/>
        </w:rPr>
      </w:pPr>
      <w:r>
        <w:rPr>
          <w:rFonts w:hint="eastAsia" w:ascii="黑体" w:hAnsi="黑体" w:eastAsia="黑体" w:cs="宋体"/>
          <w:b/>
          <w:bCs/>
          <w:color w:val="auto"/>
          <w:sz w:val="24"/>
          <w:highlight w:val="none"/>
        </w:rPr>
        <w:t>12.响应文件的组成</w:t>
      </w:r>
    </w:p>
    <w:p w14:paraId="51DF0068">
      <w:pPr>
        <w:keepNext w:val="0"/>
        <w:keepLines w:val="0"/>
        <w:pageBreakBefore w:val="0"/>
        <w:kinsoku/>
        <w:overflowPunct/>
        <w:topLinePunct w:val="0"/>
        <w:bidi w:val="0"/>
        <w:adjustRightInd/>
        <w:snapToGrid/>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12.1响应文件由资格证明文件、报价文件、商务技术文件三部分组成。</w:t>
      </w:r>
    </w:p>
    <w:p w14:paraId="2E26049A">
      <w:pPr>
        <w:keepNext w:val="0"/>
        <w:keepLines w:val="0"/>
        <w:pageBreakBefore w:val="0"/>
        <w:kinsoku/>
        <w:overflowPunct/>
        <w:topLinePunct w:val="0"/>
        <w:bidi w:val="0"/>
        <w:adjustRightInd/>
        <w:snapToGrid/>
        <w:spacing w:line="400" w:lineRule="exact"/>
        <w:ind w:left="840" w:leftChars="200" w:hanging="420" w:hangingChars="200"/>
        <w:textAlignment w:val="auto"/>
        <w:rPr>
          <w:rFonts w:hint="eastAsia" w:ascii="宋体" w:hAnsi="宋体" w:cs="宋体"/>
          <w:color w:val="auto"/>
          <w:szCs w:val="21"/>
          <w:highlight w:val="none"/>
        </w:rPr>
      </w:pPr>
      <w:r>
        <w:rPr>
          <w:rFonts w:hint="eastAsia" w:ascii="宋体" w:hAnsi="宋体" w:cs="宋体"/>
          <w:color w:val="auto"/>
          <w:szCs w:val="21"/>
          <w:highlight w:val="none"/>
        </w:rPr>
        <w:t>12.1.1资格证明文件：详见“供应商须知前附表”</w:t>
      </w:r>
    </w:p>
    <w:p w14:paraId="3821BAA4">
      <w:pPr>
        <w:keepNext w:val="0"/>
        <w:keepLines w:val="0"/>
        <w:pageBreakBefore w:val="0"/>
        <w:kinsoku/>
        <w:overflowPunct/>
        <w:topLinePunct w:val="0"/>
        <w:bidi w:val="0"/>
        <w:adjustRightInd/>
        <w:snapToGrid/>
        <w:spacing w:line="400" w:lineRule="exact"/>
        <w:ind w:left="840" w:leftChars="200" w:hanging="420" w:hangingChars="200"/>
        <w:textAlignment w:val="auto"/>
        <w:rPr>
          <w:rFonts w:hint="eastAsia" w:ascii="宋体" w:hAnsi="宋体" w:cs="宋体"/>
          <w:color w:val="auto"/>
          <w:szCs w:val="21"/>
          <w:highlight w:val="none"/>
        </w:rPr>
      </w:pPr>
      <w:r>
        <w:rPr>
          <w:rFonts w:hint="eastAsia" w:ascii="宋体" w:hAnsi="宋体" w:cs="宋体"/>
          <w:color w:val="auto"/>
          <w:szCs w:val="21"/>
          <w:highlight w:val="none"/>
        </w:rPr>
        <w:t>12.1.2报价文件：详见“供应商须知前附表”</w:t>
      </w:r>
    </w:p>
    <w:p w14:paraId="302C31B0">
      <w:pPr>
        <w:keepNext w:val="0"/>
        <w:keepLines w:val="0"/>
        <w:pageBreakBefore w:val="0"/>
        <w:kinsoku/>
        <w:overflowPunct/>
        <w:topLinePunct w:val="0"/>
        <w:bidi w:val="0"/>
        <w:adjustRightInd/>
        <w:snapToGrid/>
        <w:spacing w:line="400" w:lineRule="exact"/>
        <w:ind w:left="840" w:leftChars="200" w:hanging="420" w:hangingChars="200"/>
        <w:textAlignment w:val="auto"/>
        <w:rPr>
          <w:rFonts w:hint="eastAsia" w:ascii="宋体" w:hAnsi="宋体" w:cs="宋体"/>
          <w:color w:val="auto"/>
          <w:szCs w:val="21"/>
          <w:highlight w:val="none"/>
        </w:rPr>
      </w:pPr>
      <w:r>
        <w:rPr>
          <w:rFonts w:hint="eastAsia" w:ascii="宋体" w:hAnsi="宋体" w:cs="宋体"/>
          <w:color w:val="auto"/>
          <w:szCs w:val="21"/>
          <w:highlight w:val="none"/>
        </w:rPr>
        <w:t>12.1.3商务技术文件：详见“供应商须知前附表”</w:t>
      </w:r>
    </w:p>
    <w:p w14:paraId="5FB53F9E">
      <w:pPr>
        <w:keepNext w:val="0"/>
        <w:keepLines w:val="0"/>
        <w:pageBreakBefore w:val="0"/>
        <w:kinsoku/>
        <w:overflowPunct/>
        <w:topLinePunct w:val="0"/>
        <w:bidi w:val="0"/>
        <w:adjustRightInd/>
        <w:snapToGrid/>
        <w:spacing w:line="400" w:lineRule="exact"/>
        <w:ind w:firstLine="482" w:firstLineChars="200"/>
        <w:textAlignment w:val="auto"/>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13.计量单位</w:t>
      </w:r>
    </w:p>
    <w:p w14:paraId="705F41DF">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2FD4373F">
      <w:pPr>
        <w:keepNext w:val="0"/>
        <w:keepLines w:val="0"/>
        <w:pageBreakBefore w:val="0"/>
        <w:kinsoku/>
        <w:overflowPunct/>
        <w:topLinePunct w:val="0"/>
        <w:bidi w:val="0"/>
        <w:adjustRightInd/>
        <w:snapToGrid/>
        <w:spacing w:line="400" w:lineRule="exact"/>
        <w:ind w:firstLine="482" w:firstLineChars="200"/>
        <w:textAlignment w:val="auto"/>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14.竞标的风险</w:t>
      </w:r>
    </w:p>
    <w:p w14:paraId="6E7EABFB">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0620CDD8">
      <w:pPr>
        <w:keepNext w:val="0"/>
        <w:keepLines w:val="0"/>
        <w:pageBreakBefore w:val="0"/>
        <w:kinsoku/>
        <w:overflowPunct/>
        <w:topLinePunct w:val="0"/>
        <w:bidi w:val="0"/>
        <w:adjustRightInd/>
        <w:snapToGrid/>
        <w:spacing w:line="400" w:lineRule="exact"/>
        <w:ind w:firstLine="482" w:firstLineChars="200"/>
        <w:textAlignment w:val="auto"/>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15.竞标报价</w:t>
      </w:r>
    </w:p>
    <w:p w14:paraId="7934FE4A">
      <w:pPr>
        <w:keepNext w:val="0"/>
        <w:keepLines w:val="0"/>
        <w:pageBreakBefore w:val="0"/>
        <w:tabs>
          <w:tab w:val="left" w:pos="2492"/>
        </w:tabs>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15.1竞标报价应按磋商文件中“竞标报价表”格式填写。</w:t>
      </w:r>
    </w:p>
    <w:p w14:paraId="2FB55061">
      <w:pPr>
        <w:keepNext w:val="0"/>
        <w:keepLines w:val="0"/>
        <w:pageBreakBefore w:val="0"/>
        <w:tabs>
          <w:tab w:val="left" w:pos="2492"/>
        </w:tabs>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15.2竞标报价的内容见“供应商须知前附表”。</w:t>
      </w:r>
    </w:p>
    <w:p w14:paraId="72BE2DBF">
      <w:pPr>
        <w:keepNext w:val="0"/>
        <w:keepLines w:val="0"/>
        <w:pageBreakBefore w:val="0"/>
        <w:kinsoku/>
        <w:overflowPunct/>
        <w:topLinePunct w:val="0"/>
        <w:bidi w:val="0"/>
        <w:adjustRightInd/>
        <w:snapToGrid/>
        <w:spacing w:line="400" w:lineRule="exact"/>
        <w:ind w:left="426" w:leftChars="203"/>
        <w:textAlignment w:val="auto"/>
        <w:rPr>
          <w:rFonts w:hint="eastAsia" w:ascii="宋体" w:hAnsi="宋体" w:cs="宋体"/>
          <w:color w:val="auto"/>
          <w:szCs w:val="21"/>
          <w:highlight w:val="none"/>
        </w:rPr>
      </w:pPr>
      <w:r>
        <w:rPr>
          <w:rFonts w:hint="eastAsia" w:ascii="宋体" w:hAnsi="宋体" w:cs="宋体"/>
          <w:color w:val="auto"/>
          <w:szCs w:val="21"/>
          <w:highlight w:val="none"/>
        </w:rPr>
        <w:t>15.3竞标报价要求</w:t>
      </w:r>
    </w:p>
    <w:p w14:paraId="74DC3A6E">
      <w:pPr>
        <w:keepNext w:val="0"/>
        <w:keepLines w:val="0"/>
        <w:pageBreakBefore w:val="0"/>
        <w:kinsoku/>
        <w:overflowPunct/>
        <w:topLinePunct w:val="0"/>
        <w:bidi w:val="0"/>
        <w:adjustRightInd/>
        <w:snapToGrid/>
        <w:spacing w:line="400" w:lineRule="exact"/>
        <w:ind w:firstLine="422" w:firstLineChars="200"/>
        <w:textAlignment w:val="auto"/>
        <w:rPr>
          <w:rFonts w:ascii="宋体" w:hAnsi="宋体" w:cs="宋体"/>
          <w:b/>
          <w:bCs/>
          <w:color w:val="auto"/>
          <w:szCs w:val="21"/>
          <w:highlight w:val="none"/>
        </w:rPr>
      </w:pPr>
      <w:r>
        <w:rPr>
          <w:rFonts w:hint="eastAsia" w:ascii="宋体" w:hAnsi="宋体" w:cs="宋体"/>
          <w:b/>
          <w:bCs/>
          <w:color w:val="auto"/>
          <w:szCs w:val="21"/>
          <w:highlight w:val="none"/>
        </w:rPr>
        <w:t>1</w:t>
      </w:r>
      <w:r>
        <w:rPr>
          <w:rFonts w:ascii="宋体" w:hAnsi="宋体" w:cs="宋体"/>
          <w:b/>
          <w:bCs/>
          <w:color w:val="auto"/>
          <w:szCs w:val="21"/>
          <w:highlight w:val="none"/>
        </w:rPr>
        <w:t>5.3.1</w:t>
      </w:r>
      <w:r>
        <w:rPr>
          <w:rFonts w:hint="eastAsia" w:ascii="宋体" w:hAnsi="宋体" w:cs="宋体"/>
          <w:b/>
          <w:bCs/>
          <w:color w:val="auto"/>
          <w:szCs w:val="21"/>
          <w:highlight w:val="none"/>
        </w:rPr>
        <w:t>供应商的竞标报价应符合以下要求，否则响应文件按无效响应处理：</w:t>
      </w:r>
    </w:p>
    <w:p w14:paraId="651EDAF0">
      <w:pPr>
        <w:keepNext w:val="0"/>
        <w:keepLines w:val="0"/>
        <w:pageBreakBefore w:val="0"/>
        <w:kinsoku/>
        <w:overflowPunct/>
        <w:topLinePunct w:val="0"/>
        <w:bidi w:val="0"/>
        <w:adjustRightInd/>
        <w:snapToGrid/>
        <w:spacing w:line="400" w:lineRule="exact"/>
        <w:ind w:left="420" w:leftChars="200"/>
        <w:textAlignment w:val="auto"/>
        <w:rPr>
          <w:rFonts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w:t>
      </w:r>
    </w:p>
    <w:p w14:paraId="2E4CA0C6">
      <w:pPr>
        <w:keepNext w:val="0"/>
        <w:keepLines w:val="0"/>
        <w:pageBreakBefore w:val="0"/>
        <w:kinsoku/>
        <w:overflowPunct/>
        <w:topLinePunct w:val="0"/>
        <w:bidi w:val="0"/>
        <w:adjustRightInd/>
        <w:snapToGrid/>
        <w:spacing w:line="400" w:lineRule="exact"/>
        <w:textAlignment w:val="auto"/>
        <w:rPr>
          <w:rFonts w:ascii="宋体" w:hAnsi="宋体" w:cs="宋体"/>
          <w:color w:val="auto"/>
          <w:szCs w:val="21"/>
          <w:highlight w:val="none"/>
        </w:rPr>
      </w:pPr>
      <w:r>
        <w:rPr>
          <w:rFonts w:hint="eastAsia" w:ascii="宋体" w:hAnsi="宋体" w:cs="宋体"/>
          <w:color w:val="auto"/>
          <w:szCs w:val="21"/>
          <w:highlight w:val="none"/>
        </w:rPr>
        <w:t>不得存在漏项报价；</w:t>
      </w:r>
    </w:p>
    <w:p w14:paraId="65E28BC5">
      <w:pPr>
        <w:keepNext w:val="0"/>
        <w:keepLines w:val="0"/>
        <w:pageBreakBefore w:val="0"/>
        <w:kinsoku/>
        <w:overflowPunct/>
        <w:topLinePunct w:val="0"/>
        <w:bidi w:val="0"/>
        <w:adjustRightInd/>
        <w:snapToGrid/>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）供应商必须就所竞标的分标的单项内容作唯一报价。</w:t>
      </w:r>
    </w:p>
    <w:p w14:paraId="7C2B57F7">
      <w:pPr>
        <w:keepNext w:val="0"/>
        <w:keepLines w:val="0"/>
        <w:pageBreakBefore w:val="0"/>
        <w:kinsoku/>
        <w:overflowPunct/>
        <w:topLinePunct w:val="0"/>
        <w:bidi w:val="0"/>
        <w:adjustRightInd/>
        <w:snapToGrid/>
        <w:spacing w:line="400" w:lineRule="exact"/>
        <w:ind w:firstLine="422" w:firstLineChars="20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15.3.</w:t>
      </w:r>
      <w:r>
        <w:rPr>
          <w:rFonts w:ascii="宋体" w:hAnsi="宋体" w:cs="宋体"/>
          <w:b/>
          <w:bCs/>
          <w:color w:val="auto"/>
          <w:szCs w:val="21"/>
          <w:highlight w:val="none"/>
        </w:rPr>
        <w:t>2</w:t>
      </w:r>
      <w:r>
        <w:rPr>
          <w:rFonts w:hint="eastAsia" w:ascii="宋体" w:hAnsi="宋体" w:cs="宋体"/>
          <w:b/>
          <w:bCs/>
          <w:color w:val="auto"/>
          <w:szCs w:val="21"/>
          <w:highlight w:val="none"/>
        </w:rPr>
        <w:t>竞标报价（包含首次报价、最后报价）超过所竞标项目规定的采购预算金额或者最高限价的，其响应文件将按无效处理。</w:t>
      </w:r>
    </w:p>
    <w:p w14:paraId="00291919">
      <w:pPr>
        <w:keepNext w:val="0"/>
        <w:keepLines w:val="0"/>
        <w:pageBreakBefore w:val="0"/>
        <w:kinsoku/>
        <w:overflowPunct/>
        <w:topLinePunct w:val="0"/>
        <w:bidi w:val="0"/>
        <w:adjustRightInd/>
        <w:snapToGrid/>
        <w:spacing w:line="400" w:lineRule="exact"/>
        <w:ind w:firstLine="422" w:firstLineChars="20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15.3.</w:t>
      </w:r>
      <w:r>
        <w:rPr>
          <w:rFonts w:ascii="宋体" w:hAnsi="宋体" w:cs="宋体"/>
          <w:b/>
          <w:bCs/>
          <w:color w:val="auto"/>
          <w:szCs w:val="21"/>
          <w:highlight w:val="none"/>
        </w:rPr>
        <w:t>3</w:t>
      </w:r>
      <w:bookmarkStart w:id="73" w:name="_Hlk42592874"/>
      <w:r>
        <w:rPr>
          <w:rFonts w:hint="eastAsia" w:ascii="宋体" w:hAnsi="宋体" w:cs="宋体"/>
          <w:b/>
          <w:bCs/>
          <w:color w:val="auto"/>
          <w:szCs w:val="21"/>
          <w:highlight w:val="none"/>
        </w:rPr>
        <w:t>竞标报价（包含首次报价、最后报价）超过分项标的采购预算金额或者最高限价的，其响应文件将按无效处理。</w:t>
      </w:r>
    </w:p>
    <w:bookmarkEnd w:id="73"/>
    <w:p w14:paraId="7BA6AB57">
      <w:pPr>
        <w:keepNext w:val="0"/>
        <w:keepLines w:val="0"/>
        <w:pageBreakBefore w:val="0"/>
        <w:kinsoku/>
        <w:overflowPunct/>
        <w:topLinePunct w:val="0"/>
        <w:bidi w:val="0"/>
        <w:adjustRightInd/>
        <w:snapToGrid/>
        <w:spacing w:line="400" w:lineRule="exact"/>
        <w:ind w:firstLine="482" w:firstLineChars="200"/>
        <w:textAlignment w:val="auto"/>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16.竞标有效期</w:t>
      </w:r>
    </w:p>
    <w:p w14:paraId="0767B47A">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0A0CA013">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14:paraId="139535C8">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2E944F90">
      <w:pPr>
        <w:keepNext w:val="0"/>
        <w:keepLines w:val="0"/>
        <w:pageBreakBefore w:val="0"/>
        <w:kinsoku/>
        <w:overflowPunct/>
        <w:topLinePunct w:val="0"/>
        <w:bidi w:val="0"/>
        <w:adjustRightInd/>
        <w:snapToGrid/>
        <w:spacing w:line="400" w:lineRule="exact"/>
        <w:ind w:firstLine="482" w:firstLineChars="200"/>
        <w:textAlignment w:val="auto"/>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17.磋商保证金：本项目不收取磋商保证金。</w:t>
      </w:r>
    </w:p>
    <w:p w14:paraId="0A499F5E">
      <w:pPr>
        <w:keepNext w:val="0"/>
        <w:keepLines w:val="0"/>
        <w:pageBreakBefore w:val="0"/>
        <w:kinsoku/>
        <w:overflowPunct/>
        <w:topLinePunct w:val="0"/>
        <w:bidi w:val="0"/>
        <w:adjustRightInd/>
        <w:snapToGrid/>
        <w:spacing w:line="400" w:lineRule="exact"/>
        <w:ind w:firstLine="482" w:firstLineChars="200"/>
        <w:textAlignment w:val="auto"/>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18.响应文件编制的要求</w:t>
      </w:r>
    </w:p>
    <w:p w14:paraId="4629F9E0">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18.1供应商应先安装“</w:t>
      </w:r>
      <w:r>
        <w:rPr>
          <w:rFonts w:hint="eastAsia" w:ascii="宋体" w:hAnsi="宋体"/>
          <w:color w:val="auto"/>
          <w:szCs w:val="21"/>
          <w:highlight w:val="none"/>
        </w:rPr>
        <w:t>广西政府采购云平台</w:t>
      </w:r>
      <w:r>
        <w:rPr>
          <w:rFonts w:hint="eastAsia" w:ascii="宋体" w:hAnsi="宋体" w:cs="宋体"/>
          <w:color w:val="auto"/>
          <w:szCs w:val="21"/>
          <w:highlight w:val="none"/>
        </w:rPr>
        <w:t>电子交易客户端”（请自行前往</w:t>
      </w:r>
      <w:r>
        <w:rPr>
          <w:rFonts w:hint="eastAsia" w:ascii="宋体" w:hAnsi="宋体"/>
          <w:color w:val="auto"/>
          <w:szCs w:val="21"/>
          <w:highlight w:val="none"/>
        </w:rPr>
        <w:t>广西政府采购云平台</w:t>
      </w:r>
      <w:r>
        <w:rPr>
          <w:rFonts w:hint="eastAsia" w:ascii="宋体" w:hAnsi="宋体" w:cs="宋体"/>
          <w:color w:val="auto"/>
          <w:szCs w:val="21"/>
          <w:highlight w:val="none"/>
        </w:rPr>
        <w:t>进行下载），并按照本项目磋商文件规定的格式和顺序和</w:t>
      </w:r>
      <w:r>
        <w:rPr>
          <w:rFonts w:hint="eastAsia" w:ascii="宋体" w:hAnsi="宋体"/>
          <w:color w:val="auto"/>
          <w:szCs w:val="21"/>
          <w:highlight w:val="none"/>
        </w:rPr>
        <w:t>广西政府采购云平台</w:t>
      </w:r>
      <w:r>
        <w:rPr>
          <w:rFonts w:hint="eastAsia" w:ascii="宋体" w:hAnsi="宋体" w:cs="宋体"/>
          <w:color w:val="auto"/>
          <w:szCs w:val="21"/>
          <w:highlight w:val="none"/>
        </w:rPr>
        <w:t>的要求编制并加密。响应文件内容不完整、编排混乱导致响应文件被误读、漏读或者查找不到相关内容的，由此引发的后果由供应商承担。</w:t>
      </w:r>
    </w:p>
    <w:p w14:paraId="254B31B1">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18.2为确保网上操作合法、有效和安全，供应商应当在提交响应文件截止时间前完成在</w:t>
      </w:r>
      <w:r>
        <w:rPr>
          <w:rFonts w:hint="eastAsia" w:ascii="宋体" w:hAnsi="宋体"/>
          <w:color w:val="auto"/>
          <w:szCs w:val="21"/>
          <w:highlight w:val="none"/>
        </w:rPr>
        <w:t>广西政府采购云平台</w:t>
      </w:r>
      <w:r>
        <w:rPr>
          <w:rFonts w:hint="eastAsia" w:ascii="宋体" w:hAnsi="宋体" w:cs="宋体"/>
          <w:color w:val="auto"/>
          <w:szCs w:val="21"/>
          <w:highlight w:val="none"/>
        </w:rPr>
        <w:t>的身份认证，确保在电子竞标过程中能够对相关数据电文进行加密和使用电子签章。</w:t>
      </w:r>
    </w:p>
    <w:p w14:paraId="70E83D80">
      <w:pPr>
        <w:keepNext w:val="0"/>
        <w:keepLines w:val="0"/>
        <w:pageBreakBefore w:val="0"/>
        <w:kinsoku/>
        <w:overflowPunct/>
        <w:topLinePunct w:val="0"/>
        <w:bidi w:val="0"/>
        <w:adjustRightInd/>
        <w:snapToGrid/>
        <w:spacing w:line="400" w:lineRule="exact"/>
        <w:ind w:firstLine="422" w:firstLineChars="20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18.3响应文件须由供应商在规定位置签字、盖章（具体以供应商须知前附表或响应文件格式规定为准），否则按无效响应处理。</w:t>
      </w:r>
    </w:p>
    <w:p w14:paraId="44D795B7">
      <w:pPr>
        <w:keepNext w:val="0"/>
        <w:keepLines w:val="0"/>
        <w:pageBreakBefore w:val="0"/>
        <w:kinsoku/>
        <w:overflowPunct/>
        <w:topLinePunct w:val="0"/>
        <w:bidi w:val="0"/>
        <w:adjustRightInd/>
        <w:snapToGrid/>
        <w:spacing w:line="400" w:lineRule="exact"/>
        <w:ind w:firstLine="422" w:firstLineChars="20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18.4响应文件中标注的供应商名称应与主体资格证明（如营业执照或者事业单位法人证书或者执业许可证或者登记证书等）及公章一致，否则其响应文件按无效响应处理。</w:t>
      </w:r>
    </w:p>
    <w:p w14:paraId="513A1DF7">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264EDD9E">
      <w:pPr>
        <w:keepNext w:val="0"/>
        <w:keepLines w:val="0"/>
        <w:pageBreakBefore w:val="0"/>
        <w:kinsoku/>
        <w:overflowPunct/>
        <w:topLinePunct w:val="0"/>
        <w:bidi w:val="0"/>
        <w:adjustRightInd/>
        <w:snapToGrid/>
        <w:spacing w:line="400" w:lineRule="exact"/>
        <w:ind w:firstLine="482" w:firstLineChars="200"/>
        <w:textAlignment w:val="auto"/>
        <w:rPr>
          <w:rFonts w:hint="eastAsia" w:ascii="黑体" w:hAnsi="黑体" w:eastAsia="黑体"/>
          <w:color w:val="auto"/>
          <w:sz w:val="24"/>
          <w:highlight w:val="none"/>
        </w:rPr>
      </w:pPr>
      <w:r>
        <w:rPr>
          <w:rFonts w:hint="eastAsia" w:ascii="黑体" w:hAnsi="黑体" w:eastAsia="黑体" w:cs="宋体"/>
          <w:b/>
          <w:bCs/>
          <w:color w:val="auto"/>
          <w:sz w:val="24"/>
          <w:highlight w:val="none"/>
        </w:rPr>
        <w:t>19.电子</w:t>
      </w:r>
      <w:r>
        <w:rPr>
          <w:rFonts w:hint="eastAsia" w:ascii="黑体" w:hAnsi="黑体" w:eastAsia="黑体"/>
          <w:b/>
          <w:color w:val="auto"/>
          <w:sz w:val="24"/>
          <w:highlight w:val="none"/>
        </w:rPr>
        <w:t>备份响应文件</w:t>
      </w:r>
    </w:p>
    <w:p w14:paraId="000BECB7">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color w:val="auto"/>
          <w:highlight w:val="none"/>
        </w:rPr>
        <w:t>电子备份响应文件是指通过“</w:t>
      </w:r>
      <w:r>
        <w:rPr>
          <w:rFonts w:hint="eastAsia" w:ascii="宋体" w:hAnsi="宋体"/>
          <w:color w:val="auto"/>
          <w:szCs w:val="21"/>
          <w:highlight w:val="none"/>
        </w:rPr>
        <w:t>广西政府采购云平台</w:t>
      </w:r>
      <w:r>
        <w:rPr>
          <w:rFonts w:hint="eastAsia"/>
          <w:color w:val="auto"/>
          <w:highlight w:val="none"/>
        </w:rPr>
        <w:t>电子竞标客户端”在线编制生成且后缀名为“</w:t>
      </w:r>
      <w:r>
        <w:rPr>
          <w:color w:val="auto"/>
          <w:highlight w:val="none"/>
        </w:rPr>
        <w:t>bfbs</w:t>
      </w:r>
      <w:r>
        <w:rPr>
          <w:rFonts w:hint="eastAsia"/>
          <w:color w:val="auto"/>
          <w:highlight w:val="none"/>
        </w:rPr>
        <w:t>”的文件，是否接受电子备份响应文件</w:t>
      </w:r>
      <w:r>
        <w:rPr>
          <w:rFonts w:hint="eastAsia" w:hAnsi="宋体"/>
          <w:bCs/>
          <w:color w:val="auto"/>
          <w:szCs w:val="21"/>
          <w:highlight w:val="none"/>
        </w:rPr>
        <w:t>详见“供应商须知前附表”。</w:t>
      </w:r>
    </w:p>
    <w:p w14:paraId="156AAA48">
      <w:pPr>
        <w:keepNext w:val="0"/>
        <w:keepLines w:val="0"/>
        <w:pageBreakBefore w:val="0"/>
        <w:kinsoku/>
        <w:overflowPunct/>
        <w:topLinePunct w:val="0"/>
        <w:bidi w:val="0"/>
        <w:adjustRightInd/>
        <w:snapToGrid/>
        <w:spacing w:line="400" w:lineRule="exact"/>
        <w:ind w:firstLine="482" w:firstLineChars="200"/>
        <w:textAlignment w:val="auto"/>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20.响应文件的提交</w:t>
      </w:r>
    </w:p>
    <w:p w14:paraId="3DB5D01E">
      <w:pPr>
        <w:keepNext w:val="0"/>
        <w:keepLines w:val="0"/>
        <w:pageBreakBefore w:val="0"/>
        <w:kinsoku/>
        <w:overflowPunct/>
        <w:topLinePunct w:val="0"/>
        <w:bidi w:val="0"/>
        <w:adjustRightInd/>
        <w:snapToGrid/>
        <w:spacing w:line="400" w:lineRule="exact"/>
        <w:ind w:firstLine="420" w:firstLineChars="200"/>
        <w:textAlignment w:val="auto"/>
        <w:rPr>
          <w:rFonts w:hint="eastAsia" w:hAnsi="宋体"/>
          <w:b/>
          <w:color w:val="auto"/>
          <w:highlight w:val="none"/>
        </w:rPr>
      </w:pPr>
      <w:r>
        <w:rPr>
          <w:rFonts w:hint="eastAsia" w:hAnsi="宋体"/>
          <w:bCs/>
          <w:color w:val="auto"/>
          <w:szCs w:val="21"/>
          <w:highlight w:val="none"/>
        </w:rPr>
        <w:t>20.1供应商必须按“供应商须知前附表”规定的</w:t>
      </w:r>
      <w:r>
        <w:rPr>
          <w:rFonts w:hint="eastAsia" w:ascii="宋体" w:hAnsi="宋体" w:cs="宋体"/>
          <w:color w:val="auto"/>
          <w:szCs w:val="21"/>
          <w:highlight w:val="none"/>
        </w:rPr>
        <w:t>时间</w:t>
      </w:r>
      <w:r>
        <w:rPr>
          <w:rFonts w:hint="eastAsia" w:ascii="宋体" w:hAnsi="宋体"/>
          <w:color w:val="auto"/>
          <w:szCs w:val="21"/>
          <w:highlight w:val="none"/>
        </w:rPr>
        <w:t>及</w:t>
      </w:r>
      <w:r>
        <w:rPr>
          <w:rFonts w:hint="eastAsia" w:hAnsi="宋体"/>
          <w:bCs/>
          <w:color w:val="auto"/>
          <w:szCs w:val="21"/>
          <w:highlight w:val="none"/>
        </w:rPr>
        <w:t>地点提交响应文件。电子响应文件应在制作完成后，</w:t>
      </w:r>
      <w:r>
        <w:rPr>
          <w:rFonts w:hAnsi="宋体"/>
          <w:bCs/>
          <w:color w:val="auto"/>
          <w:szCs w:val="21"/>
          <w:highlight w:val="none"/>
        </w:rPr>
        <w:t>在</w:t>
      </w:r>
      <w:r>
        <w:rPr>
          <w:rFonts w:hint="eastAsia" w:hAnsi="宋体"/>
          <w:bCs/>
          <w:color w:val="auto"/>
          <w:szCs w:val="21"/>
          <w:highlight w:val="none"/>
        </w:rPr>
        <w:t>提交响应文件截止</w:t>
      </w:r>
      <w:r>
        <w:rPr>
          <w:rFonts w:hAnsi="宋体"/>
          <w:bCs/>
          <w:color w:val="auto"/>
          <w:szCs w:val="21"/>
          <w:highlight w:val="none"/>
        </w:rPr>
        <w:t>时间前</w:t>
      </w:r>
      <w:r>
        <w:rPr>
          <w:rFonts w:hint="eastAsia" w:hAnsi="宋体"/>
          <w:bCs/>
          <w:color w:val="auto"/>
          <w:szCs w:val="21"/>
          <w:highlight w:val="none"/>
        </w:rPr>
        <w:t>通过有效数字证书（CA认证锁）进行电子签章、加密，然后通过网络将加密的电子响应文件提交至</w:t>
      </w:r>
      <w:r>
        <w:rPr>
          <w:rFonts w:hint="eastAsia" w:ascii="宋体" w:hAnsi="宋体"/>
          <w:color w:val="auto"/>
          <w:szCs w:val="21"/>
          <w:highlight w:val="none"/>
        </w:rPr>
        <w:t>广西政府采购云平台</w:t>
      </w:r>
      <w:r>
        <w:rPr>
          <w:rFonts w:hint="eastAsia" w:hAnsi="宋体"/>
          <w:bCs/>
          <w:color w:val="auto"/>
          <w:szCs w:val="21"/>
          <w:highlight w:val="none"/>
        </w:rPr>
        <w:t xml:space="preserve">。 </w:t>
      </w:r>
      <w:r>
        <w:rPr>
          <w:rFonts w:hint="eastAsia" w:hAnsi="宋体"/>
          <w:b/>
          <w:color w:val="auto"/>
          <w:highlight w:val="none"/>
        </w:rPr>
        <w:t xml:space="preserve"> </w:t>
      </w:r>
    </w:p>
    <w:p w14:paraId="552D3393">
      <w:pPr>
        <w:keepNext w:val="0"/>
        <w:keepLines w:val="0"/>
        <w:pageBreakBefore w:val="0"/>
        <w:kinsoku/>
        <w:overflowPunct/>
        <w:topLinePunct w:val="0"/>
        <w:bidi w:val="0"/>
        <w:adjustRightInd/>
        <w:snapToGrid/>
        <w:spacing w:line="400" w:lineRule="exact"/>
        <w:ind w:firstLine="422" w:firstLineChars="200"/>
        <w:textAlignment w:val="auto"/>
        <w:rPr>
          <w:rFonts w:hint="eastAsia" w:ascii="宋体" w:hAnsi="宋体" w:cs="宋体"/>
          <w:color w:val="auto"/>
          <w:szCs w:val="21"/>
          <w:highlight w:val="none"/>
        </w:rPr>
      </w:pPr>
      <w:r>
        <w:rPr>
          <w:rFonts w:hint="eastAsia" w:ascii="宋体" w:hAnsi="宋体"/>
          <w:b/>
          <w:color w:val="auto"/>
          <w:szCs w:val="21"/>
          <w:highlight w:val="none"/>
        </w:rPr>
        <w:t>20.</w:t>
      </w:r>
      <w:r>
        <w:rPr>
          <w:rFonts w:ascii="宋体" w:hAnsi="宋体"/>
          <w:b/>
          <w:color w:val="auto"/>
          <w:szCs w:val="21"/>
          <w:highlight w:val="none"/>
        </w:rPr>
        <w:t>2</w:t>
      </w:r>
      <w:r>
        <w:rPr>
          <w:rFonts w:hint="eastAsia" w:ascii="宋体" w:hAnsi="宋体"/>
          <w:b/>
          <w:color w:val="auto"/>
          <w:szCs w:val="21"/>
          <w:highlight w:val="none"/>
        </w:rPr>
        <w:t>未在规定时间内提交或者未按照磋商文件要求加密的电子响应文件，广西政府采购云平台将拒收。</w:t>
      </w:r>
    </w:p>
    <w:p w14:paraId="600BC482">
      <w:pPr>
        <w:keepNext w:val="0"/>
        <w:keepLines w:val="0"/>
        <w:pageBreakBefore w:val="0"/>
        <w:kinsoku/>
        <w:overflowPunct/>
        <w:topLinePunct w:val="0"/>
        <w:bidi w:val="0"/>
        <w:adjustRightInd/>
        <w:snapToGrid/>
        <w:spacing w:line="400" w:lineRule="exact"/>
        <w:ind w:firstLine="482" w:firstLineChars="200"/>
        <w:textAlignment w:val="auto"/>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21.首次响应文件的补充、修改与撤回</w:t>
      </w:r>
    </w:p>
    <w:p w14:paraId="588198D3">
      <w:pPr>
        <w:keepNext w:val="0"/>
        <w:keepLines w:val="0"/>
        <w:pageBreakBefore w:val="0"/>
        <w:kinsoku/>
        <w:overflowPunct/>
        <w:topLinePunct w:val="0"/>
        <w:bidi w:val="0"/>
        <w:adjustRightInd/>
        <w:snapToGrid/>
        <w:spacing w:line="400" w:lineRule="exact"/>
        <w:ind w:firstLine="420"/>
        <w:jc w:val="left"/>
        <w:textAlignment w:val="auto"/>
        <w:rPr>
          <w:rFonts w:hint="eastAsia" w:ascii="宋体" w:hAnsi="宋体"/>
          <w:color w:val="auto"/>
          <w:szCs w:val="21"/>
          <w:highlight w:val="none"/>
        </w:rPr>
      </w:pPr>
      <w:bookmarkStart w:id="74" w:name="_Toc254970543"/>
      <w:bookmarkStart w:id="75" w:name="_Toc254970684"/>
      <w:r>
        <w:rPr>
          <w:rFonts w:ascii="宋体" w:hAnsi="宋体" w:cs="宋体"/>
          <w:color w:val="auto"/>
          <w:szCs w:val="21"/>
          <w:highlight w:val="none"/>
        </w:rPr>
        <w:t>2</w:t>
      </w:r>
      <w:r>
        <w:rPr>
          <w:rFonts w:hint="eastAsia" w:ascii="宋体" w:hAnsi="宋体" w:cs="宋体"/>
          <w:color w:val="auto"/>
          <w:szCs w:val="21"/>
          <w:highlight w:val="none"/>
        </w:rPr>
        <w:t>1.1</w:t>
      </w:r>
      <w:r>
        <w:rPr>
          <w:rFonts w:hint="eastAsia" w:ascii="宋体" w:hAnsi="宋体"/>
          <w:bCs/>
          <w:color w:val="auto"/>
          <w:szCs w:val="21"/>
          <w:highlight w:val="none"/>
        </w:rPr>
        <w:t>供应商应当在</w:t>
      </w:r>
      <w:r>
        <w:rPr>
          <w:rFonts w:hint="eastAsia" w:hAnsi="宋体"/>
          <w:bCs/>
          <w:color w:val="auto"/>
          <w:szCs w:val="21"/>
          <w:highlight w:val="none"/>
        </w:rPr>
        <w:t>提交响应文件截止</w:t>
      </w:r>
      <w:r>
        <w:rPr>
          <w:rFonts w:hAnsi="宋体"/>
          <w:bCs/>
          <w:color w:val="auto"/>
          <w:szCs w:val="21"/>
          <w:highlight w:val="none"/>
        </w:rPr>
        <w:t>时间</w:t>
      </w:r>
      <w:r>
        <w:rPr>
          <w:rFonts w:hint="eastAsia" w:ascii="宋体" w:hAnsi="宋体"/>
          <w:bCs/>
          <w:color w:val="auto"/>
          <w:szCs w:val="21"/>
          <w:highlight w:val="none"/>
        </w:rPr>
        <w:t>前完成电子响应文件的提交（上传），</w:t>
      </w:r>
      <w:r>
        <w:rPr>
          <w:rFonts w:hint="eastAsia" w:hAnsi="宋体"/>
          <w:bCs/>
          <w:color w:val="auto"/>
          <w:szCs w:val="21"/>
          <w:highlight w:val="none"/>
        </w:rPr>
        <w:t>提交响应文件截止</w:t>
      </w:r>
      <w:r>
        <w:rPr>
          <w:rFonts w:hAnsi="宋体"/>
          <w:bCs/>
          <w:color w:val="auto"/>
          <w:szCs w:val="21"/>
          <w:highlight w:val="none"/>
        </w:rPr>
        <w:t>时间</w:t>
      </w:r>
      <w:r>
        <w:rPr>
          <w:rFonts w:hint="eastAsia" w:hAnsi="宋体"/>
          <w:bCs/>
          <w:color w:val="auto"/>
          <w:szCs w:val="21"/>
          <w:highlight w:val="none"/>
        </w:rPr>
        <w:t>前</w:t>
      </w:r>
      <w:r>
        <w:rPr>
          <w:rFonts w:hint="eastAsia" w:ascii="宋体" w:hAnsi="宋体"/>
          <w:bCs/>
          <w:color w:val="auto"/>
          <w:szCs w:val="21"/>
          <w:highlight w:val="none"/>
        </w:rPr>
        <w:t>可以补充、修改或者撤回响应文件。补充或者修改响应文件的，应当先行撤回原响应文件，补充、修改后重新提交（上传），</w:t>
      </w:r>
      <w:r>
        <w:rPr>
          <w:rFonts w:hint="eastAsia" w:hAnsi="宋体"/>
          <w:bCs/>
          <w:color w:val="auto"/>
          <w:szCs w:val="21"/>
          <w:highlight w:val="none"/>
        </w:rPr>
        <w:t>提交响应文件截止</w:t>
      </w:r>
      <w:r>
        <w:rPr>
          <w:rFonts w:hAnsi="宋体"/>
          <w:bCs/>
          <w:color w:val="auto"/>
          <w:szCs w:val="21"/>
          <w:highlight w:val="none"/>
        </w:rPr>
        <w:t>时间</w:t>
      </w:r>
      <w:r>
        <w:rPr>
          <w:rFonts w:hint="eastAsia" w:hAnsi="宋体"/>
          <w:bCs/>
          <w:color w:val="auto"/>
          <w:szCs w:val="21"/>
          <w:highlight w:val="none"/>
        </w:rPr>
        <w:t>前</w:t>
      </w:r>
      <w:r>
        <w:rPr>
          <w:rFonts w:hint="eastAsia" w:ascii="宋体" w:hAnsi="宋体"/>
          <w:bCs/>
          <w:color w:val="auto"/>
          <w:szCs w:val="21"/>
          <w:highlight w:val="none"/>
        </w:rPr>
        <w:t>未完成提交（上传）的，视为撤回响应文件。</w:t>
      </w:r>
      <w:r>
        <w:rPr>
          <w:rFonts w:hint="eastAsia" w:hAnsi="宋体"/>
          <w:bCs/>
          <w:color w:val="auto"/>
          <w:szCs w:val="21"/>
          <w:highlight w:val="none"/>
        </w:rPr>
        <w:t>提交响应文件截止</w:t>
      </w:r>
      <w:r>
        <w:rPr>
          <w:rFonts w:hAnsi="宋体"/>
          <w:bCs/>
          <w:color w:val="auto"/>
          <w:szCs w:val="21"/>
          <w:highlight w:val="none"/>
        </w:rPr>
        <w:t>时间</w:t>
      </w:r>
      <w:r>
        <w:rPr>
          <w:rFonts w:hint="eastAsia" w:ascii="宋体" w:hAnsi="宋体"/>
          <w:bCs/>
          <w:color w:val="auto"/>
          <w:szCs w:val="21"/>
          <w:highlight w:val="none"/>
        </w:rPr>
        <w:t>以后提交（上传）的响应文件，广西政府采购云平台将予以拒收。</w:t>
      </w:r>
      <w:r>
        <w:rPr>
          <w:rFonts w:hint="eastAsia" w:ascii="宋体" w:hAnsi="宋体" w:cs="宋体"/>
          <w:color w:val="auto"/>
          <w:szCs w:val="21"/>
          <w:highlight w:val="none"/>
        </w:rPr>
        <w:t>（补充、修改或者撤回方式可</w:t>
      </w:r>
      <w:r>
        <w:rPr>
          <w:rFonts w:hint="eastAsia" w:ascii="宋体" w:hAnsi="宋体"/>
          <w:color w:val="auto"/>
          <w:szCs w:val="21"/>
          <w:highlight w:val="none"/>
        </w:rPr>
        <w:t>登录</w:t>
      </w:r>
      <w:r>
        <w:rPr>
          <w:rFonts w:hint="eastAsia" w:ascii="宋体" w:hAnsi="宋体" w:cs="宋体"/>
          <w:color w:val="auto"/>
          <w:kern w:val="0"/>
          <w:szCs w:val="21"/>
          <w:highlight w:val="none"/>
        </w:rPr>
        <w:t>广西政府采购云平台，</w:t>
      </w:r>
      <w:r>
        <w:rPr>
          <w:rFonts w:hint="eastAsia" w:ascii="宋体" w:hAnsi="宋体"/>
          <w:color w:val="auto"/>
          <w:szCs w:val="21"/>
          <w:highlight w:val="none"/>
        </w:rPr>
        <w:t>进入“服务中心”中查看</w:t>
      </w:r>
      <w:r>
        <w:rPr>
          <w:rFonts w:hint="eastAsia" w:ascii="宋体" w:hAnsi="宋体" w:cs="宋体"/>
          <w:color w:val="auto"/>
          <w:szCs w:val="21"/>
          <w:highlight w:val="none"/>
        </w:rPr>
        <w:t xml:space="preserve"> “电子</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制作与投送教程”）</w:t>
      </w:r>
    </w:p>
    <w:bookmarkEnd w:id="74"/>
    <w:bookmarkEnd w:id="75"/>
    <w:p w14:paraId="3E0469B5">
      <w:pPr>
        <w:pStyle w:val="67"/>
        <w:keepNext w:val="0"/>
        <w:keepLines w:val="0"/>
        <w:pageBreakBefore w:val="0"/>
        <w:kinsoku/>
        <w:overflowPunct/>
        <w:topLinePunct w:val="0"/>
        <w:bidi w:val="0"/>
        <w:adjustRightInd/>
        <w:snapToGrid/>
        <w:spacing w:before="0" w:line="400" w:lineRule="exact"/>
        <w:ind w:firstLine="420"/>
        <w:textAlignment w:val="auto"/>
        <w:rPr>
          <w:rFonts w:hint="eastAsia" w:ascii="宋体" w:hAnsi="宋体" w:cs="宋体"/>
          <w:color w:val="auto"/>
          <w:sz w:val="21"/>
          <w:szCs w:val="21"/>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1</w:t>
      </w:r>
      <w:r>
        <w:rPr>
          <w:rFonts w:ascii="宋体" w:hAnsi="宋体" w:cs="宋体"/>
          <w:color w:val="auto"/>
          <w:sz w:val="21"/>
          <w:szCs w:val="21"/>
          <w:highlight w:val="none"/>
        </w:rPr>
        <w:t>.</w:t>
      </w:r>
      <w:r>
        <w:rPr>
          <w:rFonts w:hint="eastAsia" w:ascii="宋体" w:hAnsi="宋体" w:cs="宋体"/>
          <w:color w:val="auto"/>
          <w:sz w:val="21"/>
          <w:szCs w:val="21"/>
          <w:highlight w:val="none"/>
        </w:rPr>
        <w:t>2在提交响应文件截止时间前，除供应商补充、修改或者撤回响应文件外，任何单位和个人不得解密或提取响应文件。</w:t>
      </w:r>
    </w:p>
    <w:p w14:paraId="63428098">
      <w:pPr>
        <w:keepNext w:val="0"/>
        <w:keepLines w:val="0"/>
        <w:pageBreakBefore w:val="0"/>
        <w:kinsoku/>
        <w:overflowPunct/>
        <w:topLinePunct w:val="0"/>
        <w:bidi w:val="0"/>
        <w:adjustRightInd/>
        <w:snapToGrid/>
        <w:spacing w:line="400" w:lineRule="exact"/>
        <w:ind w:firstLine="482" w:firstLineChars="200"/>
        <w:textAlignment w:val="auto"/>
        <w:rPr>
          <w:rFonts w:ascii="黑体" w:hAnsi="黑体" w:eastAsia="黑体" w:cs="宋体"/>
          <w:b/>
          <w:bCs/>
          <w:color w:val="auto"/>
          <w:sz w:val="24"/>
          <w:highlight w:val="none"/>
        </w:rPr>
      </w:pPr>
      <w:bookmarkStart w:id="76" w:name="_Hlk45702405"/>
      <w:r>
        <w:rPr>
          <w:rFonts w:hint="eastAsia" w:ascii="黑体" w:hAnsi="黑体" w:eastAsia="黑体" w:cs="宋体"/>
          <w:b/>
          <w:bCs/>
          <w:color w:val="auto"/>
          <w:sz w:val="24"/>
          <w:highlight w:val="none"/>
        </w:rPr>
        <w:t>22.响应文件的退回</w:t>
      </w:r>
    </w:p>
    <w:p w14:paraId="3278B255">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采购人和采购代理机构对已提交的响应文件概不退回。</w:t>
      </w:r>
    </w:p>
    <w:p w14:paraId="504F4AE3">
      <w:pPr>
        <w:keepNext w:val="0"/>
        <w:keepLines w:val="0"/>
        <w:pageBreakBefore w:val="0"/>
        <w:kinsoku/>
        <w:overflowPunct/>
        <w:topLinePunct w:val="0"/>
        <w:bidi w:val="0"/>
        <w:adjustRightInd/>
        <w:snapToGrid/>
        <w:spacing w:line="400" w:lineRule="exact"/>
        <w:ind w:firstLine="482" w:firstLineChars="200"/>
        <w:textAlignment w:val="auto"/>
        <w:rPr>
          <w:rFonts w:ascii="黑体" w:hAnsi="黑体" w:eastAsia="黑体" w:cs="宋体"/>
          <w:b/>
          <w:bCs/>
          <w:color w:val="auto"/>
          <w:sz w:val="24"/>
          <w:highlight w:val="none"/>
        </w:rPr>
      </w:pPr>
      <w:r>
        <w:rPr>
          <w:rFonts w:hint="eastAsia" w:ascii="黑体" w:hAnsi="黑体" w:eastAsia="黑体" w:cs="宋体"/>
          <w:b/>
          <w:bCs/>
          <w:color w:val="auto"/>
          <w:sz w:val="24"/>
          <w:highlight w:val="none"/>
        </w:rPr>
        <w:t>23.截止时间后的撤回</w:t>
      </w:r>
    </w:p>
    <w:p w14:paraId="2B04B5BE">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供应商在响应文件提交截止时间后向采购人、采购代理机构书面申请撤回响应文件的，将不予退还其响应文件。</w:t>
      </w:r>
    </w:p>
    <w:bookmarkEnd w:id="76"/>
    <w:p w14:paraId="7A721A52">
      <w:pPr>
        <w:keepNext w:val="0"/>
        <w:keepLines w:val="0"/>
        <w:pageBreakBefore w:val="0"/>
        <w:kinsoku/>
        <w:overflowPunct/>
        <w:topLinePunct w:val="0"/>
        <w:bidi w:val="0"/>
        <w:adjustRightInd/>
        <w:snapToGrid/>
        <w:spacing w:line="400" w:lineRule="exact"/>
        <w:textAlignment w:val="auto"/>
        <w:rPr>
          <w:rFonts w:hint="eastAsia" w:ascii="宋体" w:hAnsi="宋体"/>
          <w:color w:val="auto"/>
          <w:szCs w:val="21"/>
          <w:highlight w:val="none"/>
        </w:rPr>
      </w:pPr>
    </w:p>
    <w:p w14:paraId="225C4CA9">
      <w:pPr>
        <w:keepNext w:val="0"/>
        <w:keepLines w:val="0"/>
        <w:pageBreakBefore w:val="0"/>
        <w:kinsoku/>
        <w:overflowPunct/>
        <w:topLinePunct w:val="0"/>
        <w:bidi w:val="0"/>
        <w:adjustRightInd/>
        <w:snapToGrid/>
        <w:spacing w:line="400" w:lineRule="exact"/>
        <w:ind w:left="420" w:firstLine="420"/>
        <w:jc w:val="center"/>
        <w:textAlignment w:val="auto"/>
        <w:rPr>
          <w:rFonts w:hint="eastAsia" w:ascii="宋体" w:hAnsi="宋体"/>
          <w:b/>
          <w:bCs/>
          <w:color w:val="auto"/>
          <w:sz w:val="32"/>
          <w:szCs w:val="32"/>
          <w:highlight w:val="none"/>
        </w:rPr>
      </w:pPr>
      <w:r>
        <w:rPr>
          <w:rFonts w:hint="eastAsia" w:ascii="宋体" w:hAnsi="宋体"/>
          <w:b/>
          <w:bCs/>
          <w:color w:val="auto"/>
          <w:sz w:val="32"/>
          <w:szCs w:val="32"/>
          <w:highlight w:val="none"/>
        </w:rPr>
        <w:t>四、评审及磋商</w:t>
      </w:r>
    </w:p>
    <w:p w14:paraId="00A52BD4">
      <w:pPr>
        <w:keepNext w:val="0"/>
        <w:keepLines w:val="0"/>
        <w:pageBreakBefore w:val="0"/>
        <w:kinsoku/>
        <w:overflowPunct/>
        <w:topLinePunct w:val="0"/>
        <w:bidi w:val="0"/>
        <w:adjustRightInd/>
        <w:snapToGrid/>
        <w:spacing w:line="400" w:lineRule="exact"/>
        <w:ind w:left="420" w:firstLine="420"/>
        <w:textAlignment w:val="auto"/>
        <w:rPr>
          <w:rFonts w:hint="eastAsia" w:ascii="宋体" w:hAnsi="宋体"/>
          <w:color w:val="auto"/>
          <w:szCs w:val="21"/>
          <w:highlight w:val="none"/>
        </w:rPr>
      </w:pPr>
    </w:p>
    <w:p w14:paraId="2F378373">
      <w:pPr>
        <w:keepNext w:val="0"/>
        <w:keepLines w:val="0"/>
        <w:pageBreakBefore w:val="0"/>
        <w:kinsoku/>
        <w:overflowPunct/>
        <w:topLinePunct w:val="0"/>
        <w:bidi w:val="0"/>
        <w:adjustRightInd/>
        <w:snapToGrid/>
        <w:spacing w:line="400" w:lineRule="exact"/>
        <w:ind w:firstLine="482" w:firstLineChars="200"/>
        <w:textAlignment w:val="auto"/>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24.磋商小组成立</w:t>
      </w:r>
    </w:p>
    <w:p w14:paraId="3F2D54B9">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735CF8A6">
      <w:pPr>
        <w:keepNext w:val="0"/>
        <w:keepLines w:val="0"/>
        <w:pageBreakBefore w:val="0"/>
        <w:kinsoku/>
        <w:overflowPunct/>
        <w:topLinePunct w:val="0"/>
        <w:bidi w:val="0"/>
        <w:adjustRightInd/>
        <w:snapToGrid/>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19257856">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24.3</w:t>
      </w:r>
      <w:r>
        <w:rPr>
          <w:rFonts w:hint="eastAsia" w:hAnsi="宋体"/>
          <w:bCs/>
          <w:color w:val="auto"/>
          <w:szCs w:val="21"/>
          <w:highlight w:val="none"/>
        </w:rPr>
        <w:t>采购代理机构</w:t>
      </w:r>
      <w:r>
        <w:rPr>
          <w:rFonts w:hint="eastAsia" w:hAnsi="宋体"/>
          <w:bCs/>
          <w:color w:val="auto"/>
          <w:highlight w:val="none"/>
        </w:rPr>
        <w:t>应当</w:t>
      </w:r>
      <w:r>
        <w:rPr>
          <w:rFonts w:hint="eastAsia" w:hAnsi="宋体"/>
          <w:bCs/>
          <w:color w:val="auto"/>
          <w:szCs w:val="21"/>
          <w:highlight w:val="none"/>
        </w:rPr>
        <w:t>基于广西政府采购云平台</w:t>
      </w:r>
      <w:r>
        <w:rPr>
          <w:rFonts w:hint="eastAsia" w:hAnsi="宋体"/>
          <w:bCs/>
          <w:color w:val="auto"/>
          <w:highlight w:val="none"/>
        </w:rPr>
        <w:t>抽（选）取</w:t>
      </w:r>
      <w:r>
        <w:rPr>
          <w:rFonts w:hint="eastAsia" w:hAnsi="宋体"/>
          <w:bCs/>
          <w:color w:val="auto"/>
          <w:szCs w:val="21"/>
          <w:highlight w:val="none"/>
        </w:rPr>
        <w:t>评审专家。</w:t>
      </w:r>
    </w:p>
    <w:p w14:paraId="0C38CF98">
      <w:pPr>
        <w:keepNext w:val="0"/>
        <w:keepLines w:val="0"/>
        <w:pageBreakBefore w:val="0"/>
        <w:kinsoku/>
        <w:overflowPunct/>
        <w:topLinePunct w:val="0"/>
        <w:bidi w:val="0"/>
        <w:adjustRightInd/>
        <w:snapToGrid/>
        <w:spacing w:line="400" w:lineRule="exact"/>
        <w:ind w:firstLine="482" w:firstLineChars="200"/>
        <w:textAlignment w:val="auto"/>
        <w:rPr>
          <w:rFonts w:ascii="黑体" w:hAnsi="黑体" w:eastAsia="黑体" w:cs="宋体"/>
          <w:b/>
          <w:bCs/>
          <w:color w:val="auto"/>
          <w:sz w:val="24"/>
          <w:highlight w:val="none"/>
        </w:rPr>
      </w:pPr>
      <w:r>
        <w:rPr>
          <w:rFonts w:ascii="黑体" w:hAnsi="黑体" w:eastAsia="黑体" w:cs="宋体"/>
          <w:b/>
          <w:bCs/>
          <w:color w:val="auto"/>
          <w:sz w:val="24"/>
          <w:highlight w:val="none"/>
        </w:rPr>
        <w:t>25.</w:t>
      </w:r>
      <w:r>
        <w:rPr>
          <w:rFonts w:hint="eastAsia" w:ascii="黑体" w:hAnsi="黑体" w:eastAsia="黑体" w:cs="宋体"/>
          <w:b/>
          <w:bCs/>
          <w:color w:val="auto"/>
          <w:sz w:val="24"/>
          <w:highlight w:val="none"/>
        </w:rPr>
        <w:t>首次响应文件的开启和解密</w:t>
      </w:r>
    </w:p>
    <w:p w14:paraId="2553F6D9">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hAnsi="宋体"/>
          <w:bCs/>
          <w:color w:val="auto"/>
          <w:highlight w:val="none"/>
        </w:rPr>
        <w:t>采购代理机构将在“供应商须知前附表”规定的时</w:t>
      </w:r>
      <w:r>
        <w:rPr>
          <w:rFonts w:hint="eastAsia" w:hAnsi="宋体"/>
          <w:color w:val="auto"/>
          <w:highlight w:val="none"/>
        </w:rPr>
        <w:t>间通过电子交易平台组织响应文件开启，供应商的法定代表人或其委托代理人须携带加密时所用的CA锁，按平台提示和磋商文件的规定登录到</w:t>
      </w:r>
      <w:r>
        <w:rPr>
          <w:rFonts w:hint="eastAsia" w:ascii="宋体" w:hAnsi="宋体"/>
          <w:color w:val="auto"/>
          <w:szCs w:val="21"/>
          <w:highlight w:val="none"/>
        </w:rPr>
        <w:t>广西政府采购云平台</w:t>
      </w:r>
      <w:r>
        <w:rPr>
          <w:rFonts w:hint="eastAsia" w:hAnsi="宋体"/>
          <w:color w:val="auto"/>
          <w:highlight w:val="none"/>
        </w:rPr>
        <w:t>电子开标大厅签到，</w:t>
      </w:r>
      <w:r>
        <w:rPr>
          <w:rFonts w:hint="eastAsia"/>
          <w:color w:val="auto"/>
          <w:highlight w:val="none"/>
        </w:rPr>
        <w:t>采购代理机构依托</w:t>
      </w:r>
      <w:r>
        <w:rPr>
          <w:rFonts w:hint="eastAsia" w:ascii="宋体" w:hAnsi="宋体"/>
          <w:color w:val="auto"/>
          <w:szCs w:val="21"/>
          <w:highlight w:val="none"/>
        </w:rPr>
        <w:t>广西政府采购云平台</w:t>
      </w:r>
      <w:r>
        <w:rPr>
          <w:rFonts w:hint="eastAsia"/>
          <w:color w:val="auto"/>
          <w:highlight w:val="none"/>
        </w:rPr>
        <w:t>向各供应商发出电子加密响应文件【开始解密】通知，由供应商按</w:t>
      </w:r>
      <w:r>
        <w:rPr>
          <w:rFonts w:hint="eastAsia" w:hAnsi="宋体"/>
          <w:bCs/>
          <w:color w:val="auto"/>
          <w:szCs w:val="21"/>
          <w:highlight w:val="none"/>
        </w:rPr>
        <w:t>“供应商须知前附表”</w:t>
      </w:r>
      <w:r>
        <w:rPr>
          <w:rFonts w:hint="eastAsia"/>
          <w:color w:val="auto"/>
          <w:highlight w:val="none"/>
        </w:rPr>
        <w:t>规定的时间内自行进行响应文件解密</w:t>
      </w:r>
      <w:r>
        <w:rPr>
          <w:rFonts w:hint="eastAsia" w:hAnsi="宋体"/>
          <w:color w:val="auto"/>
          <w:highlight w:val="none"/>
        </w:rPr>
        <w:t>。</w:t>
      </w:r>
      <w:r>
        <w:rPr>
          <w:rFonts w:hint="eastAsia"/>
          <w:b/>
          <w:color w:val="auto"/>
          <w:highlight w:val="none"/>
        </w:rPr>
        <w:t>供应商未在</w:t>
      </w:r>
      <w:r>
        <w:rPr>
          <w:b/>
          <w:color w:val="auto"/>
          <w:highlight w:val="none"/>
        </w:rPr>
        <w:t>规定的时间内解密</w:t>
      </w:r>
      <w:r>
        <w:rPr>
          <w:rFonts w:hint="eastAsia"/>
          <w:b/>
          <w:color w:val="auto"/>
          <w:highlight w:val="none"/>
        </w:rPr>
        <w:t>响应文件</w:t>
      </w:r>
      <w:r>
        <w:rPr>
          <w:b/>
          <w:color w:val="auto"/>
          <w:highlight w:val="none"/>
        </w:rPr>
        <w:t>或</w:t>
      </w:r>
      <w:r>
        <w:rPr>
          <w:rFonts w:hint="eastAsia"/>
          <w:b/>
          <w:color w:val="auto"/>
          <w:highlight w:val="none"/>
        </w:rPr>
        <w:t>者</w:t>
      </w:r>
      <w:r>
        <w:rPr>
          <w:b/>
          <w:color w:val="auto"/>
          <w:highlight w:val="none"/>
        </w:rPr>
        <w:t>解密失败的</w:t>
      </w:r>
      <w:r>
        <w:rPr>
          <w:rFonts w:hint="eastAsia"/>
          <w:b/>
          <w:color w:val="auto"/>
          <w:highlight w:val="none"/>
        </w:rPr>
        <w:t>，供应商</w:t>
      </w:r>
      <w:r>
        <w:rPr>
          <w:rFonts w:hint="eastAsia" w:ascii="宋体" w:hAnsi="宋体"/>
          <w:b/>
          <w:color w:val="auto"/>
          <w:szCs w:val="21"/>
          <w:highlight w:val="none"/>
        </w:rPr>
        <w:t>的响应文件作无效处理</w:t>
      </w:r>
      <w:r>
        <w:rPr>
          <w:b/>
          <w:color w:val="auto"/>
          <w:highlight w:val="none"/>
        </w:rPr>
        <w:t>。</w:t>
      </w:r>
    </w:p>
    <w:p w14:paraId="1F7DDBD8">
      <w:pPr>
        <w:keepNext w:val="0"/>
        <w:keepLines w:val="0"/>
        <w:pageBreakBefore w:val="0"/>
        <w:kinsoku/>
        <w:overflowPunct/>
        <w:topLinePunct w:val="0"/>
        <w:bidi w:val="0"/>
        <w:adjustRightInd/>
        <w:snapToGrid/>
        <w:spacing w:line="400" w:lineRule="exact"/>
        <w:ind w:firstLine="482" w:firstLineChars="200"/>
        <w:textAlignment w:val="auto"/>
        <w:rPr>
          <w:rFonts w:hint="eastAsia" w:ascii="黑体" w:hAnsi="黑体" w:eastAsia="黑体" w:cs="宋体"/>
          <w:b/>
          <w:bCs/>
          <w:color w:val="auto"/>
          <w:sz w:val="24"/>
          <w:highlight w:val="none"/>
        </w:rPr>
      </w:pPr>
      <w:r>
        <w:rPr>
          <w:rFonts w:ascii="黑体" w:hAnsi="黑体" w:eastAsia="黑体" w:cs="宋体"/>
          <w:b/>
          <w:bCs/>
          <w:color w:val="auto"/>
          <w:sz w:val="24"/>
          <w:highlight w:val="none"/>
        </w:rPr>
        <w:t>26</w:t>
      </w:r>
      <w:r>
        <w:rPr>
          <w:rFonts w:hint="eastAsia" w:ascii="黑体" w:hAnsi="黑体" w:eastAsia="黑体" w:cs="宋体"/>
          <w:b/>
          <w:bCs/>
          <w:color w:val="auto"/>
          <w:sz w:val="24"/>
          <w:highlight w:val="none"/>
        </w:rPr>
        <w:t>.评审程序、评审方法和评审标准</w:t>
      </w:r>
    </w:p>
    <w:p w14:paraId="63BC9E13">
      <w:pPr>
        <w:keepNext w:val="0"/>
        <w:keepLines w:val="0"/>
        <w:pageBreakBefore w:val="0"/>
        <w:kinsoku/>
        <w:overflowPunct/>
        <w:topLinePunct w:val="0"/>
        <w:bidi w:val="0"/>
        <w:adjustRightInd/>
        <w:snapToGrid/>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6</w:t>
      </w:r>
      <w:r>
        <w:rPr>
          <w:rFonts w:hint="eastAsia" w:ascii="宋体" w:hAnsi="宋体" w:cs="宋体"/>
          <w:color w:val="auto"/>
          <w:szCs w:val="21"/>
          <w:highlight w:val="none"/>
        </w:rPr>
        <w:t>.1本项目的评审方法为综合评分法。</w:t>
      </w:r>
    </w:p>
    <w:p w14:paraId="21EF0E3D">
      <w:pPr>
        <w:keepNext w:val="0"/>
        <w:keepLines w:val="0"/>
        <w:pageBreakBefore w:val="0"/>
        <w:kinsoku/>
        <w:overflowPunct/>
        <w:topLinePunct w:val="0"/>
        <w:bidi w:val="0"/>
        <w:adjustRightInd/>
        <w:snapToGrid/>
        <w:spacing w:line="400" w:lineRule="exact"/>
        <w:ind w:firstLine="420" w:firstLineChars="200"/>
        <w:textAlignment w:val="auto"/>
        <w:rPr>
          <w:rFonts w:ascii="宋体" w:hAnsi="宋体" w:cs="宋体"/>
          <w:color w:val="auto"/>
          <w:szCs w:val="21"/>
          <w:highlight w:val="none"/>
        </w:rPr>
      </w:pPr>
      <w:r>
        <w:rPr>
          <w:rFonts w:ascii="宋体" w:hAnsi="宋体" w:cs="宋体"/>
          <w:color w:val="auto"/>
          <w:szCs w:val="21"/>
          <w:highlight w:val="none"/>
        </w:rPr>
        <w:t>26.2</w:t>
      </w:r>
      <w:r>
        <w:rPr>
          <w:rFonts w:hint="eastAsia" w:ascii="宋体" w:hAnsi="宋体" w:cs="宋体"/>
          <w:color w:val="auto"/>
          <w:szCs w:val="21"/>
          <w:highlight w:val="none"/>
        </w:rPr>
        <w:t>磋商小组</w:t>
      </w:r>
      <w:r>
        <w:rPr>
          <w:rFonts w:ascii="宋体" w:hAnsi="宋体" w:cs="宋体"/>
          <w:color w:val="auto"/>
          <w:szCs w:val="21"/>
          <w:highlight w:val="none"/>
        </w:rPr>
        <w:t>按照</w:t>
      </w:r>
      <w:r>
        <w:rPr>
          <w:rFonts w:hint="eastAsia" w:ascii="宋体" w:hAnsi="宋体" w:cs="宋体"/>
          <w:color w:val="auto"/>
          <w:szCs w:val="21"/>
          <w:highlight w:val="none"/>
        </w:rPr>
        <w:t>“第四章 评审程序、评审方法和评审标准”</w:t>
      </w:r>
      <w:r>
        <w:rPr>
          <w:rFonts w:ascii="宋体" w:hAnsi="宋体" w:cs="宋体"/>
          <w:color w:val="auto"/>
          <w:szCs w:val="21"/>
          <w:highlight w:val="none"/>
        </w:rPr>
        <w:t>规定的方法、评审因素、标准和程序对</w:t>
      </w:r>
      <w:r>
        <w:rPr>
          <w:rFonts w:hint="eastAsia" w:ascii="宋体" w:hAnsi="宋体" w:cs="宋体"/>
          <w:color w:val="auto"/>
          <w:szCs w:val="21"/>
          <w:highlight w:val="none"/>
        </w:rPr>
        <w:t>响应</w:t>
      </w:r>
      <w:r>
        <w:rPr>
          <w:rFonts w:ascii="宋体" w:hAnsi="宋体" w:cs="宋体"/>
          <w:color w:val="auto"/>
          <w:szCs w:val="21"/>
          <w:highlight w:val="none"/>
        </w:rPr>
        <w:t>文件进行评审。</w:t>
      </w:r>
    </w:p>
    <w:p w14:paraId="4EC5C7D0">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 xml:space="preserve">6.3 </w:t>
      </w:r>
      <w:r>
        <w:rPr>
          <w:rFonts w:hint="eastAsia" w:ascii="宋体" w:hAnsi="宋体"/>
          <w:color w:val="auto"/>
          <w:szCs w:val="21"/>
          <w:highlight w:val="none"/>
        </w:rPr>
        <w:t>商务/技术要求允许负偏离的条款数详见“供应商须知前附表”。</w:t>
      </w:r>
    </w:p>
    <w:p w14:paraId="43C60D38">
      <w:pPr>
        <w:keepNext w:val="0"/>
        <w:keepLines w:val="0"/>
        <w:pageBreakBefore w:val="0"/>
        <w:kinsoku/>
        <w:overflowPunct/>
        <w:topLinePunct w:val="0"/>
        <w:bidi w:val="0"/>
        <w:adjustRightInd/>
        <w:snapToGrid/>
        <w:spacing w:line="400" w:lineRule="exact"/>
        <w:ind w:firstLine="420" w:firstLineChars="200"/>
        <w:textAlignment w:val="auto"/>
        <w:rPr>
          <w:rFonts w:ascii="宋体" w:hAnsi="宋体"/>
          <w:color w:val="auto"/>
          <w:szCs w:val="21"/>
          <w:highlight w:val="none"/>
        </w:rPr>
      </w:pPr>
      <w:r>
        <w:rPr>
          <w:rFonts w:hint="eastAsia" w:ascii="宋体" w:hAnsi="宋体" w:cs="宋体"/>
          <w:color w:val="auto"/>
          <w:highlight w:val="none"/>
        </w:rPr>
        <w:t>26.</w:t>
      </w:r>
      <w:r>
        <w:rPr>
          <w:rFonts w:ascii="宋体" w:hAnsi="宋体" w:cs="宋体"/>
          <w:color w:val="auto"/>
          <w:highlight w:val="none"/>
        </w:rPr>
        <w:t>4</w:t>
      </w:r>
      <w:r>
        <w:rPr>
          <w:rFonts w:hint="eastAsia" w:ascii="宋体" w:hAnsi="宋体" w:cs="宋体"/>
          <w:color w:val="auto"/>
          <w:highlight w:val="none"/>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68FFCA17">
      <w:pPr>
        <w:keepNext w:val="0"/>
        <w:keepLines w:val="0"/>
        <w:pageBreakBefore w:val="0"/>
        <w:kinsoku/>
        <w:overflowPunct/>
        <w:topLinePunct w:val="0"/>
        <w:bidi w:val="0"/>
        <w:adjustRightInd/>
        <w:snapToGrid/>
        <w:spacing w:line="400" w:lineRule="exact"/>
        <w:ind w:firstLine="420" w:firstLineChars="200"/>
        <w:textAlignment w:val="auto"/>
        <w:rPr>
          <w:rFonts w:hint="eastAsia" w:hAnsi="宋体"/>
          <w:color w:val="auto"/>
          <w:highlight w:val="none"/>
        </w:rPr>
      </w:pPr>
      <w:r>
        <w:rPr>
          <w:rFonts w:hint="eastAsia" w:ascii="宋体" w:hAnsi="宋体" w:cs="宋体"/>
          <w:color w:val="auto"/>
          <w:highlight w:val="none"/>
        </w:rPr>
        <w:t>2</w:t>
      </w:r>
      <w:r>
        <w:rPr>
          <w:rFonts w:ascii="宋体" w:hAnsi="宋体" w:cs="宋体"/>
          <w:color w:val="auto"/>
          <w:highlight w:val="none"/>
        </w:rPr>
        <w:t>6.5</w:t>
      </w:r>
      <w:r>
        <w:rPr>
          <w:rFonts w:hint="eastAsia" w:hAnsi="宋体"/>
          <w:color w:val="auto"/>
          <w:highlight w:val="none"/>
        </w:rPr>
        <w:t>电子交易活动的中止。采购过程中出现以下情形，导致电子交易平台无法正常运行，或者无法保证电子交易的公平、公正和安全时，采购机构可中止电子交易活动：</w:t>
      </w:r>
    </w:p>
    <w:p w14:paraId="34FC00E0">
      <w:pPr>
        <w:keepNext w:val="0"/>
        <w:keepLines w:val="0"/>
        <w:pageBreakBefore w:val="0"/>
        <w:kinsoku/>
        <w:overflowPunct/>
        <w:topLinePunct w:val="0"/>
        <w:bidi w:val="0"/>
        <w:adjustRightInd/>
        <w:snapToGrid/>
        <w:spacing w:line="400" w:lineRule="exact"/>
        <w:ind w:firstLine="420" w:firstLineChars="200"/>
        <w:textAlignment w:val="auto"/>
        <w:rPr>
          <w:rFonts w:hint="eastAsia" w:hAnsi="宋体"/>
          <w:color w:val="auto"/>
          <w:highlight w:val="none"/>
        </w:rPr>
      </w:pPr>
      <w:r>
        <w:rPr>
          <w:rFonts w:hint="eastAsia" w:hAnsi="宋体"/>
          <w:color w:val="auto"/>
          <w:highlight w:val="none"/>
        </w:rPr>
        <w:t xml:space="preserve">（1）电子交易平台发生故障而无法登录访问的； </w:t>
      </w:r>
    </w:p>
    <w:p w14:paraId="0349F285">
      <w:pPr>
        <w:keepNext w:val="0"/>
        <w:keepLines w:val="0"/>
        <w:pageBreakBefore w:val="0"/>
        <w:kinsoku/>
        <w:overflowPunct/>
        <w:topLinePunct w:val="0"/>
        <w:bidi w:val="0"/>
        <w:adjustRightInd/>
        <w:snapToGrid/>
        <w:spacing w:line="400" w:lineRule="exact"/>
        <w:ind w:firstLine="420" w:firstLineChars="200"/>
        <w:textAlignment w:val="auto"/>
        <w:rPr>
          <w:rFonts w:hint="eastAsia" w:hAnsi="宋体"/>
          <w:color w:val="auto"/>
          <w:highlight w:val="none"/>
        </w:rPr>
      </w:pPr>
      <w:r>
        <w:rPr>
          <w:rFonts w:hint="eastAsia" w:hAnsi="宋体"/>
          <w:color w:val="auto"/>
          <w:highlight w:val="none"/>
        </w:rPr>
        <w:t>（2）电子交易平台应用或数据库出现错误，不能进行正常操作的；</w:t>
      </w:r>
    </w:p>
    <w:p w14:paraId="56B61EF3">
      <w:pPr>
        <w:keepNext w:val="0"/>
        <w:keepLines w:val="0"/>
        <w:pageBreakBefore w:val="0"/>
        <w:kinsoku/>
        <w:overflowPunct/>
        <w:topLinePunct w:val="0"/>
        <w:bidi w:val="0"/>
        <w:adjustRightInd/>
        <w:snapToGrid/>
        <w:spacing w:line="400" w:lineRule="exact"/>
        <w:ind w:firstLine="420" w:firstLineChars="200"/>
        <w:textAlignment w:val="auto"/>
        <w:rPr>
          <w:rFonts w:hint="eastAsia" w:hAnsi="宋体"/>
          <w:color w:val="auto"/>
          <w:highlight w:val="none"/>
        </w:rPr>
      </w:pPr>
      <w:r>
        <w:rPr>
          <w:rFonts w:hint="eastAsia" w:hAnsi="宋体"/>
          <w:color w:val="auto"/>
          <w:highlight w:val="none"/>
        </w:rPr>
        <w:t>（3）电子交易平台发现严重安全漏洞，有潜在泄密危险的；</w:t>
      </w:r>
    </w:p>
    <w:p w14:paraId="61A973CE">
      <w:pPr>
        <w:keepNext w:val="0"/>
        <w:keepLines w:val="0"/>
        <w:pageBreakBefore w:val="0"/>
        <w:kinsoku/>
        <w:overflowPunct/>
        <w:topLinePunct w:val="0"/>
        <w:bidi w:val="0"/>
        <w:adjustRightInd/>
        <w:snapToGrid/>
        <w:spacing w:line="400" w:lineRule="exact"/>
        <w:ind w:firstLine="420" w:firstLineChars="200"/>
        <w:textAlignment w:val="auto"/>
        <w:rPr>
          <w:rFonts w:hint="eastAsia" w:hAnsi="宋体"/>
          <w:color w:val="auto"/>
          <w:highlight w:val="none"/>
        </w:rPr>
      </w:pPr>
      <w:r>
        <w:rPr>
          <w:rFonts w:hint="eastAsia" w:hAnsi="宋体"/>
          <w:color w:val="auto"/>
          <w:highlight w:val="none"/>
        </w:rPr>
        <w:t xml:space="preserve">（4）病毒发作导致不能进行正常操作的； </w:t>
      </w:r>
    </w:p>
    <w:p w14:paraId="36B60686">
      <w:pPr>
        <w:keepNext w:val="0"/>
        <w:keepLines w:val="0"/>
        <w:pageBreakBefore w:val="0"/>
        <w:kinsoku/>
        <w:overflowPunct/>
        <w:topLinePunct w:val="0"/>
        <w:bidi w:val="0"/>
        <w:adjustRightInd/>
        <w:snapToGrid/>
        <w:spacing w:line="400" w:lineRule="exact"/>
        <w:ind w:firstLine="420" w:firstLineChars="200"/>
        <w:textAlignment w:val="auto"/>
        <w:rPr>
          <w:rFonts w:hint="eastAsia" w:hAnsi="宋体"/>
          <w:color w:val="auto"/>
          <w:highlight w:val="none"/>
        </w:rPr>
      </w:pPr>
      <w:r>
        <w:rPr>
          <w:rFonts w:hint="eastAsia" w:hAnsi="宋体"/>
          <w:color w:val="auto"/>
          <w:highlight w:val="none"/>
        </w:rPr>
        <w:t>（5）其他无法保证电子交易的公平、公正和安全的情况。</w:t>
      </w:r>
    </w:p>
    <w:p w14:paraId="68FE301E">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olor w:val="auto"/>
          <w:highlight w:val="none"/>
        </w:rPr>
        <w:t>26.</w:t>
      </w:r>
      <w:r>
        <w:rPr>
          <w:rFonts w:ascii="宋体" w:hAnsi="宋体"/>
          <w:color w:val="auto"/>
          <w:highlight w:val="none"/>
        </w:rPr>
        <w:t>6</w:t>
      </w:r>
      <w:r>
        <w:rPr>
          <w:rFonts w:hint="eastAsia" w:hAnsi="宋体"/>
          <w:color w:val="auto"/>
          <w:highlight w:val="none"/>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54008BF8">
      <w:pPr>
        <w:keepNext w:val="0"/>
        <w:keepLines w:val="0"/>
        <w:pageBreakBefore w:val="0"/>
        <w:kinsoku/>
        <w:overflowPunct/>
        <w:topLinePunct w:val="0"/>
        <w:bidi w:val="0"/>
        <w:adjustRightInd/>
        <w:snapToGrid/>
        <w:spacing w:line="400" w:lineRule="exact"/>
        <w:ind w:firstLine="482" w:firstLineChars="200"/>
        <w:textAlignment w:val="auto"/>
        <w:rPr>
          <w:rFonts w:hint="eastAsia" w:ascii="黑体" w:hAnsi="黑体" w:eastAsia="黑体" w:cs="宋体"/>
          <w:b/>
          <w:bCs/>
          <w:color w:val="auto"/>
          <w:sz w:val="24"/>
          <w:highlight w:val="none"/>
        </w:rPr>
      </w:pPr>
      <w:r>
        <w:rPr>
          <w:rFonts w:ascii="黑体" w:hAnsi="黑体" w:eastAsia="黑体" w:cs="宋体"/>
          <w:b/>
          <w:bCs/>
          <w:color w:val="auto"/>
          <w:sz w:val="24"/>
          <w:highlight w:val="none"/>
        </w:rPr>
        <w:t>27</w:t>
      </w:r>
      <w:r>
        <w:rPr>
          <w:rFonts w:hint="eastAsia" w:ascii="黑体" w:hAnsi="黑体" w:eastAsia="黑体" w:cs="宋体"/>
          <w:b/>
          <w:bCs/>
          <w:color w:val="auto"/>
          <w:sz w:val="24"/>
          <w:highlight w:val="none"/>
        </w:rPr>
        <w:t>.确定成交供应商及结果公告</w:t>
      </w:r>
    </w:p>
    <w:p w14:paraId="62E4AA80">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.1</w:t>
      </w:r>
      <w:r>
        <w:rPr>
          <w:rFonts w:hint="eastAsia" w:ascii="宋体" w:hAnsi="宋体" w:cs="宋体"/>
          <w:color w:val="auto"/>
          <w:kern w:val="0"/>
          <w:szCs w:val="21"/>
          <w:highlight w:val="none"/>
        </w:rPr>
        <w:t xml:space="preserve"> </w:t>
      </w:r>
      <w:r>
        <w:rPr>
          <w:rFonts w:hint="eastAsia" w:ascii="宋体" w:hAnsi="宋体" w:cs="宋体"/>
          <w:color w:val="auto"/>
          <w:szCs w:val="21"/>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6CC83FDD">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Courier New"/>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.2采购代理机构应当在</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77" w:name="_Hlk66782294"/>
      <w:r>
        <w:rPr>
          <w:rFonts w:hint="eastAsia" w:ascii="宋体" w:hAnsi="宋体" w:cs="Courier New"/>
          <w:color w:val="auto"/>
          <w:szCs w:val="21"/>
          <w:highlight w:val="none"/>
        </w:rPr>
        <w:t>成交供应商享受</w:t>
      </w:r>
      <w:r>
        <w:rPr>
          <w:rFonts w:hint="eastAsia" w:ascii="宋体" w:hAnsi="宋体"/>
          <w:color w:val="auto"/>
          <w:szCs w:val="21"/>
          <w:highlight w:val="none"/>
        </w:rPr>
        <w:t>《政府采购促进中小企业发展管理办法》（财库〔2020〕46号）规定的中小企业扶持</w:t>
      </w:r>
      <w:r>
        <w:rPr>
          <w:rFonts w:hint="eastAsia" w:ascii="宋体" w:hAnsi="宋体" w:cs="Courier New"/>
          <w:color w:val="auto"/>
          <w:szCs w:val="21"/>
          <w:highlight w:val="none"/>
        </w:rPr>
        <w:t>政策的，采购人、采购代理机构应当随成交结果公开成交供应商的《中小企业声明函》。</w:t>
      </w:r>
      <w:bookmarkEnd w:id="77"/>
    </w:p>
    <w:p w14:paraId="658620D5">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Courier New"/>
          <w:color w:val="auto"/>
          <w:szCs w:val="21"/>
          <w:highlight w:val="none"/>
        </w:rPr>
      </w:pPr>
      <w:r>
        <w:rPr>
          <w:rFonts w:hint="eastAsia" w:ascii="宋体" w:hAnsi="宋体" w:cs="Courier New"/>
          <w:color w:val="auto"/>
          <w:szCs w:val="21"/>
          <w:highlight w:val="none"/>
        </w:rPr>
        <w:t>27.3采购人、采购代理机构应当随成交结果公开成交供应商的《关于符合本国产品标准的声明函》或有关证明文件。</w:t>
      </w:r>
    </w:p>
    <w:p w14:paraId="7A4A7611">
      <w:pPr>
        <w:keepNext w:val="0"/>
        <w:keepLines w:val="0"/>
        <w:pageBreakBefore w:val="0"/>
        <w:kinsoku/>
        <w:overflowPunct/>
        <w:topLinePunct w:val="0"/>
        <w:bidi w:val="0"/>
        <w:adjustRightInd/>
        <w:snapToGrid/>
        <w:spacing w:line="400" w:lineRule="exact"/>
        <w:ind w:firstLine="420" w:firstLineChars="200"/>
        <w:textAlignment w:val="auto"/>
        <w:rPr>
          <w:rFonts w:ascii="宋体" w:hAnsi="宋体" w:cs="Courier New"/>
          <w:color w:val="auto"/>
          <w:szCs w:val="21"/>
          <w:highlight w:val="none"/>
        </w:rPr>
      </w:pPr>
      <w:r>
        <w:rPr>
          <w:rFonts w:hint="eastAsia" w:ascii="宋体" w:hAnsi="宋体" w:cs="Courier New"/>
          <w:color w:val="auto"/>
          <w:szCs w:val="21"/>
          <w:highlight w:val="none"/>
        </w:rPr>
        <w:t>27.</w:t>
      </w:r>
      <w:r>
        <w:rPr>
          <w:rFonts w:hint="eastAsia" w:ascii="宋体" w:hAnsi="宋体" w:cs="Courier New"/>
          <w:color w:val="auto"/>
          <w:szCs w:val="21"/>
          <w:highlight w:val="none"/>
          <w:lang w:val="en-US" w:eastAsia="zh-CN"/>
        </w:rPr>
        <w:t>4</w:t>
      </w:r>
      <w:r>
        <w:rPr>
          <w:rFonts w:hint="eastAsia" w:ascii="宋体" w:hAnsi="宋体" w:cs="Courier New"/>
          <w:color w:val="auto"/>
          <w:szCs w:val="21"/>
          <w:highlight w:val="none"/>
        </w:rPr>
        <w:t>出现下列情形之一的，采购人或者采购代理机构应当终止竞争性磋商采购活动，发布项目终止公告并说明原因，重新开展采购活动：</w:t>
      </w:r>
    </w:p>
    <w:p w14:paraId="431AE60B">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Courier New"/>
          <w:color w:val="auto"/>
          <w:szCs w:val="21"/>
          <w:highlight w:val="none"/>
        </w:rPr>
      </w:pPr>
      <w:r>
        <w:rPr>
          <w:rFonts w:hint="eastAsia" w:ascii="宋体" w:hAnsi="宋体" w:cs="Courier New"/>
          <w:color w:val="auto"/>
          <w:szCs w:val="21"/>
          <w:highlight w:val="none"/>
        </w:rPr>
        <w:t>（1）因情况变化，不再符合规定的竞争性磋商采购方式适用情形的；</w:t>
      </w:r>
    </w:p>
    <w:p w14:paraId="09BF873F">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Courier New"/>
          <w:color w:val="auto"/>
          <w:szCs w:val="21"/>
          <w:highlight w:val="none"/>
        </w:rPr>
      </w:pPr>
      <w:r>
        <w:rPr>
          <w:rFonts w:hint="eastAsia" w:ascii="宋体" w:hAnsi="宋体" w:cs="Courier New"/>
          <w:color w:val="auto"/>
          <w:szCs w:val="21"/>
          <w:highlight w:val="none"/>
        </w:rPr>
        <w:t>（2）出现影响采购公正的违法、违规行为的；</w:t>
      </w:r>
    </w:p>
    <w:p w14:paraId="0E309BC8">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Courier New"/>
          <w:color w:val="auto"/>
          <w:szCs w:val="21"/>
          <w:highlight w:val="none"/>
        </w:rPr>
      </w:pPr>
      <w:r>
        <w:rPr>
          <w:rFonts w:hint="eastAsia" w:ascii="宋体" w:hAnsi="宋体" w:cs="Courier New"/>
          <w:color w:val="auto"/>
          <w:szCs w:val="21"/>
          <w:highlight w:val="none"/>
        </w:rPr>
        <w:t>（3）除“第四章 评审程序、评审方法和评审标准”第4.3条规定的情形外，在采购过程中符合要求的供应商或者报价未超过采购预算的供应商不足3家的。</w:t>
      </w:r>
    </w:p>
    <w:p w14:paraId="02AF4EE8">
      <w:pPr>
        <w:keepNext w:val="0"/>
        <w:keepLines w:val="0"/>
        <w:pageBreakBefore w:val="0"/>
        <w:kinsoku/>
        <w:overflowPunct/>
        <w:topLinePunct w:val="0"/>
        <w:bidi w:val="0"/>
        <w:adjustRightInd/>
        <w:snapToGrid/>
        <w:spacing w:line="400" w:lineRule="exact"/>
        <w:ind w:firstLine="420" w:firstLineChars="200"/>
        <w:textAlignment w:val="auto"/>
        <w:rPr>
          <w:rFonts w:ascii="宋体" w:hAnsi="宋体" w:cs="宋体"/>
          <w:color w:val="auto"/>
          <w:szCs w:val="21"/>
          <w:highlight w:val="none"/>
        </w:rPr>
      </w:pPr>
      <w:r>
        <w:rPr>
          <w:rFonts w:hint="eastAsia" w:ascii="宋体" w:hAnsi="宋体" w:cs="Courier New"/>
          <w:color w:val="auto"/>
          <w:szCs w:val="21"/>
          <w:highlight w:val="none"/>
        </w:rPr>
        <w:t>27.</w:t>
      </w:r>
      <w:r>
        <w:rPr>
          <w:rFonts w:hint="eastAsia" w:ascii="宋体" w:hAnsi="宋体" w:cs="Courier New"/>
          <w:color w:val="auto"/>
          <w:szCs w:val="21"/>
          <w:highlight w:val="none"/>
          <w:lang w:val="en-US" w:eastAsia="zh-CN"/>
        </w:rPr>
        <w:t>5</w:t>
      </w:r>
      <w:r>
        <w:rPr>
          <w:rFonts w:hint="eastAsia" w:ascii="宋体" w:hAnsi="宋体" w:cs="Courier New"/>
          <w:color w:val="auto"/>
          <w:szCs w:val="21"/>
          <w:highlight w:val="none"/>
        </w:rPr>
        <w:t>在采购活动中因重大变故，采购任务取消的，采购人或者采购代理机构应当终止采购活动，通知所有参加采购活动的供应商，并将项目实施情况和采购任务取消原因报送本级财政部门。</w:t>
      </w:r>
    </w:p>
    <w:p w14:paraId="2B4F11CE">
      <w:pPr>
        <w:pStyle w:val="4"/>
        <w:spacing w:line="360" w:lineRule="auto"/>
        <w:ind w:firstLine="482" w:firstLineChars="200"/>
        <w:contextualSpacing/>
        <w:rPr>
          <w:rFonts w:hint="eastAsia" w:ascii="黑体" w:hAnsi="黑体" w:eastAsia="黑体" w:cs="宋体"/>
          <w:b/>
          <w:bCs/>
          <w:color w:val="auto"/>
          <w:sz w:val="24"/>
          <w:highlight w:val="none"/>
        </w:rPr>
      </w:pPr>
      <w:r>
        <w:rPr>
          <w:rFonts w:ascii="黑体" w:hAnsi="黑体" w:eastAsia="黑体" w:cs="宋体"/>
          <w:b/>
          <w:bCs/>
          <w:color w:val="auto"/>
          <w:sz w:val="24"/>
          <w:highlight w:val="none"/>
        </w:rPr>
        <w:t>28</w:t>
      </w:r>
      <w:r>
        <w:rPr>
          <w:rFonts w:hint="eastAsia" w:ascii="黑体" w:hAnsi="黑体" w:eastAsia="黑体" w:cs="宋体"/>
          <w:b/>
          <w:bCs/>
          <w:color w:val="auto"/>
          <w:sz w:val="24"/>
          <w:highlight w:val="none"/>
        </w:rPr>
        <w:t>.履约保证金：</w:t>
      </w:r>
    </w:p>
    <w:p w14:paraId="0E69CA0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color w:val="auto"/>
          <w:szCs w:val="21"/>
          <w:highlight w:val="none"/>
          <w:lang w:val="en-US" w:eastAsia="zh-CN"/>
        </w:rPr>
      </w:pPr>
      <w:r>
        <w:rPr>
          <w:rFonts w:hint="eastAsia" w:ascii="宋体" w:hAnsi="宋体" w:cs="Courier New"/>
          <w:szCs w:val="21"/>
          <w:highlight w:val="none"/>
        </w:rPr>
        <w:t>2</w:t>
      </w:r>
      <w:r>
        <w:rPr>
          <w:rFonts w:hint="eastAsia" w:ascii="宋体" w:hAnsi="宋体" w:cs="Courier New"/>
          <w:szCs w:val="21"/>
          <w:highlight w:val="none"/>
          <w:lang w:val="en-US" w:eastAsia="zh-CN"/>
        </w:rPr>
        <w:t>8</w:t>
      </w:r>
      <w:r>
        <w:rPr>
          <w:rFonts w:hint="eastAsia" w:ascii="宋体" w:hAnsi="宋体" w:cs="Courier New"/>
          <w:szCs w:val="21"/>
          <w:highlight w:val="none"/>
        </w:rPr>
        <w:t>.</w:t>
      </w:r>
      <w:r>
        <w:rPr>
          <w:rFonts w:hint="eastAsia" w:ascii="宋体" w:hAnsi="宋体" w:cs="Courier New"/>
          <w:szCs w:val="21"/>
          <w:highlight w:val="none"/>
          <w:lang w:val="en-US" w:eastAsia="zh-CN"/>
        </w:rPr>
        <w:t>1</w:t>
      </w:r>
      <w:r>
        <w:rPr>
          <w:rFonts w:hint="eastAsia" w:ascii="宋体" w:hAnsi="宋体" w:eastAsia="宋体" w:cs="Times New Roman"/>
          <w:color w:val="auto"/>
          <w:szCs w:val="21"/>
          <w:highlight w:val="none"/>
          <w:lang w:val="en-US" w:eastAsia="zh-CN"/>
        </w:rPr>
        <w:t>按</w:t>
      </w:r>
      <w:r>
        <w:rPr>
          <w:rFonts w:hint="eastAsia" w:ascii="宋体" w:hAnsi="宋体" w:cs="Times New Roman"/>
          <w:color w:val="auto"/>
          <w:szCs w:val="21"/>
          <w:highlight w:val="none"/>
          <w:lang w:val="en-US" w:eastAsia="zh-CN"/>
        </w:rPr>
        <w:t>预算</w:t>
      </w:r>
      <w:r>
        <w:rPr>
          <w:rFonts w:hint="eastAsia" w:ascii="宋体" w:hAnsi="宋体" w:eastAsia="宋体" w:cs="Times New Roman"/>
          <w:color w:val="auto"/>
          <w:szCs w:val="21"/>
          <w:highlight w:val="none"/>
          <w:lang w:val="en-US" w:eastAsia="zh-CN"/>
        </w:rPr>
        <w:t>金额的2%。</w:t>
      </w:r>
    </w:p>
    <w:p w14:paraId="5C0262B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28.2履约保证金缴纳期限：自成交通知书发出之日起5个工作日内。</w:t>
      </w:r>
    </w:p>
    <w:p w14:paraId="2F7A9F9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28.3履约保证金提交方式：银行转账、支票、汇票、本票或者银行、保险机构出具的保函等非现金方式。</w:t>
      </w:r>
    </w:p>
    <w:p w14:paraId="56C8D99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28.4履约保证金退付方式、时间及条件：由成交供应商向履约保证金收取单位提供《广西壮族自治区政府采购项目合同验收书》（详见桂财采〔2015〕22号）及《政府采购项目履约保证金退付意见书》（详见附件），保证金收取单位在收到合格材料后5个工作日内办理退还手续（不计利息）。</w:t>
      </w:r>
    </w:p>
    <w:p w14:paraId="20628C0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28.5履约保证金指定账户：采购人在签订采购合同前向成交人提供。</w:t>
      </w:r>
    </w:p>
    <w:p w14:paraId="2F4F66F2">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lang w:val="en-US" w:eastAsia="zh-CN"/>
        </w:rPr>
        <w:t>备注：</w:t>
      </w:r>
    </w:p>
    <w:p w14:paraId="43D9ADDF">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lang w:val="en-US" w:eastAsia="zh-CN"/>
        </w:rPr>
        <w:t>1.根据《广西壮族自治区财政厅关于持续优化政府采购营商环境推动高质量发展的通知》（桂财采〔2024〕55号）的规定，履约保证金数额不得超过政府采购合同金额的5%；对中小企业收取的履约保证金数额不得超过政府采购合同金额的2%。</w:t>
      </w:r>
    </w:p>
    <w:p w14:paraId="2C241C82">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lang w:val="en-US" w:eastAsia="zh-CN"/>
        </w:rPr>
        <w:t>2.履约保证金不足额缴纳的，或者银行、保险机构出具的保函额度不足的或者保函有效期低于合同履行期限（即合同中规定的当事人履行自己的义务，如交付标的物、价款或者报酬、合同履行期限）的，不予签订合同。</w:t>
      </w:r>
    </w:p>
    <w:p w14:paraId="2EBACF49">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lang w:val="en-US" w:eastAsia="zh-CN"/>
        </w:rPr>
        <w:t>3.采用银行、保险机构出具的保函的，必须为无条件保函，否则不予签订合同。</w:t>
      </w:r>
    </w:p>
    <w:p w14:paraId="57EC98FA">
      <w:pPr>
        <w:keepNext w:val="0"/>
        <w:keepLines w:val="0"/>
        <w:pageBreakBefore w:val="0"/>
        <w:kinsoku/>
        <w:overflowPunct/>
        <w:topLinePunct w:val="0"/>
        <w:bidi w:val="0"/>
        <w:adjustRightInd/>
        <w:snapToGrid/>
        <w:spacing w:line="400" w:lineRule="exact"/>
        <w:ind w:firstLine="482" w:firstLineChars="200"/>
        <w:jc w:val="both"/>
        <w:textAlignment w:val="auto"/>
        <w:rPr>
          <w:rFonts w:hint="eastAsia" w:ascii="黑体" w:hAnsi="黑体" w:eastAsia="黑体" w:cs="宋体"/>
          <w:b/>
          <w:bCs/>
          <w:color w:val="auto"/>
          <w:sz w:val="24"/>
          <w:highlight w:val="none"/>
        </w:rPr>
      </w:pPr>
      <w:r>
        <w:rPr>
          <w:rFonts w:ascii="黑体" w:hAnsi="黑体" w:eastAsia="黑体" w:cs="宋体"/>
          <w:b/>
          <w:bCs/>
          <w:color w:val="auto"/>
          <w:sz w:val="24"/>
          <w:highlight w:val="none"/>
        </w:rPr>
        <w:t>29</w:t>
      </w:r>
      <w:r>
        <w:rPr>
          <w:rFonts w:hint="eastAsia" w:ascii="黑体" w:hAnsi="黑体" w:eastAsia="黑体" w:cs="宋体"/>
          <w:b/>
          <w:bCs/>
          <w:color w:val="auto"/>
          <w:sz w:val="24"/>
          <w:highlight w:val="none"/>
        </w:rPr>
        <w:t>.签订合同</w:t>
      </w:r>
    </w:p>
    <w:p w14:paraId="018B3311">
      <w:pPr>
        <w:keepNext w:val="0"/>
        <w:keepLines w:val="0"/>
        <w:pageBreakBefore w:val="0"/>
        <w:kinsoku/>
        <w:overflowPunct/>
        <w:topLinePunct w:val="0"/>
        <w:bidi w:val="0"/>
        <w:adjustRightInd/>
        <w:snapToGrid/>
        <w:spacing w:line="4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rPr>
        <w:t>29.1签订电子采购合同：成交供应商领取电子成交通知书后，在规定的日期、时间、地点，由法定代表人或其授权代表与采购人代表签订电子采购合同。</w:t>
      </w:r>
    </w:p>
    <w:p w14:paraId="3BF10B7F">
      <w:pPr>
        <w:keepNext w:val="0"/>
        <w:keepLines w:val="0"/>
        <w:pageBreakBefore w:val="0"/>
        <w:kinsoku/>
        <w:overflowPunct/>
        <w:topLinePunct w:val="0"/>
        <w:bidi w:val="0"/>
        <w:adjustRightInd/>
        <w:snapToGrid/>
        <w:spacing w:line="4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rPr>
        <w:t>29.2签订合同时间：按成交通知书规定的时间与采购人签订合同。</w:t>
      </w:r>
    </w:p>
    <w:p w14:paraId="229C0468">
      <w:pPr>
        <w:keepNext w:val="0"/>
        <w:keepLines w:val="0"/>
        <w:pageBreakBefore w:val="0"/>
        <w:kinsoku/>
        <w:overflowPunct/>
        <w:topLinePunct w:val="0"/>
        <w:bidi w:val="0"/>
        <w:adjustRightInd/>
        <w:snapToGrid/>
        <w:spacing w:line="4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rPr>
        <w:t>29.</w:t>
      </w:r>
      <w:r>
        <w:rPr>
          <w:rFonts w:ascii="宋体" w:hAnsi="宋体" w:cs="宋体"/>
          <w:color w:val="auto"/>
          <w:szCs w:val="21"/>
          <w:highlight w:val="none"/>
        </w:rPr>
        <w:t>3</w:t>
      </w:r>
      <w:r>
        <w:rPr>
          <w:rFonts w:hint="eastAsia" w:ascii="宋体" w:hAnsi="宋体" w:cs="宋体"/>
          <w:color w:val="auto"/>
          <w:szCs w:val="21"/>
          <w:highlight w:val="none"/>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4D5EF5A0">
      <w:pPr>
        <w:keepNext w:val="0"/>
        <w:keepLines w:val="0"/>
        <w:pageBreakBefore w:val="0"/>
        <w:kinsoku/>
        <w:overflowPunct/>
        <w:topLinePunct w:val="0"/>
        <w:bidi w:val="0"/>
        <w:adjustRightInd/>
        <w:snapToGrid/>
        <w:spacing w:line="4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13018223">
      <w:pPr>
        <w:keepNext w:val="0"/>
        <w:keepLines w:val="0"/>
        <w:pageBreakBefore w:val="0"/>
        <w:kinsoku/>
        <w:overflowPunct/>
        <w:topLinePunct w:val="0"/>
        <w:bidi w:val="0"/>
        <w:adjustRightInd/>
        <w:snapToGrid/>
        <w:spacing w:line="4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rPr>
        <w:t>29.5采购人或成交供应商不得单方面向合同另一方提出任何磋商文件没有约定的条件或不合理的要求，作为签订合同的条件；也不得协商另行订立背离磋商文件和合同实质性内容的协议。</w:t>
      </w:r>
    </w:p>
    <w:p w14:paraId="673203AB">
      <w:pPr>
        <w:keepNext w:val="0"/>
        <w:keepLines w:val="0"/>
        <w:pageBreakBefore w:val="0"/>
        <w:kinsoku/>
        <w:overflowPunct/>
        <w:topLinePunct w:val="0"/>
        <w:bidi w:val="0"/>
        <w:adjustRightInd/>
        <w:snapToGrid/>
        <w:spacing w:line="4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rPr>
        <w:t>29.6如签订合同并生效后，供应商无故拒绝或延期，除按照合同条款处理外，将承担相应的法律责任。</w:t>
      </w:r>
    </w:p>
    <w:p w14:paraId="42F4DB94">
      <w:pPr>
        <w:keepNext w:val="0"/>
        <w:keepLines w:val="0"/>
        <w:pageBreakBefore w:val="0"/>
        <w:kinsoku/>
        <w:overflowPunct/>
        <w:topLinePunct w:val="0"/>
        <w:bidi w:val="0"/>
        <w:adjustRightInd/>
        <w:snapToGrid/>
        <w:spacing w:line="4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418A6274">
      <w:pPr>
        <w:keepNext w:val="0"/>
        <w:keepLines w:val="0"/>
        <w:pageBreakBefore w:val="0"/>
        <w:kinsoku/>
        <w:overflowPunct/>
        <w:topLinePunct w:val="0"/>
        <w:bidi w:val="0"/>
        <w:adjustRightInd/>
        <w:snapToGrid/>
        <w:spacing w:line="400" w:lineRule="exact"/>
        <w:ind w:firstLine="482" w:firstLineChars="200"/>
        <w:textAlignment w:val="auto"/>
        <w:rPr>
          <w:rFonts w:hint="eastAsia" w:ascii="黑体" w:hAnsi="黑体" w:eastAsia="黑体" w:cs="宋体"/>
          <w:b/>
          <w:bCs/>
          <w:color w:val="auto"/>
          <w:sz w:val="24"/>
          <w:highlight w:val="none"/>
        </w:rPr>
      </w:pPr>
      <w:r>
        <w:rPr>
          <w:rFonts w:ascii="黑体" w:hAnsi="黑体" w:eastAsia="黑体" w:cs="宋体"/>
          <w:b/>
          <w:bCs/>
          <w:color w:val="auto"/>
          <w:sz w:val="24"/>
          <w:highlight w:val="none"/>
        </w:rPr>
        <w:t>30</w:t>
      </w:r>
      <w:r>
        <w:rPr>
          <w:rFonts w:hint="eastAsia" w:ascii="黑体" w:hAnsi="黑体" w:eastAsia="黑体" w:cs="宋体"/>
          <w:b/>
          <w:bCs/>
          <w:color w:val="auto"/>
          <w:sz w:val="24"/>
          <w:highlight w:val="none"/>
        </w:rPr>
        <w:t>.政府采购合同公告</w:t>
      </w:r>
    </w:p>
    <w:p w14:paraId="7939CD9C">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418B897E">
      <w:pPr>
        <w:keepNext w:val="0"/>
        <w:keepLines w:val="0"/>
        <w:pageBreakBefore w:val="0"/>
        <w:kinsoku/>
        <w:overflowPunct/>
        <w:topLinePunct w:val="0"/>
        <w:bidi w:val="0"/>
        <w:adjustRightInd/>
        <w:snapToGrid/>
        <w:spacing w:line="400" w:lineRule="exact"/>
        <w:ind w:firstLine="482" w:firstLineChars="200"/>
        <w:textAlignment w:val="auto"/>
        <w:rPr>
          <w:rFonts w:hint="eastAsia" w:ascii="黑体" w:hAnsi="黑体" w:eastAsia="黑体" w:cs="宋体"/>
          <w:b/>
          <w:bCs/>
          <w:color w:val="auto"/>
          <w:sz w:val="24"/>
          <w:highlight w:val="none"/>
        </w:rPr>
      </w:pPr>
      <w:r>
        <w:rPr>
          <w:rFonts w:ascii="黑体" w:hAnsi="黑体" w:eastAsia="黑体" w:cs="宋体"/>
          <w:b/>
          <w:bCs/>
          <w:color w:val="auto"/>
          <w:sz w:val="24"/>
          <w:highlight w:val="none"/>
        </w:rPr>
        <w:t>31</w:t>
      </w:r>
      <w:r>
        <w:rPr>
          <w:rFonts w:hint="eastAsia" w:ascii="黑体" w:hAnsi="黑体" w:eastAsia="黑体" w:cs="宋体"/>
          <w:b/>
          <w:bCs/>
          <w:color w:val="auto"/>
          <w:sz w:val="24"/>
          <w:highlight w:val="none"/>
        </w:rPr>
        <w:t>. 询问、质疑和投诉</w:t>
      </w:r>
    </w:p>
    <w:p w14:paraId="73B269CA">
      <w:pPr>
        <w:pStyle w:val="26"/>
        <w:keepNext w:val="0"/>
        <w:keepLines w:val="0"/>
        <w:pageBreakBefore w:val="0"/>
        <w:kinsoku/>
        <w:overflowPunct/>
        <w:topLinePunct w:val="0"/>
        <w:bidi w:val="0"/>
        <w:adjustRightInd/>
        <w:snapToGrid/>
        <w:spacing w:line="400" w:lineRule="exact"/>
        <w:textAlignment w:val="auto"/>
        <w:rPr>
          <w:rFonts w:hint="eastAsia" w:ascii="宋体" w:hAnsi="宋体"/>
          <w:color w:val="auto"/>
          <w:szCs w:val="21"/>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.1供应商对政府采购活动事项有疑问的，可以向采购人、采购代理机构提出询问，采购人或者采购代理机构应当在3个工作日内对供应商依法提出的询问作出答复，</w:t>
      </w:r>
      <w:r>
        <w:rPr>
          <w:rFonts w:hint="eastAsia" w:ascii="宋体" w:hAnsi="宋体"/>
          <w:color w:val="auto"/>
          <w:szCs w:val="21"/>
          <w:highlight w:val="none"/>
        </w:rPr>
        <w:t>但答复的内容不得涉及商业秘密</w:t>
      </w:r>
      <w:r>
        <w:rPr>
          <w:rFonts w:hint="eastAsia" w:ascii="宋体" w:hAnsi="宋体" w:cs="宋体"/>
          <w:color w:val="auto"/>
          <w:highlight w:val="none"/>
        </w:rPr>
        <w:t>。</w:t>
      </w:r>
    </w:p>
    <w:p w14:paraId="1FB224C4">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.2供应商认为磋商文件、采购过程或者成交结果使自己的合法权益受到损害的，应当在知道或者应知其权益受到损害之日起7个工作日内，以书面形式向采购人、采购代理机构提出质疑，</w:t>
      </w:r>
      <w:r>
        <w:rPr>
          <w:rFonts w:ascii="宋体" w:hAnsi="宋体" w:cs="Arial"/>
          <w:color w:val="auto"/>
          <w:highlight w:val="none"/>
          <w:shd w:val="clear" w:color="auto" w:fill="FFFFFF"/>
        </w:rPr>
        <w:t>接收质疑函的方式、联系部门、联系电话和通讯地址等信息</w:t>
      </w:r>
      <w:r>
        <w:rPr>
          <w:rFonts w:hint="eastAsia" w:ascii="宋体" w:hAnsi="宋体" w:cs="Arial"/>
          <w:color w:val="auto"/>
          <w:highlight w:val="none"/>
          <w:shd w:val="clear" w:color="auto" w:fill="FFFFFF"/>
        </w:rPr>
        <w:t>详见</w:t>
      </w:r>
      <w:r>
        <w:rPr>
          <w:rFonts w:hint="eastAsia" w:ascii="宋体" w:hAnsi="宋体" w:cs="宋体"/>
          <w:color w:val="auto"/>
          <w:szCs w:val="21"/>
          <w:highlight w:val="none"/>
        </w:rPr>
        <w:t>“供应商须知前附表”</w:t>
      </w:r>
      <w:r>
        <w:rPr>
          <w:rFonts w:hint="eastAsia" w:ascii="宋体" w:hAnsi="宋体" w:cs="宋体"/>
          <w:color w:val="auto"/>
          <w:highlight w:val="none"/>
        </w:rPr>
        <w:t>。具体质疑起算时间如下：</w:t>
      </w:r>
    </w:p>
    <w:p w14:paraId="3B71F655">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（1）对可以质疑的磋商文件提出质疑的，为收到磋商文件之日或者</w:t>
      </w:r>
      <w:r>
        <w:rPr>
          <w:rFonts w:hint="eastAsia" w:ascii="宋体" w:hAnsi="宋体"/>
          <w:color w:val="auto"/>
          <w:highlight w:val="none"/>
        </w:rPr>
        <w:t>竞争性磋商公告期限届满之日</w:t>
      </w:r>
      <w:r>
        <w:rPr>
          <w:rFonts w:hint="eastAsia" w:ascii="宋体" w:hAnsi="宋体" w:cs="宋体"/>
          <w:color w:val="auto"/>
          <w:highlight w:val="none"/>
        </w:rPr>
        <w:t>；</w:t>
      </w:r>
    </w:p>
    <w:p w14:paraId="53B6AD89">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（2）对采购过程提出质疑的，为各采购程序环节结束之日；</w:t>
      </w:r>
    </w:p>
    <w:p w14:paraId="71CEC1AB">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（3）对成交结果提出质疑的，为成交结果公告期限届满之日。</w:t>
      </w:r>
    </w:p>
    <w:p w14:paraId="777AA767">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713D1944">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.4 供应商提出质疑应当提交质疑函和必要的证明材料，针对同一采购程序环节的质疑必须在法定质疑期内一次性提出。质疑函应当包括下列内容</w:t>
      </w:r>
      <w:r>
        <w:rPr>
          <w:rFonts w:hint="eastAsia" w:hAnsi="宋体"/>
          <w:bCs/>
          <w:color w:val="auto"/>
          <w:highlight w:val="none"/>
        </w:rPr>
        <w:t>（质疑函格式后附）</w:t>
      </w:r>
      <w:r>
        <w:rPr>
          <w:rFonts w:hint="eastAsia" w:ascii="宋体" w:hAnsi="宋体" w:cs="宋体"/>
          <w:color w:val="auto"/>
          <w:highlight w:val="none"/>
        </w:rPr>
        <w:t>：</w:t>
      </w:r>
    </w:p>
    <w:p w14:paraId="5E520616">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642E6FD1">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（2）质疑项目的名称、编号；</w:t>
      </w:r>
    </w:p>
    <w:p w14:paraId="5679D7E4">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（3）具体、明确的质疑事项和与质疑事项相关的请求；</w:t>
      </w:r>
    </w:p>
    <w:p w14:paraId="72EADA27">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（4）事实依据；</w:t>
      </w:r>
    </w:p>
    <w:p w14:paraId="7E337237">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（5）必要的法律依据；</w:t>
      </w:r>
    </w:p>
    <w:p w14:paraId="2B319854">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（6）提出质疑的日期。</w:t>
      </w:r>
    </w:p>
    <w:p w14:paraId="024F1140">
      <w:pPr>
        <w:keepNext w:val="0"/>
        <w:keepLines w:val="0"/>
        <w:pageBreakBefore w:val="0"/>
        <w:kinsoku/>
        <w:overflowPunct/>
        <w:topLinePunct w:val="0"/>
        <w:bidi w:val="0"/>
        <w:adjustRightInd/>
        <w:snapToGrid/>
        <w:spacing w:line="40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供应商为法人或者其他组织的，应当由法定代表人、主要负责人，或者其委托代理人签字或者盖章，并加盖公章。</w:t>
      </w:r>
    </w:p>
    <w:p w14:paraId="7850A02D">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1.5</w:t>
      </w:r>
      <w:r>
        <w:rPr>
          <w:rFonts w:hint="eastAsia" w:ascii="宋体" w:hAnsi="宋体" w:cs="宋体"/>
          <w:color w:val="auto"/>
          <w:highlight w:val="none"/>
        </w:rPr>
        <w:t>采购人、采购代理机构认为供应商质疑不成立，或者成立但未对成交结果构成影响的，继续开展采购活动；认为供应商质疑成立且影响或者可能影响成交结果的，按照下列情况处理：</w:t>
      </w:r>
    </w:p>
    <w:p w14:paraId="571ADCA0">
      <w:pPr>
        <w:keepNext w:val="0"/>
        <w:keepLines w:val="0"/>
        <w:pageBreakBefore w:val="0"/>
        <w:kinsoku/>
        <w:overflowPunct/>
        <w:topLinePunct w:val="0"/>
        <w:bidi w:val="0"/>
        <w:adjustRightInd/>
        <w:snapToGrid/>
        <w:spacing w:line="40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30861C0B">
      <w:pPr>
        <w:keepNext w:val="0"/>
        <w:keepLines w:val="0"/>
        <w:pageBreakBefore w:val="0"/>
        <w:kinsoku/>
        <w:overflowPunct/>
        <w:topLinePunct w:val="0"/>
        <w:bidi w:val="0"/>
        <w:adjustRightInd/>
        <w:snapToGrid/>
        <w:spacing w:line="40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72FEDDC4">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26752DC5">
      <w:pPr>
        <w:keepNext w:val="0"/>
        <w:keepLines w:val="0"/>
        <w:pageBreakBefore w:val="0"/>
        <w:kinsoku/>
        <w:overflowPunct/>
        <w:topLinePunct w:val="0"/>
        <w:bidi w:val="0"/>
        <w:adjustRightInd/>
        <w:snapToGrid/>
        <w:spacing w:line="400" w:lineRule="exact"/>
        <w:ind w:firstLine="420" w:firstLineChars="200"/>
        <w:textAlignment w:val="auto"/>
        <w:rPr>
          <w:rFonts w:hint="eastAsia" w:ascii="宋体" w:hAnsi="宋体" w:cs="宋体"/>
          <w:color w:val="auto"/>
          <w:szCs w:val="21"/>
          <w:highlight w:val="none"/>
        </w:rPr>
      </w:pPr>
      <w:r>
        <w:rPr>
          <w:rFonts w:ascii="宋体" w:hAnsi="宋体" w:cs="宋体"/>
          <w:color w:val="auto"/>
          <w:highlight w:val="none"/>
        </w:rPr>
        <w:t>31</w:t>
      </w: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40C44A10">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rPr>
          <w:rFonts w:hint="eastAsia" w:ascii="黑体" w:hAnsi="黑体" w:eastAsia="黑体" w:cs="宋体"/>
          <w:b/>
          <w:bCs/>
          <w:color w:val="auto"/>
          <w:sz w:val="24"/>
          <w:highlight w:val="none"/>
        </w:rPr>
      </w:pPr>
      <w:r>
        <w:rPr>
          <w:rFonts w:ascii="黑体" w:hAnsi="黑体" w:eastAsia="黑体" w:cs="宋体"/>
          <w:b/>
          <w:bCs/>
          <w:color w:val="auto"/>
          <w:sz w:val="24"/>
          <w:highlight w:val="none"/>
        </w:rPr>
        <w:t>32</w:t>
      </w:r>
      <w:r>
        <w:rPr>
          <w:rFonts w:hint="eastAsia" w:ascii="黑体" w:hAnsi="黑体" w:eastAsia="黑体" w:cs="宋体"/>
          <w:b/>
          <w:bCs/>
          <w:color w:val="auto"/>
          <w:sz w:val="24"/>
          <w:highlight w:val="none"/>
        </w:rPr>
        <w:t>.其他内容</w:t>
      </w:r>
    </w:p>
    <w:p w14:paraId="230ADF82">
      <w:pPr>
        <w:keepNext w:val="0"/>
        <w:keepLines w:val="0"/>
        <w:pageBreakBefore w:val="0"/>
        <w:widowControl w:val="0"/>
        <w:tabs>
          <w:tab w:val="left" w:pos="2835"/>
        </w:tabs>
        <w:kinsoku/>
        <w:wordWrap/>
        <w:overflowPunct/>
        <w:topLinePunct w:val="0"/>
        <w:autoSpaceDE/>
        <w:autoSpaceDN/>
        <w:bidi w:val="0"/>
        <w:adjustRightInd/>
        <w:snapToGrid/>
        <w:spacing w:line="380" w:lineRule="exact"/>
        <w:ind w:firstLine="420" w:firstLineChars="200"/>
        <w:textAlignment w:val="auto"/>
        <w:rPr>
          <w:rFonts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.1代理服务</w:t>
      </w:r>
      <w:r>
        <w:rPr>
          <w:rFonts w:hint="eastAsia" w:ascii="宋体" w:hAnsi="宋体" w:cs="宋体"/>
          <w:color w:val="auto"/>
          <w:szCs w:val="21"/>
          <w:highlight w:val="none"/>
          <w:lang w:val="en-US" w:eastAsia="zh-CN"/>
        </w:rPr>
        <w:t>费</w:t>
      </w:r>
      <w:r>
        <w:rPr>
          <w:rFonts w:hint="eastAsia" w:ascii="宋体" w:hAnsi="宋体" w:cs="宋体"/>
          <w:color w:val="auto"/>
          <w:szCs w:val="21"/>
          <w:highlight w:val="none"/>
        </w:rPr>
        <w:t>收取标准及缴费账户详见“供应商须知前附表”。</w:t>
      </w:r>
    </w:p>
    <w:p w14:paraId="0CF7C1C4">
      <w:pPr>
        <w:keepNext w:val="0"/>
        <w:keepLines w:val="0"/>
        <w:pageBreakBefore w:val="0"/>
        <w:widowControl w:val="0"/>
        <w:tabs>
          <w:tab w:val="left" w:pos="2835"/>
        </w:tabs>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color w:val="auto"/>
          <w:szCs w:val="21"/>
          <w:highlight w:val="none"/>
        </w:rPr>
      </w:pPr>
      <w:r>
        <w:rPr>
          <w:rFonts w:ascii="宋体" w:hAnsi="宋体" w:cs="宋体"/>
          <w:color w:val="auto"/>
          <w:szCs w:val="21"/>
          <w:highlight w:val="none"/>
        </w:rPr>
        <w:t>32.2</w:t>
      </w:r>
      <w:r>
        <w:rPr>
          <w:rFonts w:hint="eastAsia" w:ascii="宋体" w:hAnsi="宋体" w:cs="宋体"/>
          <w:color w:val="auto"/>
          <w:szCs w:val="21"/>
          <w:highlight w:val="none"/>
        </w:rPr>
        <w:t>代理服务费收费计算标准：</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14B0A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op w:val="single" w:color="auto" w:sz="4" w:space="0"/>
              <w:left w:val="single" w:color="auto" w:sz="4" w:space="0"/>
              <w:bottom w:val="single" w:color="auto" w:sz="4" w:space="0"/>
              <w:right w:val="single" w:color="auto" w:sz="4" w:space="0"/>
            </w:tcBorders>
            <w:noWrap w:val="0"/>
            <w:vAlign w:val="top"/>
          </w:tcPr>
          <w:p w14:paraId="05024F39">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费率</w:t>
            </w:r>
          </w:p>
          <w:p w14:paraId="002E382F">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金额</w:t>
            </w:r>
          </w:p>
        </w:tc>
        <w:tc>
          <w:tcPr>
            <w:tcW w:w="1659" w:type="dxa"/>
            <w:tcBorders>
              <w:top w:val="single" w:color="auto" w:sz="4" w:space="0"/>
              <w:left w:val="single" w:color="auto" w:sz="4" w:space="0"/>
              <w:bottom w:val="single" w:color="auto" w:sz="4" w:space="0"/>
              <w:right w:val="single" w:color="auto" w:sz="4" w:space="0"/>
            </w:tcBorders>
            <w:noWrap w:val="0"/>
            <w:vAlign w:val="center"/>
          </w:tcPr>
          <w:p w14:paraId="43A58A8F">
            <w:pPr>
              <w:keepNext w:val="0"/>
              <w:keepLines w:val="0"/>
              <w:pageBreakBefore w:val="0"/>
              <w:widowControl w:val="0"/>
              <w:kinsoku/>
              <w:wordWrap/>
              <w:overflowPunct/>
              <w:topLinePunct w:val="0"/>
              <w:autoSpaceDE/>
              <w:autoSpaceDN/>
              <w:bidi w:val="0"/>
              <w:adjustRightInd/>
              <w:snapToGrid/>
              <w:spacing w:line="380" w:lineRule="exact"/>
              <w:ind w:firstLine="105" w:firstLineChars="5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货物类</w:t>
            </w:r>
          </w:p>
        </w:tc>
        <w:tc>
          <w:tcPr>
            <w:tcW w:w="1532" w:type="dxa"/>
            <w:tcBorders>
              <w:top w:val="single" w:color="auto" w:sz="4" w:space="0"/>
              <w:left w:val="single" w:color="auto" w:sz="4" w:space="0"/>
              <w:bottom w:val="single" w:color="auto" w:sz="4" w:space="0"/>
              <w:right w:val="single" w:color="auto" w:sz="4" w:space="0"/>
            </w:tcBorders>
            <w:noWrap w:val="0"/>
            <w:vAlign w:val="center"/>
          </w:tcPr>
          <w:p w14:paraId="63B8C33B">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服务类</w:t>
            </w:r>
          </w:p>
        </w:tc>
        <w:tc>
          <w:tcPr>
            <w:tcW w:w="1546" w:type="dxa"/>
            <w:tcBorders>
              <w:top w:val="single" w:color="auto" w:sz="4" w:space="0"/>
              <w:left w:val="single" w:color="auto" w:sz="4" w:space="0"/>
              <w:bottom w:val="single" w:color="auto" w:sz="4" w:space="0"/>
              <w:right w:val="single" w:color="auto" w:sz="4" w:space="0"/>
            </w:tcBorders>
            <w:noWrap w:val="0"/>
            <w:vAlign w:val="center"/>
          </w:tcPr>
          <w:p w14:paraId="2EFF6239">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工程类</w:t>
            </w:r>
          </w:p>
        </w:tc>
      </w:tr>
      <w:tr w14:paraId="70DFF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op w:val="single" w:color="auto" w:sz="4" w:space="0"/>
              <w:left w:val="single" w:color="auto" w:sz="4" w:space="0"/>
              <w:bottom w:val="single" w:color="auto" w:sz="4" w:space="0"/>
              <w:right w:val="single" w:color="auto" w:sz="4" w:space="0"/>
            </w:tcBorders>
            <w:noWrap w:val="0"/>
            <w:vAlign w:val="top"/>
          </w:tcPr>
          <w:p w14:paraId="4A48FFC0">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100万元以下</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13CB9FBA">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 xml:space="preserve">  1.5%                </w:t>
            </w:r>
          </w:p>
        </w:tc>
        <w:tc>
          <w:tcPr>
            <w:tcW w:w="1532" w:type="dxa"/>
            <w:tcBorders>
              <w:top w:val="single" w:color="auto" w:sz="4" w:space="0"/>
              <w:left w:val="single" w:color="auto" w:sz="4" w:space="0"/>
              <w:bottom w:val="single" w:color="auto" w:sz="4" w:space="0"/>
              <w:right w:val="single" w:color="auto" w:sz="4" w:space="0"/>
            </w:tcBorders>
            <w:noWrap w:val="0"/>
            <w:vAlign w:val="top"/>
          </w:tcPr>
          <w:p w14:paraId="4183DC9D">
            <w:pPr>
              <w:keepNext w:val="0"/>
              <w:keepLines w:val="0"/>
              <w:pageBreakBefore w:val="0"/>
              <w:widowControl w:val="0"/>
              <w:kinsoku/>
              <w:wordWrap/>
              <w:overflowPunct/>
              <w:topLinePunct w:val="0"/>
              <w:autoSpaceDE/>
              <w:autoSpaceDN/>
              <w:bidi w:val="0"/>
              <w:adjustRightInd/>
              <w:snapToGrid/>
              <w:spacing w:line="380" w:lineRule="exact"/>
              <w:ind w:firstLine="210" w:firstLineChars="100"/>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1.5%</w:t>
            </w:r>
          </w:p>
        </w:tc>
        <w:tc>
          <w:tcPr>
            <w:tcW w:w="1546" w:type="dxa"/>
            <w:tcBorders>
              <w:top w:val="single" w:color="auto" w:sz="4" w:space="0"/>
              <w:left w:val="single" w:color="auto" w:sz="4" w:space="0"/>
              <w:bottom w:val="single" w:color="auto" w:sz="4" w:space="0"/>
              <w:right w:val="single" w:color="auto" w:sz="4" w:space="0"/>
            </w:tcBorders>
            <w:noWrap w:val="0"/>
            <w:vAlign w:val="top"/>
          </w:tcPr>
          <w:p w14:paraId="062E1942">
            <w:pPr>
              <w:keepNext w:val="0"/>
              <w:keepLines w:val="0"/>
              <w:pageBreakBefore w:val="0"/>
              <w:widowControl w:val="0"/>
              <w:kinsoku/>
              <w:wordWrap/>
              <w:overflowPunct/>
              <w:topLinePunct w:val="0"/>
              <w:autoSpaceDE/>
              <w:autoSpaceDN/>
              <w:bidi w:val="0"/>
              <w:adjustRightInd/>
              <w:snapToGrid/>
              <w:spacing w:line="380" w:lineRule="exact"/>
              <w:ind w:firstLine="210" w:firstLineChars="100"/>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 xml:space="preserve">1.0% </w:t>
            </w:r>
          </w:p>
        </w:tc>
      </w:tr>
      <w:tr w14:paraId="28A70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op w:val="single" w:color="auto" w:sz="4" w:space="0"/>
              <w:left w:val="single" w:color="auto" w:sz="4" w:space="0"/>
              <w:bottom w:val="single" w:color="auto" w:sz="4" w:space="0"/>
              <w:right w:val="single" w:color="auto" w:sz="4" w:space="0"/>
            </w:tcBorders>
            <w:noWrap w:val="0"/>
            <w:vAlign w:val="top"/>
          </w:tcPr>
          <w:p w14:paraId="46F1EE59">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100～500万元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12D2A3A0">
            <w:pPr>
              <w:keepNext w:val="0"/>
              <w:keepLines w:val="0"/>
              <w:pageBreakBefore w:val="0"/>
              <w:widowControl w:val="0"/>
              <w:kinsoku/>
              <w:wordWrap/>
              <w:overflowPunct/>
              <w:topLinePunct w:val="0"/>
              <w:autoSpaceDE/>
              <w:autoSpaceDN/>
              <w:bidi w:val="0"/>
              <w:adjustRightInd/>
              <w:snapToGrid/>
              <w:spacing w:line="380" w:lineRule="exact"/>
              <w:ind w:firstLine="210" w:firstLineChars="100"/>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 xml:space="preserve">1.1%                 </w:t>
            </w:r>
          </w:p>
        </w:tc>
        <w:tc>
          <w:tcPr>
            <w:tcW w:w="1532" w:type="dxa"/>
            <w:tcBorders>
              <w:top w:val="single" w:color="auto" w:sz="4" w:space="0"/>
              <w:left w:val="single" w:color="auto" w:sz="4" w:space="0"/>
              <w:bottom w:val="single" w:color="auto" w:sz="4" w:space="0"/>
              <w:right w:val="single" w:color="auto" w:sz="4" w:space="0"/>
            </w:tcBorders>
            <w:noWrap w:val="0"/>
            <w:vAlign w:val="top"/>
          </w:tcPr>
          <w:p w14:paraId="79798131">
            <w:pPr>
              <w:keepNext w:val="0"/>
              <w:keepLines w:val="0"/>
              <w:pageBreakBefore w:val="0"/>
              <w:widowControl w:val="0"/>
              <w:kinsoku/>
              <w:wordWrap/>
              <w:overflowPunct/>
              <w:topLinePunct w:val="0"/>
              <w:autoSpaceDE/>
              <w:autoSpaceDN/>
              <w:bidi w:val="0"/>
              <w:adjustRightInd/>
              <w:snapToGrid/>
              <w:spacing w:line="380" w:lineRule="exact"/>
              <w:ind w:firstLine="210" w:firstLineChars="100"/>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0.8%</w:t>
            </w:r>
          </w:p>
        </w:tc>
        <w:tc>
          <w:tcPr>
            <w:tcW w:w="1546" w:type="dxa"/>
            <w:tcBorders>
              <w:top w:val="single" w:color="auto" w:sz="4" w:space="0"/>
              <w:left w:val="single" w:color="auto" w:sz="4" w:space="0"/>
              <w:bottom w:val="single" w:color="auto" w:sz="4" w:space="0"/>
              <w:right w:val="single" w:color="auto" w:sz="4" w:space="0"/>
            </w:tcBorders>
            <w:noWrap w:val="0"/>
            <w:vAlign w:val="top"/>
          </w:tcPr>
          <w:p w14:paraId="08BDA950">
            <w:pPr>
              <w:keepNext w:val="0"/>
              <w:keepLines w:val="0"/>
              <w:pageBreakBefore w:val="0"/>
              <w:widowControl w:val="0"/>
              <w:kinsoku/>
              <w:wordWrap/>
              <w:overflowPunct/>
              <w:topLinePunct w:val="0"/>
              <w:autoSpaceDE/>
              <w:autoSpaceDN/>
              <w:bidi w:val="0"/>
              <w:adjustRightInd/>
              <w:snapToGrid/>
              <w:spacing w:line="380" w:lineRule="exact"/>
              <w:ind w:firstLine="210" w:firstLineChars="100"/>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 xml:space="preserve">0.7% </w:t>
            </w:r>
          </w:p>
        </w:tc>
      </w:tr>
      <w:tr w14:paraId="281C0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op w:val="single" w:color="auto" w:sz="4" w:space="0"/>
              <w:left w:val="single" w:color="auto" w:sz="4" w:space="0"/>
              <w:bottom w:val="single" w:color="auto" w:sz="4" w:space="0"/>
              <w:right w:val="single" w:color="auto" w:sz="4" w:space="0"/>
            </w:tcBorders>
            <w:noWrap w:val="0"/>
            <w:vAlign w:val="top"/>
          </w:tcPr>
          <w:p w14:paraId="329EC649">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500～1000万元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3A877EE5">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 xml:space="preserve">  0.8%                </w:t>
            </w:r>
          </w:p>
        </w:tc>
        <w:tc>
          <w:tcPr>
            <w:tcW w:w="1532" w:type="dxa"/>
            <w:tcBorders>
              <w:top w:val="single" w:color="auto" w:sz="4" w:space="0"/>
              <w:left w:val="single" w:color="auto" w:sz="4" w:space="0"/>
              <w:bottom w:val="single" w:color="auto" w:sz="4" w:space="0"/>
              <w:right w:val="single" w:color="auto" w:sz="4" w:space="0"/>
            </w:tcBorders>
            <w:noWrap w:val="0"/>
            <w:vAlign w:val="top"/>
          </w:tcPr>
          <w:p w14:paraId="3787ABCC">
            <w:pPr>
              <w:keepNext w:val="0"/>
              <w:keepLines w:val="0"/>
              <w:pageBreakBefore w:val="0"/>
              <w:widowControl w:val="0"/>
              <w:kinsoku/>
              <w:wordWrap/>
              <w:overflowPunct/>
              <w:topLinePunct w:val="0"/>
              <w:autoSpaceDE/>
              <w:autoSpaceDN/>
              <w:bidi w:val="0"/>
              <w:adjustRightInd/>
              <w:snapToGrid/>
              <w:spacing w:line="380" w:lineRule="exact"/>
              <w:ind w:firstLine="210" w:firstLineChars="100"/>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0.45%</w:t>
            </w:r>
          </w:p>
        </w:tc>
        <w:tc>
          <w:tcPr>
            <w:tcW w:w="1546" w:type="dxa"/>
            <w:tcBorders>
              <w:top w:val="single" w:color="auto" w:sz="4" w:space="0"/>
              <w:left w:val="single" w:color="auto" w:sz="4" w:space="0"/>
              <w:bottom w:val="single" w:color="auto" w:sz="4" w:space="0"/>
              <w:right w:val="single" w:color="auto" w:sz="4" w:space="0"/>
            </w:tcBorders>
            <w:noWrap w:val="0"/>
            <w:vAlign w:val="top"/>
          </w:tcPr>
          <w:p w14:paraId="5B7CF766">
            <w:pPr>
              <w:keepNext w:val="0"/>
              <w:keepLines w:val="0"/>
              <w:pageBreakBefore w:val="0"/>
              <w:widowControl w:val="0"/>
              <w:kinsoku/>
              <w:wordWrap/>
              <w:overflowPunct/>
              <w:topLinePunct w:val="0"/>
              <w:autoSpaceDE/>
              <w:autoSpaceDN/>
              <w:bidi w:val="0"/>
              <w:adjustRightInd/>
              <w:snapToGrid/>
              <w:spacing w:line="380" w:lineRule="exact"/>
              <w:ind w:firstLine="210" w:firstLineChars="100"/>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0.55%</w:t>
            </w:r>
          </w:p>
        </w:tc>
      </w:tr>
      <w:tr w14:paraId="6C4AC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op w:val="single" w:color="auto" w:sz="4" w:space="0"/>
              <w:left w:val="single" w:color="auto" w:sz="4" w:space="0"/>
              <w:bottom w:val="single" w:color="auto" w:sz="4" w:space="0"/>
              <w:right w:val="single" w:color="auto" w:sz="4" w:space="0"/>
            </w:tcBorders>
            <w:noWrap w:val="0"/>
            <w:vAlign w:val="top"/>
          </w:tcPr>
          <w:p w14:paraId="7C29D7B3">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1000～5000万元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0D0C0549">
            <w:pPr>
              <w:keepNext w:val="0"/>
              <w:keepLines w:val="0"/>
              <w:pageBreakBefore w:val="0"/>
              <w:widowControl w:val="0"/>
              <w:kinsoku/>
              <w:wordWrap/>
              <w:overflowPunct/>
              <w:topLinePunct w:val="0"/>
              <w:autoSpaceDE/>
              <w:autoSpaceDN/>
              <w:bidi w:val="0"/>
              <w:adjustRightInd/>
              <w:snapToGrid/>
              <w:spacing w:line="380" w:lineRule="exact"/>
              <w:ind w:firstLine="210" w:firstLineChars="100"/>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 xml:space="preserve">0.5%                </w:t>
            </w:r>
          </w:p>
        </w:tc>
        <w:tc>
          <w:tcPr>
            <w:tcW w:w="1532" w:type="dxa"/>
            <w:tcBorders>
              <w:top w:val="single" w:color="auto" w:sz="4" w:space="0"/>
              <w:left w:val="single" w:color="auto" w:sz="4" w:space="0"/>
              <w:bottom w:val="single" w:color="auto" w:sz="4" w:space="0"/>
              <w:right w:val="single" w:color="auto" w:sz="4" w:space="0"/>
            </w:tcBorders>
            <w:noWrap w:val="0"/>
            <w:vAlign w:val="top"/>
          </w:tcPr>
          <w:p w14:paraId="0F0CA194">
            <w:pPr>
              <w:keepNext w:val="0"/>
              <w:keepLines w:val="0"/>
              <w:pageBreakBefore w:val="0"/>
              <w:widowControl w:val="0"/>
              <w:kinsoku/>
              <w:wordWrap/>
              <w:overflowPunct/>
              <w:topLinePunct w:val="0"/>
              <w:autoSpaceDE/>
              <w:autoSpaceDN/>
              <w:bidi w:val="0"/>
              <w:adjustRightInd/>
              <w:snapToGrid/>
              <w:spacing w:line="380" w:lineRule="exact"/>
              <w:ind w:firstLine="210" w:firstLineChars="100"/>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0.25%</w:t>
            </w:r>
          </w:p>
        </w:tc>
        <w:tc>
          <w:tcPr>
            <w:tcW w:w="1546" w:type="dxa"/>
            <w:tcBorders>
              <w:top w:val="single" w:color="auto" w:sz="4" w:space="0"/>
              <w:left w:val="single" w:color="auto" w:sz="4" w:space="0"/>
              <w:bottom w:val="single" w:color="auto" w:sz="4" w:space="0"/>
              <w:right w:val="single" w:color="auto" w:sz="4" w:space="0"/>
            </w:tcBorders>
            <w:noWrap w:val="0"/>
            <w:vAlign w:val="top"/>
          </w:tcPr>
          <w:p w14:paraId="6F29B81C">
            <w:pPr>
              <w:keepNext w:val="0"/>
              <w:keepLines w:val="0"/>
              <w:pageBreakBefore w:val="0"/>
              <w:widowControl w:val="0"/>
              <w:kinsoku/>
              <w:wordWrap/>
              <w:overflowPunct/>
              <w:topLinePunct w:val="0"/>
              <w:autoSpaceDE/>
              <w:autoSpaceDN/>
              <w:bidi w:val="0"/>
              <w:adjustRightInd/>
              <w:snapToGrid/>
              <w:spacing w:line="380" w:lineRule="exact"/>
              <w:ind w:firstLine="210" w:firstLineChars="100"/>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 xml:space="preserve">0.35% </w:t>
            </w:r>
          </w:p>
        </w:tc>
      </w:tr>
      <w:tr w14:paraId="7D198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op w:val="single" w:color="auto" w:sz="4" w:space="0"/>
              <w:left w:val="single" w:color="auto" w:sz="4" w:space="0"/>
              <w:bottom w:val="single" w:color="auto" w:sz="4" w:space="0"/>
              <w:right w:val="single" w:color="auto" w:sz="4" w:space="0"/>
            </w:tcBorders>
            <w:noWrap w:val="0"/>
            <w:vAlign w:val="top"/>
          </w:tcPr>
          <w:p w14:paraId="764F961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5000万元～1亿元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6E0F85AD">
            <w:pPr>
              <w:keepNext w:val="0"/>
              <w:keepLines w:val="0"/>
              <w:pageBreakBefore w:val="0"/>
              <w:widowControl w:val="0"/>
              <w:kinsoku/>
              <w:wordWrap/>
              <w:overflowPunct/>
              <w:topLinePunct w:val="0"/>
              <w:autoSpaceDE/>
              <w:autoSpaceDN/>
              <w:bidi w:val="0"/>
              <w:adjustRightInd/>
              <w:snapToGrid/>
              <w:spacing w:line="380" w:lineRule="exact"/>
              <w:ind w:firstLine="210" w:firstLineChars="100"/>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 xml:space="preserve">0.25%                 </w:t>
            </w:r>
          </w:p>
        </w:tc>
        <w:tc>
          <w:tcPr>
            <w:tcW w:w="1532" w:type="dxa"/>
            <w:tcBorders>
              <w:top w:val="single" w:color="auto" w:sz="4" w:space="0"/>
              <w:left w:val="single" w:color="auto" w:sz="4" w:space="0"/>
              <w:bottom w:val="single" w:color="auto" w:sz="4" w:space="0"/>
              <w:right w:val="single" w:color="auto" w:sz="4" w:space="0"/>
            </w:tcBorders>
            <w:noWrap w:val="0"/>
            <w:vAlign w:val="top"/>
          </w:tcPr>
          <w:p w14:paraId="3B56ADB0">
            <w:pPr>
              <w:keepNext w:val="0"/>
              <w:keepLines w:val="0"/>
              <w:pageBreakBefore w:val="0"/>
              <w:widowControl w:val="0"/>
              <w:kinsoku/>
              <w:wordWrap/>
              <w:overflowPunct/>
              <w:topLinePunct w:val="0"/>
              <w:autoSpaceDE/>
              <w:autoSpaceDN/>
              <w:bidi w:val="0"/>
              <w:adjustRightInd/>
              <w:snapToGrid/>
              <w:spacing w:line="380" w:lineRule="exact"/>
              <w:ind w:firstLine="210" w:firstLineChars="100"/>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0.1%</w:t>
            </w:r>
          </w:p>
        </w:tc>
        <w:tc>
          <w:tcPr>
            <w:tcW w:w="1546" w:type="dxa"/>
            <w:tcBorders>
              <w:top w:val="single" w:color="auto" w:sz="4" w:space="0"/>
              <w:left w:val="single" w:color="auto" w:sz="4" w:space="0"/>
              <w:bottom w:val="single" w:color="auto" w:sz="4" w:space="0"/>
              <w:right w:val="single" w:color="auto" w:sz="4" w:space="0"/>
            </w:tcBorders>
            <w:noWrap w:val="0"/>
            <w:vAlign w:val="top"/>
          </w:tcPr>
          <w:p w14:paraId="2CDCF33F">
            <w:pPr>
              <w:keepNext w:val="0"/>
              <w:keepLines w:val="0"/>
              <w:pageBreakBefore w:val="0"/>
              <w:widowControl w:val="0"/>
              <w:kinsoku/>
              <w:wordWrap/>
              <w:overflowPunct/>
              <w:topLinePunct w:val="0"/>
              <w:autoSpaceDE/>
              <w:autoSpaceDN/>
              <w:bidi w:val="0"/>
              <w:adjustRightInd/>
              <w:snapToGrid/>
              <w:spacing w:line="380" w:lineRule="exact"/>
              <w:ind w:firstLine="210" w:firstLineChars="100"/>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0.2%</w:t>
            </w:r>
          </w:p>
        </w:tc>
      </w:tr>
      <w:tr w14:paraId="00A42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op w:val="single" w:color="auto" w:sz="4" w:space="0"/>
              <w:left w:val="single" w:color="auto" w:sz="4" w:space="0"/>
              <w:bottom w:val="single" w:color="auto" w:sz="4" w:space="0"/>
              <w:right w:val="single" w:color="auto" w:sz="4" w:space="0"/>
            </w:tcBorders>
            <w:noWrap w:val="0"/>
            <w:vAlign w:val="top"/>
          </w:tcPr>
          <w:p w14:paraId="5218E1A0">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1～5亿元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2647F775">
            <w:pPr>
              <w:keepNext w:val="0"/>
              <w:keepLines w:val="0"/>
              <w:pageBreakBefore w:val="0"/>
              <w:widowControl w:val="0"/>
              <w:kinsoku/>
              <w:wordWrap/>
              <w:overflowPunct/>
              <w:topLinePunct w:val="0"/>
              <w:autoSpaceDE/>
              <w:autoSpaceDN/>
              <w:bidi w:val="0"/>
              <w:adjustRightInd/>
              <w:snapToGrid/>
              <w:spacing w:line="380" w:lineRule="exact"/>
              <w:ind w:firstLine="210" w:firstLineChars="100"/>
              <w:textAlignment w:val="auto"/>
              <w:rPr>
                <w:rFonts w:hint="eastAsia" w:ascii="宋体" w:hAnsi="宋体" w:cs="宋体"/>
                <w:color w:val="auto"/>
                <w:szCs w:val="21"/>
                <w:highlight w:val="none"/>
              </w:rPr>
            </w:pPr>
            <w:r>
              <w:rPr>
                <w:rFonts w:hint="eastAsia" w:ascii="宋体" w:hAnsi="宋体" w:cs="宋体"/>
                <w:color w:val="auto"/>
                <w:szCs w:val="21"/>
                <w:highlight w:val="none"/>
              </w:rPr>
              <w:t>0.05%</w:t>
            </w:r>
          </w:p>
        </w:tc>
        <w:tc>
          <w:tcPr>
            <w:tcW w:w="1532" w:type="dxa"/>
            <w:tcBorders>
              <w:top w:val="single" w:color="auto" w:sz="4" w:space="0"/>
              <w:left w:val="single" w:color="auto" w:sz="4" w:space="0"/>
              <w:bottom w:val="single" w:color="auto" w:sz="4" w:space="0"/>
              <w:right w:val="single" w:color="auto" w:sz="4" w:space="0"/>
            </w:tcBorders>
            <w:noWrap w:val="0"/>
            <w:vAlign w:val="top"/>
          </w:tcPr>
          <w:p w14:paraId="5E1BFE13">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0.05%</w:t>
            </w:r>
          </w:p>
        </w:tc>
        <w:tc>
          <w:tcPr>
            <w:tcW w:w="1546" w:type="dxa"/>
            <w:tcBorders>
              <w:top w:val="single" w:color="auto" w:sz="4" w:space="0"/>
              <w:left w:val="single" w:color="auto" w:sz="4" w:space="0"/>
              <w:bottom w:val="single" w:color="auto" w:sz="4" w:space="0"/>
              <w:right w:val="single" w:color="auto" w:sz="4" w:space="0"/>
            </w:tcBorders>
            <w:noWrap w:val="0"/>
            <w:vAlign w:val="top"/>
          </w:tcPr>
          <w:p w14:paraId="69360927">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0.05%</w:t>
            </w:r>
          </w:p>
        </w:tc>
      </w:tr>
      <w:tr w14:paraId="634B7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op w:val="single" w:color="auto" w:sz="4" w:space="0"/>
              <w:left w:val="single" w:color="auto" w:sz="4" w:space="0"/>
              <w:bottom w:val="single" w:color="auto" w:sz="4" w:space="0"/>
              <w:right w:val="single" w:color="auto" w:sz="4" w:space="0"/>
            </w:tcBorders>
            <w:noWrap w:val="0"/>
            <w:vAlign w:val="top"/>
          </w:tcPr>
          <w:p w14:paraId="041681C2">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5～10亿元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04D4EF5F">
            <w:pPr>
              <w:keepNext w:val="0"/>
              <w:keepLines w:val="0"/>
              <w:pageBreakBefore w:val="0"/>
              <w:widowControl w:val="0"/>
              <w:kinsoku/>
              <w:wordWrap/>
              <w:overflowPunct/>
              <w:topLinePunct w:val="0"/>
              <w:autoSpaceDE/>
              <w:autoSpaceDN/>
              <w:bidi w:val="0"/>
              <w:adjustRightInd/>
              <w:snapToGrid/>
              <w:spacing w:line="380" w:lineRule="exact"/>
              <w:ind w:firstLine="105" w:firstLineChars="50"/>
              <w:textAlignment w:val="auto"/>
              <w:rPr>
                <w:rFonts w:hint="eastAsia" w:ascii="宋体" w:hAnsi="宋体" w:cs="宋体"/>
                <w:color w:val="auto"/>
                <w:szCs w:val="21"/>
                <w:highlight w:val="none"/>
              </w:rPr>
            </w:pPr>
            <w:r>
              <w:rPr>
                <w:rFonts w:hint="eastAsia" w:ascii="宋体" w:hAnsi="宋体" w:cs="宋体"/>
                <w:color w:val="auto"/>
                <w:szCs w:val="21"/>
                <w:highlight w:val="none"/>
              </w:rPr>
              <w:t>0.035%</w:t>
            </w:r>
          </w:p>
        </w:tc>
        <w:tc>
          <w:tcPr>
            <w:tcW w:w="1532" w:type="dxa"/>
            <w:tcBorders>
              <w:top w:val="single" w:color="auto" w:sz="4" w:space="0"/>
              <w:left w:val="single" w:color="auto" w:sz="4" w:space="0"/>
              <w:bottom w:val="single" w:color="auto" w:sz="4" w:space="0"/>
              <w:right w:val="single" w:color="auto" w:sz="4" w:space="0"/>
            </w:tcBorders>
            <w:noWrap w:val="0"/>
            <w:vAlign w:val="top"/>
          </w:tcPr>
          <w:p w14:paraId="5E01ACCE">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0.035%</w:t>
            </w:r>
          </w:p>
        </w:tc>
        <w:tc>
          <w:tcPr>
            <w:tcW w:w="1546" w:type="dxa"/>
            <w:tcBorders>
              <w:top w:val="single" w:color="auto" w:sz="4" w:space="0"/>
              <w:left w:val="single" w:color="auto" w:sz="4" w:space="0"/>
              <w:bottom w:val="single" w:color="auto" w:sz="4" w:space="0"/>
              <w:right w:val="single" w:color="auto" w:sz="4" w:space="0"/>
            </w:tcBorders>
            <w:noWrap w:val="0"/>
            <w:vAlign w:val="top"/>
          </w:tcPr>
          <w:p w14:paraId="0A4CC358">
            <w:pPr>
              <w:keepNext w:val="0"/>
              <w:keepLines w:val="0"/>
              <w:pageBreakBefore w:val="0"/>
              <w:widowControl w:val="0"/>
              <w:kinsoku/>
              <w:wordWrap/>
              <w:overflowPunct/>
              <w:topLinePunct w:val="0"/>
              <w:autoSpaceDE/>
              <w:autoSpaceDN/>
              <w:bidi w:val="0"/>
              <w:adjustRightInd/>
              <w:snapToGrid/>
              <w:spacing w:line="380" w:lineRule="exact"/>
              <w:ind w:firstLine="105" w:firstLineChars="50"/>
              <w:textAlignment w:val="auto"/>
              <w:rPr>
                <w:rFonts w:hint="eastAsia" w:ascii="宋体" w:hAnsi="宋体" w:cs="宋体"/>
                <w:color w:val="auto"/>
                <w:szCs w:val="21"/>
                <w:highlight w:val="none"/>
              </w:rPr>
            </w:pPr>
            <w:r>
              <w:rPr>
                <w:rFonts w:hint="eastAsia" w:ascii="宋体" w:hAnsi="宋体" w:cs="宋体"/>
                <w:color w:val="auto"/>
                <w:szCs w:val="21"/>
                <w:highlight w:val="none"/>
              </w:rPr>
              <w:t>0.035%</w:t>
            </w:r>
          </w:p>
        </w:tc>
      </w:tr>
      <w:tr w14:paraId="10011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op w:val="single" w:color="auto" w:sz="4" w:space="0"/>
              <w:left w:val="single" w:color="auto" w:sz="4" w:space="0"/>
              <w:bottom w:val="single" w:color="auto" w:sz="4" w:space="0"/>
              <w:right w:val="single" w:color="auto" w:sz="4" w:space="0"/>
            </w:tcBorders>
            <w:noWrap w:val="0"/>
            <w:vAlign w:val="top"/>
          </w:tcPr>
          <w:p w14:paraId="365FBD48">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10～50亿元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0B9DB701">
            <w:pPr>
              <w:keepNext w:val="0"/>
              <w:keepLines w:val="0"/>
              <w:pageBreakBefore w:val="0"/>
              <w:widowControl w:val="0"/>
              <w:kinsoku/>
              <w:wordWrap/>
              <w:overflowPunct/>
              <w:topLinePunct w:val="0"/>
              <w:autoSpaceDE/>
              <w:autoSpaceDN/>
              <w:bidi w:val="0"/>
              <w:adjustRightInd/>
              <w:snapToGrid/>
              <w:spacing w:line="380" w:lineRule="exact"/>
              <w:ind w:firstLine="105" w:firstLineChars="50"/>
              <w:textAlignment w:val="auto"/>
              <w:rPr>
                <w:rFonts w:hint="eastAsia" w:ascii="宋体" w:hAnsi="宋体" w:cs="宋体"/>
                <w:color w:val="auto"/>
                <w:szCs w:val="21"/>
                <w:highlight w:val="none"/>
              </w:rPr>
            </w:pPr>
            <w:r>
              <w:rPr>
                <w:rFonts w:hint="eastAsia" w:ascii="宋体" w:hAnsi="宋体" w:cs="宋体"/>
                <w:color w:val="auto"/>
                <w:szCs w:val="21"/>
                <w:highlight w:val="none"/>
              </w:rPr>
              <w:t>0.008%</w:t>
            </w:r>
          </w:p>
        </w:tc>
        <w:tc>
          <w:tcPr>
            <w:tcW w:w="1532" w:type="dxa"/>
            <w:tcBorders>
              <w:top w:val="single" w:color="auto" w:sz="4" w:space="0"/>
              <w:left w:val="single" w:color="auto" w:sz="4" w:space="0"/>
              <w:bottom w:val="single" w:color="auto" w:sz="4" w:space="0"/>
              <w:right w:val="single" w:color="auto" w:sz="4" w:space="0"/>
            </w:tcBorders>
            <w:noWrap w:val="0"/>
            <w:vAlign w:val="top"/>
          </w:tcPr>
          <w:p w14:paraId="1F9ED4EE">
            <w:pPr>
              <w:keepNext w:val="0"/>
              <w:keepLines w:val="0"/>
              <w:pageBreakBefore w:val="0"/>
              <w:widowControl w:val="0"/>
              <w:kinsoku/>
              <w:wordWrap/>
              <w:overflowPunct/>
              <w:topLinePunct w:val="0"/>
              <w:autoSpaceDE/>
              <w:autoSpaceDN/>
              <w:bidi w:val="0"/>
              <w:adjustRightInd/>
              <w:snapToGrid/>
              <w:spacing w:line="380" w:lineRule="exact"/>
              <w:ind w:firstLine="210" w:firstLineChars="100"/>
              <w:textAlignment w:val="auto"/>
              <w:rPr>
                <w:rFonts w:hint="eastAsia" w:ascii="宋体" w:hAnsi="宋体" w:cs="宋体"/>
                <w:color w:val="auto"/>
                <w:szCs w:val="21"/>
                <w:highlight w:val="none"/>
              </w:rPr>
            </w:pPr>
            <w:r>
              <w:rPr>
                <w:rFonts w:hint="eastAsia" w:ascii="宋体" w:hAnsi="宋体" w:cs="宋体"/>
                <w:color w:val="auto"/>
                <w:szCs w:val="21"/>
                <w:highlight w:val="none"/>
              </w:rPr>
              <w:t>0.008%</w:t>
            </w:r>
          </w:p>
        </w:tc>
        <w:tc>
          <w:tcPr>
            <w:tcW w:w="1546" w:type="dxa"/>
            <w:tcBorders>
              <w:top w:val="single" w:color="auto" w:sz="4" w:space="0"/>
              <w:left w:val="single" w:color="auto" w:sz="4" w:space="0"/>
              <w:bottom w:val="single" w:color="auto" w:sz="4" w:space="0"/>
              <w:right w:val="single" w:color="auto" w:sz="4" w:space="0"/>
            </w:tcBorders>
            <w:noWrap w:val="0"/>
            <w:vAlign w:val="top"/>
          </w:tcPr>
          <w:p w14:paraId="6DF126E8">
            <w:pPr>
              <w:keepNext w:val="0"/>
              <w:keepLines w:val="0"/>
              <w:pageBreakBefore w:val="0"/>
              <w:widowControl w:val="0"/>
              <w:kinsoku/>
              <w:wordWrap/>
              <w:overflowPunct/>
              <w:topLinePunct w:val="0"/>
              <w:autoSpaceDE/>
              <w:autoSpaceDN/>
              <w:bidi w:val="0"/>
              <w:adjustRightInd/>
              <w:snapToGrid/>
              <w:spacing w:line="380" w:lineRule="exact"/>
              <w:ind w:firstLine="105" w:firstLineChars="50"/>
              <w:textAlignment w:val="auto"/>
              <w:rPr>
                <w:rFonts w:hint="eastAsia" w:ascii="宋体" w:hAnsi="宋体" w:cs="宋体"/>
                <w:color w:val="auto"/>
                <w:szCs w:val="21"/>
                <w:highlight w:val="none"/>
              </w:rPr>
            </w:pPr>
            <w:r>
              <w:rPr>
                <w:rFonts w:hint="eastAsia" w:ascii="宋体" w:hAnsi="宋体" w:cs="宋体"/>
                <w:color w:val="auto"/>
                <w:szCs w:val="21"/>
                <w:highlight w:val="none"/>
              </w:rPr>
              <w:t>0.008%</w:t>
            </w:r>
          </w:p>
        </w:tc>
      </w:tr>
      <w:tr w14:paraId="46F02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op w:val="single" w:color="auto" w:sz="4" w:space="0"/>
              <w:left w:val="single" w:color="auto" w:sz="4" w:space="0"/>
              <w:bottom w:val="single" w:color="auto" w:sz="4" w:space="0"/>
              <w:right w:val="single" w:color="auto" w:sz="4" w:space="0"/>
            </w:tcBorders>
            <w:noWrap w:val="0"/>
            <w:vAlign w:val="top"/>
          </w:tcPr>
          <w:p w14:paraId="50E684A5">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50～100亿元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0564874F">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0.006%</w:t>
            </w:r>
          </w:p>
        </w:tc>
        <w:tc>
          <w:tcPr>
            <w:tcW w:w="1532" w:type="dxa"/>
            <w:tcBorders>
              <w:top w:val="single" w:color="auto" w:sz="4" w:space="0"/>
              <w:left w:val="single" w:color="auto" w:sz="4" w:space="0"/>
              <w:bottom w:val="single" w:color="auto" w:sz="4" w:space="0"/>
              <w:right w:val="single" w:color="auto" w:sz="4" w:space="0"/>
            </w:tcBorders>
            <w:noWrap w:val="0"/>
            <w:vAlign w:val="top"/>
          </w:tcPr>
          <w:p w14:paraId="0230B37B">
            <w:pPr>
              <w:keepNext w:val="0"/>
              <w:keepLines w:val="0"/>
              <w:pageBreakBefore w:val="0"/>
              <w:widowControl w:val="0"/>
              <w:kinsoku/>
              <w:wordWrap/>
              <w:overflowPunct/>
              <w:topLinePunct w:val="0"/>
              <w:autoSpaceDE/>
              <w:autoSpaceDN/>
              <w:bidi w:val="0"/>
              <w:adjustRightInd/>
              <w:snapToGrid/>
              <w:spacing w:line="380" w:lineRule="exact"/>
              <w:ind w:firstLine="210" w:firstLineChars="100"/>
              <w:textAlignment w:val="auto"/>
              <w:rPr>
                <w:rFonts w:hint="eastAsia" w:ascii="宋体" w:hAnsi="宋体" w:cs="宋体"/>
                <w:color w:val="auto"/>
                <w:szCs w:val="21"/>
                <w:highlight w:val="none"/>
              </w:rPr>
            </w:pPr>
            <w:r>
              <w:rPr>
                <w:rFonts w:hint="eastAsia" w:ascii="宋体" w:hAnsi="宋体" w:cs="宋体"/>
                <w:color w:val="auto"/>
                <w:szCs w:val="21"/>
                <w:highlight w:val="none"/>
              </w:rPr>
              <w:t>0.006%</w:t>
            </w:r>
          </w:p>
        </w:tc>
        <w:tc>
          <w:tcPr>
            <w:tcW w:w="1546" w:type="dxa"/>
            <w:tcBorders>
              <w:top w:val="single" w:color="auto" w:sz="4" w:space="0"/>
              <w:left w:val="single" w:color="auto" w:sz="4" w:space="0"/>
              <w:bottom w:val="single" w:color="auto" w:sz="4" w:space="0"/>
              <w:right w:val="single" w:color="auto" w:sz="4" w:space="0"/>
            </w:tcBorders>
            <w:noWrap w:val="0"/>
            <w:vAlign w:val="top"/>
          </w:tcPr>
          <w:p w14:paraId="5C742CF6">
            <w:pPr>
              <w:keepNext w:val="0"/>
              <w:keepLines w:val="0"/>
              <w:pageBreakBefore w:val="0"/>
              <w:widowControl w:val="0"/>
              <w:kinsoku/>
              <w:wordWrap/>
              <w:overflowPunct/>
              <w:topLinePunct w:val="0"/>
              <w:autoSpaceDE/>
              <w:autoSpaceDN/>
              <w:bidi w:val="0"/>
              <w:adjustRightInd/>
              <w:snapToGrid/>
              <w:spacing w:line="380" w:lineRule="exact"/>
              <w:ind w:firstLine="105" w:firstLineChars="50"/>
              <w:textAlignment w:val="auto"/>
              <w:rPr>
                <w:rFonts w:hint="eastAsia" w:ascii="宋体" w:hAnsi="宋体" w:cs="宋体"/>
                <w:color w:val="auto"/>
                <w:szCs w:val="21"/>
                <w:highlight w:val="none"/>
              </w:rPr>
            </w:pPr>
            <w:r>
              <w:rPr>
                <w:rFonts w:hint="eastAsia" w:ascii="宋体" w:hAnsi="宋体" w:cs="宋体"/>
                <w:color w:val="auto"/>
                <w:szCs w:val="21"/>
                <w:highlight w:val="none"/>
              </w:rPr>
              <w:t>0.006%</w:t>
            </w:r>
          </w:p>
        </w:tc>
      </w:tr>
      <w:tr w14:paraId="1A14D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op w:val="single" w:color="auto" w:sz="4" w:space="0"/>
              <w:left w:val="single" w:color="auto" w:sz="4" w:space="0"/>
              <w:bottom w:val="single" w:color="auto" w:sz="4" w:space="0"/>
              <w:right w:val="single" w:color="auto" w:sz="4" w:space="0"/>
            </w:tcBorders>
            <w:noWrap w:val="0"/>
            <w:vAlign w:val="top"/>
          </w:tcPr>
          <w:p w14:paraId="6D83EB33">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100亿</w:t>
            </w:r>
            <w:r>
              <w:rPr>
                <w:rFonts w:hint="eastAsia" w:ascii="宋体" w:hAnsi="宋体" w:cs="宋体"/>
                <w:color w:val="auto"/>
                <w:szCs w:val="21"/>
                <w:highlight w:val="none"/>
                <w:lang w:val="en-US" w:eastAsia="zh-CN"/>
              </w:rPr>
              <w:t>元</w:t>
            </w:r>
            <w:r>
              <w:rPr>
                <w:rFonts w:hint="eastAsia" w:ascii="宋体" w:hAnsi="宋体" w:cs="宋体"/>
                <w:color w:val="auto"/>
                <w:szCs w:val="21"/>
                <w:highlight w:val="none"/>
              </w:rPr>
              <w:t>以上</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7921DAEC">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0.004%</w:t>
            </w:r>
          </w:p>
        </w:tc>
        <w:tc>
          <w:tcPr>
            <w:tcW w:w="1532" w:type="dxa"/>
            <w:tcBorders>
              <w:top w:val="single" w:color="auto" w:sz="4" w:space="0"/>
              <w:left w:val="single" w:color="auto" w:sz="4" w:space="0"/>
              <w:bottom w:val="single" w:color="auto" w:sz="4" w:space="0"/>
              <w:right w:val="single" w:color="auto" w:sz="4" w:space="0"/>
            </w:tcBorders>
            <w:noWrap w:val="0"/>
            <w:vAlign w:val="top"/>
          </w:tcPr>
          <w:p w14:paraId="105FA0B8">
            <w:pPr>
              <w:keepNext w:val="0"/>
              <w:keepLines w:val="0"/>
              <w:pageBreakBefore w:val="0"/>
              <w:widowControl w:val="0"/>
              <w:kinsoku/>
              <w:wordWrap/>
              <w:overflowPunct/>
              <w:topLinePunct w:val="0"/>
              <w:autoSpaceDE/>
              <w:autoSpaceDN/>
              <w:bidi w:val="0"/>
              <w:adjustRightInd/>
              <w:snapToGrid/>
              <w:spacing w:line="380" w:lineRule="exact"/>
              <w:ind w:firstLine="210" w:firstLineChars="100"/>
              <w:textAlignment w:val="auto"/>
              <w:rPr>
                <w:rFonts w:hint="eastAsia" w:ascii="宋体" w:hAnsi="宋体" w:cs="宋体"/>
                <w:color w:val="auto"/>
                <w:szCs w:val="21"/>
                <w:highlight w:val="none"/>
              </w:rPr>
            </w:pPr>
            <w:r>
              <w:rPr>
                <w:rFonts w:hint="eastAsia" w:ascii="宋体" w:hAnsi="宋体" w:cs="宋体"/>
                <w:color w:val="auto"/>
                <w:szCs w:val="21"/>
                <w:highlight w:val="none"/>
              </w:rPr>
              <w:t>0.004%</w:t>
            </w:r>
          </w:p>
        </w:tc>
        <w:tc>
          <w:tcPr>
            <w:tcW w:w="1546" w:type="dxa"/>
            <w:tcBorders>
              <w:top w:val="single" w:color="auto" w:sz="4" w:space="0"/>
              <w:left w:val="single" w:color="auto" w:sz="4" w:space="0"/>
              <w:bottom w:val="single" w:color="auto" w:sz="4" w:space="0"/>
              <w:right w:val="single" w:color="auto" w:sz="4" w:space="0"/>
            </w:tcBorders>
            <w:noWrap w:val="0"/>
            <w:vAlign w:val="top"/>
          </w:tcPr>
          <w:p w14:paraId="5BA7AD8B">
            <w:pPr>
              <w:keepNext w:val="0"/>
              <w:keepLines w:val="0"/>
              <w:pageBreakBefore w:val="0"/>
              <w:widowControl w:val="0"/>
              <w:kinsoku/>
              <w:wordWrap/>
              <w:overflowPunct/>
              <w:topLinePunct w:val="0"/>
              <w:autoSpaceDE/>
              <w:autoSpaceDN/>
              <w:bidi w:val="0"/>
              <w:adjustRightInd/>
              <w:snapToGrid/>
              <w:spacing w:line="380" w:lineRule="exact"/>
              <w:ind w:firstLine="105" w:firstLineChars="50"/>
              <w:textAlignment w:val="auto"/>
              <w:rPr>
                <w:rFonts w:hint="eastAsia" w:ascii="宋体" w:hAnsi="宋体" w:cs="宋体"/>
                <w:color w:val="auto"/>
                <w:szCs w:val="21"/>
                <w:highlight w:val="none"/>
              </w:rPr>
            </w:pPr>
            <w:r>
              <w:rPr>
                <w:rFonts w:hint="eastAsia" w:ascii="宋体" w:hAnsi="宋体" w:cs="宋体"/>
                <w:color w:val="auto"/>
                <w:szCs w:val="21"/>
                <w:highlight w:val="none"/>
              </w:rPr>
              <w:t>0.004%</w:t>
            </w:r>
          </w:p>
        </w:tc>
      </w:tr>
    </w:tbl>
    <w:p w14:paraId="22A78999">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ascii="宋体" w:hAnsi="宋体" w:cs="宋体"/>
          <w:color w:val="auto"/>
          <w:highlight w:val="none"/>
        </w:rPr>
      </w:pPr>
      <w:r>
        <w:rPr>
          <w:rFonts w:ascii="宋体" w:hAnsi="宋体" w:cs="宋体"/>
          <w:color w:val="auto"/>
          <w:highlight w:val="none"/>
        </w:rPr>
        <w:t>注：</w:t>
      </w:r>
    </w:p>
    <w:p w14:paraId="56123875">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（1）</w:t>
      </w:r>
      <w:r>
        <w:rPr>
          <w:rFonts w:ascii="宋体" w:hAnsi="宋体" w:cs="宋体"/>
          <w:color w:val="auto"/>
          <w:highlight w:val="none"/>
        </w:rPr>
        <w:t>按本表费率计算的收费为</w:t>
      </w:r>
      <w:r>
        <w:rPr>
          <w:rFonts w:hint="eastAsia" w:ascii="宋体" w:hAnsi="宋体" w:cs="宋体"/>
          <w:color w:val="auto"/>
          <w:highlight w:val="none"/>
        </w:rPr>
        <w:t>采购</w:t>
      </w:r>
      <w:r>
        <w:rPr>
          <w:rFonts w:ascii="宋体" w:hAnsi="宋体" w:cs="宋体"/>
          <w:color w:val="auto"/>
          <w:highlight w:val="none"/>
        </w:rPr>
        <w:t>代理的收费基准价格</w:t>
      </w:r>
      <w:r>
        <w:rPr>
          <w:rFonts w:hint="eastAsia" w:ascii="宋体" w:hAnsi="宋体" w:cs="宋体"/>
          <w:color w:val="auto"/>
          <w:highlight w:val="none"/>
        </w:rPr>
        <w:t>；</w:t>
      </w:r>
    </w:p>
    <w:p w14:paraId="3EF8AEFA">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（2）采购</w:t>
      </w:r>
      <w:r>
        <w:rPr>
          <w:rFonts w:ascii="宋体" w:hAnsi="宋体" w:cs="宋体"/>
          <w:color w:val="auto"/>
          <w:highlight w:val="none"/>
        </w:rPr>
        <w:t>代理收费按差额定率累进法计算。</w:t>
      </w:r>
    </w:p>
    <w:p w14:paraId="2F76D554">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ascii="宋体" w:hAnsi="宋体" w:cs="宋体"/>
          <w:color w:val="auto"/>
          <w:highlight w:val="none"/>
        </w:rPr>
      </w:pPr>
      <w:r>
        <w:rPr>
          <w:rFonts w:ascii="宋体" w:hAnsi="宋体" w:cs="宋体"/>
          <w:color w:val="auto"/>
          <w:highlight w:val="none"/>
        </w:rPr>
        <w:t>例如：某</w:t>
      </w:r>
      <w:r>
        <w:rPr>
          <w:rFonts w:hint="eastAsia" w:ascii="宋体" w:hAnsi="宋体" w:cs="宋体"/>
          <w:color w:val="auto"/>
          <w:highlight w:val="none"/>
        </w:rPr>
        <w:t>服务采购</w:t>
      </w:r>
      <w:r>
        <w:rPr>
          <w:rFonts w:ascii="宋体" w:hAnsi="宋体" w:cs="宋体"/>
          <w:color w:val="auto"/>
          <w:highlight w:val="none"/>
        </w:rPr>
        <w:t>代理业务</w:t>
      </w:r>
      <w:r>
        <w:rPr>
          <w:rFonts w:hint="eastAsia" w:ascii="宋体" w:hAnsi="宋体" w:cs="Times New Roman"/>
          <w:color w:val="auto"/>
          <w:szCs w:val="21"/>
          <w:highlight w:val="none"/>
          <w:lang w:val="en-US" w:eastAsia="zh-CN"/>
        </w:rPr>
        <w:t>预算</w:t>
      </w:r>
      <w:r>
        <w:rPr>
          <w:rFonts w:hint="eastAsia" w:ascii="宋体" w:hAnsi="宋体" w:eastAsia="宋体" w:cs="Times New Roman"/>
          <w:color w:val="auto"/>
          <w:szCs w:val="21"/>
          <w:highlight w:val="none"/>
          <w:lang w:val="en-US" w:eastAsia="zh-CN"/>
        </w:rPr>
        <w:t>金额</w:t>
      </w:r>
      <w:r>
        <w:rPr>
          <w:rFonts w:hint="eastAsia" w:ascii="宋体" w:hAnsi="宋体" w:cs="宋体"/>
          <w:color w:val="auto"/>
          <w:highlight w:val="none"/>
        </w:rPr>
        <w:t>或者暂定价</w:t>
      </w:r>
      <w:r>
        <w:rPr>
          <w:rFonts w:ascii="宋体" w:hAnsi="宋体" w:cs="宋体"/>
          <w:color w:val="auto"/>
          <w:highlight w:val="none"/>
        </w:rPr>
        <w:t>为150万元，计算</w:t>
      </w:r>
      <w:r>
        <w:rPr>
          <w:rFonts w:hint="eastAsia" w:ascii="宋体" w:hAnsi="宋体" w:cs="宋体"/>
          <w:color w:val="auto"/>
          <w:highlight w:val="none"/>
        </w:rPr>
        <w:t>采购</w:t>
      </w:r>
      <w:r>
        <w:rPr>
          <w:rFonts w:ascii="宋体" w:hAnsi="宋体" w:cs="宋体"/>
          <w:color w:val="auto"/>
          <w:highlight w:val="none"/>
        </w:rPr>
        <w:t>代理收费额如下：</w:t>
      </w:r>
    </w:p>
    <w:p w14:paraId="4F18A0E1">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ascii="宋体" w:hAnsi="宋体" w:cs="宋体"/>
          <w:color w:val="auto"/>
          <w:highlight w:val="none"/>
        </w:rPr>
      </w:pPr>
      <w:r>
        <w:rPr>
          <w:rFonts w:ascii="宋体" w:hAnsi="宋体" w:cs="宋体"/>
          <w:color w:val="auto"/>
          <w:highlight w:val="none"/>
        </w:rPr>
        <w:t>100 万元 ×l.5 %＝ 1.5 万元</w:t>
      </w:r>
    </w:p>
    <w:p w14:paraId="64EB35D5">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ascii="宋体" w:hAnsi="宋体" w:cs="宋体"/>
          <w:color w:val="auto"/>
          <w:highlight w:val="none"/>
        </w:rPr>
      </w:pPr>
      <w:r>
        <w:rPr>
          <w:rFonts w:ascii="宋体" w:hAnsi="宋体" w:cs="宋体"/>
          <w:color w:val="auto"/>
          <w:highlight w:val="none"/>
        </w:rPr>
        <w:t>（ 150 － 100 ）万元 ×0.8%＝ 0.4万元</w:t>
      </w:r>
    </w:p>
    <w:p w14:paraId="6EC5D14C">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ascii="宋体" w:hAnsi="宋体" w:cs="宋体"/>
          <w:color w:val="auto"/>
          <w:highlight w:val="none"/>
        </w:rPr>
      </w:pPr>
      <w:r>
        <w:rPr>
          <w:rFonts w:hint="eastAsia" w:ascii="宋体" w:hAnsi="宋体" w:cs="宋体"/>
          <w:color w:val="auto"/>
          <w:highlight w:val="none"/>
          <w:lang w:val="en-US" w:eastAsia="zh-CN"/>
        </w:rPr>
        <w:t>实际</w:t>
      </w:r>
      <w:r>
        <w:rPr>
          <w:rFonts w:ascii="宋体" w:hAnsi="宋体" w:cs="宋体"/>
          <w:color w:val="auto"/>
          <w:highlight w:val="none"/>
        </w:rPr>
        <w:t xml:space="preserve">合计收费＝ </w:t>
      </w:r>
      <w:r>
        <w:rPr>
          <w:rFonts w:hint="eastAsia" w:ascii="宋体" w:hAnsi="宋体" w:cs="宋体"/>
          <w:color w:val="auto"/>
          <w:highlight w:val="none"/>
          <w:lang w:eastAsia="zh-CN"/>
        </w:rPr>
        <w:t>（</w:t>
      </w:r>
      <w:r>
        <w:rPr>
          <w:rFonts w:ascii="宋体" w:hAnsi="宋体" w:cs="宋体"/>
          <w:color w:val="auto"/>
          <w:highlight w:val="none"/>
        </w:rPr>
        <w:t>1.5 ＋ 0.4</w:t>
      </w:r>
      <w:r>
        <w:rPr>
          <w:rFonts w:hint="eastAsia" w:ascii="宋体" w:hAnsi="宋体" w:cs="宋体"/>
          <w:color w:val="auto"/>
          <w:highlight w:val="none"/>
          <w:lang w:eastAsia="zh-CN"/>
        </w:rPr>
        <w:t>）</w:t>
      </w:r>
      <w:r>
        <w:rPr>
          <w:rFonts w:hint="eastAsia" w:ascii="宋体" w:hAnsi="宋体" w:cs="宋体"/>
          <w:color w:val="auto"/>
          <w:highlight w:val="none"/>
          <w:lang w:val="en-US" w:eastAsia="zh-CN"/>
        </w:rPr>
        <w:t>*80%</w:t>
      </w:r>
      <w:r>
        <w:rPr>
          <w:rFonts w:ascii="宋体" w:hAnsi="宋体" w:cs="宋体"/>
          <w:color w:val="auto"/>
          <w:highlight w:val="none"/>
        </w:rPr>
        <w:t>＝ 1.</w:t>
      </w:r>
      <w:r>
        <w:rPr>
          <w:rFonts w:hint="eastAsia" w:ascii="宋体" w:hAnsi="宋体" w:cs="宋体"/>
          <w:color w:val="auto"/>
          <w:highlight w:val="none"/>
          <w:lang w:val="en-US" w:eastAsia="zh-CN"/>
        </w:rPr>
        <w:t>52</w:t>
      </w:r>
      <w:r>
        <w:rPr>
          <w:rFonts w:ascii="宋体" w:hAnsi="宋体" w:cs="宋体"/>
          <w:color w:val="auto"/>
          <w:highlight w:val="none"/>
        </w:rPr>
        <w:t xml:space="preserve"> 万元</w:t>
      </w:r>
    </w:p>
    <w:p w14:paraId="3A36AB0D">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w:t>
      </w:r>
      <w:r>
        <w:rPr>
          <w:rFonts w:ascii="黑体" w:hAnsi="黑体" w:eastAsia="黑体" w:cs="宋体"/>
          <w:b/>
          <w:bCs/>
          <w:color w:val="auto"/>
          <w:sz w:val="24"/>
          <w:highlight w:val="none"/>
        </w:rPr>
        <w:t>3.需要补充的其他内容</w:t>
      </w:r>
    </w:p>
    <w:p w14:paraId="26855A55">
      <w:pPr>
        <w:pStyle w:val="42"/>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hAnsi="宋体" w:cs="宋体"/>
          <w:color w:val="auto"/>
          <w:kern w:val="2"/>
          <w:sz w:val="21"/>
          <w:highlight w:val="none"/>
        </w:rPr>
      </w:pPr>
      <w:r>
        <w:rPr>
          <w:rFonts w:hint="eastAsia" w:hAnsi="宋体" w:cs="宋体"/>
          <w:color w:val="auto"/>
          <w:kern w:val="2"/>
          <w:sz w:val="21"/>
          <w:highlight w:val="none"/>
        </w:rPr>
        <w:t>3</w:t>
      </w:r>
      <w:r>
        <w:rPr>
          <w:rFonts w:hAnsi="宋体" w:cs="宋体"/>
          <w:color w:val="auto"/>
          <w:kern w:val="2"/>
          <w:sz w:val="21"/>
          <w:highlight w:val="none"/>
        </w:rPr>
        <w:t>3.1</w:t>
      </w:r>
      <w:r>
        <w:rPr>
          <w:rFonts w:hint="eastAsia" w:hAnsi="宋体" w:cs="宋体"/>
          <w:color w:val="auto"/>
          <w:kern w:val="2"/>
          <w:sz w:val="21"/>
          <w:highlight w:val="none"/>
        </w:rPr>
        <w:t>本磋商文件解释规则详见“供应商须知前附表”。</w:t>
      </w:r>
    </w:p>
    <w:p w14:paraId="2E07FA89">
      <w:pPr>
        <w:pStyle w:val="42"/>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Ansi="宋体" w:cs="宋体"/>
          <w:color w:val="auto"/>
          <w:kern w:val="2"/>
          <w:sz w:val="21"/>
          <w:highlight w:val="none"/>
        </w:rPr>
      </w:pPr>
      <w:r>
        <w:rPr>
          <w:rFonts w:hAnsi="宋体" w:cs="宋体"/>
          <w:color w:val="auto"/>
          <w:kern w:val="2"/>
          <w:sz w:val="21"/>
          <w:highlight w:val="none"/>
        </w:rPr>
        <w:t>33.2</w:t>
      </w:r>
      <w:r>
        <w:rPr>
          <w:rFonts w:hint="eastAsia" w:hAnsi="宋体" w:cs="宋体"/>
          <w:color w:val="auto"/>
          <w:kern w:val="2"/>
          <w:sz w:val="21"/>
          <w:highlight w:val="none"/>
        </w:rPr>
        <w:t xml:space="preserve"> 其他事项详见“供应商须知前附表”。</w:t>
      </w:r>
    </w:p>
    <w:p w14:paraId="706CF893">
      <w:pPr>
        <w:pStyle w:val="42"/>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hAnsi="宋体" w:cs="宋体"/>
          <w:color w:val="auto"/>
          <w:kern w:val="2"/>
          <w:sz w:val="21"/>
          <w:highlight w:val="none"/>
        </w:rPr>
      </w:pPr>
      <w:r>
        <w:rPr>
          <w:rFonts w:hint="eastAsia" w:hAnsi="宋体" w:cs="宋体"/>
          <w:color w:val="auto"/>
          <w:kern w:val="2"/>
          <w:sz w:val="21"/>
          <w:highlight w:val="none"/>
        </w:rPr>
        <w:t>3</w:t>
      </w:r>
      <w:r>
        <w:rPr>
          <w:rFonts w:hAnsi="宋体" w:cs="宋体"/>
          <w:color w:val="auto"/>
          <w:kern w:val="2"/>
          <w:sz w:val="21"/>
          <w:highlight w:val="none"/>
        </w:rPr>
        <w:t>3.3</w:t>
      </w:r>
      <w:r>
        <w:rPr>
          <w:rFonts w:hint="eastAsia" w:hAnsi="宋体" w:cs="宋体"/>
          <w:color w:val="auto"/>
          <w:kern w:val="2"/>
          <w:sz w:val="21"/>
          <w:highlight w:val="none"/>
        </w:rPr>
        <w:t>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16AE7C50">
      <w:pPr>
        <w:pStyle w:val="42"/>
        <w:keepNext w:val="0"/>
        <w:keepLines w:val="0"/>
        <w:pageBreakBefore w:val="0"/>
        <w:widowControl w:val="0"/>
        <w:kinsoku/>
        <w:wordWrap/>
        <w:overflowPunct/>
        <w:topLinePunct w:val="0"/>
        <w:autoSpaceDE/>
        <w:autoSpaceDN/>
        <w:bidi w:val="0"/>
        <w:adjustRightInd/>
        <w:snapToGrid/>
        <w:spacing w:line="380" w:lineRule="exact"/>
        <w:ind w:firstLine="420" w:firstLineChars="200"/>
        <w:contextualSpacing/>
        <w:textAlignment w:val="auto"/>
        <w:rPr>
          <w:rFonts w:hint="eastAsia" w:hAnsi="宋体"/>
          <w:color w:val="auto"/>
          <w:sz w:val="21"/>
          <w:highlight w:val="none"/>
        </w:rPr>
      </w:pPr>
      <w:r>
        <w:rPr>
          <w:rFonts w:hint="eastAsia" w:hAnsi="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1C34F30D">
      <w:pPr>
        <w:pStyle w:val="42"/>
        <w:keepNext w:val="0"/>
        <w:keepLines w:val="0"/>
        <w:pageBreakBefore w:val="0"/>
        <w:widowControl w:val="0"/>
        <w:kinsoku/>
        <w:wordWrap/>
        <w:overflowPunct/>
        <w:topLinePunct w:val="0"/>
        <w:autoSpaceDE/>
        <w:autoSpaceDN/>
        <w:bidi w:val="0"/>
        <w:adjustRightInd/>
        <w:snapToGrid/>
        <w:spacing w:line="380" w:lineRule="exact"/>
        <w:ind w:firstLine="420" w:firstLineChars="200"/>
        <w:contextualSpacing/>
        <w:textAlignment w:val="auto"/>
        <w:rPr>
          <w:rFonts w:hint="eastAsia" w:hAnsi="宋体"/>
          <w:color w:val="auto"/>
          <w:sz w:val="21"/>
          <w:highlight w:val="none"/>
        </w:rPr>
      </w:pPr>
      <w:r>
        <w:rPr>
          <w:rFonts w:hint="eastAsia" w:hAnsi="宋体"/>
          <w:color w:val="auto"/>
          <w:sz w:val="21"/>
          <w:highlight w:val="none"/>
        </w:rPr>
        <w:t>（2）在工程采购项目中，工程由中小企业承建，即工程施工单位为中小企业，不对其中涉及的货物的制造商和服务的承接商作出要求；</w:t>
      </w:r>
    </w:p>
    <w:p w14:paraId="68D63C14">
      <w:pPr>
        <w:pStyle w:val="42"/>
        <w:keepNext w:val="0"/>
        <w:keepLines w:val="0"/>
        <w:pageBreakBefore w:val="0"/>
        <w:widowControl w:val="0"/>
        <w:kinsoku/>
        <w:wordWrap/>
        <w:overflowPunct/>
        <w:topLinePunct w:val="0"/>
        <w:autoSpaceDE/>
        <w:autoSpaceDN/>
        <w:bidi w:val="0"/>
        <w:adjustRightInd/>
        <w:snapToGrid/>
        <w:spacing w:line="380" w:lineRule="exact"/>
        <w:ind w:firstLine="420" w:firstLineChars="200"/>
        <w:contextualSpacing/>
        <w:textAlignment w:val="auto"/>
        <w:rPr>
          <w:rFonts w:hint="eastAsia" w:hAnsi="宋体"/>
          <w:color w:val="auto"/>
          <w:sz w:val="21"/>
          <w:highlight w:val="none"/>
        </w:rPr>
      </w:pPr>
      <w:r>
        <w:rPr>
          <w:rFonts w:hint="eastAsia" w:hAnsi="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11989950">
      <w:pPr>
        <w:pStyle w:val="42"/>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hAnsi="宋体" w:cs="宋体"/>
          <w:color w:val="auto"/>
          <w:kern w:val="2"/>
          <w:sz w:val="21"/>
          <w:highlight w:val="none"/>
        </w:rPr>
      </w:pPr>
      <w:r>
        <w:rPr>
          <w:rFonts w:hint="eastAsia" w:hAnsi="宋体" w:cs="宋体"/>
          <w:color w:val="auto"/>
          <w:kern w:val="2"/>
          <w:sz w:val="21"/>
          <w:highlight w:val="none"/>
        </w:rPr>
        <w:t>在货物采购项目中，供应商提供的货物既有中小企业制造货物，也有大型企业制造货物的，不享受本磋商文件规定的中小企业扶持政策。</w:t>
      </w:r>
    </w:p>
    <w:p w14:paraId="69192B0E">
      <w:pPr>
        <w:pStyle w:val="42"/>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hAnsi="宋体" w:cs="宋体"/>
          <w:color w:val="auto"/>
          <w:kern w:val="2"/>
          <w:sz w:val="21"/>
          <w:highlight w:val="none"/>
        </w:rPr>
      </w:pPr>
      <w:r>
        <w:rPr>
          <w:rFonts w:hint="eastAsia" w:hAnsi="宋体" w:cs="宋体"/>
          <w:color w:val="auto"/>
          <w:kern w:val="2"/>
          <w:sz w:val="21"/>
          <w:highlight w:val="none"/>
        </w:rPr>
        <w:t>依据本磋商文件规定享受扶持政策获得政府采购合同的，小微企业不得将合同分包给大中型企业，中型企业不得将合同分包给大型企业。</w:t>
      </w:r>
    </w:p>
    <w:p w14:paraId="36987EE8">
      <w:pPr>
        <w:rPr>
          <w:rFonts w:hint="eastAsia" w:hAnsi="宋体" w:cs="宋体"/>
          <w:color w:val="auto"/>
          <w:kern w:val="2"/>
          <w:sz w:val="21"/>
          <w:highlight w:val="none"/>
        </w:rPr>
      </w:pPr>
    </w:p>
    <w:p w14:paraId="441CECBF">
      <w:pPr>
        <w:pStyle w:val="19"/>
        <w:keepNext/>
        <w:keepLines/>
        <w:pageBreakBefore w:val="0"/>
        <w:widowControl/>
        <w:numPr>
          <w:ilvl w:val="0"/>
          <w:numId w:val="0"/>
        </w:numPr>
        <w:kinsoku/>
        <w:wordWrap/>
        <w:overflowPunct/>
        <w:topLinePunct w:val="0"/>
        <w:autoSpaceDE/>
        <w:autoSpaceDN/>
        <w:bidi w:val="0"/>
        <w:spacing w:line="240" w:lineRule="auto"/>
        <w:jc w:val="center"/>
        <w:rPr>
          <w:rFonts w:hint="eastAsia"/>
          <w:color w:val="auto"/>
          <w:highlight w:val="none"/>
        </w:rPr>
      </w:pPr>
      <w:bookmarkStart w:id="78" w:name="_Toc74323458"/>
      <w:r>
        <w:rPr>
          <w:rFonts w:hint="eastAsia"/>
          <w:color w:val="auto"/>
          <w:highlight w:val="none"/>
        </w:rPr>
        <w:t>第三章 采购需求</w:t>
      </w:r>
      <w:bookmarkEnd w:id="78"/>
    </w:p>
    <w:p w14:paraId="3D6B3CC9">
      <w:pPr>
        <w:keepNext w:val="0"/>
        <w:keepLines w:val="0"/>
        <w:pageBreakBefore w:val="0"/>
        <w:widowControl w:val="0"/>
        <w:kinsoku/>
        <w:wordWrap/>
        <w:overflowPunct/>
        <w:topLinePunct w:val="0"/>
        <w:autoSpaceDE/>
        <w:autoSpaceDN/>
        <w:bidi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rPr>
        <w:t>说明：</w:t>
      </w:r>
    </w:p>
    <w:p w14:paraId="6239978E">
      <w:pPr>
        <w:keepNext w:val="0"/>
        <w:keepLines w:val="0"/>
        <w:pageBreakBefore w:val="0"/>
        <w:widowControl w:val="0"/>
        <w:kinsoku/>
        <w:wordWrap/>
        <w:overflowPunct/>
        <w:topLinePunct w:val="0"/>
        <w:autoSpaceDE/>
        <w:autoSpaceDN/>
        <w:bidi w:val="0"/>
        <w:spacing w:line="360" w:lineRule="exact"/>
        <w:ind w:firstLine="420" w:firstLineChars="200"/>
        <w:jc w:val="left"/>
        <w:rPr>
          <w:rFonts w:hint="eastAsia"/>
          <w:color w:val="auto"/>
          <w:highlight w:val="none"/>
        </w:rPr>
      </w:pPr>
      <w:r>
        <w:rPr>
          <w:rFonts w:hint="eastAsia" w:ascii="宋体" w:hAnsi="宋体"/>
          <w:color w:val="auto"/>
          <w:highlight w:val="none"/>
        </w:rPr>
        <w:t>1</w:t>
      </w:r>
      <w:r>
        <w:rPr>
          <w:rFonts w:hint="eastAsia"/>
          <w:color w:val="auto"/>
          <w:highlight w:val="none"/>
        </w:rPr>
        <w:t>. 为落实政府采购政策需满足的要求</w:t>
      </w:r>
    </w:p>
    <w:p w14:paraId="6DF91900">
      <w:pPr>
        <w:keepNext w:val="0"/>
        <w:keepLines w:val="0"/>
        <w:pageBreakBefore w:val="0"/>
        <w:widowControl w:val="0"/>
        <w:kinsoku/>
        <w:wordWrap/>
        <w:overflowPunct/>
        <w:topLinePunct w:val="0"/>
        <w:autoSpaceDE/>
        <w:autoSpaceDN/>
        <w:bidi w:val="0"/>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（1）本竞争性磋商采购文件所称中小企业必须符合《政府采购促进中小企业发展管理办法》（财库〔2020〕46号）的规定。</w:t>
      </w:r>
    </w:p>
    <w:p w14:paraId="77BCFBAE">
      <w:pPr>
        <w:keepNext w:val="0"/>
        <w:keepLines w:val="0"/>
        <w:pageBreakBefore w:val="0"/>
        <w:widowControl w:val="0"/>
        <w:kinsoku/>
        <w:wordWrap/>
        <w:overflowPunct/>
        <w:topLinePunct w:val="0"/>
        <w:autoSpaceDE/>
        <w:autoSpaceDN/>
        <w:bidi w:val="0"/>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（2）根据《财政部司法部关于政府采购支持监狱企业发展有关问题的通知》（财库〔2014〕68号）的规定，如供应商为监狱企业，视同小型、微型企业。</w:t>
      </w:r>
    </w:p>
    <w:p w14:paraId="077D8229">
      <w:pPr>
        <w:keepNext w:val="0"/>
        <w:keepLines w:val="0"/>
        <w:pageBreakBefore w:val="0"/>
        <w:widowControl w:val="0"/>
        <w:kinsoku/>
        <w:wordWrap/>
        <w:overflowPunct/>
        <w:topLinePunct w:val="0"/>
        <w:autoSpaceDE/>
        <w:autoSpaceDN/>
        <w:bidi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（3）根据《关于促进残疾人就业政府采购政策的通知》（财库〔2017〕141号）的规定，如供应商为残疾人福利性单位，视同小型、微型企业。</w:t>
      </w:r>
    </w:p>
    <w:p w14:paraId="08E0D602">
      <w:pPr>
        <w:keepNext w:val="0"/>
        <w:keepLines w:val="0"/>
        <w:pageBreakBefore w:val="0"/>
        <w:widowControl w:val="0"/>
        <w:kinsoku/>
        <w:wordWrap/>
        <w:overflowPunct/>
        <w:topLinePunct w:val="0"/>
        <w:autoSpaceDE/>
        <w:autoSpaceDN/>
        <w:bidi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E36E24A">
      <w:pPr>
        <w:keepNext w:val="0"/>
        <w:keepLines w:val="0"/>
        <w:pageBreakBefore w:val="0"/>
        <w:widowControl w:val="0"/>
        <w:kinsoku/>
        <w:wordWrap/>
        <w:overflowPunct/>
        <w:topLinePunct w:val="0"/>
        <w:autoSpaceDE/>
        <w:autoSpaceDN/>
        <w:bidi w:val="0"/>
        <w:spacing w:line="360" w:lineRule="exact"/>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2.“实质性要求”是指采购需求中带“▲”的条款或者不能负偏离的条款或者已经指明不满足按响应文件无效处理的条款。</w:t>
      </w:r>
    </w:p>
    <w:p w14:paraId="082623BA">
      <w:pPr>
        <w:keepNext w:val="0"/>
        <w:keepLines w:val="0"/>
        <w:pageBreakBefore w:val="0"/>
        <w:widowControl w:val="0"/>
        <w:kinsoku/>
        <w:wordWrap/>
        <w:overflowPunct/>
        <w:topLinePunct w:val="0"/>
        <w:autoSpaceDE/>
        <w:autoSpaceDN/>
        <w:bidi w:val="0"/>
        <w:spacing w:line="360" w:lineRule="exact"/>
        <w:ind w:firstLine="424" w:firstLineChars="202"/>
        <w:jc w:val="left"/>
        <w:rPr>
          <w:rFonts w:hint="eastAsia"/>
          <w:color w:val="auto"/>
          <w:highlight w:val="none"/>
        </w:rPr>
      </w:pPr>
      <w:r>
        <w:rPr>
          <w:rFonts w:hint="eastAsia" w:ascii="宋体" w:hAnsi="宋体" w:cs="宋体"/>
          <w:color w:val="auto"/>
          <w:szCs w:val="21"/>
          <w:highlight w:val="none"/>
        </w:rPr>
        <w:t>3.供应商应根据自身实际情况如实响应磋商文件</w:t>
      </w:r>
      <w:r>
        <w:rPr>
          <w:rFonts w:hint="eastAsia"/>
          <w:color w:val="auto"/>
          <w:highlight w:val="none"/>
        </w:rPr>
        <w:t>。</w:t>
      </w:r>
    </w:p>
    <w:p w14:paraId="501918BC">
      <w:pPr>
        <w:keepNext w:val="0"/>
        <w:keepLines w:val="0"/>
        <w:pageBreakBefore w:val="0"/>
        <w:widowControl w:val="0"/>
        <w:kinsoku/>
        <w:wordWrap/>
        <w:overflowPunct/>
        <w:topLinePunct w:val="0"/>
        <w:autoSpaceDE/>
        <w:autoSpaceDN/>
        <w:bidi w:val="0"/>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4.供应商必须自行为其竞标产品侵犯他人的知识产权或者专利成果的行为承担相应法律责任。</w:t>
      </w:r>
    </w:p>
    <w:p w14:paraId="6A04C4A3">
      <w:pPr>
        <w:keepNext w:val="0"/>
        <w:keepLines w:val="0"/>
        <w:pageBreakBefore w:val="0"/>
        <w:widowControl w:val="0"/>
        <w:kinsoku/>
        <w:wordWrap/>
        <w:overflowPunct/>
        <w:topLinePunct w:val="0"/>
        <w:autoSpaceDE/>
        <w:autoSpaceDN/>
        <w:bidi w:val="0"/>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5.采购预算：</w:t>
      </w:r>
      <w:r>
        <w:rPr>
          <w:rFonts w:hint="eastAsia" w:ascii="宋体" w:hAnsi="宋体" w:cs="宋体"/>
          <w:color w:val="auto"/>
          <w:szCs w:val="21"/>
          <w:highlight w:val="none"/>
          <w:lang w:val="en-US" w:eastAsia="zh-CN"/>
        </w:rPr>
        <w:t>160</w:t>
      </w:r>
      <w:r>
        <w:rPr>
          <w:rFonts w:hint="eastAsia" w:ascii="宋体" w:hAnsi="宋体" w:eastAsia="宋体" w:cs="宋体"/>
          <w:color w:val="auto"/>
          <w:szCs w:val="21"/>
          <w:highlight w:val="none"/>
        </w:rPr>
        <w:t xml:space="preserve">万元。 </w:t>
      </w:r>
    </w:p>
    <w:p w14:paraId="182D755C">
      <w:pPr>
        <w:keepNext w:val="0"/>
        <w:keepLines w:val="0"/>
        <w:pageBreakBefore w:val="0"/>
        <w:widowControl w:val="0"/>
        <w:kinsoku/>
        <w:wordWrap/>
        <w:overflowPunct/>
        <w:topLinePunct w:val="0"/>
        <w:autoSpaceDE/>
        <w:autoSpaceDN/>
        <w:bidi w:val="0"/>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.本项目为服务项目，不设核心产品。</w:t>
      </w:r>
    </w:p>
    <w:tbl>
      <w:tblPr>
        <w:tblStyle w:val="12"/>
        <w:tblpPr w:leftFromText="180" w:rightFromText="180" w:vertAnchor="text" w:horzAnchor="page" w:tblpX="1383" w:tblpY="354"/>
        <w:tblOverlap w:val="never"/>
        <w:tblW w:w="947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82"/>
        <w:gridCol w:w="805"/>
        <w:gridCol w:w="611"/>
        <w:gridCol w:w="7480"/>
      </w:tblGrid>
      <w:tr w14:paraId="056AF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trPr>
        <w:tc>
          <w:tcPr>
            <w:tcW w:w="9478" w:type="dxa"/>
            <w:gridSpan w:val="4"/>
            <w:tcBorders>
              <w:top w:val="single" w:color="000000" w:sz="4" w:space="0"/>
              <w:left w:val="single" w:color="000000" w:sz="4" w:space="0"/>
              <w:bottom w:val="single" w:color="000000" w:sz="4" w:space="0"/>
              <w:right w:val="single" w:color="000000" w:sz="4" w:space="0"/>
            </w:tcBorders>
            <w:noWrap w:val="0"/>
            <w:vAlign w:val="center"/>
          </w:tcPr>
          <w:p w14:paraId="2AC09387">
            <w:pPr>
              <w:keepNext w:val="0"/>
              <w:keepLines w:val="0"/>
              <w:pageBreakBefore w:val="0"/>
              <w:tabs>
                <w:tab w:val="left" w:pos="180"/>
                <w:tab w:val="left" w:pos="1620"/>
              </w:tabs>
              <w:kinsoku/>
              <w:wordWrap/>
              <w:overflowPunct/>
              <w:topLinePunct w:val="0"/>
              <w:autoSpaceDE/>
              <w:autoSpaceDN/>
              <w:bidi w:val="0"/>
              <w:adjustRightInd/>
              <w:snapToGrid/>
              <w:spacing w:line="36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eastAsia="宋体" w:cs="宋体"/>
                <w:b/>
                <w:bCs/>
                <w:color w:val="auto"/>
                <w:sz w:val="21"/>
                <w:szCs w:val="21"/>
                <w:highlight w:val="none"/>
                <w:lang w:eastAsia="zh-CN"/>
              </w:rPr>
              <w:t>第一部</w:t>
            </w:r>
            <w:r>
              <w:rPr>
                <w:rFonts w:hint="eastAsia" w:ascii="宋体" w:hAnsi="宋体" w:cs="宋体"/>
                <w:b/>
                <w:bCs/>
                <w:color w:val="auto"/>
                <w:sz w:val="21"/>
                <w:szCs w:val="21"/>
                <w:highlight w:val="none"/>
                <w:lang w:eastAsia="zh-CN"/>
              </w:rPr>
              <w:t>分：</w:t>
            </w:r>
            <w:r>
              <w:rPr>
                <w:rFonts w:hint="eastAsia" w:ascii="宋体" w:hAnsi="宋体" w:cs="宋体"/>
                <w:b/>
                <w:bCs/>
                <w:color w:val="auto"/>
                <w:sz w:val="21"/>
                <w:szCs w:val="21"/>
                <w:highlight w:val="none"/>
              </w:rPr>
              <w:t>技术要求</w:t>
            </w:r>
          </w:p>
        </w:tc>
      </w:tr>
      <w:tr w14:paraId="5245F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trPr>
        <w:tc>
          <w:tcPr>
            <w:tcW w:w="582" w:type="dxa"/>
            <w:tcBorders>
              <w:top w:val="single" w:color="000000" w:sz="4" w:space="0"/>
              <w:left w:val="single" w:color="000000" w:sz="4" w:space="0"/>
              <w:bottom w:val="single" w:color="000000" w:sz="4" w:space="0"/>
              <w:right w:val="single" w:color="000000" w:sz="4" w:space="0"/>
            </w:tcBorders>
            <w:noWrap w:val="0"/>
            <w:vAlign w:val="center"/>
          </w:tcPr>
          <w:p w14:paraId="3904D410">
            <w:pPr>
              <w:keepNext w:val="0"/>
              <w:keepLines w:val="0"/>
              <w:pageBreakBefore w:val="0"/>
              <w:tabs>
                <w:tab w:val="left" w:pos="180"/>
                <w:tab w:val="left" w:pos="1620"/>
              </w:tabs>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序号</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231D55E4">
            <w:pPr>
              <w:keepNext w:val="0"/>
              <w:keepLines w:val="0"/>
              <w:pageBreakBefore w:val="0"/>
              <w:tabs>
                <w:tab w:val="left" w:pos="180"/>
                <w:tab w:val="left" w:pos="1620"/>
              </w:tabs>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标的名称</w:t>
            </w:r>
          </w:p>
        </w:tc>
        <w:tc>
          <w:tcPr>
            <w:tcW w:w="611" w:type="dxa"/>
            <w:tcBorders>
              <w:top w:val="single" w:color="000000" w:sz="4" w:space="0"/>
              <w:left w:val="single" w:color="000000" w:sz="4" w:space="0"/>
              <w:bottom w:val="single" w:color="000000" w:sz="4" w:space="0"/>
              <w:right w:val="single" w:color="000000" w:sz="4" w:space="0"/>
            </w:tcBorders>
            <w:noWrap w:val="0"/>
            <w:vAlign w:val="center"/>
          </w:tcPr>
          <w:p w14:paraId="675670FD">
            <w:pPr>
              <w:keepNext w:val="0"/>
              <w:keepLines w:val="0"/>
              <w:pageBreakBefore w:val="0"/>
              <w:tabs>
                <w:tab w:val="left" w:pos="180"/>
                <w:tab w:val="left" w:pos="1620"/>
              </w:tabs>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数量</w:t>
            </w:r>
          </w:p>
        </w:tc>
        <w:tc>
          <w:tcPr>
            <w:tcW w:w="7480" w:type="dxa"/>
            <w:tcBorders>
              <w:top w:val="single" w:color="000000" w:sz="4" w:space="0"/>
              <w:left w:val="single" w:color="000000" w:sz="4" w:space="0"/>
              <w:bottom w:val="single" w:color="000000" w:sz="4" w:space="0"/>
              <w:right w:val="single" w:color="000000" w:sz="4" w:space="0"/>
            </w:tcBorders>
            <w:noWrap w:val="0"/>
            <w:vAlign w:val="center"/>
          </w:tcPr>
          <w:p w14:paraId="51543AF7">
            <w:pPr>
              <w:keepNext w:val="0"/>
              <w:keepLines w:val="0"/>
              <w:pageBreakBefore w:val="0"/>
              <w:tabs>
                <w:tab w:val="left" w:pos="180"/>
                <w:tab w:val="left" w:pos="1620"/>
              </w:tabs>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技术</w:t>
            </w:r>
            <w:r>
              <w:rPr>
                <w:rFonts w:hint="eastAsia" w:ascii="宋体" w:hAnsi="宋体" w:cs="宋体"/>
                <w:color w:val="auto"/>
                <w:sz w:val="21"/>
                <w:szCs w:val="21"/>
                <w:highlight w:val="none"/>
                <w:lang w:val="en-US" w:eastAsia="zh-CN"/>
              </w:rPr>
              <w:t>服务要求</w:t>
            </w:r>
          </w:p>
        </w:tc>
      </w:tr>
      <w:tr w14:paraId="155996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26" w:hRule="atLeast"/>
        </w:trPr>
        <w:tc>
          <w:tcPr>
            <w:tcW w:w="582" w:type="dxa"/>
            <w:tcBorders>
              <w:top w:val="single" w:color="000000" w:sz="4" w:space="0"/>
              <w:left w:val="single" w:color="000000" w:sz="4" w:space="0"/>
              <w:bottom w:val="single" w:color="000000" w:sz="4" w:space="0"/>
              <w:right w:val="single" w:color="000000" w:sz="4" w:space="0"/>
            </w:tcBorders>
            <w:noWrap w:val="0"/>
            <w:vAlign w:val="center"/>
          </w:tcPr>
          <w:p w14:paraId="33994A01">
            <w:pPr>
              <w:keepNext w:val="0"/>
              <w:keepLines w:val="0"/>
              <w:pageBreakBefore w:val="0"/>
              <w:tabs>
                <w:tab w:val="left" w:pos="180"/>
                <w:tab w:val="left" w:pos="1620"/>
              </w:tabs>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c>
          <w:tcPr>
            <w:tcW w:w="805" w:type="dxa"/>
            <w:tcBorders>
              <w:top w:val="single" w:color="000000" w:sz="4" w:space="0"/>
              <w:left w:val="single" w:color="000000" w:sz="4" w:space="0"/>
              <w:bottom w:val="single" w:color="000000" w:sz="4" w:space="0"/>
              <w:right w:val="single" w:color="000000" w:sz="4" w:space="0"/>
            </w:tcBorders>
            <w:noWrap w:val="0"/>
            <w:vAlign w:val="center"/>
          </w:tcPr>
          <w:p w14:paraId="73C19B3C">
            <w:pPr>
              <w:keepNext w:val="0"/>
              <w:keepLines w:val="0"/>
              <w:pageBreakBefore w:val="0"/>
              <w:tabs>
                <w:tab w:val="left" w:pos="180"/>
                <w:tab w:val="left" w:pos="1620"/>
              </w:tabs>
              <w:kinsoku/>
              <w:wordWrap/>
              <w:overflowPunct/>
              <w:topLinePunct w:val="0"/>
              <w:autoSpaceDE/>
              <w:autoSpaceDN/>
              <w:bidi w:val="0"/>
              <w:adjustRightInd/>
              <w:snapToGrid/>
              <w:spacing w:line="380" w:lineRule="exact"/>
              <w:jc w:val="center"/>
              <w:textAlignment w:val="auto"/>
              <w:rPr>
                <w:rFonts w:hint="eastAsia" w:ascii="宋体" w:hAnsi="宋体" w:cs="宋体"/>
                <w:color w:val="auto"/>
                <w:sz w:val="21"/>
                <w:szCs w:val="21"/>
                <w:highlight w:val="none"/>
              </w:rPr>
            </w:pPr>
            <w:r>
              <w:rPr>
                <w:sz w:val="21"/>
                <w:szCs w:val="21"/>
              </w:rPr>
              <w:t>防城港市</w:t>
            </w:r>
            <w:r>
              <w:rPr>
                <w:rFonts w:hint="eastAsia"/>
                <w:sz w:val="21"/>
                <w:szCs w:val="21"/>
                <w:lang w:eastAsia="zh-CN"/>
              </w:rPr>
              <w:t>财政局</w:t>
            </w:r>
            <w:r>
              <w:rPr>
                <w:sz w:val="21"/>
                <w:szCs w:val="21"/>
              </w:rPr>
              <w:t>食堂食材配送服务</w:t>
            </w:r>
          </w:p>
        </w:tc>
        <w:tc>
          <w:tcPr>
            <w:tcW w:w="611" w:type="dxa"/>
            <w:tcBorders>
              <w:top w:val="single" w:color="000000" w:sz="4" w:space="0"/>
              <w:left w:val="single" w:color="000000" w:sz="4" w:space="0"/>
              <w:bottom w:val="single" w:color="000000" w:sz="4" w:space="0"/>
              <w:right w:val="single" w:color="000000" w:sz="4" w:space="0"/>
            </w:tcBorders>
            <w:noWrap w:val="0"/>
            <w:vAlign w:val="center"/>
          </w:tcPr>
          <w:p w14:paraId="5B579530">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cs="宋体"/>
                <w:b/>
                <w:bCs/>
                <w:color w:val="auto"/>
                <w:sz w:val="21"/>
                <w:szCs w:val="21"/>
                <w:highlight w:val="none"/>
              </w:rPr>
            </w:pPr>
            <w:r>
              <w:rPr>
                <w:rFonts w:hint="eastAsia" w:ascii="宋体" w:hAnsi="宋体" w:cs="宋体"/>
                <w:b w:val="0"/>
                <w:bCs w:val="0"/>
                <w:color w:val="auto"/>
                <w:sz w:val="21"/>
                <w:szCs w:val="21"/>
                <w:highlight w:val="none"/>
              </w:rPr>
              <w:t>1</w:t>
            </w:r>
            <w:r>
              <w:rPr>
                <w:rFonts w:hint="eastAsia" w:ascii="宋体" w:hAnsi="宋体" w:cs="宋体"/>
                <w:b w:val="0"/>
                <w:bCs w:val="0"/>
                <w:color w:val="auto"/>
                <w:sz w:val="21"/>
                <w:szCs w:val="21"/>
                <w:highlight w:val="none"/>
                <w:lang w:val="en-US" w:eastAsia="zh-CN"/>
              </w:rPr>
              <w:t xml:space="preserve"> </w:t>
            </w:r>
            <w:r>
              <w:rPr>
                <w:rFonts w:hint="eastAsia" w:ascii="宋体" w:hAnsi="宋体" w:cs="宋体"/>
                <w:b w:val="0"/>
                <w:bCs w:val="0"/>
                <w:color w:val="auto"/>
                <w:sz w:val="21"/>
                <w:szCs w:val="21"/>
                <w:highlight w:val="none"/>
              </w:rPr>
              <w:t>项</w:t>
            </w:r>
          </w:p>
        </w:tc>
        <w:tc>
          <w:tcPr>
            <w:tcW w:w="7480" w:type="dxa"/>
            <w:tcBorders>
              <w:top w:val="single" w:color="000000" w:sz="4" w:space="0"/>
              <w:left w:val="single" w:color="000000" w:sz="4" w:space="0"/>
              <w:bottom w:val="single" w:color="000000" w:sz="4" w:space="0"/>
              <w:right w:val="single" w:color="000000" w:sz="4" w:space="0"/>
            </w:tcBorders>
            <w:noWrap w:val="0"/>
            <w:vAlign w:val="top"/>
          </w:tcPr>
          <w:p w14:paraId="787B4278">
            <w:pPr>
              <w:keepNext w:val="0"/>
              <w:keepLines w:val="0"/>
              <w:pageBreakBefore w:val="0"/>
              <w:widowControl w:val="0"/>
              <w:kinsoku/>
              <w:wordWrap/>
              <w:overflowPunct/>
              <w:topLinePunct w:val="0"/>
              <w:autoSpaceDE/>
              <w:autoSpaceDN/>
              <w:bidi w:val="0"/>
              <w:adjustRightInd/>
              <w:snapToGrid/>
              <w:spacing w:line="380" w:lineRule="exact"/>
              <w:ind w:firstLine="422" w:firstLineChars="200"/>
              <w:textAlignment w:val="auto"/>
              <w:rPr>
                <w:b/>
                <w:bCs/>
                <w:highlight w:val="none"/>
              </w:rPr>
            </w:pPr>
            <w:r>
              <w:rPr>
                <w:b/>
                <w:bCs/>
                <w:highlight w:val="none"/>
              </w:rPr>
              <w:t>一、项目说明</w:t>
            </w:r>
          </w:p>
          <w:p w14:paraId="1C36F9C9">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rPr>
            </w:pPr>
            <w:r>
              <w:rPr>
                <w:highlight w:val="none"/>
                <w:lang w:val="en-US" w:eastAsia="zh-CN"/>
              </w:rPr>
              <w:t>供应商提供的食堂食材配送服务严格遵守国家相关食品安全、卫生等法律法规及保障要求，</w:t>
            </w:r>
            <w:r>
              <w:rPr>
                <w:rFonts w:hint="eastAsia"/>
                <w:highlight w:val="none"/>
                <w:lang w:val="en-US" w:eastAsia="zh-CN"/>
              </w:rPr>
              <w:t>所供食材必须符合国家食品安全强制性标准，其质量、卫生、安全均须执行现行有效的国家标准；无国家标准的，执行现行有效的行业标准；无行业标准的，执行现行有效的地方标准。</w:t>
            </w:r>
            <w:r>
              <w:rPr>
                <w:highlight w:val="none"/>
                <w:lang w:val="en-US" w:eastAsia="zh-CN"/>
              </w:rPr>
              <w:t>保障采购人所需的食品、副食品等正常、安全供应。</w:t>
            </w:r>
          </w:p>
          <w:p w14:paraId="38FF631B">
            <w:pPr>
              <w:keepNext w:val="0"/>
              <w:keepLines w:val="0"/>
              <w:pageBreakBefore w:val="0"/>
              <w:widowControl w:val="0"/>
              <w:kinsoku/>
              <w:wordWrap/>
              <w:overflowPunct/>
              <w:topLinePunct w:val="0"/>
              <w:autoSpaceDE/>
              <w:autoSpaceDN/>
              <w:bidi w:val="0"/>
              <w:adjustRightInd/>
              <w:snapToGrid/>
              <w:spacing w:line="380" w:lineRule="exact"/>
              <w:ind w:firstLine="422" w:firstLineChars="200"/>
              <w:textAlignment w:val="auto"/>
              <w:rPr>
                <w:b/>
                <w:bCs/>
                <w:highlight w:val="none"/>
              </w:rPr>
            </w:pPr>
            <w:r>
              <w:rPr>
                <w:b/>
                <w:bCs/>
                <w:highlight w:val="none"/>
              </w:rPr>
              <w:t>二、采购需求</w:t>
            </w:r>
          </w:p>
          <w:p w14:paraId="25D82FB7">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rPr>
            </w:pPr>
            <w:r>
              <w:rPr>
                <w:highlight w:val="none"/>
                <w:lang w:val="en-US" w:eastAsia="zh-CN"/>
              </w:rPr>
              <w:t>本项目采购内容为食堂食材配送服务，包括但不限于以下品类：</w:t>
            </w:r>
          </w:p>
          <w:p w14:paraId="0D3B215D">
            <w:pPr>
              <w:keepNext w:val="0"/>
              <w:keepLines w:val="0"/>
              <w:pageBreakBefore w:val="0"/>
              <w:widowControl w:val="0"/>
              <w:kinsoku/>
              <w:wordWrap/>
              <w:overflowPunct/>
              <w:topLinePunct w:val="0"/>
              <w:autoSpaceDE/>
              <w:autoSpaceDN/>
              <w:bidi w:val="0"/>
              <w:adjustRightInd/>
              <w:snapToGrid/>
              <w:spacing w:line="380" w:lineRule="exact"/>
              <w:ind w:firstLine="422" w:firstLineChars="200"/>
              <w:textAlignment w:val="auto"/>
              <w:rPr>
                <w:b/>
                <w:bCs/>
                <w:highlight w:val="none"/>
              </w:rPr>
            </w:pPr>
            <w:r>
              <w:rPr>
                <w:b/>
                <w:bCs/>
                <w:highlight w:val="none"/>
              </w:rPr>
              <w:t>（一）瓜果蔬菜类配送服务</w:t>
            </w:r>
          </w:p>
          <w:p w14:paraId="5A6F4801">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rPr>
            </w:pPr>
            <w:r>
              <w:rPr>
                <w:highlight w:val="none"/>
              </w:rPr>
              <w:t>1. 食材种类</w:t>
            </w:r>
          </w:p>
          <w:p w14:paraId="5522C47B">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rPr>
            </w:pPr>
            <w:r>
              <w:rPr>
                <w:highlight w:val="none"/>
              </w:rPr>
              <w:t>（1）叶菜</w:t>
            </w:r>
          </w:p>
          <w:p w14:paraId="4F2738B3">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rPr>
            </w:pPr>
            <w:r>
              <w:rPr>
                <w:highlight w:val="none"/>
                <w:lang w:val="en-US" w:eastAsia="zh-CN"/>
              </w:rPr>
              <w:t>小白菜、空心菜、奶白菜、油麦菜、上海青、菜心、空心菜梗、芥菜、菠菜、枸杞叶、红薯叶、娃娃菜、白花菜、生菜、包菜、大白菜、一点红、红苋菜、白苋菜、兰豆苗、苦麦菜、佛手瓜苗、水芥菜、竹芥菜、茼蒿菜、皇帝菜、圆生菜、苦菊、芹菜、青蒜、韭菜、韭黄、香菜、葱、大蒜、紫苏、葭蒌叶、薄荷叶、紫甘蓝、芽菜、有机菜花、西蓝花等。</w:t>
            </w:r>
          </w:p>
          <w:p w14:paraId="28A08CBA">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rPr>
            </w:pPr>
            <w:r>
              <w:rPr>
                <w:highlight w:val="none"/>
              </w:rPr>
              <w:t>（2）根茎类</w:t>
            </w:r>
          </w:p>
          <w:p w14:paraId="1577374B">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lang w:val="en-US" w:eastAsia="zh-CN"/>
              </w:rPr>
            </w:pPr>
            <w:r>
              <w:rPr>
                <w:highlight w:val="none"/>
                <w:lang w:val="en-US" w:eastAsia="zh-CN"/>
              </w:rPr>
              <w:t>① 肉质根类：红萝卜、白萝卜等</w:t>
            </w:r>
            <w:r>
              <w:rPr>
                <w:rFonts w:hint="eastAsia"/>
                <w:highlight w:val="none"/>
                <w:lang w:val="en-US" w:eastAsia="zh-CN"/>
              </w:rPr>
              <w:t>。</w:t>
            </w:r>
          </w:p>
          <w:p w14:paraId="641801D9">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lang w:val="en-US" w:eastAsia="zh-CN"/>
              </w:rPr>
            </w:pPr>
            <w:r>
              <w:rPr>
                <w:highlight w:val="none"/>
                <w:lang w:val="en-US" w:eastAsia="zh-CN"/>
              </w:rPr>
              <w:t>② 块根类：山药、淮山、葛根、沙葛（凉薯）等</w:t>
            </w:r>
            <w:r>
              <w:rPr>
                <w:rFonts w:hint="eastAsia"/>
                <w:highlight w:val="none"/>
                <w:lang w:val="en-US" w:eastAsia="zh-CN"/>
              </w:rPr>
              <w:t>。</w:t>
            </w:r>
          </w:p>
          <w:p w14:paraId="190909C3">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lang w:val="en-US" w:eastAsia="zh-CN"/>
              </w:rPr>
            </w:pPr>
            <w:r>
              <w:rPr>
                <w:highlight w:val="none"/>
                <w:lang w:val="en-US" w:eastAsia="zh-CN"/>
              </w:rPr>
              <w:t>③ 地下茎：红薯、紫薯、莲藕、芋头、土豆、马蹄、茨菇、生姜、子姜、小黄姜、鲜沙姜、鲜百合、蒜头、葱头、洋葱、白洋葱等</w:t>
            </w:r>
            <w:r>
              <w:rPr>
                <w:rFonts w:hint="eastAsia"/>
                <w:highlight w:val="none"/>
                <w:lang w:val="en-US" w:eastAsia="zh-CN"/>
              </w:rPr>
              <w:t>。</w:t>
            </w:r>
          </w:p>
          <w:p w14:paraId="3CE4C8DA">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lang w:val="en-US" w:eastAsia="zh-CN"/>
              </w:rPr>
            </w:pPr>
            <w:r>
              <w:rPr>
                <w:highlight w:val="none"/>
                <w:lang w:val="en-US" w:eastAsia="zh-CN"/>
              </w:rPr>
              <w:t>④ 地上茎：莴笋、芦笋、茭白、西芹等</w:t>
            </w:r>
            <w:r>
              <w:rPr>
                <w:rFonts w:hint="eastAsia"/>
                <w:highlight w:val="none"/>
                <w:lang w:val="en-US" w:eastAsia="zh-CN"/>
              </w:rPr>
              <w:t>。</w:t>
            </w:r>
          </w:p>
          <w:p w14:paraId="365ABB00">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rPr>
            </w:pPr>
            <w:r>
              <w:rPr>
                <w:highlight w:val="none"/>
                <w:lang w:val="en-US" w:eastAsia="zh-CN"/>
              </w:rPr>
              <w:t>⑤ 其他：鲜玉米粒、鲜玉米棒、糯玉米棒等。</w:t>
            </w:r>
          </w:p>
          <w:p w14:paraId="7AAF20FF">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rPr>
            </w:pPr>
            <w:r>
              <w:rPr>
                <w:highlight w:val="none"/>
              </w:rPr>
              <w:t>（3）瓜茄类</w:t>
            </w:r>
          </w:p>
          <w:p w14:paraId="53C688B3">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rPr>
            </w:pPr>
            <w:r>
              <w:rPr>
                <w:highlight w:val="none"/>
              </w:rPr>
              <w:t>瓜类：冬瓜、老南瓜、苦瓜、丝瓜、青瓜、西葫芦、毛节瓜、青瓜、小青瓜、金南瓜、贝贝南瓜等。</w:t>
            </w:r>
          </w:p>
          <w:p w14:paraId="2E8F4490">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rPr>
            </w:pPr>
            <w:r>
              <w:rPr>
                <w:highlight w:val="none"/>
              </w:rPr>
              <w:t>茄类：茄子、西红柿、秋葵、青圆椒、红圆椒、黄圆椒、青尖椒、红尖椒、青线椒、红美人、指天椒等。</w:t>
            </w:r>
          </w:p>
          <w:p w14:paraId="7E2DCE05">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rPr>
            </w:pPr>
            <w:r>
              <w:rPr>
                <w:highlight w:val="none"/>
              </w:rPr>
              <w:t>（4）豆荚类</w:t>
            </w:r>
          </w:p>
          <w:p w14:paraId="0A8870A3">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rPr>
            </w:pPr>
            <w:r>
              <w:rPr>
                <w:highlight w:val="none"/>
                <w:lang w:val="en-US" w:eastAsia="zh-CN"/>
              </w:rPr>
              <w:t>青豆角、甜豆角、兰豆、甜豆、青豆、毛豆等。</w:t>
            </w:r>
          </w:p>
          <w:p w14:paraId="38AB0154">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rPr>
            </w:pPr>
            <w:r>
              <w:rPr>
                <w:highlight w:val="none"/>
              </w:rPr>
              <w:t>（5）菌藻类</w:t>
            </w:r>
          </w:p>
          <w:p w14:paraId="131E7B0A">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rPr>
            </w:pPr>
            <w:r>
              <w:rPr>
                <w:highlight w:val="none"/>
              </w:rPr>
              <w:t>菌类：鲜香菇、杏鲍菇、茶树菇、金针菇、海鲜菇、凤尾菇、白蘑菇、花菇、鲜虫草花等。</w:t>
            </w:r>
          </w:p>
          <w:p w14:paraId="3D06BC32">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rPr>
            </w:pPr>
            <w:r>
              <w:rPr>
                <w:highlight w:val="none"/>
              </w:rPr>
              <w:t>藻类：海带丝、海带结等。</w:t>
            </w:r>
          </w:p>
          <w:p w14:paraId="0AFF3489">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rPr>
            </w:pPr>
            <w:r>
              <w:rPr>
                <w:highlight w:val="none"/>
              </w:rPr>
              <w:t>（6）其他</w:t>
            </w:r>
          </w:p>
          <w:p w14:paraId="5C613CF5">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rPr>
            </w:pPr>
            <w:r>
              <w:rPr>
                <w:highlight w:val="none"/>
                <w:lang w:val="en-US" w:eastAsia="zh-CN"/>
              </w:rPr>
              <w:t>番茜、兰花、摆盘花、芭蕉叶、人参、板栗等。</w:t>
            </w:r>
          </w:p>
          <w:p w14:paraId="77A34F58">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rPr>
            </w:pPr>
            <w:r>
              <w:rPr>
                <w:highlight w:val="none"/>
              </w:rPr>
              <w:t>2. 基本要求</w:t>
            </w:r>
          </w:p>
          <w:p w14:paraId="7153C364">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rPr>
            </w:pPr>
            <w:r>
              <w:rPr>
                <w:highlight w:val="none"/>
              </w:rPr>
              <w:t>（1）叶菜</w:t>
            </w:r>
          </w:p>
          <w:p w14:paraId="0E4678CB">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lang w:val="en-US" w:eastAsia="zh-CN"/>
              </w:rPr>
            </w:pPr>
            <w:r>
              <w:rPr>
                <w:highlight w:val="none"/>
                <w:lang w:val="en-US" w:eastAsia="zh-CN"/>
              </w:rPr>
              <w:t>① 农药残留检测合格。</w:t>
            </w:r>
          </w:p>
          <w:p w14:paraId="5FB5C608">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lang w:val="en-US" w:eastAsia="zh-CN"/>
              </w:rPr>
            </w:pPr>
            <w:r>
              <w:rPr>
                <w:highlight w:val="none"/>
                <w:lang w:val="en-US" w:eastAsia="zh-CN"/>
              </w:rPr>
              <w:t>② 叶菜类：具有各种蔬菜本品种固有的颜色，新鲜有光泽，切口不变色，叶片挺而不干枯、无蔫萎、无损伤腐烂、无变色、无病变、无虫害侵蚀等。</w:t>
            </w:r>
          </w:p>
          <w:p w14:paraId="5261F6E7">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lang w:val="en-US" w:eastAsia="zh-CN"/>
              </w:rPr>
            </w:pPr>
            <w:r>
              <w:rPr>
                <w:highlight w:val="none"/>
                <w:lang w:val="en-US" w:eastAsia="zh-CN"/>
              </w:rPr>
              <w:t>③ 油麦菜、苦麦菜、生菜等柄干长度应小于 5cm。</w:t>
            </w:r>
          </w:p>
          <w:p w14:paraId="5D5D7960">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lang w:val="en-US" w:eastAsia="zh-CN"/>
              </w:rPr>
            </w:pPr>
            <w:r>
              <w:rPr>
                <w:highlight w:val="none"/>
                <w:lang w:val="en-US" w:eastAsia="zh-CN"/>
              </w:rPr>
              <w:t>④ 大白菜 / 娃娃菜 / 圆生菜 / 包菜：新鲜有光泽、表面无黑色斑点、无发黄、无腐叶、外叶不老邦；里面无烂心、无开花、无烂叶。</w:t>
            </w:r>
          </w:p>
          <w:p w14:paraId="05FADF68">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rPr>
            </w:pPr>
            <w:r>
              <w:rPr>
                <w:highlight w:val="none"/>
                <w:lang w:val="en-US" w:eastAsia="zh-CN"/>
              </w:rPr>
              <w:t>⑤ 花叶菜：花蕾细密紧实不散、球形完整、表面湿润、外叶少、主茎短、柄干无空心。</w:t>
            </w:r>
          </w:p>
          <w:p w14:paraId="2AB4574A">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rPr>
            </w:pPr>
            <w:r>
              <w:rPr>
                <w:highlight w:val="none"/>
              </w:rPr>
              <w:t>（2）根茎类</w:t>
            </w:r>
          </w:p>
          <w:p w14:paraId="3B9EDC1C">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lang w:val="en-US" w:eastAsia="zh-CN"/>
              </w:rPr>
            </w:pPr>
            <w:r>
              <w:rPr>
                <w:highlight w:val="none"/>
                <w:lang w:val="en-US" w:eastAsia="zh-CN"/>
              </w:rPr>
              <w:t>① 农药残留检测合格。</w:t>
            </w:r>
          </w:p>
          <w:p w14:paraId="188A1C09">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lang w:val="en-US" w:eastAsia="zh-CN"/>
              </w:rPr>
            </w:pPr>
            <w:r>
              <w:rPr>
                <w:highlight w:val="none"/>
                <w:lang w:val="en-US" w:eastAsia="zh-CN"/>
              </w:rPr>
              <w:t>② 色泽：颜色自然、均匀，无异常变色（如发黑、发黄）现象。</w:t>
            </w:r>
          </w:p>
          <w:p w14:paraId="11EE8B4A">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lang w:val="en-US" w:eastAsia="zh-CN"/>
              </w:rPr>
            </w:pPr>
            <w:r>
              <w:rPr>
                <w:highlight w:val="none"/>
                <w:lang w:val="en-US" w:eastAsia="zh-CN"/>
              </w:rPr>
              <w:t>③ 形状：形态规整、个体均匀、无明显畸形或损伤。</w:t>
            </w:r>
          </w:p>
          <w:p w14:paraId="35284937">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lang w:val="en-US" w:eastAsia="zh-CN"/>
              </w:rPr>
            </w:pPr>
            <w:r>
              <w:rPr>
                <w:highlight w:val="none"/>
                <w:lang w:val="en-US" w:eastAsia="zh-CN"/>
              </w:rPr>
              <w:t>④ 表皮：表皮应光滑或符合品种特性，无破损、无裂痕、无划痕、无表面发干失水皱皮、无老皮层、无变软变形、表皮无损伤出水，无腐烂，无黑点等现象。</w:t>
            </w:r>
          </w:p>
          <w:p w14:paraId="4AE49BE3">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lang w:val="en-US" w:eastAsia="zh-CN"/>
              </w:rPr>
            </w:pPr>
            <w:r>
              <w:rPr>
                <w:highlight w:val="none"/>
                <w:lang w:val="en-US" w:eastAsia="zh-CN"/>
              </w:rPr>
              <w:t>⑤ 肉质不老化、无异常变色、无腐烂、无异味。</w:t>
            </w:r>
          </w:p>
          <w:p w14:paraId="042FB12C">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lang w:val="en-US" w:eastAsia="zh-CN"/>
              </w:rPr>
            </w:pPr>
            <w:r>
              <w:rPr>
                <w:highlight w:val="none"/>
                <w:lang w:val="en-US" w:eastAsia="zh-CN"/>
              </w:rPr>
              <w:t>⑥ 清洁度：表面应相对干净，无明显泥土、杂质附着。</w:t>
            </w:r>
          </w:p>
          <w:p w14:paraId="0D8F06D5">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lang w:val="en-US" w:eastAsia="zh-CN"/>
              </w:rPr>
            </w:pPr>
            <w:r>
              <w:rPr>
                <w:highlight w:val="none"/>
                <w:lang w:val="en-US" w:eastAsia="zh-CN"/>
              </w:rPr>
              <w:t>⑦ 补充要求：</w:t>
            </w:r>
          </w:p>
          <w:p w14:paraId="4FE56A12">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lang w:val="en-US" w:eastAsia="zh-CN"/>
              </w:rPr>
            </w:pPr>
            <w:r>
              <w:rPr>
                <w:rFonts w:hint="eastAsia"/>
                <w:highlight w:val="none"/>
                <w:lang w:val="en-US" w:eastAsia="zh-CN"/>
              </w:rPr>
              <w:t>a、</w:t>
            </w:r>
            <w:r>
              <w:rPr>
                <w:highlight w:val="none"/>
                <w:lang w:val="en-US" w:eastAsia="zh-CN"/>
              </w:rPr>
              <w:t>莲藕：蒂结少、用刀切开后腹部无泥、无异味。</w:t>
            </w:r>
          </w:p>
          <w:p w14:paraId="61B9FB7C">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lang w:val="en-US" w:eastAsia="zh-CN"/>
              </w:rPr>
            </w:pPr>
            <w:r>
              <w:rPr>
                <w:rFonts w:hint="eastAsia"/>
                <w:highlight w:val="none"/>
                <w:lang w:val="en-US" w:eastAsia="zh-CN"/>
              </w:rPr>
              <w:t>b、</w:t>
            </w:r>
            <w:r>
              <w:rPr>
                <w:highlight w:val="none"/>
                <w:lang w:val="en-US" w:eastAsia="zh-CN"/>
              </w:rPr>
              <w:t>白萝卜：无黑心、无空心、无爆裂、皮面无根须；单体重 0.4kg 以上。</w:t>
            </w:r>
          </w:p>
          <w:p w14:paraId="38CFA528">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lang w:val="en-US" w:eastAsia="zh-CN"/>
              </w:rPr>
            </w:pPr>
            <w:r>
              <w:rPr>
                <w:rFonts w:hint="eastAsia"/>
                <w:highlight w:val="none"/>
                <w:lang w:val="en-US" w:eastAsia="zh-CN"/>
              </w:rPr>
              <w:t>c、</w:t>
            </w:r>
            <w:r>
              <w:rPr>
                <w:highlight w:val="none"/>
                <w:lang w:val="en-US" w:eastAsia="zh-CN"/>
              </w:rPr>
              <w:t>芋头：切开后肉质密实，无虫害，无腐烂；口感粉糯，单体重 1kg-1.8kg。</w:t>
            </w:r>
          </w:p>
          <w:p w14:paraId="5383F1D3">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lang w:val="en-US" w:eastAsia="zh-CN"/>
              </w:rPr>
            </w:pPr>
            <w:r>
              <w:rPr>
                <w:rFonts w:hint="eastAsia"/>
                <w:highlight w:val="none"/>
                <w:lang w:val="en-US" w:eastAsia="zh-CN"/>
              </w:rPr>
              <w:t>d、</w:t>
            </w:r>
            <w:r>
              <w:rPr>
                <w:highlight w:val="none"/>
                <w:lang w:val="en-US" w:eastAsia="zh-CN"/>
              </w:rPr>
              <w:t>红薯 / 紫薯：切开后肉质密实，无虫害，无腐烂、皮面无根须。</w:t>
            </w:r>
          </w:p>
          <w:p w14:paraId="108C3129">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lang w:val="en-US" w:eastAsia="zh-CN"/>
              </w:rPr>
            </w:pPr>
            <w:r>
              <w:rPr>
                <w:rFonts w:hint="eastAsia"/>
                <w:highlight w:val="none"/>
                <w:lang w:val="en-US" w:eastAsia="zh-CN"/>
              </w:rPr>
              <w:t>e、</w:t>
            </w:r>
            <w:r>
              <w:rPr>
                <w:highlight w:val="none"/>
                <w:lang w:val="en-US" w:eastAsia="zh-CN"/>
              </w:rPr>
              <w:t>土豆：无发绿、无发芽，皮面无明显凹凸、无腐烂、肉质里面无黑点和伤痕现象、单体重 0.25-0.4kg。</w:t>
            </w:r>
          </w:p>
          <w:p w14:paraId="3AE74F21">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lang w:val="en-US" w:eastAsia="zh-CN"/>
              </w:rPr>
            </w:pPr>
            <w:r>
              <w:rPr>
                <w:rFonts w:hint="eastAsia"/>
                <w:highlight w:val="none"/>
                <w:lang w:val="en-US" w:eastAsia="zh-CN"/>
              </w:rPr>
              <w:t>f、</w:t>
            </w:r>
            <w:r>
              <w:rPr>
                <w:highlight w:val="none"/>
                <w:lang w:val="en-US" w:eastAsia="zh-CN"/>
              </w:rPr>
              <w:t>莴笋：中间应为实心绿心，空心发黄为不良品质。</w:t>
            </w:r>
          </w:p>
          <w:p w14:paraId="462D7E3B">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lang w:val="en-US" w:eastAsia="zh-CN"/>
              </w:rPr>
            </w:pPr>
            <w:r>
              <w:rPr>
                <w:rFonts w:hint="eastAsia"/>
                <w:highlight w:val="none"/>
                <w:lang w:val="en-US" w:eastAsia="zh-CN"/>
              </w:rPr>
              <w:t>g、</w:t>
            </w:r>
            <w:r>
              <w:rPr>
                <w:highlight w:val="none"/>
                <w:lang w:val="en-US" w:eastAsia="zh-CN"/>
              </w:rPr>
              <w:t>玉米：颗粒饱满、无塌米、无老米、无虫孔、无烂尾。</w:t>
            </w:r>
          </w:p>
          <w:p w14:paraId="70F8D54E">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rPr>
            </w:pPr>
            <w:r>
              <w:rPr>
                <w:rFonts w:hint="eastAsia"/>
                <w:highlight w:val="none"/>
                <w:lang w:val="en-US" w:eastAsia="zh-CN"/>
              </w:rPr>
              <w:t>h、</w:t>
            </w:r>
            <w:r>
              <w:rPr>
                <w:highlight w:val="none"/>
                <w:lang w:val="en-US" w:eastAsia="zh-CN"/>
              </w:rPr>
              <w:t>百合：真空包装袋无漏气、质地鲜亮。</w:t>
            </w:r>
          </w:p>
          <w:p w14:paraId="34795270">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rPr>
            </w:pPr>
            <w:r>
              <w:rPr>
                <w:highlight w:val="none"/>
              </w:rPr>
              <w:t>（3）瓜茄类</w:t>
            </w:r>
          </w:p>
          <w:p w14:paraId="0AC0DF3F">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lang w:val="en-US" w:eastAsia="zh-CN"/>
              </w:rPr>
            </w:pPr>
            <w:r>
              <w:rPr>
                <w:highlight w:val="none"/>
                <w:lang w:val="en-US" w:eastAsia="zh-CN"/>
              </w:rPr>
              <w:t>① 农药残留检测合格。</w:t>
            </w:r>
          </w:p>
          <w:p w14:paraId="3E41FB78">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lang w:val="en-US" w:eastAsia="zh-CN"/>
              </w:rPr>
            </w:pPr>
            <w:r>
              <w:rPr>
                <w:highlight w:val="none"/>
                <w:lang w:val="en-US" w:eastAsia="zh-CN"/>
              </w:rPr>
              <w:t>② 色泽：颜色自然、均匀，无异常变色（如发黑、发黄）现象。</w:t>
            </w:r>
          </w:p>
          <w:p w14:paraId="736A5DF5">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lang w:val="en-US" w:eastAsia="zh-CN"/>
              </w:rPr>
            </w:pPr>
            <w:r>
              <w:rPr>
                <w:highlight w:val="none"/>
                <w:lang w:val="en-US" w:eastAsia="zh-CN"/>
              </w:rPr>
              <w:t>③ 形状：形态规整、个体均匀、无明显畸形或损伤。</w:t>
            </w:r>
          </w:p>
          <w:p w14:paraId="5E8E1149">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lang w:val="en-US" w:eastAsia="zh-CN"/>
              </w:rPr>
            </w:pPr>
            <w:r>
              <w:rPr>
                <w:highlight w:val="none"/>
                <w:lang w:val="en-US" w:eastAsia="zh-CN"/>
              </w:rPr>
              <w:t>④ 表皮：表皮应光滑或符合品种特性，无破损、无裂痕、无划痕、无表面发干失水皱皮、无老皮层、无变软变形、表皮无损伤出水，无腐烂，无黑点等现象。</w:t>
            </w:r>
          </w:p>
          <w:p w14:paraId="2C3FCADE">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rPr>
            </w:pPr>
            <w:r>
              <w:rPr>
                <w:highlight w:val="none"/>
                <w:lang w:val="en-US" w:eastAsia="zh-CN"/>
              </w:rPr>
              <w:t>⑤ 肉质不老化、无异常变色、无腐烂、无异味。⑥ 清洁度：表面应相对干净，无明显泥土、杂质附着。</w:t>
            </w:r>
          </w:p>
          <w:p w14:paraId="698A4933">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rPr>
            </w:pPr>
            <w:r>
              <w:rPr>
                <w:highlight w:val="none"/>
              </w:rPr>
              <w:t>（4）豆荚类</w:t>
            </w:r>
          </w:p>
          <w:p w14:paraId="2CB052A4">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lang w:val="en-US" w:eastAsia="zh-CN"/>
              </w:rPr>
            </w:pPr>
            <w:r>
              <w:rPr>
                <w:highlight w:val="none"/>
                <w:lang w:val="en-US" w:eastAsia="zh-CN"/>
              </w:rPr>
              <w:t>① 农药残留检测合格。</w:t>
            </w:r>
          </w:p>
          <w:p w14:paraId="3CF3D332">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lang w:val="en-US" w:eastAsia="zh-CN"/>
              </w:rPr>
            </w:pPr>
            <w:r>
              <w:rPr>
                <w:highlight w:val="none"/>
                <w:lang w:val="en-US" w:eastAsia="zh-CN"/>
              </w:rPr>
              <w:t>② 青豆角 / 甜豆角：质地脆嫩，折易断、无虫蛀，手捏无干枯空洞，无黑点，无发黄发黑腐烂，质地鲜嫩，折易断。</w:t>
            </w:r>
          </w:p>
          <w:p w14:paraId="37EA9DD3">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lang w:val="en-US" w:eastAsia="zh-CN"/>
              </w:rPr>
            </w:pPr>
            <w:r>
              <w:rPr>
                <w:highlight w:val="none"/>
                <w:lang w:val="en-US" w:eastAsia="zh-CN"/>
              </w:rPr>
              <w:t>③ 兰豆 / 甜豆：质地脆嫩、折易断、无虫蛀、无发黄发黑、无断裂、两侧筋丝细。</w:t>
            </w:r>
          </w:p>
          <w:p w14:paraId="35BBECD8">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rPr>
            </w:pPr>
            <w:r>
              <w:rPr>
                <w:highlight w:val="none"/>
                <w:lang w:val="en-US" w:eastAsia="zh-CN"/>
              </w:rPr>
              <w:t>④ 青豆：颗粒饱满、颜色鲜绿、无黑点、无黑斑、无虫蛀。⑤ 毛豆：颗粒饱满、颜色鲜绿、无黑点、无黑斑、无发黄、无虫蛀。</w:t>
            </w:r>
          </w:p>
          <w:p w14:paraId="00599542">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rPr>
            </w:pPr>
            <w:r>
              <w:rPr>
                <w:highlight w:val="none"/>
              </w:rPr>
              <w:t>（5）菌藻类</w:t>
            </w:r>
          </w:p>
          <w:p w14:paraId="2B25283B">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lang w:val="en-US" w:eastAsia="zh-CN"/>
              </w:rPr>
            </w:pPr>
            <w:r>
              <w:rPr>
                <w:highlight w:val="none"/>
                <w:lang w:val="en-US" w:eastAsia="zh-CN"/>
              </w:rPr>
              <w:t>① 菌类：个体均匀，新鲜饱满，无异味，不发霉、不变黑、不发黄、不腐烂，手捏不出水。</w:t>
            </w:r>
          </w:p>
          <w:p w14:paraId="09AD612F">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rPr>
            </w:pPr>
            <w:r>
              <w:rPr>
                <w:highlight w:val="none"/>
                <w:lang w:val="en-US" w:eastAsia="zh-CN"/>
              </w:rPr>
              <w:t>② 藻类：海带应呈深绿色，要脆口、卷曲状，宽度均匀，无黄白边，具有海带食品固有气味，无异味，无腐烂，且不含杂质及泥沙；水分含量不超过 13%；氯化钠含量不超过 15%；无机砷含量不超过 2.0mg/kg。</w:t>
            </w:r>
          </w:p>
          <w:p w14:paraId="71E92F02">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rPr>
            </w:pPr>
            <w:r>
              <w:rPr>
                <w:highlight w:val="none"/>
              </w:rPr>
              <w:t>（6）其他类</w:t>
            </w:r>
          </w:p>
          <w:p w14:paraId="6EE2A4D1">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rPr>
            </w:pPr>
            <w:r>
              <w:rPr>
                <w:highlight w:val="none"/>
                <w:lang w:val="en-US" w:eastAsia="zh-CN"/>
              </w:rPr>
              <w:t>色泽清亮，无发黑、无发黄、无异味、无腐烂。</w:t>
            </w:r>
          </w:p>
          <w:p w14:paraId="3A5EA7CD">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rPr>
            </w:pPr>
            <w:r>
              <w:rPr>
                <w:highlight w:val="none"/>
              </w:rPr>
              <w:t>（7）水果类</w:t>
            </w:r>
          </w:p>
          <w:p w14:paraId="3519C31B">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lang w:val="en-US" w:eastAsia="zh-CN"/>
              </w:rPr>
            </w:pPr>
            <w:r>
              <w:rPr>
                <w:highlight w:val="none"/>
                <w:lang w:val="en-US" w:eastAsia="zh-CN"/>
              </w:rPr>
              <w:t>① 柑橘类：果实新鲜结实、有弹性，手掂有重量感，果形完整、果肉酸甜清香，有色泽、无疤痕、不萎缩、不变色、不挤压变形，柚类无褐斑、黑点；单果重 100-150 克。</w:t>
            </w:r>
          </w:p>
          <w:p w14:paraId="69EA0453">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lang w:val="en-US" w:eastAsia="zh-CN"/>
              </w:rPr>
            </w:pPr>
            <w:r>
              <w:rPr>
                <w:highlight w:val="none"/>
                <w:lang w:val="en-US" w:eastAsia="zh-CN"/>
              </w:rPr>
              <w:t>② 橘子 / 沃柑：果实新鲜形偏圆，果皮松软易剥、色泽浅黄、金黄至金红色；果肉酸甜清香，单果重 100-150 克，有色泽、无疤痕、不萎缩、不变色、不挤压变形，无褐斑、黑点。</w:t>
            </w:r>
          </w:p>
          <w:p w14:paraId="12F1C912">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lang w:val="en-US" w:eastAsia="zh-CN"/>
              </w:rPr>
            </w:pPr>
            <w:r>
              <w:rPr>
                <w:highlight w:val="none"/>
                <w:lang w:val="en-US" w:eastAsia="zh-CN"/>
              </w:rPr>
              <w:t>③ 金橘：果实小呈椭圆，果皮细薄，果肉多汁，香气浓郁。有色泽、不萎缩、无挤压开裂，无果皮干皱。</w:t>
            </w:r>
          </w:p>
          <w:p w14:paraId="10CD3865">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lang w:val="en-US" w:eastAsia="zh-CN"/>
              </w:rPr>
            </w:pPr>
            <w:r>
              <w:rPr>
                <w:highlight w:val="none"/>
                <w:lang w:val="en-US" w:eastAsia="zh-CN"/>
              </w:rPr>
              <w:t>④ 苹果类（蛇果、青苹果、红富士、黄金帅等）：新鲜结实多汁、有光泽，表面光滑，无压伤、疤痕，不干皱、腐烂；单果重 175-200 克。</w:t>
            </w:r>
          </w:p>
          <w:p w14:paraId="4A7DFF6F">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lang w:val="en-US" w:eastAsia="zh-CN"/>
              </w:rPr>
            </w:pPr>
            <w:r>
              <w:rPr>
                <w:highlight w:val="none"/>
                <w:lang w:val="en-US" w:eastAsia="zh-CN"/>
              </w:rPr>
              <w:t>⑤ 梨类（鸭梨、啤梨、水晶梨、雪梨、贡梨、香梨等）：新鲜结实、甜而多汁，个体均匀、不变色、不干皱，无压伤；单果重 175-200 克。</w:t>
            </w:r>
          </w:p>
          <w:p w14:paraId="47907C9A">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lang w:val="en-US" w:eastAsia="zh-CN"/>
              </w:rPr>
            </w:pPr>
            <w:r>
              <w:rPr>
                <w:highlight w:val="none"/>
                <w:lang w:val="en-US" w:eastAsia="zh-CN"/>
              </w:rPr>
              <w:t>⑥ 桃类：果皮粉红带绒毛，不过熟略硬，果肉香甜爽滑多汁；油桃呈红带深红色表皮光滑无绒毛。果实带桃香，无压伤腐烂，变软过熟。</w:t>
            </w:r>
          </w:p>
          <w:p w14:paraId="1FFDD4D5">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lang w:val="en-US" w:eastAsia="zh-CN"/>
              </w:rPr>
            </w:pPr>
            <w:r>
              <w:rPr>
                <w:highlight w:val="none"/>
                <w:lang w:val="en-US" w:eastAsia="zh-CN"/>
              </w:rPr>
              <w:t>⑦ 浆果类（提子、草莓、葡萄、奇异果、猕猴桃）：果实新鲜饱满，多汁甘甜，大小均匀，无压伤，无失水干缩，无过熟腐烂。</w:t>
            </w:r>
          </w:p>
          <w:p w14:paraId="1A074D2E">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lang w:val="en-US" w:eastAsia="zh-CN"/>
              </w:rPr>
            </w:pPr>
            <w:r>
              <w:rPr>
                <w:highlight w:val="none"/>
                <w:lang w:val="en-US" w:eastAsia="zh-CN"/>
              </w:rPr>
              <w:t>⑧ 瓜类（哈密瓜、西瓜、香瓜、木瓜等）：果实完整结实无开裂、无压伤腐烂。</w:t>
            </w:r>
          </w:p>
          <w:p w14:paraId="6478018D">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lang w:val="en-US" w:eastAsia="zh-CN"/>
              </w:rPr>
            </w:pPr>
            <w:r>
              <w:rPr>
                <w:rFonts w:hint="eastAsia" w:ascii="宋体" w:hAnsi="宋体" w:cs="宋体"/>
                <w:kern w:val="0"/>
                <w:sz w:val="21"/>
                <w:szCs w:val="21"/>
                <w:highlight w:val="none"/>
                <w:lang w:val="en-US" w:eastAsia="zh-CN"/>
              </w:rPr>
              <w:t>a.</w:t>
            </w:r>
            <w:r>
              <w:rPr>
                <w:highlight w:val="none"/>
                <w:lang w:val="en-US" w:eastAsia="zh-CN"/>
              </w:rPr>
              <w:t>哈密瓜 / 西瓜：熟度适中，指关节敲击脆响，表皮带纹路。</w:t>
            </w:r>
          </w:p>
          <w:p w14:paraId="3D6D890E">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lang w:val="en-US" w:eastAsia="zh-CN"/>
              </w:rPr>
            </w:pPr>
            <w:r>
              <w:rPr>
                <w:rFonts w:hint="eastAsia" w:ascii="宋体" w:hAnsi="宋体" w:cs="宋体"/>
                <w:kern w:val="0"/>
                <w:sz w:val="21"/>
                <w:szCs w:val="21"/>
                <w:highlight w:val="none"/>
                <w:lang w:val="en-US" w:eastAsia="zh-CN"/>
              </w:rPr>
              <w:t>b.</w:t>
            </w:r>
            <w:r>
              <w:rPr>
                <w:highlight w:val="none"/>
                <w:lang w:val="en-US" w:eastAsia="zh-CN"/>
              </w:rPr>
              <w:t>哈密瓜：果皮黄绿、绿白或金黄，厚而粗糙，带有凸起纹路，果形椭圆，果肉甜香多汁、爽滑。禁止供应劣质品：有疤痕、压伤、出现黑斑，瓜身变软（过熟）。</w:t>
            </w:r>
          </w:p>
          <w:p w14:paraId="6A3783FE">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lang w:val="en-US" w:eastAsia="zh-CN"/>
              </w:rPr>
            </w:pPr>
            <w:r>
              <w:rPr>
                <w:rFonts w:hint="eastAsia" w:ascii="宋体" w:hAnsi="宋体" w:cs="宋体"/>
                <w:kern w:val="0"/>
                <w:sz w:val="21"/>
                <w:szCs w:val="21"/>
                <w:highlight w:val="none"/>
                <w:lang w:val="en-US" w:eastAsia="zh-CN"/>
              </w:rPr>
              <w:t>c.</w:t>
            </w:r>
            <w:r>
              <w:rPr>
                <w:highlight w:val="none"/>
                <w:lang w:val="en-US" w:eastAsia="zh-CN"/>
              </w:rPr>
              <w:t>西瓜：果形完整、有光泽，带暗条纹品种花纹要清晰，汁多爽甜，无开裂、发软，有疤痕、斑点；禁止供应劣质品：颜色暗红，过熟口感不好；过生肉粉红的味酸。</w:t>
            </w:r>
          </w:p>
          <w:p w14:paraId="67F67EAA">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lang w:val="en-US" w:eastAsia="zh-CN"/>
              </w:rPr>
            </w:pPr>
            <w:r>
              <w:rPr>
                <w:highlight w:val="none"/>
                <w:lang w:val="en-US" w:eastAsia="zh-CN"/>
              </w:rPr>
              <w:t>⑨ 火龙果：表皮鲜红，叶片鲜绿，结实而有弹性，果肉白、有黑色种子，口味淡甜。禁止供应劣质品：叶片发黄、干皱、颜色黯淡，表皮开裂、变软，果柄腐烂。</w:t>
            </w:r>
          </w:p>
          <w:p w14:paraId="01135297">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lang w:val="en-US" w:eastAsia="zh-CN"/>
              </w:rPr>
            </w:pPr>
            <w:r>
              <w:rPr>
                <w:highlight w:val="none"/>
                <w:lang w:val="en-US" w:eastAsia="zh-CN"/>
              </w:rPr>
              <w:t>⑩ 枇杷：果实尖圆、色橙红，结实有弹性，果肉甜香。禁止供应劣质品：腐烂、变软、疤痕。</w:t>
            </w:r>
          </w:p>
          <w:p w14:paraId="381C3A91">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lang w:val="en-US" w:eastAsia="zh-CN"/>
              </w:rPr>
            </w:pPr>
            <w:r>
              <w:rPr>
                <w:highlight w:val="none"/>
                <w:lang w:val="en-US" w:eastAsia="zh-CN"/>
              </w:rPr>
              <w:t>⑪ 芒果：果粒大小均匀，果皮光滑细腻，果肉幼滑甜香。禁止供应劣质品：表皮发黑或有黑斑，失水萎缩，果柄处腐烂。</w:t>
            </w:r>
          </w:p>
          <w:p w14:paraId="16682622">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lang w:val="en-US" w:eastAsia="zh-CN"/>
              </w:rPr>
            </w:pPr>
            <w:r>
              <w:rPr>
                <w:highlight w:val="none"/>
                <w:lang w:val="en-US" w:eastAsia="zh-CN"/>
              </w:rPr>
              <w:t>⑫ 香蕉：果实象牙状，未成熟青绿色、成熟后鲜黄色，软糯香甜。无表皮发黑，果柄腐烂，压伤、冻伤。单果重 150-200 克。</w:t>
            </w:r>
          </w:p>
          <w:p w14:paraId="00E22AE3">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lang w:val="en-US" w:eastAsia="zh-CN"/>
              </w:rPr>
            </w:pPr>
            <w:r>
              <w:rPr>
                <w:highlight w:val="none"/>
                <w:lang w:val="en-US" w:eastAsia="zh-CN"/>
              </w:rPr>
              <w:t>⑬ 龙眼：果实小而圆，果皮浅咖啡色，果肉甜、多汁；无表皮发黑，爆裂、出水。</w:t>
            </w:r>
          </w:p>
          <w:p w14:paraId="53EAF020">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lang w:val="en-US" w:eastAsia="zh-CN"/>
              </w:rPr>
            </w:pPr>
            <w:r>
              <w:rPr>
                <w:highlight w:val="none"/>
                <w:lang w:val="en-US" w:eastAsia="zh-CN"/>
              </w:rPr>
              <w:t>⑭ 荔枝：果实心形，色泽鲜红带绿，口感结实有弹性，香甜美味，脆嫩多汁，无爆裂。</w:t>
            </w:r>
          </w:p>
          <w:p w14:paraId="1CCCA0FB">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lang w:val="en-US" w:eastAsia="zh-CN"/>
              </w:rPr>
            </w:pPr>
            <w:r>
              <w:rPr>
                <w:highlight w:val="none"/>
                <w:lang w:val="en-US" w:eastAsia="zh-CN"/>
              </w:rPr>
              <w:t>⑮ 杨桃：果实呈星形，色浅绿，成熟后金黄色，表皮有光泽，果肉晶莹，口味酸甜。单果重 0.2-0.8kg。禁止供应劣质品：表面有黑斑、疤痕、外伤、边缘变色发黑。</w:t>
            </w:r>
          </w:p>
          <w:p w14:paraId="2DF211D9">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rPr>
            </w:pPr>
            <w:r>
              <w:rPr>
                <w:highlight w:val="none"/>
                <w:lang w:val="en-US" w:eastAsia="zh-CN"/>
              </w:rPr>
              <w:t>⑯ 柠檬（酸柠檬）：表皮光滑，个体均匀；手撕开果后有浆状物呈出。以上水果皆符合国家相关产品质量标准。</w:t>
            </w:r>
          </w:p>
          <w:p w14:paraId="1B732E9E">
            <w:pPr>
              <w:keepNext w:val="0"/>
              <w:keepLines w:val="0"/>
              <w:pageBreakBefore w:val="0"/>
              <w:widowControl w:val="0"/>
              <w:kinsoku/>
              <w:wordWrap/>
              <w:overflowPunct/>
              <w:topLinePunct w:val="0"/>
              <w:autoSpaceDE/>
              <w:autoSpaceDN/>
              <w:bidi w:val="0"/>
              <w:adjustRightInd/>
              <w:snapToGrid/>
              <w:spacing w:line="380" w:lineRule="exact"/>
              <w:ind w:firstLine="422" w:firstLineChars="200"/>
              <w:textAlignment w:val="auto"/>
              <w:rPr>
                <w:b/>
                <w:bCs/>
                <w:highlight w:val="none"/>
              </w:rPr>
            </w:pPr>
            <w:r>
              <w:rPr>
                <w:b/>
                <w:bCs/>
                <w:highlight w:val="none"/>
              </w:rPr>
              <w:t>（二）猪肉牛肉类配送服务</w:t>
            </w:r>
          </w:p>
          <w:p w14:paraId="5D784534">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rPr>
            </w:pPr>
            <w:r>
              <w:rPr>
                <w:highlight w:val="none"/>
              </w:rPr>
              <w:t>1. 食材种类</w:t>
            </w:r>
          </w:p>
          <w:p w14:paraId="0DCBB496">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rPr>
            </w:pPr>
            <w:r>
              <w:rPr>
                <w:highlight w:val="none"/>
              </w:rPr>
              <w:t>（1）猪肉</w:t>
            </w:r>
          </w:p>
          <w:p w14:paraId="45EEF30A">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rPr>
            </w:pPr>
            <w:r>
              <w:rPr>
                <w:highlight w:val="none"/>
                <w:lang w:val="en-US" w:eastAsia="zh-CN"/>
              </w:rPr>
              <w:t>瘦肉、里脊肉、前脚肉、半肥瘦、肥肉、前排骨、五花肉、猪耳、猪舌、猪前脚、筒骨、一字排、沙骨、扇骨、猪头骨（不带肉）、猪头皮、带皮面肉、猪脑、鲜猪肚、大肠、粉肠、猪肝、猪肺、猪腰、猪板油、猪红、冻猪尾、冰鲜猪肚、冻猪蹄等。</w:t>
            </w:r>
          </w:p>
          <w:p w14:paraId="120375D6">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rPr>
            </w:pPr>
            <w:r>
              <w:rPr>
                <w:highlight w:val="none"/>
              </w:rPr>
              <w:t>（2）牛肉</w:t>
            </w:r>
          </w:p>
          <w:p w14:paraId="20D8BEC6">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rPr>
            </w:pPr>
            <w:r>
              <w:rPr>
                <w:highlight w:val="none"/>
                <w:lang w:val="en-US" w:eastAsia="zh-CN"/>
              </w:rPr>
              <w:t>牛肉、牛腱子肉、牛里脊、牛腩、牛腩（碎）、牛百叶、牛仔骨等。</w:t>
            </w:r>
          </w:p>
          <w:p w14:paraId="57C251F0">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rPr>
            </w:pPr>
            <w:r>
              <w:rPr>
                <w:highlight w:val="none"/>
              </w:rPr>
              <w:t>2. 基本要求</w:t>
            </w:r>
          </w:p>
          <w:p w14:paraId="3D80BF2D">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rPr>
            </w:pPr>
            <w:r>
              <w:rPr>
                <w:highlight w:val="none"/>
              </w:rPr>
              <w:t>（</w:t>
            </w:r>
            <w:r>
              <w:rPr>
                <w:rFonts w:hint="eastAsia"/>
                <w:highlight w:val="none"/>
                <w:lang w:val="en-US" w:eastAsia="zh-CN"/>
              </w:rPr>
              <w:t>1</w:t>
            </w:r>
            <w:r>
              <w:rPr>
                <w:highlight w:val="none"/>
              </w:rPr>
              <w:t>）资质齐全，提供有效防疫检疫证明，符合国家相关产品质量标准。</w:t>
            </w:r>
          </w:p>
          <w:p w14:paraId="6998ED14">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rPr>
            </w:pPr>
            <w:r>
              <w:rPr>
                <w:highlight w:val="none"/>
              </w:rPr>
              <w:t>（</w:t>
            </w:r>
            <w:r>
              <w:rPr>
                <w:rFonts w:hint="eastAsia"/>
                <w:highlight w:val="none"/>
                <w:lang w:val="en-US" w:eastAsia="zh-CN"/>
              </w:rPr>
              <w:t>2</w:t>
            </w:r>
            <w:r>
              <w:rPr>
                <w:highlight w:val="none"/>
              </w:rPr>
              <w:t>）要求新鲜无异常味道，肉质色泽略呈肉白色有弹性不黏滑、骨髓色泽呈鲜红色，变灰变绿为品质不佳，用刀切开后无明显水迹。</w:t>
            </w:r>
          </w:p>
          <w:p w14:paraId="69E44733">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rPr>
            </w:pPr>
            <w:r>
              <w:rPr>
                <w:highlight w:val="none"/>
              </w:rPr>
              <w:t>（</w:t>
            </w:r>
            <w:r>
              <w:rPr>
                <w:rFonts w:hint="eastAsia"/>
                <w:highlight w:val="none"/>
                <w:lang w:val="en-US" w:eastAsia="zh-CN"/>
              </w:rPr>
              <w:t>3</w:t>
            </w:r>
            <w:r>
              <w:rPr>
                <w:highlight w:val="none"/>
              </w:rPr>
              <w:t>）按要求加工砍切；运输要求能基础保鲜封闭式运输货车。凡局部出现肉淤血、骨折、露骨、体内异物异味及表皮组织不完整等现象拒绝收货。</w:t>
            </w:r>
          </w:p>
          <w:p w14:paraId="203882D6">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rPr>
            </w:pPr>
            <w:r>
              <w:rPr>
                <w:highlight w:val="none"/>
              </w:rPr>
              <w:t>（</w:t>
            </w:r>
            <w:r>
              <w:rPr>
                <w:rFonts w:hint="eastAsia"/>
                <w:highlight w:val="none"/>
                <w:lang w:val="en-US" w:eastAsia="zh-CN"/>
              </w:rPr>
              <w:t>4</w:t>
            </w:r>
            <w:r>
              <w:rPr>
                <w:highlight w:val="none"/>
              </w:rPr>
              <w:t>）白条猪重量要求不低于 90kg。</w:t>
            </w:r>
          </w:p>
          <w:p w14:paraId="7F24AA5D">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rPr>
            </w:pPr>
            <w:r>
              <w:rPr>
                <w:highlight w:val="none"/>
              </w:rPr>
              <w:t>（</w:t>
            </w:r>
            <w:r>
              <w:rPr>
                <w:rFonts w:hint="eastAsia"/>
                <w:highlight w:val="none"/>
                <w:lang w:val="en-US" w:eastAsia="zh-CN"/>
              </w:rPr>
              <w:t>5</w:t>
            </w:r>
            <w:r>
              <w:rPr>
                <w:highlight w:val="none"/>
              </w:rPr>
              <w:t>）运输要求：冷链车配送。</w:t>
            </w:r>
          </w:p>
          <w:p w14:paraId="7792EE5F">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rPr>
            </w:pPr>
            <w:r>
              <w:rPr>
                <w:highlight w:val="none"/>
              </w:rPr>
              <w:t>3. 食材品质要求</w:t>
            </w:r>
          </w:p>
          <w:p w14:paraId="5D1B5F23">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rPr>
            </w:pPr>
            <w:r>
              <w:rPr>
                <w:highlight w:val="none"/>
              </w:rPr>
              <w:t>（1）新鲜猪肉</w:t>
            </w:r>
          </w:p>
          <w:p w14:paraId="1418C9BC">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highlight w:val="none"/>
                <w:lang w:val="en-US" w:eastAsia="zh-CN"/>
              </w:rPr>
            </w:pPr>
            <w:r>
              <w:rPr>
                <w:highlight w:val="none"/>
                <w:lang w:val="en-US" w:eastAsia="zh-CN"/>
              </w:rPr>
              <w:t>① 猪肉感官要求：肉质紧密，脂肪为白色或乳白色、整体色泽光滑、切面红色、微微湿润但不黏手、无瘀血、无注水、无寄生虫</w:t>
            </w:r>
            <w:r>
              <w:rPr>
                <w:rFonts w:hint="eastAsia"/>
                <w:highlight w:val="none"/>
                <w:lang w:val="en-US" w:eastAsia="zh-CN"/>
              </w:rPr>
              <w:t>。</w:t>
            </w:r>
          </w:p>
          <w:p w14:paraId="066E3A9A">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highlight w:val="none"/>
                <w:lang w:val="en-US" w:eastAsia="zh-CN"/>
              </w:rPr>
            </w:pPr>
            <w:r>
              <w:rPr>
                <w:rFonts w:hint="eastAsia"/>
                <w:highlight w:val="none"/>
                <w:lang w:val="en-US" w:eastAsia="zh-CN"/>
              </w:rPr>
              <w:t>a、</w:t>
            </w:r>
            <w:r>
              <w:rPr>
                <w:highlight w:val="none"/>
                <w:lang w:val="en-US" w:eastAsia="zh-CN"/>
              </w:rPr>
              <w:t>五花肉：外形完整，品质新鲜，有光泽，无淤伤，略有弹性，组织结实，无猪毛，无变质异味，肌肉与脂肪相间多层</w:t>
            </w:r>
            <w:r>
              <w:rPr>
                <w:rFonts w:hint="eastAsia"/>
                <w:highlight w:val="none"/>
                <w:lang w:val="en-US" w:eastAsia="zh-CN"/>
              </w:rPr>
              <w:t>。</w:t>
            </w:r>
          </w:p>
          <w:p w14:paraId="2A41BF96">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highlight w:val="none"/>
                <w:lang w:val="en-US" w:eastAsia="zh-CN"/>
              </w:rPr>
            </w:pPr>
            <w:r>
              <w:rPr>
                <w:rFonts w:hint="eastAsia"/>
                <w:highlight w:val="none"/>
                <w:lang w:val="en-US" w:eastAsia="zh-CN"/>
              </w:rPr>
              <w:t>b、</w:t>
            </w:r>
            <w:r>
              <w:rPr>
                <w:highlight w:val="none"/>
                <w:lang w:val="en-US" w:eastAsia="zh-CN"/>
              </w:rPr>
              <w:t>隔山肉：品质新鲜，有光泽（稍红色），无淤伤，略有弹性，组织结实</w:t>
            </w:r>
            <w:r>
              <w:rPr>
                <w:rFonts w:hint="eastAsia"/>
                <w:highlight w:val="none"/>
                <w:lang w:val="en-US" w:eastAsia="zh-CN"/>
              </w:rPr>
              <w:t>。</w:t>
            </w:r>
          </w:p>
          <w:p w14:paraId="6CF4C123">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highlight w:val="none"/>
                <w:lang w:val="en-US" w:eastAsia="zh-CN"/>
              </w:rPr>
            </w:pPr>
            <w:r>
              <w:rPr>
                <w:rFonts w:hint="eastAsia"/>
                <w:highlight w:val="none"/>
                <w:lang w:val="en-US" w:eastAsia="zh-CN"/>
              </w:rPr>
              <w:t>c、</w:t>
            </w:r>
            <w:r>
              <w:rPr>
                <w:highlight w:val="none"/>
                <w:lang w:val="en-US" w:eastAsia="zh-CN"/>
              </w:rPr>
              <w:t>猪筒骨：腿骨，圆管形、浅黄骨髓充满全部管状骨腔，带部分肌肉、干净</w:t>
            </w:r>
            <w:r>
              <w:rPr>
                <w:rFonts w:hint="eastAsia"/>
                <w:highlight w:val="none"/>
                <w:lang w:val="en-US" w:eastAsia="zh-CN"/>
              </w:rPr>
              <w:t>。</w:t>
            </w:r>
          </w:p>
          <w:p w14:paraId="74B23556">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lang w:val="en-US" w:eastAsia="zh-CN"/>
              </w:rPr>
            </w:pPr>
            <w:r>
              <w:rPr>
                <w:rFonts w:hint="eastAsia"/>
                <w:highlight w:val="none"/>
                <w:lang w:val="en-US" w:eastAsia="zh-CN"/>
              </w:rPr>
              <w:t>d、</w:t>
            </w:r>
            <w:r>
              <w:rPr>
                <w:highlight w:val="none"/>
                <w:lang w:val="en-US" w:eastAsia="zh-CN"/>
              </w:rPr>
              <w:t>瘦肉：品质新鲜，有光泽（稍红色），无淤伤，略有弹性，组织结实，无淋巴，不能带肥肉</w:t>
            </w:r>
            <w:r>
              <w:rPr>
                <w:rFonts w:hint="eastAsia"/>
                <w:highlight w:val="none"/>
                <w:lang w:val="en-US" w:eastAsia="zh-CN"/>
              </w:rPr>
              <w:t>。</w:t>
            </w:r>
          </w:p>
          <w:p w14:paraId="7C0C5070">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lang w:val="en-US" w:eastAsia="zh-CN"/>
              </w:rPr>
            </w:pPr>
            <w:r>
              <w:rPr>
                <w:rFonts w:hint="eastAsia"/>
                <w:highlight w:val="none"/>
                <w:lang w:val="en-US" w:eastAsia="zh-CN"/>
              </w:rPr>
              <w:t>e、</w:t>
            </w:r>
            <w:r>
              <w:rPr>
                <w:highlight w:val="none"/>
                <w:lang w:val="en-US" w:eastAsia="zh-CN"/>
              </w:rPr>
              <w:t>猪脚尖：外形完整，无变质异味，品质新鲜，有光泽，无淤伤，略有弹性，组织结实，无猪毛</w:t>
            </w:r>
            <w:r>
              <w:rPr>
                <w:rFonts w:hint="eastAsia"/>
                <w:highlight w:val="none"/>
                <w:lang w:val="en-US" w:eastAsia="zh-CN"/>
              </w:rPr>
              <w:t>。</w:t>
            </w:r>
          </w:p>
          <w:p w14:paraId="578171E7">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highlight w:val="none"/>
                <w:lang w:val="en-US" w:eastAsia="zh-CN"/>
              </w:rPr>
            </w:pPr>
            <w:r>
              <w:rPr>
                <w:rFonts w:hint="eastAsia"/>
                <w:highlight w:val="none"/>
                <w:lang w:val="en-US" w:eastAsia="zh-CN"/>
              </w:rPr>
              <w:t>f、</w:t>
            </w:r>
            <w:r>
              <w:rPr>
                <w:highlight w:val="none"/>
                <w:lang w:val="en-US" w:eastAsia="zh-CN"/>
              </w:rPr>
              <w:t>猪脚：外形完整，无变质异味，品质新鲜，有光泽，无淤伤，略有弹性，组织结实，无猪毛，不带猪蹄甲，不带上节猪皮及肥肉，必带猪脚根</w:t>
            </w:r>
            <w:r>
              <w:rPr>
                <w:rFonts w:hint="eastAsia"/>
                <w:highlight w:val="none"/>
                <w:lang w:val="en-US" w:eastAsia="zh-CN"/>
              </w:rPr>
              <w:t xml:space="preserve">。     </w:t>
            </w:r>
          </w:p>
          <w:p w14:paraId="42B1A846">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lang w:val="en-US" w:eastAsia="zh-CN"/>
              </w:rPr>
            </w:pPr>
            <w:r>
              <w:rPr>
                <w:rFonts w:hint="eastAsia"/>
                <w:highlight w:val="none"/>
                <w:lang w:val="en-US" w:eastAsia="zh-CN"/>
              </w:rPr>
              <w:t>g、</w:t>
            </w:r>
            <w:r>
              <w:rPr>
                <w:highlight w:val="none"/>
                <w:lang w:val="en-US" w:eastAsia="zh-CN"/>
              </w:rPr>
              <w:t>肉排：外形完整，无变质异味，品质新鲜，有光泽，湿润，略有弹性，组织结实，带肉的排骨，无淋巴，不带板油</w:t>
            </w:r>
            <w:r>
              <w:rPr>
                <w:rFonts w:hint="eastAsia"/>
                <w:highlight w:val="none"/>
                <w:lang w:val="en-US" w:eastAsia="zh-CN"/>
              </w:rPr>
              <w:t>。</w:t>
            </w:r>
          </w:p>
          <w:p w14:paraId="0A1399BB">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lang w:val="en-US" w:eastAsia="zh-CN"/>
              </w:rPr>
            </w:pPr>
            <w:r>
              <w:rPr>
                <w:rFonts w:hint="eastAsia"/>
                <w:highlight w:val="none"/>
                <w:lang w:val="en-US" w:eastAsia="zh-CN"/>
              </w:rPr>
              <w:t>h、</w:t>
            </w:r>
            <w:r>
              <w:rPr>
                <w:highlight w:val="none"/>
                <w:lang w:val="en-US" w:eastAsia="zh-CN"/>
              </w:rPr>
              <w:t>半肥瘦肉：外形完整，品质新鲜，有光泽，无淤伤，略有弹性，组织结实，无猪毛，无变质异味</w:t>
            </w:r>
            <w:r>
              <w:rPr>
                <w:rFonts w:hint="eastAsia"/>
                <w:highlight w:val="none"/>
                <w:lang w:val="en-US" w:eastAsia="zh-CN"/>
              </w:rPr>
              <w:t>。</w:t>
            </w:r>
          </w:p>
          <w:p w14:paraId="65923B8B">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lang w:val="en-US" w:eastAsia="zh-CN"/>
              </w:rPr>
            </w:pPr>
            <w:r>
              <w:rPr>
                <w:rFonts w:hint="eastAsia"/>
                <w:highlight w:val="none"/>
                <w:lang w:val="en-US" w:eastAsia="zh-CN"/>
              </w:rPr>
              <w:t>i、</w:t>
            </w:r>
            <w:r>
              <w:rPr>
                <w:highlight w:val="none"/>
                <w:lang w:val="en-US" w:eastAsia="zh-CN"/>
              </w:rPr>
              <w:t>猪舌：品质新鲜，外形完整，无根无附着的肌肉、舌骨、舌苔、脂肪，无异物，有弹性</w:t>
            </w:r>
            <w:r>
              <w:rPr>
                <w:rFonts w:hint="eastAsia"/>
                <w:highlight w:val="none"/>
                <w:lang w:val="en-US" w:eastAsia="zh-CN"/>
              </w:rPr>
              <w:t>。</w:t>
            </w:r>
          </w:p>
          <w:p w14:paraId="3786361D">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highlight w:val="none"/>
                <w:lang w:val="en-US" w:eastAsia="zh-CN"/>
              </w:rPr>
            </w:pPr>
            <w:r>
              <w:rPr>
                <w:rFonts w:ascii="宋体" w:hAnsi="宋体" w:eastAsia="宋体" w:cs="宋体"/>
                <w:sz w:val="24"/>
                <w:szCs w:val="24"/>
                <w:highlight w:val="none"/>
              </w:rPr>
              <w:t>j</w:t>
            </w:r>
            <w:r>
              <w:rPr>
                <w:rFonts w:hint="eastAsia"/>
                <w:highlight w:val="none"/>
                <w:lang w:val="en-US" w:eastAsia="zh-CN"/>
              </w:rPr>
              <w:t>、</w:t>
            </w:r>
            <w:r>
              <w:rPr>
                <w:highlight w:val="none"/>
                <w:lang w:val="en-US" w:eastAsia="zh-CN"/>
              </w:rPr>
              <w:t>猪耳朵：表面光滑无毛，形状完整，无异味、色泽正常</w:t>
            </w:r>
            <w:r>
              <w:rPr>
                <w:rFonts w:hint="eastAsia"/>
                <w:highlight w:val="none"/>
                <w:lang w:val="en-US" w:eastAsia="zh-CN"/>
              </w:rPr>
              <w:t>。</w:t>
            </w:r>
          </w:p>
          <w:p w14:paraId="00A8D4C5">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highlight w:val="none"/>
                <w:lang w:val="en-US" w:eastAsia="zh-CN"/>
              </w:rPr>
            </w:pPr>
            <w:r>
              <w:rPr>
                <w:rFonts w:ascii="宋体" w:hAnsi="宋体" w:eastAsia="宋体" w:cs="宋体"/>
                <w:sz w:val="24"/>
                <w:szCs w:val="24"/>
                <w:highlight w:val="none"/>
              </w:rPr>
              <w:t>k、</w:t>
            </w:r>
            <w:r>
              <w:rPr>
                <w:highlight w:val="none"/>
                <w:lang w:val="en-US" w:eastAsia="zh-CN"/>
              </w:rPr>
              <w:t>脊骨：品质新鲜，无淋巴，有光泽，湿润，无淤伤</w:t>
            </w:r>
            <w:r>
              <w:rPr>
                <w:rFonts w:hint="eastAsia"/>
                <w:highlight w:val="none"/>
                <w:lang w:val="en-US" w:eastAsia="zh-CN"/>
              </w:rPr>
              <w:t>。</w:t>
            </w:r>
          </w:p>
          <w:p w14:paraId="56F0EA5E">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lang w:val="en-US" w:eastAsia="zh-CN"/>
              </w:rPr>
            </w:pPr>
            <w:r>
              <w:rPr>
                <w:rFonts w:hint="eastAsia"/>
                <w:highlight w:val="none"/>
                <w:lang w:val="en-US" w:eastAsia="zh-CN"/>
              </w:rPr>
              <w:t>l、</w:t>
            </w:r>
            <w:r>
              <w:rPr>
                <w:highlight w:val="none"/>
                <w:lang w:val="en-US" w:eastAsia="zh-CN"/>
              </w:rPr>
              <w:t>排骨：外形完整，无变质异味，品质新鲜，有光泽，湿润，略有弹性，组织结实，带肉的排骨，无淋巴，不带板油</w:t>
            </w:r>
            <w:r>
              <w:rPr>
                <w:rFonts w:hint="eastAsia"/>
                <w:highlight w:val="none"/>
                <w:lang w:val="en-US" w:eastAsia="zh-CN"/>
              </w:rPr>
              <w:t>。</w:t>
            </w:r>
          </w:p>
          <w:p w14:paraId="180CF10C">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highlight w:val="none"/>
                <w:lang w:val="en-US" w:eastAsia="zh-CN"/>
              </w:rPr>
            </w:pPr>
            <w:r>
              <w:rPr>
                <w:rFonts w:ascii="宋体" w:hAnsi="宋体" w:eastAsia="宋体" w:cs="宋体"/>
                <w:sz w:val="24"/>
                <w:szCs w:val="24"/>
                <w:highlight w:val="none"/>
              </w:rPr>
              <w:t>m</w:t>
            </w:r>
            <w:r>
              <w:rPr>
                <w:rFonts w:hint="eastAsia"/>
                <w:highlight w:val="none"/>
                <w:lang w:val="en-US" w:eastAsia="zh-CN"/>
              </w:rPr>
              <w:t>、</w:t>
            </w:r>
            <w:r>
              <w:rPr>
                <w:highlight w:val="none"/>
                <w:lang w:val="en-US" w:eastAsia="zh-CN"/>
              </w:rPr>
              <w:t>猪尾：表面光滑无毛，形状完整，无异味、色泽正常</w:t>
            </w:r>
            <w:r>
              <w:rPr>
                <w:rFonts w:hint="eastAsia"/>
                <w:highlight w:val="none"/>
                <w:lang w:val="en-US" w:eastAsia="zh-CN"/>
              </w:rPr>
              <w:t>。</w:t>
            </w:r>
          </w:p>
          <w:p w14:paraId="7C493682">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highlight w:val="none"/>
                <w:lang w:val="en-US" w:eastAsia="zh-CN"/>
              </w:rPr>
            </w:pPr>
            <w:r>
              <w:rPr>
                <w:rFonts w:ascii="宋体" w:hAnsi="宋体" w:eastAsia="宋体" w:cs="宋体"/>
                <w:sz w:val="24"/>
                <w:szCs w:val="24"/>
                <w:highlight w:val="none"/>
              </w:rPr>
              <w:t>n、</w:t>
            </w:r>
            <w:r>
              <w:rPr>
                <w:highlight w:val="none"/>
                <w:lang w:val="en-US" w:eastAsia="zh-CN"/>
              </w:rPr>
              <w:t>肥肉：外形完整，品质新鲜，有光泽，无淤伤，略有弹性，组织结实，无变质异味</w:t>
            </w:r>
            <w:r>
              <w:rPr>
                <w:rFonts w:hint="eastAsia"/>
                <w:highlight w:val="none"/>
                <w:lang w:val="en-US" w:eastAsia="zh-CN"/>
              </w:rPr>
              <w:t>。</w:t>
            </w:r>
          </w:p>
          <w:p w14:paraId="78A46E68">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highlight w:val="none"/>
              </w:rPr>
            </w:pPr>
            <w:r>
              <w:rPr>
                <w:rFonts w:ascii="宋体" w:hAnsi="宋体" w:eastAsia="宋体" w:cs="宋体"/>
                <w:sz w:val="24"/>
                <w:szCs w:val="24"/>
                <w:highlight w:val="none"/>
              </w:rPr>
              <w:t>o、</w:t>
            </w:r>
            <w:r>
              <w:rPr>
                <w:highlight w:val="none"/>
                <w:lang w:val="en-US" w:eastAsia="zh-CN"/>
              </w:rPr>
              <w:t>沙骨感官要求：无淋巴，有光泽，无淤伤。</w:t>
            </w:r>
          </w:p>
          <w:p w14:paraId="77A299EF">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rPr>
            </w:pPr>
            <w:r>
              <w:rPr>
                <w:highlight w:val="none"/>
                <w:lang w:val="en-US" w:eastAsia="zh-CN"/>
              </w:rPr>
              <w:t>② 香猪感观要求：脂肪为白色或乳白色、整体色泽光滑、切面红色、微微湿润但不黏手、无淤血、无注水、无寄生虫。</w:t>
            </w:r>
          </w:p>
          <w:p w14:paraId="7CD7268B">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rPr>
            </w:pPr>
            <w:r>
              <w:rPr>
                <w:highlight w:val="none"/>
              </w:rPr>
              <w:t>（2）冻鲜猪肉</w:t>
            </w:r>
          </w:p>
          <w:p w14:paraId="6A4A38B7">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lang w:val="en-US" w:eastAsia="zh-CN"/>
              </w:rPr>
            </w:pPr>
            <w:r>
              <w:rPr>
                <w:highlight w:val="none"/>
                <w:lang w:val="en-US" w:eastAsia="zh-CN"/>
              </w:rPr>
              <w:t>猪肉感观要求：肉质紧密，脂肪为白色或乳白色、整体色泽光滑、切面湿润但不黏手、无淤血、无注水、无寄生虫</w:t>
            </w:r>
            <w:r>
              <w:rPr>
                <w:rFonts w:hint="eastAsia"/>
                <w:highlight w:val="none"/>
                <w:lang w:val="en-US" w:eastAsia="zh-CN"/>
              </w:rPr>
              <w:t>。</w:t>
            </w:r>
          </w:p>
          <w:p w14:paraId="4F66967F">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20" w:firstLineChars="200"/>
              <w:textAlignment w:val="auto"/>
              <w:rPr>
                <w:highlight w:val="none"/>
                <w:lang w:val="en-US" w:eastAsia="zh-CN"/>
              </w:rPr>
            </w:pPr>
            <w:r>
              <w:rPr>
                <w:highlight w:val="none"/>
                <w:lang w:val="en-US" w:eastAsia="zh-CN"/>
              </w:rPr>
              <w:t>① 五花肉：外形完整，品质新鲜，有光泽，无淤伤，略有弹性，组织结实，无猪毛，无变质异味，肌肉与脂肪相间多层</w:t>
            </w:r>
            <w:r>
              <w:rPr>
                <w:rFonts w:hint="eastAsia"/>
                <w:highlight w:val="none"/>
                <w:lang w:val="en-US" w:eastAsia="zh-CN"/>
              </w:rPr>
              <w:t>.</w:t>
            </w:r>
          </w:p>
          <w:p w14:paraId="09719103">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20" w:firstLineChars="200"/>
              <w:textAlignment w:val="auto"/>
              <w:rPr>
                <w:rFonts w:hint="eastAsia"/>
                <w:highlight w:val="none"/>
                <w:lang w:val="en-US" w:eastAsia="zh-CN"/>
              </w:rPr>
            </w:pPr>
            <w:r>
              <w:rPr>
                <w:highlight w:val="none"/>
                <w:lang w:val="en-US" w:eastAsia="zh-CN"/>
              </w:rPr>
              <w:t>②隔山肉：品质新鲜，有光泽（稍红色），无淤伤，略有弹性，组织结实</w:t>
            </w:r>
            <w:r>
              <w:rPr>
                <w:rFonts w:hint="eastAsia"/>
                <w:highlight w:val="none"/>
                <w:lang w:val="en-US" w:eastAsia="zh-CN"/>
              </w:rPr>
              <w:t>。</w:t>
            </w:r>
          </w:p>
          <w:p w14:paraId="1A3784B7">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20" w:firstLineChars="200"/>
              <w:textAlignment w:val="auto"/>
              <w:rPr>
                <w:rFonts w:hint="default"/>
                <w:highlight w:val="none"/>
                <w:lang w:val="en-US" w:eastAsia="zh-CN"/>
              </w:rPr>
            </w:pPr>
            <w:r>
              <w:rPr>
                <w:highlight w:val="none"/>
                <w:lang w:val="en-US" w:eastAsia="zh-CN"/>
              </w:rPr>
              <w:t>③猪筒骨：腿骨，圆管形、浅黄骨髓充满全部管状骨腔，带部分肌肉、干净</w:t>
            </w:r>
            <w:r>
              <w:rPr>
                <w:rFonts w:hint="eastAsia"/>
                <w:highlight w:val="none"/>
                <w:lang w:val="en-US" w:eastAsia="zh-CN"/>
              </w:rPr>
              <w:t>。</w:t>
            </w:r>
          </w:p>
          <w:p w14:paraId="327ECB70">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20" w:firstLineChars="200"/>
              <w:textAlignment w:val="auto"/>
              <w:rPr>
                <w:rFonts w:hint="eastAsia"/>
                <w:highlight w:val="none"/>
                <w:lang w:val="en-US" w:eastAsia="zh-CN"/>
              </w:rPr>
            </w:pPr>
            <w:r>
              <w:rPr>
                <w:highlight w:val="none"/>
                <w:lang w:val="en-US" w:eastAsia="zh-CN"/>
              </w:rPr>
              <w:t>④ 瘦肉：品质新鲜，有光泽（稍红色），无淤伤，略有弹性，组织结实，无淋巴，不能带肥肉</w:t>
            </w:r>
            <w:r>
              <w:rPr>
                <w:rFonts w:hint="eastAsia"/>
                <w:highlight w:val="none"/>
                <w:lang w:val="en-US" w:eastAsia="zh-CN"/>
              </w:rPr>
              <w:t>。</w:t>
            </w:r>
          </w:p>
          <w:p w14:paraId="1A7040EC">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20" w:firstLineChars="200"/>
              <w:textAlignment w:val="auto"/>
              <w:rPr>
                <w:rFonts w:hint="eastAsia"/>
                <w:highlight w:val="none"/>
                <w:lang w:val="en-US" w:eastAsia="zh-CN"/>
              </w:rPr>
            </w:pPr>
            <w:r>
              <w:rPr>
                <w:highlight w:val="none"/>
                <w:lang w:val="en-US" w:eastAsia="zh-CN"/>
              </w:rPr>
              <w:t>⑤猪脚尖：外形完整，无变质异味，品质新鲜，有光泽，无淤伤，略有弹性，组织结实，无猪毛</w:t>
            </w:r>
            <w:r>
              <w:rPr>
                <w:rFonts w:hint="eastAsia"/>
                <w:highlight w:val="none"/>
                <w:lang w:val="en-US" w:eastAsia="zh-CN"/>
              </w:rPr>
              <w:t>。</w:t>
            </w:r>
          </w:p>
          <w:p w14:paraId="7A6D05F4">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20" w:firstLineChars="200"/>
              <w:textAlignment w:val="auto"/>
              <w:rPr>
                <w:rFonts w:hint="eastAsia"/>
                <w:highlight w:val="none"/>
                <w:lang w:val="en-US" w:eastAsia="zh-CN"/>
              </w:rPr>
            </w:pPr>
            <w:r>
              <w:rPr>
                <w:highlight w:val="none"/>
                <w:lang w:val="en-US" w:eastAsia="zh-CN"/>
              </w:rPr>
              <w:t>⑥猪脚：外形完整，无变质异味，品质新鲜，有光泽，无淤伤，略有弹性，组织结实，无猪毛，不带猪蹄甲，不带上节猪皮及肥肉，必带猪脚根</w:t>
            </w:r>
            <w:r>
              <w:rPr>
                <w:rFonts w:hint="eastAsia"/>
                <w:highlight w:val="none"/>
                <w:lang w:val="en-US" w:eastAsia="zh-CN"/>
              </w:rPr>
              <w:t>。</w:t>
            </w:r>
          </w:p>
          <w:p w14:paraId="27DE34F9">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20" w:firstLineChars="200"/>
              <w:textAlignment w:val="auto"/>
              <w:rPr>
                <w:rFonts w:hint="eastAsia"/>
                <w:highlight w:val="none"/>
                <w:lang w:val="en-US" w:eastAsia="zh-CN"/>
              </w:rPr>
            </w:pPr>
            <w:r>
              <w:rPr>
                <w:highlight w:val="none"/>
                <w:lang w:val="en-US" w:eastAsia="zh-CN"/>
              </w:rPr>
              <w:t>⑦ 肉排：外形完整，无变质异味，品质新鲜，有光泽，湿润，略有弹性，组织结实，带肉的排骨，无淋巴，不带板油</w:t>
            </w:r>
            <w:r>
              <w:rPr>
                <w:rFonts w:hint="eastAsia"/>
                <w:highlight w:val="none"/>
                <w:lang w:val="en-US" w:eastAsia="zh-CN"/>
              </w:rPr>
              <w:t>。</w:t>
            </w:r>
          </w:p>
          <w:p w14:paraId="0B3F1226">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20" w:firstLineChars="200"/>
              <w:textAlignment w:val="auto"/>
              <w:rPr>
                <w:rFonts w:hint="eastAsia"/>
                <w:highlight w:val="none"/>
                <w:lang w:val="en-US" w:eastAsia="zh-CN"/>
              </w:rPr>
            </w:pPr>
            <w:r>
              <w:rPr>
                <w:highlight w:val="none"/>
                <w:lang w:val="en-US" w:eastAsia="zh-CN"/>
              </w:rPr>
              <w:t>⑧半肥瘦肉：外形完整，品质新鲜，有光泽，无淤伤，略有弹性，组织结实，无猪毛，无变质异味</w:t>
            </w:r>
            <w:r>
              <w:rPr>
                <w:rFonts w:hint="eastAsia"/>
                <w:highlight w:val="none"/>
                <w:lang w:val="en-US" w:eastAsia="zh-CN"/>
              </w:rPr>
              <w:t>。</w:t>
            </w:r>
          </w:p>
          <w:p w14:paraId="58B2816A">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20" w:firstLineChars="200"/>
              <w:textAlignment w:val="auto"/>
              <w:rPr>
                <w:rFonts w:hint="eastAsia"/>
                <w:highlight w:val="none"/>
                <w:lang w:val="en-US" w:eastAsia="zh-CN"/>
              </w:rPr>
            </w:pPr>
            <w:r>
              <w:rPr>
                <w:highlight w:val="none"/>
                <w:lang w:val="en-US" w:eastAsia="zh-CN"/>
              </w:rPr>
              <w:t>⑨ 猪舌：品质新鲜，外形完整，无根无附着的肌肉、舌骨、舌苔、脂肪，无异物，有弹性</w:t>
            </w:r>
            <w:r>
              <w:rPr>
                <w:rFonts w:hint="eastAsia"/>
                <w:highlight w:val="none"/>
                <w:lang w:val="en-US" w:eastAsia="zh-CN"/>
              </w:rPr>
              <w:t>。</w:t>
            </w:r>
          </w:p>
          <w:p w14:paraId="6FCE9853">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20" w:firstLineChars="200"/>
              <w:textAlignment w:val="auto"/>
              <w:rPr>
                <w:rFonts w:hint="eastAsia"/>
                <w:highlight w:val="none"/>
                <w:lang w:val="en-US" w:eastAsia="zh-CN"/>
              </w:rPr>
            </w:pPr>
            <w:r>
              <w:rPr>
                <w:highlight w:val="none"/>
                <w:lang w:val="en-US" w:eastAsia="zh-CN"/>
              </w:rPr>
              <w:t>⑩ 猪耳朵：表面光滑无毛，形状完整，无异味、色泽正常</w:t>
            </w:r>
            <w:r>
              <w:rPr>
                <w:rFonts w:hint="eastAsia"/>
                <w:highlight w:val="none"/>
                <w:lang w:val="en-US" w:eastAsia="zh-CN"/>
              </w:rPr>
              <w:t>。</w:t>
            </w:r>
            <w:r>
              <w:rPr>
                <w:highlight w:val="none"/>
                <w:lang w:val="en-US" w:eastAsia="zh-CN"/>
              </w:rPr>
              <w:t>⑪脊骨：品质新鲜，无淋巴，有光泽，湿润，无淤伤</w:t>
            </w:r>
            <w:r>
              <w:rPr>
                <w:rFonts w:hint="eastAsia"/>
                <w:highlight w:val="none"/>
                <w:lang w:val="en-US" w:eastAsia="zh-CN"/>
              </w:rPr>
              <w:t>。</w:t>
            </w:r>
          </w:p>
          <w:p w14:paraId="74A5D804">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20" w:firstLineChars="200"/>
              <w:textAlignment w:val="auto"/>
              <w:rPr>
                <w:rFonts w:hint="eastAsia"/>
                <w:highlight w:val="none"/>
                <w:lang w:val="en-US" w:eastAsia="zh-CN"/>
              </w:rPr>
            </w:pPr>
            <w:r>
              <w:rPr>
                <w:highlight w:val="none"/>
                <w:lang w:val="en-US" w:eastAsia="zh-CN"/>
              </w:rPr>
              <w:t>⑪</w:t>
            </w:r>
            <w:r>
              <w:rPr>
                <w:highlight w:val="none"/>
                <w:lang w:val="en-US" w:eastAsia="zh-CN"/>
              </w:rPr>
              <w:t>排骨：外形完整，无变质异味，品质新鲜，有光泽，湿润，略有弹性，组织结实，带肉的排骨，无淋巴，不带板油</w:t>
            </w:r>
            <w:r>
              <w:rPr>
                <w:rFonts w:hint="eastAsia"/>
                <w:highlight w:val="none"/>
                <w:lang w:val="en-US" w:eastAsia="zh-CN"/>
              </w:rPr>
              <w:t>。</w:t>
            </w:r>
          </w:p>
          <w:p w14:paraId="33A46BD5">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20" w:firstLineChars="200"/>
              <w:textAlignment w:val="auto"/>
              <w:rPr>
                <w:rFonts w:hint="eastAsia"/>
                <w:highlight w:val="none"/>
                <w:lang w:val="en-US" w:eastAsia="zh-CN"/>
              </w:rPr>
            </w:pPr>
            <w:r>
              <w:rPr>
                <w:highlight w:val="none"/>
                <w:lang w:val="en-US" w:eastAsia="zh-CN"/>
              </w:rPr>
              <w:t>⑫</w:t>
            </w:r>
            <w:r>
              <w:rPr>
                <w:highlight w:val="none"/>
                <w:lang w:val="en-US" w:eastAsia="zh-CN"/>
              </w:rPr>
              <w:t>猪尾：表面光滑无毛，形状完整，无异味、色泽正常</w:t>
            </w:r>
            <w:r>
              <w:rPr>
                <w:rFonts w:hint="eastAsia"/>
                <w:highlight w:val="none"/>
                <w:lang w:val="en-US" w:eastAsia="zh-CN"/>
              </w:rPr>
              <w:t>。</w:t>
            </w:r>
          </w:p>
          <w:p w14:paraId="2238D267">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20" w:firstLineChars="200"/>
              <w:textAlignment w:val="auto"/>
              <w:rPr>
                <w:rFonts w:hint="eastAsia"/>
                <w:highlight w:val="none"/>
                <w:lang w:val="en-US" w:eastAsia="zh-CN"/>
              </w:rPr>
            </w:pPr>
            <w:r>
              <w:rPr>
                <w:highlight w:val="none"/>
                <w:lang w:val="en-US" w:eastAsia="zh-CN"/>
              </w:rPr>
              <w:t>⑬</w:t>
            </w:r>
            <w:r>
              <w:rPr>
                <w:highlight w:val="none"/>
                <w:lang w:val="en-US" w:eastAsia="zh-CN"/>
              </w:rPr>
              <w:t>肥肉：外形完整，品质新鲜，有光泽，无淤伤，略有弹性，组织结实，无变质异味</w:t>
            </w:r>
            <w:r>
              <w:rPr>
                <w:rFonts w:hint="eastAsia"/>
                <w:highlight w:val="none"/>
                <w:lang w:val="en-US" w:eastAsia="zh-CN"/>
              </w:rPr>
              <w:t>。</w:t>
            </w:r>
          </w:p>
          <w:p w14:paraId="679F0521">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20" w:firstLineChars="200"/>
              <w:textAlignment w:val="auto"/>
              <w:rPr>
                <w:highlight w:val="none"/>
              </w:rPr>
            </w:pPr>
            <w:r>
              <w:rPr>
                <w:highlight w:val="none"/>
                <w:lang w:val="en-US" w:eastAsia="zh-CN"/>
              </w:rPr>
              <w:t>⑭</w:t>
            </w:r>
            <w:r>
              <w:rPr>
                <w:highlight w:val="none"/>
                <w:lang w:val="en-US" w:eastAsia="zh-CN"/>
              </w:rPr>
              <w:t>沙骨感观要求：无淋巴，有光泽，无淤伤。</w:t>
            </w:r>
          </w:p>
          <w:p w14:paraId="498E5449">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rPr>
            </w:pPr>
            <w:r>
              <w:rPr>
                <w:highlight w:val="none"/>
              </w:rPr>
              <w:t>（3）新鲜牛肉</w:t>
            </w:r>
          </w:p>
          <w:p w14:paraId="2D1475E1">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rPr>
            </w:pPr>
            <w:r>
              <w:rPr>
                <w:highlight w:val="none"/>
                <w:lang w:val="en-US" w:eastAsia="zh-CN"/>
              </w:rPr>
              <w:t>感观要求：牛肉：颜色暗红、有光泽，脂肪洁白或淡黄色。肉质纤维细腻、紧实，夹有脂肪，肉质微湿。面微干，有风干膜，不黏手。有牛肉的膻气。</w:t>
            </w:r>
          </w:p>
          <w:p w14:paraId="607B092C">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rPr>
            </w:pPr>
            <w:r>
              <w:rPr>
                <w:highlight w:val="none"/>
              </w:rPr>
              <w:t>（4）冻鲜牛肉</w:t>
            </w:r>
          </w:p>
          <w:p w14:paraId="53C514CD">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rPr>
            </w:pPr>
            <w:r>
              <w:rPr>
                <w:highlight w:val="none"/>
                <w:lang w:val="en-US" w:eastAsia="zh-CN"/>
              </w:rPr>
              <w:t>感观要求：牛肉：颜色鲜红、有光泽，脂肪洁白或微黄色。肉质纤维细腻、紧实，夹有脂肪，肉质微湿。面微干，有风干膜，不黏手。有牛肉的膻气。</w:t>
            </w:r>
          </w:p>
          <w:p w14:paraId="49842DCB">
            <w:pPr>
              <w:keepNext w:val="0"/>
              <w:keepLines w:val="0"/>
              <w:pageBreakBefore w:val="0"/>
              <w:widowControl w:val="0"/>
              <w:kinsoku/>
              <w:wordWrap/>
              <w:overflowPunct/>
              <w:topLinePunct w:val="0"/>
              <w:autoSpaceDE/>
              <w:autoSpaceDN/>
              <w:bidi w:val="0"/>
              <w:adjustRightInd/>
              <w:snapToGrid/>
              <w:spacing w:line="380" w:lineRule="exact"/>
              <w:ind w:firstLine="422" w:firstLineChars="200"/>
              <w:textAlignment w:val="auto"/>
              <w:rPr>
                <w:b/>
                <w:bCs/>
                <w:highlight w:val="none"/>
              </w:rPr>
            </w:pPr>
            <w:r>
              <w:rPr>
                <w:b/>
                <w:bCs/>
                <w:highlight w:val="none"/>
              </w:rPr>
              <w:t>（三）家禽水产冻品干杂类配送服务</w:t>
            </w:r>
          </w:p>
          <w:p w14:paraId="70B36C05">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rPr>
            </w:pPr>
            <w:r>
              <w:rPr>
                <w:highlight w:val="none"/>
              </w:rPr>
              <w:t>1. 食材种类</w:t>
            </w:r>
          </w:p>
          <w:p w14:paraId="389DECF2">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rPr>
            </w:pPr>
            <w:r>
              <w:rPr>
                <w:highlight w:val="none"/>
              </w:rPr>
              <w:t>（1）鸡肉</w:t>
            </w:r>
          </w:p>
          <w:p w14:paraId="7B7DFA2A">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rPr>
            </w:pPr>
            <w:r>
              <w:rPr>
                <w:highlight w:val="none"/>
                <w:lang w:val="en-US" w:eastAsia="zh-CN"/>
              </w:rPr>
              <w:t>白切鸡、鸡胸肉、老鸡、乌鸡、肉鸡、三黄鸡、鸡腿、鸡翅、土鸡、鸡爪、鸡壳、鸡杂、冻小翅根、冻鸡尖等。</w:t>
            </w:r>
          </w:p>
          <w:p w14:paraId="7F332A13">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rPr>
            </w:pPr>
            <w:r>
              <w:rPr>
                <w:highlight w:val="none"/>
              </w:rPr>
              <w:t>（2）鸭肉</w:t>
            </w:r>
          </w:p>
          <w:p w14:paraId="1DB15818">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rPr>
            </w:pPr>
            <w:r>
              <w:rPr>
                <w:highlight w:val="none"/>
                <w:lang w:val="en-US" w:eastAsia="zh-CN"/>
              </w:rPr>
              <w:t>老鸭、烧鸭、炒鸭、白切鸭、鸭腿、鸭翅、带皮鸭爪、鲜鸭爪、鸭下巴、鸭肾、土鸭、醋鸭血等。</w:t>
            </w:r>
          </w:p>
          <w:p w14:paraId="6A6E1771">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rPr>
            </w:pPr>
            <w:r>
              <w:rPr>
                <w:highlight w:val="none"/>
              </w:rPr>
              <w:t>（3）其他禽肉</w:t>
            </w:r>
          </w:p>
          <w:p w14:paraId="089A9671">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rPr>
            </w:pPr>
            <w:r>
              <w:rPr>
                <w:highlight w:val="none"/>
                <w:lang w:val="en-US" w:eastAsia="zh-CN"/>
              </w:rPr>
              <w:t>鹅、乳鸽、鹌鹑等。</w:t>
            </w:r>
          </w:p>
          <w:p w14:paraId="63A634D4">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rPr>
            </w:pPr>
            <w:r>
              <w:rPr>
                <w:highlight w:val="none"/>
              </w:rPr>
              <w:t>（4）水产类</w:t>
            </w:r>
          </w:p>
          <w:p w14:paraId="67716FE1">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lang w:val="en-US" w:eastAsia="zh-CN"/>
              </w:rPr>
            </w:pPr>
            <w:r>
              <w:rPr>
                <w:highlight w:val="none"/>
                <w:lang w:val="en-US" w:eastAsia="zh-CN"/>
              </w:rPr>
              <w:t>① 活鱼：白鲢鱼、草鱼肉、罗非鱼、草鱼腩、禾花鱼、黄蜂鱼、鲶鱼、鲫鱼、花鱼、脆鲩、钳鱼、黄鳝（黄色品种）、泥鳅（小泥鳅）、鲟龙鱼、鲈鱼、桂花鱼、石斑鱼、多宝鱼、东星斑、鲳鱼、鱼片等。</w:t>
            </w:r>
          </w:p>
          <w:p w14:paraId="518CD216">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lang w:val="en-US" w:eastAsia="zh-CN"/>
              </w:rPr>
            </w:pPr>
            <w:r>
              <w:rPr>
                <w:highlight w:val="none"/>
                <w:lang w:val="en-US" w:eastAsia="zh-CN"/>
              </w:rPr>
              <w:t>② 虾类：明虾、斑节虾、九节虾、罗氏沼虾、冰虾、虾仁。</w:t>
            </w:r>
          </w:p>
          <w:p w14:paraId="05A9E776">
            <w:pPr>
              <w:keepNext w:val="0"/>
              <w:keepLines w:val="0"/>
              <w:pageBreakBefore w:val="0"/>
              <w:widowControl w:val="0"/>
              <w:kinsoku/>
              <w:wordWrap/>
              <w:overflowPunct/>
              <w:topLinePunct w:val="0"/>
              <w:autoSpaceDE/>
              <w:autoSpaceDN/>
              <w:bidi w:val="0"/>
              <w:adjustRightInd/>
              <w:snapToGrid/>
              <w:spacing w:line="380" w:lineRule="exact"/>
              <w:ind w:left="420" w:leftChars="200" w:firstLine="0" w:firstLineChars="0"/>
              <w:textAlignment w:val="auto"/>
              <w:rPr>
                <w:highlight w:val="none"/>
                <w:lang w:val="en-US" w:eastAsia="zh-CN"/>
              </w:rPr>
            </w:pPr>
            <w:r>
              <w:rPr>
                <w:highlight w:val="none"/>
                <w:lang w:val="en-US" w:eastAsia="zh-CN"/>
              </w:rPr>
              <w:t>③ 贝类：白车螺、扇贝、生蚝、鲍鱼、花甲、圣子螺、带子螺、石螺等。④ 其他：海参、带鱼、沙丁鱼、巴沙鱼、鳕鱼、鱿鱼、鱿鱼糕、鱿鱼筒、</w:t>
            </w:r>
          </w:p>
          <w:p w14:paraId="083FE230">
            <w:pPr>
              <w:keepNext w:val="0"/>
              <w:keepLines w:val="0"/>
              <w:pageBreakBefore w:val="0"/>
              <w:widowControl w:val="0"/>
              <w:kinsoku/>
              <w:wordWrap/>
              <w:overflowPunct/>
              <w:topLinePunct w:val="0"/>
              <w:autoSpaceDE/>
              <w:autoSpaceDN/>
              <w:bidi w:val="0"/>
              <w:adjustRightInd/>
              <w:snapToGrid/>
              <w:spacing w:line="380" w:lineRule="exact"/>
              <w:textAlignment w:val="auto"/>
              <w:rPr>
                <w:highlight w:val="none"/>
              </w:rPr>
            </w:pPr>
            <w:r>
              <w:rPr>
                <w:highlight w:val="none"/>
                <w:lang w:val="en-US" w:eastAsia="zh-CN"/>
              </w:rPr>
              <w:t>白鳝、沙虫等。</w:t>
            </w:r>
          </w:p>
          <w:p w14:paraId="78C24886">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rPr>
            </w:pPr>
            <w:r>
              <w:rPr>
                <w:highlight w:val="none"/>
              </w:rPr>
              <w:t>2. 家禽类基本要求</w:t>
            </w:r>
          </w:p>
          <w:p w14:paraId="4BE10D06">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rPr>
            </w:pPr>
            <w:r>
              <w:rPr>
                <w:highlight w:val="none"/>
              </w:rPr>
              <w:t>（1）基本要求：资质齐全，符合国家相关产品质量标准。</w:t>
            </w:r>
          </w:p>
          <w:p w14:paraId="27B596A1">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rPr>
            </w:pPr>
            <w:r>
              <w:rPr>
                <w:highlight w:val="none"/>
              </w:rPr>
              <w:t>（2）要求新鲜无异常味道，肉质色泽呈淡黄红色有弹性不黏滑、骨髓色泽呈鲜红色，变灰变绿为品质不佳，用刀切开后无明显水迹。</w:t>
            </w:r>
          </w:p>
          <w:p w14:paraId="41DB3E73">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rPr>
            </w:pPr>
            <w:r>
              <w:rPr>
                <w:highlight w:val="none"/>
              </w:rPr>
              <w:t>（3）按要求加工砍切，去头去尾去内脏。</w:t>
            </w:r>
          </w:p>
          <w:p w14:paraId="0D05A1B6">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rPr>
            </w:pPr>
            <w:r>
              <w:rPr>
                <w:highlight w:val="none"/>
              </w:rPr>
              <w:t>（4）凡局部出现肉淤血、骨折、露骨、体内异物异味及表皮组织不完整等现象拒绝收货。</w:t>
            </w:r>
          </w:p>
          <w:p w14:paraId="39A0A38C">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rPr>
            </w:pPr>
            <w:r>
              <w:rPr>
                <w:highlight w:val="none"/>
              </w:rPr>
              <w:t>（5）鸭的饲养天数 50 天以上。</w:t>
            </w:r>
          </w:p>
          <w:p w14:paraId="6AC7847C">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rPr>
            </w:pPr>
            <w:r>
              <w:rPr>
                <w:highlight w:val="none"/>
              </w:rPr>
              <w:t>（6）三黄鸡、肉鸡等饲养天数 70 天以上。</w:t>
            </w:r>
          </w:p>
          <w:p w14:paraId="39A6CAEA">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rPr>
            </w:pPr>
            <w:r>
              <w:rPr>
                <w:highlight w:val="none"/>
              </w:rPr>
              <w:t>（7）老鸡（老母鸡）饲养天数 100 天以上。</w:t>
            </w:r>
          </w:p>
          <w:p w14:paraId="07D198DD">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rPr>
            </w:pPr>
            <w:r>
              <w:rPr>
                <w:highlight w:val="none"/>
              </w:rPr>
              <w:t>（8）运输要求：冷链车配送。</w:t>
            </w:r>
          </w:p>
          <w:p w14:paraId="5C6570CD">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rPr>
            </w:pPr>
            <w:r>
              <w:rPr>
                <w:highlight w:val="none"/>
              </w:rPr>
              <w:t>3. 家禽类食材品质要求</w:t>
            </w:r>
          </w:p>
          <w:p w14:paraId="65247E9B">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rPr>
            </w:pPr>
            <w:r>
              <w:rPr>
                <w:highlight w:val="none"/>
              </w:rPr>
              <w:t>（1）光鸭产品感观要求：表皮光滑而有光泽、肉质好且丰满、表皮无毛、无破皮、无花皮、无显眼淤块；无注水、肚内无一切内脏、无异味；</w:t>
            </w:r>
          </w:p>
          <w:p w14:paraId="6F9C251B">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highlight w:val="none"/>
                <w:lang w:val="en-US" w:eastAsia="zh-CN"/>
              </w:rPr>
            </w:pPr>
            <w:r>
              <w:rPr>
                <w:highlight w:val="none"/>
                <w:lang w:val="en-US" w:eastAsia="zh-CN"/>
              </w:rPr>
              <w:t>① 外观：肉色泽光润，肉的断面呈淡红色，稍湿润，但不黏手，肉的液体透明</w:t>
            </w:r>
            <w:r>
              <w:rPr>
                <w:rFonts w:hint="eastAsia"/>
                <w:highlight w:val="none"/>
                <w:lang w:val="en-US" w:eastAsia="zh-CN"/>
              </w:rPr>
              <w:t>。</w:t>
            </w:r>
          </w:p>
          <w:p w14:paraId="29C2A000">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highlight w:val="none"/>
                <w:lang w:val="en-US" w:eastAsia="zh-CN"/>
              </w:rPr>
            </w:pPr>
            <w:r>
              <w:rPr>
                <w:highlight w:val="none"/>
                <w:lang w:val="en-US" w:eastAsia="zh-CN"/>
              </w:rPr>
              <w:t>② 硬度：肉的刀断面，肉质紧密、富有弹性</w:t>
            </w:r>
            <w:r>
              <w:rPr>
                <w:rFonts w:hint="eastAsia"/>
                <w:highlight w:val="none"/>
                <w:lang w:val="en-US" w:eastAsia="zh-CN"/>
              </w:rPr>
              <w:t>。</w:t>
            </w:r>
          </w:p>
          <w:p w14:paraId="6B48955B">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highlight w:val="none"/>
                <w:lang w:val="en-US" w:eastAsia="zh-CN"/>
              </w:rPr>
            </w:pPr>
            <w:r>
              <w:rPr>
                <w:highlight w:val="none"/>
                <w:lang w:val="en-US" w:eastAsia="zh-CN"/>
              </w:rPr>
              <w:t>③ 气味：肉具有每种家禽肉的特有气味</w:t>
            </w:r>
            <w:r>
              <w:rPr>
                <w:rFonts w:hint="eastAsia"/>
                <w:highlight w:val="none"/>
                <w:lang w:val="en-US" w:eastAsia="zh-CN"/>
              </w:rPr>
              <w:t>。</w:t>
            </w:r>
          </w:p>
          <w:p w14:paraId="64F39B56">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rPr>
            </w:pPr>
            <w:r>
              <w:rPr>
                <w:highlight w:val="none"/>
                <w:lang w:val="en-US" w:eastAsia="zh-CN"/>
              </w:rPr>
              <w:t>④ 脂肪：肉的脂肪分布均匀，没有酸败味和臭味，并保持原有色泽。</w:t>
            </w:r>
          </w:p>
          <w:p w14:paraId="759D0DFA">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rPr>
            </w:pPr>
            <w:r>
              <w:rPr>
                <w:highlight w:val="none"/>
              </w:rPr>
              <w:t>（2）光鸡产品感观要求：具有该品种应有的外形特征、大小符合要求、鸡肚内无一切内脏、眼球饱满、皮肤有光泽、因品种不同而呈淡黄、淡红、灰白或灰黑等色、肌肉切面发光、外表微干或微湿润、不黏手，具有鸡肉正常气味，淤血斑无或极少，无打水症状、无破皮、鸡的翼部或鸡关节，不能有骨折和因骨折破皮而使骨头外露；</w:t>
            </w:r>
          </w:p>
          <w:p w14:paraId="43809C36">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lang w:val="en-US" w:eastAsia="zh-CN"/>
              </w:rPr>
            </w:pPr>
            <w:r>
              <w:rPr>
                <w:highlight w:val="none"/>
                <w:lang w:val="en-US" w:eastAsia="zh-CN"/>
              </w:rPr>
              <w:t>① 外观：肉色泽光润，肉的断面呈淡红色，稍湿润，但不黏，肉的液体透明</w:t>
            </w:r>
            <w:r>
              <w:rPr>
                <w:rFonts w:hint="eastAsia"/>
                <w:highlight w:val="none"/>
                <w:lang w:val="en-US" w:eastAsia="zh-CN"/>
              </w:rPr>
              <w:t>。</w:t>
            </w:r>
          </w:p>
          <w:p w14:paraId="3BB66429">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lang w:val="en-US" w:eastAsia="zh-CN"/>
              </w:rPr>
            </w:pPr>
            <w:r>
              <w:rPr>
                <w:highlight w:val="none"/>
                <w:lang w:val="en-US" w:eastAsia="zh-CN"/>
              </w:rPr>
              <w:t>② 硬度：肉的刀断面，肉质紧密</w:t>
            </w:r>
            <w:r>
              <w:rPr>
                <w:rFonts w:hint="eastAsia"/>
                <w:highlight w:val="none"/>
                <w:lang w:val="en-US" w:eastAsia="zh-CN"/>
              </w:rPr>
              <w:t>。</w:t>
            </w:r>
          </w:p>
          <w:p w14:paraId="749D1796">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highlight w:val="none"/>
                <w:lang w:val="en-US" w:eastAsia="zh-CN"/>
              </w:rPr>
            </w:pPr>
            <w:r>
              <w:rPr>
                <w:highlight w:val="none"/>
                <w:lang w:val="en-US" w:eastAsia="zh-CN"/>
              </w:rPr>
              <w:t>③ 气味：肉具有每种家禽肉的特有气味</w:t>
            </w:r>
            <w:r>
              <w:rPr>
                <w:rFonts w:hint="eastAsia"/>
                <w:highlight w:val="none"/>
                <w:lang w:val="en-US" w:eastAsia="zh-CN"/>
              </w:rPr>
              <w:t>。</w:t>
            </w:r>
          </w:p>
          <w:p w14:paraId="490BB436">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rPr>
            </w:pPr>
            <w:r>
              <w:rPr>
                <w:highlight w:val="none"/>
                <w:lang w:val="en-US" w:eastAsia="zh-CN"/>
              </w:rPr>
              <w:t>④ 脂肪：肉的脂肪分布均匀，没有酸败味和臭味，并保持原有色泽。</w:t>
            </w:r>
          </w:p>
          <w:p w14:paraId="43DFDC2E">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rPr>
            </w:pPr>
            <w:r>
              <w:rPr>
                <w:highlight w:val="none"/>
              </w:rPr>
              <w:t>（3）其他禽肉产品感观要求：表皮光滑而有光泽、肉质好且丰满、表皮无毛、无破皮、无花皮、无显眼淤块；无注水、肚内无一切内脏、无异味；</w:t>
            </w:r>
          </w:p>
          <w:p w14:paraId="1A0AF1F9">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lang w:val="en-US" w:eastAsia="zh-CN"/>
              </w:rPr>
            </w:pPr>
            <w:r>
              <w:rPr>
                <w:highlight w:val="none"/>
                <w:lang w:val="en-US" w:eastAsia="zh-CN"/>
              </w:rPr>
              <w:t>① 外观：肉色泽光润，肉的断面呈淡红色，稍湿润，但不黏，肉的液体透明</w:t>
            </w:r>
            <w:r>
              <w:rPr>
                <w:rFonts w:hint="eastAsia"/>
                <w:highlight w:val="none"/>
                <w:lang w:val="en-US" w:eastAsia="zh-CN"/>
              </w:rPr>
              <w:t>。</w:t>
            </w:r>
          </w:p>
          <w:p w14:paraId="52CF1977">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lang w:val="en-US" w:eastAsia="zh-CN"/>
              </w:rPr>
            </w:pPr>
            <w:r>
              <w:rPr>
                <w:highlight w:val="none"/>
                <w:lang w:val="en-US" w:eastAsia="zh-CN"/>
              </w:rPr>
              <w:t>② 硬度：肉的刀断面，肉质紧密、富有弹性</w:t>
            </w:r>
            <w:r>
              <w:rPr>
                <w:rFonts w:hint="eastAsia"/>
                <w:highlight w:val="none"/>
                <w:lang w:val="en-US" w:eastAsia="zh-CN"/>
              </w:rPr>
              <w:t>。</w:t>
            </w:r>
          </w:p>
          <w:p w14:paraId="41B2F70B">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lang w:val="en-US" w:eastAsia="zh-CN"/>
              </w:rPr>
            </w:pPr>
            <w:r>
              <w:rPr>
                <w:highlight w:val="none"/>
                <w:lang w:val="en-US" w:eastAsia="zh-CN"/>
              </w:rPr>
              <w:t>③ 气味：肉具有每种禽肉的特有气味</w:t>
            </w:r>
            <w:r>
              <w:rPr>
                <w:rFonts w:hint="eastAsia"/>
                <w:highlight w:val="none"/>
                <w:lang w:val="en-US" w:eastAsia="zh-CN"/>
              </w:rPr>
              <w:t>。</w:t>
            </w:r>
          </w:p>
          <w:p w14:paraId="6D0C2794">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rPr>
            </w:pPr>
            <w:r>
              <w:rPr>
                <w:highlight w:val="none"/>
                <w:lang w:val="en-US" w:eastAsia="zh-CN"/>
              </w:rPr>
              <w:t>④ 脂肪：肉的脂肪分布均匀，没有酸败味和臭味，并保持原有色泽。</w:t>
            </w:r>
          </w:p>
          <w:p w14:paraId="5CCFC43C">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rPr>
            </w:pPr>
            <w:r>
              <w:rPr>
                <w:highlight w:val="none"/>
              </w:rPr>
              <w:t>4. 水产类要求</w:t>
            </w:r>
          </w:p>
          <w:p w14:paraId="4D2C6A95">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rPr>
            </w:pPr>
            <w:r>
              <w:rPr>
                <w:highlight w:val="none"/>
              </w:rPr>
              <w:t>（1）基本要求：符合国家相关产品质量标准。</w:t>
            </w:r>
          </w:p>
          <w:p w14:paraId="26871448">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rPr>
            </w:pPr>
            <w:r>
              <w:rPr>
                <w:highlight w:val="none"/>
              </w:rPr>
              <w:t>（2）鱼类：要求宰杀去鳞去内脏，体表有光泽无伤残，无畸形、无病害，鳞片完整不易脱落，黏液无浑浊，色鲜红或暗红，无异臭味；眼球饱满，无异物、无皮下出血现象及红色鱼鳞。</w:t>
            </w:r>
          </w:p>
          <w:p w14:paraId="4C253348">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rPr>
            </w:pPr>
            <w:r>
              <w:rPr>
                <w:highlight w:val="none"/>
              </w:rPr>
              <w:t>（3）活虾类：感官鉴别：个大均匀、活蹦乱跳、无黑头。</w:t>
            </w:r>
          </w:p>
          <w:p w14:paraId="5063561B">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rPr>
            </w:pPr>
            <w:r>
              <w:rPr>
                <w:highlight w:val="none"/>
              </w:rPr>
              <w:t>（4）冰虾：无断头，表面无发白无发红，活虾本色，无异味；鲜虾仁：晶莹剔透的质感和湿润的弹性，无异味，应有一种清新的海洋气息。</w:t>
            </w:r>
          </w:p>
          <w:p w14:paraId="6F3306D3">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rPr>
            </w:pPr>
            <w:r>
              <w:rPr>
                <w:highlight w:val="none"/>
              </w:rPr>
              <w:t>（5）贝类外壳具固有色泽、平时微张口、惊闭合，斧足与触管伸缩灵活，具固有气味。</w:t>
            </w:r>
          </w:p>
          <w:p w14:paraId="60ACA227">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rPr>
            </w:pPr>
            <w:r>
              <w:rPr>
                <w:highlight w:val="none"/>
              </w:rPr>
              <w:t>（6）海产品色泽清亮，肌体无残缺，鱼眼凸起，清亮且黑白分明，无腐臭气味。解冻后，产品应恢复其原有的质地和颜色，无软化、无汁液渗出等现象。</w:t>
            </w:r>
          </w:p>
          <w:p w14:paraId="45C1214B">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rPr>
            </w:pPr>
            <w:r>
              <w:rPr>
                <w:highlight w:val="none"/>
              </w:rPr>
              <w:t>5. 干杂类要求</w:t>
            </w:r>
          </w:p>
          <w:p w14:paraId="09C6B6E2">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rPr>
            </w:pPr>
            <w:r>
              <w:rPr>
                <w:highlight w:val="none"/>
              </w:rPr>
              <w:t>（1）基本要求：符合国家相关产品质量标准。</w:t>
            </w:r>
          </w:p>
          <w:p w14:paraId="07904585">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rPr>
            </w:pPr>
            <w:r>
              <w:rPr>
                <w:highlight w:val="none"/>
              </w:rPr>
              <w:t>（2）产品外包装上明确标注产品名称、规格、生产日期、保质期、生产厂家、生产地点等信息。</w:t>
            </w:r>
          </w:p>
          <w:p w14:paraId="1E9A91E3">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rPr>
            </w:pPr>
            <w:r>
              <w:rPr>
                <w:highlight w:val="none"/>
              </w:rPr>
              <w:t>（3）生产日期及保质期：要最新日期（临近生产日期）的产品，剩余保存期不少于原食品质保期的三分之二。</w:t>
            </w:r>
          </w:p>
          <w:p w14:paraId="7F9FCA00">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rPr>
            </w:pPr>
            <w:r>
              <w:rPr>
                <w:highlight w:val="none"/>
              </w:rPr>
              <w:t>（4）干杂调味类</w:t>
            </w:r>
          </w:p>
          <w:p w14:paraId="23EC7D60">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rPr>
            </w:pPr>
            <w:r>
              <w:rPr>
                <w:highlight w:val="none"/>
                <w:lang w:val="en-US" w:eastAsia="zh-CN"/>
              </w:rPr>
              <w:t>主要指香菇、木耳、腐竹、银耳等。① 干货要求色泽鲜艳、干燥有韧性，无破碎片、虫蛀、霉坏和泥土杂质，具有产品本身应具有的食品外观。② 须为正规厂商生产，品质良好，外包装上必须注明商品名称，配料表，净含量，生产企业名称，地址，生产日期，保质期，联系电话，生产许可证等内容。③ 须出具产品检验合格证明和保质期证明，保证产品质量，供应的干杂类食品无泥沙、无杂物，在保质期内无变质。</w:t>
            </w:r>
          </w:p>
          <w:p w14:paraId="2E601779">
            <w:pPr>
              <w:keepNext w:val="0"/>
              <w:keepLines w:val="0"/>
              <w:pageBreakBefore w:val="0"/>
              <w:widowControl w:val="0"/>
              <w:kinsoku/>
              <w:wordWrap/>
              <w:overflowPunct/>
              <w:topLinePunct w:val="0"/>
              <w:autoSpaceDE/>
              <w:autoSpaceDN/>
              <w:bidi w:val="0"/>
              <w:adjustRightInd/>
              <w:snapToGrid/>
              <w:spacing w:line="380" w:lineRule="exact"/>
              <w:ind w:firstLine="422" w:firstLineChars="200"/>
              <w:textAlignment w:val="auto"/>
              <w:rPr>
                <w:b/>
                <w:bCs/>
                <w:highlight w:val="none"/>
              </w:rPr>
            </w:pPr>
            <w:r>
              <w:rPr>
                <w:b/>
                <w:bCs/>
                <w:highlight w:val="none"/>
              </w:rPr>
              <w:t>（四）蛋类配送服务</w:t>
            </w:r>
          </w:p>
          <w:p w14:paraId="13E8B115">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rPr>
            </w:pPr>
            <w:r>
              <w:rPr>
                <w:highlight w:val="none"/>
              </w:rPr>
              <w:t>1. 正常鲜蛋的蛋壳应清洁完整，无裂纹，灯光透视呈微红色，气室小，看不见蛋黄或略见阴影于中心。打开后蛋黄膜不破裂、凸起、完整并带有韧性，蛋黄蛋白分明，颜色鲜艳。</w:t>
            </w:r>
          </w:p>
          <w:p w14:paraId="7EEAD530">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rPr>
            </w:pPr>
            <w:r>
              <w:rPr>
                <w:highlight w:val="none"/>
              </w:rPr>
              <w:t>2. 如为码蛋规格要求：单个鸡蛋重 60g 以上。</w:t>
            </w:r>
          </w:p>
          <w:p w14:paraId="38CBE197">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rPr>
            </w:pPr>
            <w:r>
              <w:rPr>
                <w:highlight w:val="none"/>
              </w:rPr>
              <w:t>3. 健康状况：鸡群健康。</w:t>
            </w:r>
          </w:p>
          <w:p w14:paraId="30250517">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rPr>
            </w:pPr>
            <w:r>
              <w:rPr>
                <w:highlight w:val="none"/>
              </w:rPr>
              <w:t>4. 疫苗用药：严禁使用违禁药品，无公害、无药残、无激素。</w:t>
            </w:r>
          </w:p>
          <w:p w14:paraId="5A82DABE">
            <w:pPr>
              <w:keepNext w:val="0"/>
              <w:keepLines w:val="0"/>
              <w:pageBreakBefore w:val="0"/>
              <w:widowControl w:val="0"/>
              <w:kinsoku/>
              <w:wordWrap/>
              <w:overflowPunct/>
              <w:topLinePunct w:val="0"/>
              <w:autoSpaceDE/>
              <w:autoSpaceDN/>
              <w:bidi w:val="0"/>
              <w:adjustRightInd/>
              <w:snapToGrid/>
              <w:spacing w:line="380" w:lineRule="exact"/>
              <w:ind w:firstLine="422" w:firstLineChars="200"/>
              <w:textAlignment w:val="auto"/>
              <w:rPr>
                <w:b/>
                <w:bCs/>
                <w:highlight w:val="none"/>
              </w:rPr>
            </w:pPr>
            <w:r>
              <w:rPr>
                <w:b/>
                <w:bCs/>
                <w:highlight w:val="none"/>
              </w:rPr>
              <w:t>（五）冻品类配送服务</w:t>
            </w:r>
          </w:p>
          <w:p w14:paraId="242B1761">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rPr>
            </w:pPr>
            <w:r>
              <w:rPr>
                <w:highlight w:val="none"/>
              </w:rPr>
              <w:t>1. 配送服务内容：牛肉丸、鱼丸及其他预包装半加工冷冻食品等。</w:t>
            </w:r>
          </w:p>
          <w:p w14:paraId="4947AE20">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rPr>
            </w:pPr>
            <w:r>
              <w:rPr>
                <w:highlight w:val="none"/>
              </w:rPr>
              <w:t>2. 质量要求：必须符合国家相关食品安全卫生标准。冻品解冻后色泽正常、无霉点、肉质紧密、不黏手、无异味。预包装冷冻食品包装须完整，标注生产日期、注册商标、厂名、厂址、质量等级、净含量等信息。供货时剩余保质期不少于原食品质保期的三分之二，须在冷藏状态下配送，每批次须提供对应批次食材的原材料检测报告。</w:t>
            </w:r>
          </w:p>
          <w:p w14:paraId="2991FFBD">
            <w:pPr>
              <w:keepNext w:val="0"/>
              <w:keepLines w:val="0"/>
              <w:pageBreakBefore w:val="0"/>
              <w:widowControl w:val="0"/>
              <w:kinsoku/>
              <w:wordWrap/>
              <w:overflowPunct/>
              <w:topLinePunct w:val="0"/>
              <w:autoSpaceDE/>
              <w:autoSpaceDN/>
              <w:bidi w:val="0"/>
              <w:adjustRightInd/>
              <w:snapToGrid/>
              <w:spacing w:line="380" w:lineRule="exact"/>
              <w:ind w:firstLine="422" w:firstLineChars="200"/>
              <w:textAlignment w:val="auto"/>
              <w:rPr>
                <w:b/>
                <w:bCs/>
                <w:highlight w:val="none"/>
              </w:rPr>
            </w:pPr>
            <w:r>
              <w:rPr>
                <w:b/>
                <w:bCs/>
                <w:highlight w:val="none"/>
              </w:rPr>
              <w:t>（六）豆类、豆制品类（非转基因）配送服务</w:t>
            </w:r>
          </w:p>
          <w:p w14:paraId="1CB8C776">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rPr>
            </w:pPr>
            <w:r>
              <w:rPr>
                <w:highlight w:val="none"/>
              </w:rPr>
              <w:t>1. 配送服务内容：黄豆、绿豆，以及豆腐、豆腐丝、豆腐干、豆腐泡、干豆腐、豆芽、油片、油果等豆制品。</w:t>
            </w:r>
          </w:p>
          <w:p w14:paraId="2E09593B">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rPr>
            </w:pPr>
            <w:r>
              <w:rPr>
                <w:highlight w:val="none"/>
              </w:rPr>
              <w:t>2. 质量要求：符合国家食品安全法规定标准。豆类须颗粒饱满、无异味、无蛀虫腐烂。豆制品类须具有食品生产许可证和产品合格证，供货时剩余保质期不少于原食品质保期的三分之二，表面清爽无黏液，无酸味、霉变。</w:t>
            </w:r>
          </w:p>
          <w:p w14:paraId="3C94DA8C">
            <w:pPr>
              <w:keepNext w:val="0"/>
              <w:keepLines w:val="0"/>
              <w:pageBreakBefore w:val="0"/>
              <w:widowControl w:val="0"/>
              <w:kinsoku/>
              <w:wordWrap/>
              <w:overflowPunct/>
              <w:topLinePunct w:val="0"/>
              <w:autoSpaceDE/>
              <w:autoSpaceDN/>
              <w:bidi w:val="0"/>
              <w:adjustRightInd/>
              <w:snapToGrid/>
              <w:spacing w:line="380" w:lineRule="exact"/>
              <w:ind w:firstLine="422" w:firstLineChars="200"/>
              <w:textAlignment w:val="auto"/>
              <w:rPr>
                <w:b/>
                <w:bCs/>
                <w:highlight w:val="none"/>
              </w:rPr>
            </w:pPr>
            <w:r>
              <w:rPr>
                <w:b/>
                <w:bCs/>
                <w:highlight w:val="none"/>
              </w:rPr>
              <w:t>（七）调味品配送服务</w:t>
            </w:r>
          </w:p>
          <w:p w14:paraId="46E56A12">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rPr>
            </w:pPr>
            <w:r>
              <w:rPr>
                <w:highlight w:val="none"/>
              </w:rPr>
              <w:t>1. 配送服务内容：生抽、老抽、蚝油、盐、白糖、白醋、鸡精、辣椒酱、豆瓣酱、生粉、腐乳、陈醋、麻辣酱、十三香、米酒等日常调味品。</w:t>
            </w:r>
          </w:p>
          <w:p w14:paraId="0EB643F7">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rPr>
            </w:pPr>
            <w:r>
              <w:rPr>
                <w:highlight w:val="none"/>
              </w:rPr>
              <w:t>2. 质量要求：必须符合现行行业、地方、企业及国家质量、卫生、安全标准。品质良好，包装完好，供货时剩余保质期不少于原食品质保期的三分之二，无发霉变质。</w:t>
            </w:r>
          </w:p>
          <w:p w14:paraId="098541DF">
            <w:pPr>
              <w:keepNext w:val="0"/>
              <w:keepLines w:val="0"/>
              <w:pageBreakBefore w:val="0"/>
              <w:widowControl w:val="0"/>
              <w:kinsoku/>
              <w:wordWrap/>
              <w:overflowPunct/>
              <w:topLinePunct w:val="0"/>
              <w:autoSpaceDE/>
              <w:autoSpaceDN/>
              <w:bidi w:val="0"/>
              <w:adjustRightInd/>
              <w:snapToGrid/>
              <w:spacing w:line="380" w:lineRule="exact"/>
              <w:ind w:firstLine="422" w:firstLineChars="200"/>
              <w:textAlignment w:val="auto"/>
              <w:rPr>
                <w:b/>
                <w:bCs/>
                <w:highlight w:val="none"/>
              </w:rPr>
            </w:pPr>
            <w:r>
              <w:rPr>
                <w:b/>
                <w:bCs/>
                <w:highlight w:val="none"/>
              </w:rPr>
              <w:t>（八）湿米粉配送服务</w:t>
            </w:r>
          </w:p>
          <w:p w14:paraId="2D0F3A35">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rPr>
            </w:pPr>
            <w:r>
              <w:rPr>
                <w:highlight w:val="none"/>
              </w:rPr>
              <w:t>1. 配送服务内容：湿米粉。</w:t>
            </w:r>
          </w:p>
          <w:p w14:paraId="3E900D10">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rPr>
            </w:pPr>
            <w:r>
              <w:rPr>
                <w:highlight w:val="none"/>
              </w:rPr>
              <w:t>2. 质量要求：符合《中华人民共和国食品安全法》要求。包装须标注生产日期、生产厂家、生产地址等信息，标识符合国家法定标准。</w:t>
            </w:r>
          </w:p>
          <w:p w14:paraId="4E22A002">
            <w:pPr>
              <w:keepNext w:val="0"/>
              <w:keepLines w:val="0"/>
              <w:pageBreakBefore w:val="0"/>
              <w:widowControl w:val="0"/>
              <w:kinsoku/>
              <w:wordWrap/>
              <w:overflowPunct/>
              <w:topLinePunct w:val="0"/>
              <w:autoSpaceDE/>
              <w:autoSpaceDN/>
              <w:bidi w:val="0"/>
              <w:adjustRightInd/>
              <w:snapToGrid/>
              <w:spacing w:line="380" w:lineRule="exact"/>
              <w:ind w:firstLine="422" w:firstLineChars="200"/>
              <w:textAlignment w:val="auto"/>
              <w:rPr>
                <w:b/>
                <w:bCs/>
                <w:highlight w:val="none"/>
              </w:rPr>
            </w:pPr>
            <w:r>
              <w:rPr>
                <w:b/>
                <w:bCs/>
                <w:highlight w:val="none"/>
              </w:rPr>
              <w:t>（九）大米配送服务</w:t>
            </w:r>
          </w:p>
          <w:p w14:paraId="4246B324">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rPr>
            </w:pPr>
            <w:r>
              <w:rPr>
                <w:highlight w:val="none"/>
              </w:rPr>
              <w:t>1. 配送服务内容：大米。</w:t>
            </w:r>
          </w:p>
          <w:p w14:paraId="6F818BF3">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rPr>
            </w:pPr>
            <w:r>
              <w:rPr>
                <w:highlight w:val="none"/>
              </w:rPr>
              <w:t>2. 质量要求</w:t>
            </w:r>
          </w:p>
          <w:p w14:paraId="1D56029D">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green"/>
                <w:lang w:val="en-US" w:eastAsia="zh-CN"/>
              </w:rPr>
            </w:pPr>
            <w:r>
              <w:rPr>
                <w:highlight w:val="none"/>
                <w:lang w:val="en-US" w:eastAsia="zh-CN"/>
              </w:rPr>
              <w:t xml:space="preserve">① </w:t>
            </w:r>
            <w:r>
              <w:rPr>
                <w:rFonts w:hint="eastAsia"/>
                <w:highlight w:val="none"/>
                <w:lang w:val="en-US" w:eastAsia="zh-CN"/>
              </w:rPr>
              <w:t>必须符合现行行国家质量和安全标准。</w:t>
            </w:r>
          </w:p>
          <w:p w14:paraId="15BA5EF2">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lang w:val="en-US" w:eastAsia="zh-CN"/>
              </w:rPr>
            </w:pPr>
            <w:r>
              <w:rPr>
                <w:highlight w:val="none"/>
                <w:lang w:val="en-US" w:eastAsia="zh-CN"/>
              </w:rPr>
              <w:t>② 具有固有色泽和香味，无污染、无虫害，色泽、气味、口味正常，无异味或霉味（霉变），无虫蛀结块挂丝或杂质。</w:t>
            </w:r>
          </w:p>
          <w:p w14:paraId="394E6E3B">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lang w:val="en-US" w:eastAsia="zh-CN"/>
              </w:rPr>
            </w:pPr>
            <w:r>
              <w:rPr>
                <w:highlight w:val="none"/>
                <w:lang w:val="en-US" w:eastAsia="zh-CN"/>
              </w:rPr>
              <w:t>③ 产品须标明加工厂名称、品名、生产日期、保质期或保存期，供货时剩余保质期不少于原食品质保期的三分之二。</w:t>
            </w:r>
          </w:p>
          <w:p w14:paraId="1CF8484B">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lang w:val="en-US" w:eastAsia="zh-CN"/>
              </w:rPr>
            </w:pPr>
            <w:r>
              <w:rPr>
                <w:highlight w:val="none"/>
                <w:lang w:val="en-US" w:eastAsia="zh-CN"/>
              </w:rPr>
              <w:t>④ 具体质量标准：</w:t>
            </w:r>
          </w:p>
          <w:p w14:paraId="3D4F7886">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lang w:val="en-US" w:eastAsia="zh-CN"/>
              </w:rPr>
            </w:pPr>
            <w:r>
              <w:rPr>
                <w:rFonts w:hint="eastAsia"/>
                <w:highlight w:val="none"/>
                <w:lang w:val="en-US" w:eastAsia="zh-CN"/>
              </w:rPr>
              <w:t>a、</w:t>
            </w:r>
            <w:r>
              <w:rPr>
                <w:highlight w:val="none"/>
                <w:lang w:val="en-US" w:eastAsia="zh-CN"/>
              </w:rPr>
              <w:t>优质籼米：</w:t>
            </w:r>
          </w:p>
          <w:p w14:paraId="563A302F">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lang w:val="en-US" w:eastAsia="zh-CN"/>
              </w:rPr>
            </w:pPr>
            <w:r>
              <w:rPr>
                <w:highlight w:val="none"/>
                <w:lang w:val="en-US" w:eastAsia="zh-CN"/>
              </w:rPr>
              <w:t>一级：碎米总量≤10.0%，其中小碎米含量≤0.2%；加工精度：精碾；垩白度≤2.0，品尝评分值≥90 分，直链淀粉含量 13.0%~22.0%，水分含量≤14.5%，不完善粒含量≤3.0%；杂质限量总量≤0.25%，其中无机杂质含量≤0.02%；黄粒米含量≤0.5%；互混率≤5.0%；色泽、气味：正常。</w:t>
            </w:r>
          </w:p>
          <w:p w14:paraId="141DC4F0">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lang w:val="en-US" w:eastAsia="zh-CN"/>
              </w:rPr>
            </w:pPr>
            <w:r>
              <w:rPr>
                <w:highlight w:val="none"/>
                <w:lang w:val="en-US" w:eastAsia="zh-CN"/>
              </w:rPr>
              <w:t>二级：碎米总量≤12.5%，其中小碎米含量≤0.5%；加工精度：精碾；垩白度≤5.0，品尝评分值≥80 分，直链淀粉含量 13.0%~22.0%，水分含量≤14.5%，不完善粒含量≤3.0%；杂质限量总量≤0.25%，其中无机杂质含量≤0.02%；黄粒米含量≤0.5%；互混率≤5.0%；色泽、气味：正常。</w:t>
            </w:r>
          </w:p>
          <w:p w14:paraId="3BA3F778">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lang w:val="en-US" w:eastAsia="zh-CN"/>
              </w:rPr>
            </w:pPr>
            <w:r>
              <w:rPr>
                <w:highlight w:val="none"/>
                <w:lang w:val="en-US" w:eastAsia="zh-CN"/>
              </w:rPr>
              <w:t>三级：碎米总量≤15.0%，其中小碎米含量≤1.0%；加工精度：适碾；垩白度≤8.0，品尝评分值≥70 分，直链淀粉含量 13.0%~22.0%，水分含量≤14.5%，不完善粒含量≤3.0%；杂质限量总量≤0.25%，其中无机杂质含量≤0.02%；黄粒米含量≤0.5%；互混率≤5.0%；色泽、气味：正常。</w:t>
            </w:r>
          </w:p>
          <w:p w14:paraId="1A4CB99D">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lang w:val="en-US" w:eastAsia="zh-CN"/>
              </w:rPr>
            </w:pPr>
            <w:r>
              <w:rPr>
                <w:rFonts w:hint="eastAsia"/>
                <w:highlight w:val="none"/>
                <w:lang w:val="en-US" w:eastAsia="zh-CN"/>
              </w:rPr>
              <w:t>b、</w:t>
            </w:r>
            <w:r>
              <w:rPr>
                <w:highlight w:val="none"/>
                <w:lang w:val="en-US" w:eastAsia="zh-CN"/>
              </w:rPr>
              <w:t>优质粳米：</w:t>
            </w:r>
          </w:p>
          <w:p w14:paraId="0EB8D503">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lang w:val="en-US" w:eastAsia="zh-CN"/>
              </w:rPr>
            </w:pPr>
            <w:r>
              <w:rPr>
                <w:highlight w:val="none"/>
                <w:lang w:val="en-US" w:eastAsia="zh-CN"/>
              </w:rPr>
              <w:t>一级：碎米总量≤5.0%，其中小碎米含量≤0.1%；加工精度：精碾；垩白度≤2.0，品尝评分值≥90 分，直链淀粉含量 13.0%~20.0%，水分含量≤15.5%，不完善粒含量≤3.0%；杂质限量总量≤0.25%，其中无机杂质含量≤0.02%；黄粒米含量≤0.5%；互混率≤5.0%；色泽、气味：正常。</w:t>
            </w:r>
          </w:p>
          <w:p w14:paraId="30A7B521">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lang w:val="en-US" w:eastAsia="zh-CN"/>
              </w:rPr>
            </w:pPr>
            <w:r>
              <w:rPr>
                <w:highlight w:val="none"/>
                <w:lang w:val="en-US" w:eastAsia="zh-CN"/>
              </w:rPr>
              <w:t>二级：碎米总量≤7.5%，其中小碎米含量≤0.3%；加工精度：精碾；垩白度≤4.0，品尝评分值≥80 分，直链淀粉含量 13.0%~20.0%，水分含量≤15.5%，不完善粒含量≤3.0%；杂质限量总量≤0.25%，其中无机杂质含量≤0.02%；黄粒米含量≤0.5%；互混率≤5.0%；色泽、气味：正常。</w:t>
            </w:r>
          </w:p>
          <w:p w14:paraId="04BF1421">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rPr>
            </w:pPr>
            <w:r>
              <w:rPr>
                <w:highlight w:val="none"/>
                <w:lang w:val="en-US" w:eastAsia="zh-CN"/>
              </w:rPr>
              <w:t>三级：碎米总量≤10.0%，其中小碎米含量≤0.5%；加工精度：适碾；垩白度≤6.0，品尝评分值≥70 分，直链淀粉含量 13.0%~20.0%，水分含量≤15.5%，不完善粒含量≤3.0%；杂质限量总量≤0.25%，其中无机杂质含量≤0.02%；黄粒米含量≤0.5%；互混率≤5.0%；色泽、气味：正常。</w:t>
            </w:r>
          </w:p>
          <w:p w14:paraId="3E07A8F4">
            <w:pPr>
              <w:keepNext w:val="0"/>
              <w:keepLines w:val="0"/>
              <w:pageBreakBefore w:val="0"/>
              <w:widowControl w:val="0"/>
              <w:kinsoku/>
              <w:wordWrap/>
              <w:overflowPunct/>
              <w:topLinePunct w:val="0"/>
              <w:autoSpaceDE/>
              <w:autoSpaceDN/>
              <w:bidi w:val="0"/>
              <w:adjustRightInd/>
              <w:snapToGrid/>
              <w:spacing w:line="380" w:lineRule="exact"/>
              <w:ind w:firstLine="422" w:firstLineChars="200"/>
              <w:textAlignment w:val="auto"/>
              <w:rPr>
                <w:b/>
                <w:bCs/>
                <w:highlight w:val="none"/>
              </w:rPr>
            </w:pPr>
            <w:r>
              <w:rPr>
                <w:b/>
                <w:bCs/>
                <w:highlight w:val="none"/>
              </w:rPr>
              <w:t>（十）食用油配送服务</w:t>
            </w:r>
          </w:p>
          <w:p w14:paraId="2DB12821">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rPr>
            </w:pPr>
            <w:r>
              <w:rPr>
                <w:highlight w:val="none"/>
              </w:rPr>
              <w:t>1. 配送服务内容：食用油（包括但不限于菜籽油、玉米油、大豆油等）。</w:t>
            </w:r>
          </w:p>
          <w:p w14:paraId="13801A7E">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rPr>
            </w:pPr>
            <w:r>
              <w:rPr>
                <w:highlight w:val="none"/>
              </w:rPr>
              <w:t>2. 质量要求：必须符合现行行业、地方、企业及国家质量、卫生、安全标准。外包装完好，标明品名、厂名、重量、生产日期、保质期或保存期、执行标准，剩余保质期不少于原食品质保期的三分之二，具有产品合格证。具有正常植物油的色泽、透明度、气味和滋味，无焦臭、酸败及其他异味。不得混有其他食用油或非食用油。食用油应符合国家食品安全标准，不得掺杂、掺假，不得混入其他食用油或非食用油；必须为非转基因食用油，来源可追溯。</w:t>
            </w:r>
          </w:p>
          <w:p w14:paraId="2ADC26AC">
            <w:pPr>
              <w:keepNext w:val="0"/>
              <w:keepLines w:val="0"/>
              <w:pageBreakBefore w:val="0"/>
              <w:widowControl w:val="0"/>
              <w:kinsoku/>
              <w:wordWrap/>
              <w:overflowPunct/>
              <w:topLinePunct w:val="0"/>
              <w:autoSpaceDE/>
              <w:autoSpaceDN/>
              <w:bidi w:val="0"/>
              <w:adjustRightInd/>
              <w:snapToGrid/>
              <w:spacing w:line="380" w:lineRule="exact"/>
              <w:ind w:firstLine="422" w:firstLineChars="200"/>
              <w:textAlignment w:val="auto"/>
              <w:rPr>
                <w:b/>
                <w:bCs/>
                <w:highlight w:val="none"/>
              </w:rPr>
            </w:pPr>
            <w:r>
              <w:rPr>
                <w:b/>
                <w:bCs/>
                <w:highlight w:val="none"/>
              </w:rPr>
              <w:t>（十一）其他食品配送服务</w:t>
            </w:r>
          </w:p>
          <w:p w14:paraId="5ECE826B">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rPr>
            </w:pPr>
            <w:r>
              <w:rPr>
                <w:highlight w:val="none"/>
              </w:rPr>
              <w:t>1. 配送服务内容：面制品（面条、方便面等）、奶制品类、腌制品（萝卜干、酸菜、榨菜等）、糕点类、火腿肠等。</w:t>
            </w:r>
          </w:p>
          <w:p w14:paraId="4113EEA4">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rPr>
            </w:pPr>
            <w:r>
              <w:rPr>
                <w:highlight w:val="none"/>
              </w:rPr>
              <w:t>2. 质量要求</w:t>
            </w:r>
          </w:p>
          <w:p w14:paraId="18B19F77">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rPr>
            </w:pPr>
            <w:r>
              <w:rPr>
                <w:highlight w:val="none"/>
              </w:rPr>
              <w:t>（1）面制品：必须符合现行行业、地方、企业及国家质量、卫生、安全标准，产品标明加工厂名称、品名、生产日期、保质期或保存期，供货时剩余保质期不少于原食品保质期的三分之二。</w:t>
            </w:r>
          </w:p>
          <w:p w14:paraId="3031A9F4">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rPr>
            </w:pPr>
            <w:r>
              <w:rPr>
                <w:highlight w:val="none"/>
              </w:rPr>
              <w:t>（2）奶制品类（包含瓶装酸奶、件装盒奶等）：必须符合相关品类国家食品卫生标准，包装完好，品牌、商标、生产厂家、生产日期齐全。</w:t>
            </w:r>
          </w:p>
          <w:p w14:paraId="7B0BA773">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rPr>
            </w:pPr>
            <w:r>
              <w:rPr>
                <w:highlight w:val="none"/>
              </w:rPr>
              <w:t>（3）腌制品（萝卜干、酸菜、榨菜等）：必须符合相关品类国家食品卫生标准，包装完好，品牌、商标、生产厂家、生产日期齐全。</w:t>
            </w:r>
          </w:p>
          <w:p w14:paraId="1FEDE0AE">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rPr>
            </w:pPr>
            <w:r>
              <w:rPr>
                <w:highlight w:val="none"/>
              </w:rPr>
              <w:t>（4）糕点类（包含但不限于蛋糕、三明治、全麦方包、酸奶包、肉松包、绿茶饼等）：包装完好，品牌、商标、生产厂家、生产日期齐全。</w:t>
            </w:r>
          </w:p>
          <w:p w14:paraId="17555D5F">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rPr>
            </w:pPr>
            <w:r>
              <w:rPr>
                <w:highlight w:val="none"/>
              </w:rPr>
              <w:t>（5）火腿肠：气味、口味正常，包装完好，标明品名、厂名、重量、生产日期、保质期或保存期、执行标准，供货时剩余保质期不少于原食品保质期的三分之二。</w:t>
            </w:r>
          </w:p>
          <w:p w14:paraId="5C2BA4E5">
            <w:pPr>
              <w:keepNext w:val="0"/>
              <w:keepLines w:val="0"/>
              <w:pageBreakBefore w:val="0"/>
              <w:widowControl w:val="0"/>
              <w:kinsoku/>
              <w:wordWrap/>
              <w:overflowPunct/>
              <w:topLinePunct w:val="0"/>
              <w:autoSpaceDE/>
              <w:autoSpaceDN/>
              <w:bidi w:val="0"/>
              <w:adjustRightInd/>
              <w:snapToGrid/>
              <w:spacing w:line="380" w:lineRule="exact"/>
              <w:ind w:firstLine="422" w:firstLineChars="200"/>
              <w:textAlignment w:val="auto"/>
              <w:rPr>
                <w:b/>
                <w:bCs/>
                <w:highlight w:val="none"/>
              </w:rPr>
            </w:pPr>
            <w:r>
              <w:rPr>
                <w:b/>
                <w:bCs/>
                <w:highlight w:val="none"/>
              </w:rPr>
              <w:t>三、服务要求</w:t>
            </w:r>
          </w:p>
          <w:p w14:paraId="75DE7A4E">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rPr>
            </w:pPr>
            <w:r>
              <w:rPr>
                <w:highlight w:val="none"/>
              </w:rPr>
              <w:t>（一）食材配送：按照采购人的具体要求，将采购人需要的食材在规定时间内保质保量一次完成该批次货物的供应。</w:t>
            </w:r>
            <w:r>
              <w:rPr>
                <w:rFonts w:hint="eastAsia"/>
                <w:highlight w:val="none"/>
              </w:rPr>
              <w:t>配送的食材须符合国家标准或行业标准，采购人将不定期抽样检测配送的食材，对于不符合标准或不达标的食材，采购人将追究违约责任，成交供应商需承担赔偿责任和其他相应的法律责任</w:t>
            </w:r>
            <w:r>
              <w:rPr>
                <w:rFonts w:hint="eastAsia"/>
                <w:highlight w:val="none"/>
                <w:lang w:eastAsia="zh-CN"/>
              </w:rPr>
              <w:t>。</w:t>
            </w:r>
          </w:p>
          <w:p w14:paraId="0EEE6E94">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rPr>
            </w:pPr>
            <w:r>
              <w:rPr>
                <w:highlight w:val="none"/>
              </w:rPr>
              <w:t>（二）</w:t>
            </w:r>
            <w:r>
              <w:rPr>
                <w:rFonts w:hint="eastAsia"/>
                <w:highlight w:val="none"/>
                <w:lang w:eastAsia="zh-CN"/>
              </w:rPr>
              <w:t>供货</w:t>
            </w:r>
            <w:r>
              <w:rPr>
                <w:highlight w:val="none"/>
              </w:rPr>
              <w:t>要求</w:t>
            </w:r>
          </w:p>
          <w:p w14:paraId="64C0FA99">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rPr>
            </w:pPr>
            <w:r>
              <w:rPr>
                <w:highlight w:val="none"/>
              </w:rPr>
              <w:t>1. 一般供货要求：采购人应至少提前 8 小时告知成交供应商所需食材的名称、数量等，供应商必须按照采购人通知的时间、数量、品种、品质要求及商定的价格，于采购人下订单后的次日上午 8:00 前送货至指定地点。</w:t>
            </w:r>
          </w:p>
          <w:p w14:paraId="1769EC8B">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rPr>
            </w:pPr>
            <w:r>
              <w:rPr>
                <w:highlight w:val="none"/>
              </w:rPr>
              <w:t>2. 紧急供货要求：在收到采购人发出紧急供货通知后，成交供应商应在 1 小时内完成当次现场供货。</w:t>
            </w:r>
          </w:p>
          <w:p w14:paraId="2A92D581">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eastAsia="宋体"/>
                <w:highlight w:val="none"/>
                <w:lang w:eastAsia="zh-CN"/>
              </w:rPr>
            </w:pPr>
            <w:r>
              <w:rPr>
                <w:rFonts w:hint="eastAsia"/>
                <w:highlight w:val="none"/>
                <w:lang w:eastAsia="zh-CN"/>
              </w:rPr>
              <w:t>（三）其他要求</w:t>
            </w:r>
          </w:p>
          <w:p w14:paraId="666BEAA4">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rPr>
            </w:pPr>
            <w:r>
              <w:rPr>
                <w:rFonts w:hint="eastAsia"/>
                <w:highlight w:val="none"/>
                <w:lang w:val="en-US" w:eastAsia="zh-CN"/>
              </w:rPr>
              <w:t xml:space="preserve">1. </w:t>
            </w:r>
            <w:r>
              <w:rPr>
                <w:highlight w:val="none"/>
              </w:rPr>
              <w:t>食材验收：成交供应商将食材送达采购人指定地点后，由采购人、成交供应商与食堂服务商共同进行验收。核对食材的品种、数量是否与经审核确认的需求单一致，并对食材的重量进行过磅确认。验收合格的，三方</w:t>
            </w:r>
            <w:r>
              <w:rPr>
                <w:rFonts w:hint="eastAsia"/>
                <w:highlight w:val="none"/>
                <w:lang w:eastAsia="zh-CN"/>
              </w:rPr>
              <w:t>（</w:t>
            </w:r>
            <w:r>
              <w:rPr>
                <w:highlight w:val="none"/>
              </w:rPr>
              <w:t>采购人、成交供应商与食堂服务商</w:t>
            </w:r>
            <w:r>
              <w:rPr>
                <w:rFonts w:hint="eastAsia"/>
                <w:highlight w:val="none"/>
                <w:lang w:eastAsia="zh-CN"/>
              </w:rPr>
              <w:t>）</w:t>
            </w:r>
            <w:r>
              <w:rPr>
                <w:highlight w:val="none"/>
              </w:rPr>
              <w:t>应在《食材验收单》上共同签字确认。《食材验收单》应至少一式三份，由采购人、成交供应商、食堂服务商各执一份，作为结算和对账的依据。验收不合格的，应在《食材验收单》上详细注明不合格原因、数量等信息，由</w:t>
            </w:r>
            <w:r>
              <w:rPr>
                <w:rFonts w:hint="eastAsia"/>
                <w:highlight w:val="none"/>
                <w:lang w:eastAsia="zh-CN"/>
              </w:rPr>
              <w:t>成交供应商</w:t>
            </w:r>
            <w:r>
              <w:rPr>
                <w:highlight w:val="none"/>
              </w:rPr>
              <w:t>进行补货或采取其他应急措施。验收不合格的违约责任详见 “商务要求的：违约责任”。</w:t>
            </w:r>
          </w:p>
          <w:p w14:paraId="0066EDF1">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rPr>
            </w:pPr>
            <w:r>
              <w:rPr>
                <w:rFonts w:hint="eastAsia"/>
                <w:highlight w:val="none"/>
                <w:lang w:val="en-US" w:eastAsia="zh-CN"/>
              </w:rPr>
              <w:t>2</w:t>
            </w:r>
            <w:r>
              <w:rPr>
                <w:highlight w:val="none"/>
              </w:rPr>
              <w:t>. 供应商可供应的产品必须包含但不限于采购需求中要求的品种，供应商须在响应文件中提供承诺书（格式自拟）。</w:t>
            </w:r>
          </w:p>
          <w:p w14:paraId="004CEF65">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rPr>
            </w:pPr>
            <w:r>
              <w:rPr>
                <w:rFonts w:hint="eastAsia"/>
                <w:highlight w:val="none"/>
                <w:lang w:val="en-US" w:eastAsia="zh-CN"/>
              </w:rPr>
              <w:t>3</w:t>
            </w:r>
            <w:r>
              <w:rPr>
                <w:highlight w:val="none"/>
              </w:rPr>
              <w:t>. 响应时间：接到采购人处理问题通知后，成交供应商须在 1 小时内派员到达采购人指定现场进行处理；属于食材质量问题的，</w:t>
            </w:r>
            <w:r>
              <w:rPr>
                <w:rFonts w:hint="eastAsia"/>
                <w:highlight w:val="none"/>
                <w:lang w:eastAsia="zh-CN"/>
              </w:rPr>
              <w:t>按</w:t>
            </w:r>
            <w:r>
              <w:rPr>
                <w:highlight w:val="none"/>
              </w:rPr>
              <w:t>违约责任条款约定时限完成补货或换货。</w:t>
            </w:r>
          </w:p>
          <w:p w14:paraId="73D6054B">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rPr>
            </w:pPr>
            <w:r>
              <w:rPr>
                <w:rFonts w:hint="eastAsia"/>
                <w:highlight w:val="none"/>
                <w:lang w:val="en-US" w:eastAsia="zh-CN"/>
              </w:rPr>
              <w:t>4</w:t>
            </w:r>
            <w:r>
              <w:rPr>
                <w:highlight w:val="none"/>
              </w:rPr>
              <w:t>. 成交供应商须购买食品安全责任保险</w:t>
            </w:r>
            <w:r>
              <w:rPr>
                <w:rFonts w:hint="eastAsia"/>
                <w:highlight w:val="none"/>
                <w:lang w:eastAsia="zh-CN"/>
              </w:rPr>
              <w:t>（具体保额由采购人与成交供应商根据实际情况在签订合同时约定）</w:t>
            </w:r>
            <w:r>
              <w:rPr>
                <w:highlight w:val="none"/>
              </w:rPr>
              <w:t>。</w:t>
            </w:r>
          </w:p>
          <w:p w14:paraId="20E52DCF">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eastAsia="宋体"/>
                <w:highlight w:val="none"/>
                <w:lang w:eastAsia="zh-CN"/>
              </w:rPr>
            </w:pPr>
            <w:r>
              <w:rPr>
                <w:rFonts w:hint="eastAsia"/>
                <w:highlight w:val="none"/>
                <w:lang w:val="en-US" w:eastAsia="zh-CN"/>
              </w:rPr>
              <w:t>5</w:t>
            </w:r>
            <w:r>
              <w:rPr>
                <w:highlight w:val="none"/>
              </w:rPr>
              <w:t>. 成交供应商应严格遵守《中华人民共和国食品安全法》等相关规定，所提供的产品是合格安全的产品。一经发现供应以下食品，采购人除全部退货外，有权依法解除合同，</w:t>
            </w:r>
            <w:r>
              <w:rPr>
                <w:rFonts w:hint="eastAsia"/>
                <w:highlight w:val="none"/>
                <w:lang w:eastAsia="zh-CN"/>
              </w:rPr>
              <w:t>并</w:t>
            </w:r>
            <w:r>
              <w:rPr>
                <w:highlight w:val="none"/>
              </w:rPr>
              <w:t>取消成交供应商配送资格，</w:t>
            </w:r>
            <w:r>
              <w:rPr>
                <w:rFonts w:hint="eastAsia"/>
                <w:highlight w:val="none"/>
              </w:rPr>
              <w:t>没收全部履约保证金，</w:t>
            </w:r>
            <w:r>
              <w:rPr>
                <w:highlight w:val="none"/>
              </w:rPr>
              <w:t>成交供应商并承担由此造成的一切经济责任和法律责任</w:t>
            </w:r>
            <w:r>
              <w:rPr>
                <w:rFonts w:hint="eastAsia"/>
                <w:highlight w:val="none"/>
                <w:lang w:eastAsia="zh-CN"/>
              </w:rPr>
              <w:t>。</w:t>
            </w:r>
          </w:p>
          <w:p w14:paraId="6BF57785">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lang w:val="en-US" w:eastAsia="zh-CN"/>
              </w:rPr>
            </w:pPr>
            <w:r>
              <w:rPr>
                <w:highlight w:val="none"/>
                <w:lang w:val="en-US" w:eastAsia="zh-CN"/>
              </w:rPr>
              <w:t>① 腐败变质、油脂酸败、霉变、生虫、污秽不洁、混有异物或者其他感官和理化性状异常，对人体健康有害的</w:t>
            </w:r>
            <w:r>
              <w:rPr>
                <w:rFonts w:hint="eastAsia"/>
                <w:highlight w:val="none"/>
                <w:lang w:val="en-US" w:eastAsia="zh-CN"/>
              </w:rPr>
              <w:t>。</w:t>
            </w:r>
          </w:p>
          <w:p w14:paraId="61172D67">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lang w:val="en-US" w:eastAsia="zh-CN"/>
              </w:rPr>
            </w:pPr>
            <w:r>
              <w:rPr>
                <w:highlight w:val="none"/>
                <w:lang w:val="en-US" w:eastAsia="zh-CN"/>
              </w:rPr>
              <w:t>② 含有毒、有害物质或者被有害物质污染，对人体健康有害的</w:t>
            </w:r>
            <w:r>
              <w:rPr>
                <w:rFonts w:hint="eastAsia"/>
                <w:highlight w:val="none"/>
                <w:lang w:val="en-US" w:eastAsia="zh-CN"/>
              </w:rPr>
              <w:t>。</w:t>
            </w:r>
          </w:p>
          <w:p w14:paraId="2CF6003E">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lang w:val="en-US" w:eastAsia="zh-CN"/>
              </w:rPr>
            </w:pPr>
            <w:r>
              <w:rPr>
                <w:highlight w:val="none"/>
                <w:lang w:val="en-US" w:eastAsia="zh-CN"/>
              </w:rPr>
              <w:t>③ 含有致病性寄生虫、微生物或者微生物含量超过国家限定标准的</w:t>
            </w:r>
            <w:r>
              <w:rPr>
                <w:rFonts w:hint="eastAsia"/>
                <w:highlight w:val="none"/>
                <w:lang w:val="en-US" w:eastAsia="zh-CN"/>
              </w:rPr>
              <w:t>。</w:t>
            </w:r>
          </w:p>
          <w:p w14:paraId="6A034940">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lang w:val="en-US" w:eastAsia="zh-CN"/>
              </w:rPr>
            </w:pPr>
            <w:r>
              <w:rPr>
                <w:highlight w:val="none"/>
                <w:lang w:val="en-US" w:eastAsia="zh-CN"/>
              </w:rPr>
              <w:t>④ 掺假、掺杂、伪造，影响营养、卫生的</w:t>
            </w:r>
            <w:r>
              <w:rPr>
                <w:rFonts w:hint="eastAsia"/>
                <w:highlight w:val="none"/>
                <w:lang w:val="en-US" w:eastAsia="zh-CN"/>
              </w:rPr>
              <w:t>。</w:t>
            </w:r>
          </w:p>
          <w:p w14:paraId="23C78489">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lang w:val="en-US" w:eastAsia="zh-CN"/>
              </w:rPr>
            </w:pPr>
            <w:r>
              <w:rPr>
                <w:highlight w:val="none"/>
                <w:lang w:val="en-US" w:eastAsia="zh-CN"/>
              </w:rPr>
              <w:t>⑤ 用非食品原料加工的，加入非食品用化学物质或者将非食品当作食品的；</w:t>
            </w:r>
          </w:p>
          <w:p w14:paraId="52AD4B94">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lang w:val="en-US" w:eastAsia="zh-CN"/>
              </w:rPr>
            </w:pPr>
            <w:r>
              <w:rPr>
                <w:highlight w:val="none"/>
                <w:lang w:val="en-US" w:eastAsia="zh-CN"/>
              </w:rPr>
              <w:t>⑥ 超过采购需求约定剩余保质期限的</w:t>
            </w:r>
            <w:r>
              <w:rPr>
                <w:rFonts w:hint="eastAsia"/>
                <w:highlight w:val="none"/>
                <w:lang w:val="en-US" w:eastAsia="zh-CN"/>
              </w:rPr>
              <w:t>。</w:t>
            </w:r>
          </w:p>
          <w:p w14:paraId="375CCB14">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lang w:val="en-US" w:eastAsia="zh-CN"/>
              </w:rPr>
            </w:pPr>
            <w:r>
              <w:rPr>
                <w:highlight w:val="none"/>
                <w:lang w:val="en-US" w:eastAsia="zh-CN"/>
              </w:rPr>
              <w:t>⑦ 包装食品无生产厂家、无生产日期、无商标的 “三无” 产品</w:t>
            </w:r>
            <w:r>
              <w:rPr>
                <w:rFonts w:hint="eastAsia"/>
                <w:highlight w:val="none"/>
                <w:lang w:val="en-US" w:eastAsia="zh-CN"/>
              </w:rPr>
              <w:t>。</w:t>
            </w:r>
          </w:p>
          <w:p w14:paraId="2B8E85AF">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highlight w:val="none"/>
              </w:rPr>
            </w:pPr>
            <w:r>
              <w:rPr>
                <w:highlight w:val="none"/>
                <w:lang w:val="en-US" w:eastAsia="zh-CN"/>
              </w:rPr>
              <w:t>⑧ 其他不符合食品安全标准的情形。</w:t>
            </w:r>
          </w:p>
          <w:p w14:paraId="397A7580">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bCs/>
                <w:color w:val="auto"/>
                <w:sz w:val="21"/>
                <w:szCs w:val="21"/>
                <w:highlight w:val="none"/>
                <w:lang w:val="en-US" w:eastAsia="zh-CN"/>
              </w:rPr>
            </w:pPr>
            <w:r>
              <w:rPr>
                <w:rFonts w:hint="eastAsia"/>
                <w:highlight w:val="none"/>
                <w:lang w:val="en-US" w:eastAsia="zh-CN"/>
              </w:rPr>
              <w:t>6</w:t>
            </w:r>
            <w:r>
              <w:rPr>
                <w:highlight w:val="none"/>
              </w:rPr>
              <w:t>.</w:t>
            </w:r>
            <w:r>
              <w:rPr>
                <w:rFonts w:hint="eastAsia"/>
                <w:highlight w:val="none"/>
              </w:rPr>
              <w:t>供应商应配备与其承担服务工作的相关项目实施人员及实施工具，实施人员的数量和能力应满足服务工作任务的需要。</w:t>
            </w:r>
          </w:p>
        </w:tc>
      </w:tr>
      <w:tr w14:paraId="3CE688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1" w:hRule="atLeast"/>
        </w:trPr>
        <w:tc>
          <w:tcPr>
            <w:tcW w:w="9478" w:type="dxa"/>
            <w:gridSpan w:val="4"/>
            <w:tcBorders>
              <w:top w:val="single" w:color="000000" w:sz="4" w:space="0"/>
              <w:left w:val="single" w:color="000000" w:sz="4" w:space="0"/>
              <w:bottom w:val="single" w:color="000000" w:sz="4" w:space="0"/>
              <w:right w:val="single" w:color="000000" w:sz="4" w:space="0"/>
            </w:tcBorders>
            <w:noWrap w:val="0"/>
            <w:vAlign w:val="center"/>
          </w:tcPr>
          <w:p w14:paraId="4936C07B">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w:t>
            </w:r>
            <w:r>
              <w:rPr>
                <w:rFonts w:hint="eastAsia" w:ascii="宋体" w:hAnsi="宋体" w:eastAsia="宋体" w:cs="宋体"/>
                <w:b/>
                <w:bCs/>
                <w:color w:val="auto"/>
                <w:sz w:val="21"/>
                <w:szCs w:val="21"/>
                <w:highlight w:val="none"/>
                <w:lang w:eastAsia="zh-CN"/>
              </w:rPr>
              <w:t>第二部</w:t>
            </w:r>
            <w:r>
              <w:rPr>
                <w:rFonts w:hint="eastAsia" w:ascii="宋体" w:hAnsi="宋体" w:cs="宋体"/>
                <w:b/>
                <w:bCs/>
                <w:color w:val="auto"/>
                <w:sz w:val="21"/>
                <w:szCs w:val="21"/>
                <w:highlight w:val="none"/>
                <w:lang w:eastAsia="zh-CN"/>
              </w:rPr>
              <w:t>分：</w:t>
            </w:r>
            <w:r>
              <w:rPr>
                <w:rFonts w:hint="eastAsia" w:ascii="宋体" w:hAnsi="宋体" w:cs="宋体"/>
                <w:b/>
                <w:bCs/>
                <w:color w:val="auto"/>
                <w:sz w:val="21"/>
                <w:szCs w:val="21"/>
                <w:highlight w:val="none"/>
              </w:rPr>
              <w:t>商务要求</w:t>
            </w:r>
          </w:p>
        </w:tc>
      </w:tr>
      <w:tr w14:paraId="0A0403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6" w:hRule="atLeast"/>
        </w:trPr>
        <w:tc>
          <w:tcPr>
            <w:tcW w:w="1387" w:type="dxa"/>
            <w:gridSpan w:val="2"/>
            <w:tcBorders>
              <w:top w:val="single" w:color="000000" w:sz="4" w:space="0"/>
              <w:left w:val="single" w:color="000000" w:sz="4" w:space="0"/>
              <w:bottom w:val="single" w:color="000000" w:sz="4" w:space="0"/>
              <w:right w:val="single" w:color="000000" w:sz="4" w:space="0"/>
            </w:tcBorders>
            <w:noWrap w:val="0"/>
            <w:vAlign w:val="center"/>
          </w:tcPr>
          <w:p w14:paraId="45F5BF8B">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cs="宋体"/>
                <w:b/>
                <w:color w:val="auto"/>
                <w:sz w:val="21"/>
                <w:szCs w:val="21"/>
                <w:highlight w:val="none"/>
              </w:rPr>
            </w:pPr>
            <w:r>
              <w:rPr>
                <w:rFonts w:hint="eastAsia" w:ascii="宋体" w:hAnsi="宋体" w:cs="宋体"/>
                <w:color w:val="auto"/>
                <w:sz w:val="21"/>
                <w:szCs w:val="21"/>
                <w:highlight w:val="none"/>
              </w:rPr>
              <w:t>服务时间及</w:t>
            </w:r>
            <w:r>
              <w:rPr>
                <w:rFonts w:hint="eastAsia"/>
                <w:color w:val="auto"/>
                <w:sz w:val="21"/>
                <w:szCs w:val="21"/>
                <w:highlight w:val="none"/>
                <w:lang w:eastAsia="zh-CN"/>
              </w:rPr>
              <w:t>服务</w:t>
            </w:r>
            <w:r>
              <w:rPr>
                <w:rFonts w:hint="eastAsia" w:ascii="宋体" w:hAnsi="宋体" w:cs="宋体"/>
                <w:color w:val="auto"/>
                <w:sz w:val="21"/>
                <w:szCs w:val="21"/>
                <w:highlight w:val="none"/>
              </w:rPr>
              <w:t>地点</w:t>
            </w:r>
          </w:p>
        </w:tc>
        <w:tc>
          <w:tcPr>
            <w:tcW w:w="8091" w:type="dxa"/>
            <w:gridSpan w:val="2"/>
            <w:tcBorders>
              <w:top w:val="single" w:color="000000" w:sz="4" w:space="0"/>
              <w:left w:val="single" w:color="000000" w:sz="4" w:space="0"/>
              <w:bottom w:val="single" w:color="000000" w:sz="4" w:space="0"/>
              <w:right w:val="single" w:color="000000" w:sz="4" w:space="0"/>
            </w:tcBorders>
            <w:noWrap w:val="0"/>
            <w:vAlign w:val="top"/>
          </w:tcPr>
          <w:p w14:paraId="512197DD">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服务时间：自合同签订之日起24个月。采购结算金额以服务期限内实际采购金额为准，实际采购金额不超过本标的预算金额。若服务期内采购金额达预算金额，合同自动终止</w:t>
            </w:r>
            <w:r>
              <w:rPr>
                <w:rFonts w:hint="eastAsia" w:ascii="宋体" w:hAnsi="宋体" w:cs="Times New Roman"/>
                <w:color w:val="auto"/>
                <w:sz w:val="21"/>
                <w:szCs w:val="21"/>
                <w:highlight w:val="none"/>
                <w:lang w:val="en-US" w:eastAsia="zh-CN"/>
              </w:rPr>
              <w:t>，</w:t>
            </w:r>
            <w:r>
              <w:rPr>
                <w:rFonts w:hint="eastAsia" w:ascii="宋体" w:hAnsi="宋体" w:eastAsia="宋体" w:cs="Times New Roman"/>
                <w:color w:val="auto"/>
                <w:sz w:val="21"/>
                <w:szCs w:val="21"/>
                <w:highlight w:val="none"/>
                <w:lang w:val="en-US" w:eastAsia="zh-CN"/>
              </w:rPr>
              <w:t>若服务期届满但采购金额未达预算，合同亦自动终止</w:t>
            </w:r>
            <w:r>
              <w:rPr>
                <w:rFonts w:hint="eastAsia" w:ascii="宋体" w:hAnsi="宋体" w:cs="Times New Roman"/>
                <w:color w:val="auto"/>
                <w:sz w:val="21"/>
                <w:szCs w:val="21"/>
                <w:highlight w:val="none"/>
                <w:lang w:val="en-US" w:eastAsia="zh-CN"/>
              </w:rPr>
              <w:t>。</w:t>
            </w:r>
          </w:p>
          <w:p w14:paraId="44A0472C">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b/>
                <w:bCs/>
                <w:color w:val="auto"/>
                <w:sz w:val="21"/>
                <w:szCs w:val="21"/>
                <w:highlight w:val="none"/>
                <w:lang w:eastAsia="zh-CN"/>
              </w:rPr>
            </w:pPr>
            <w:r>
              <w:rPr>
                <w:rFonts w:hint="eastAsia" w:ascii="宋体" w:hAnsi="宋体" w:eastAsia="宋体" w:cs="Times New Roman"/>
                <w:color w:val="auto"/>
                <w:sz w:val="21"/>
                <w:szCs w:val="21"/>
                <w:highlight w:val="none"/>
                <w:lang w:val="en-US" w:eastAsia="zh-CN"/>
              </w:rPr>
              <w:t>服务地点：防城港市财政局（</w:t>
            </w:r>
            <w:r>
              <w:rPr>
                <w:rFonts w:hint="eastAsia" w:ascii="宋体" w:hAnsi="宋体" w:cs="宋体"/>
                <w:kern w:val="0"/>
                <w:szCs w:val="21"/>
                <w:highlight w:val="none"/>
                <w:u w:val="none"/>
              </w:rPr>
              <w:t>防城港市港口区广场北路8号</w:t>
            </w:r>
            <w:r>
              <w:rPr>
                <w:rFonts w:hint="eastAsia" w:ascii="宋体" w:hAnsi="宋体" w:eastAsia="宋体" w:cs="Times New Roman"/>
                <w:color w:val="auto"/>
                <w:sz w:val="21"/>
                <w:szCs w:val="21"/>
                <w:highlight w:val="none"/>
                <w:lang w:val="en-US" w:eastAsia="zh-CN"/>
              </w:rPr>
              <w:t>）采购人指定地点。</w:t>
            </w:r>
          </w:p>
        </w:tc>
      </w:tr>
      <w:tr w14:paraId="58C0BC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6" w:hRule="atLeast"/>
        </w:trPr>
        <w:tc>
          <w:tcPr>
            <w:tcW w:w="1387" w:type="dxa"/>
            <w:gridSpan w:val="2"/>
            <w:tcBorders>
              <w:top w:val="single" w:color="000000" w:sz="4" w:space="0"/>
              <w:left w:val="single" w:color="000000" w:sz="4" w:space="0"/>
              <w:bottom w:val="single" w:color="000000" w:sz="4" w:space="0"/>
              <w:right w:val="single" w:color="000000" w:sz="4" w:space="0"/>
            </w:tcBorders>
            <w:noWrap w:val="0"/>
            <w:vAlign w:val="center"/>
          </w:tcPr>
          <w:p w14:paraId="71ADA320">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合同签订期</w:t>
            </w:r>
          </w:p>
        </w:tc>
        <w:tc>
          <w:tcPr>
            <w:tcW w:w="8091" w:type="dxa"/>
            <w:gridSpan w:val="2"/>
            <w:tcBorders>
              <w:top w:val="single" w:color="000000" w:sz="4" w:space="0"/>
              <w:left w:val="single" w:color="000000" w:sz="4" w:space="0"/>
              <w:bottom w:val="single" w:color="000000" w:sz="4" w:space="0"/>
              <w:right w:val="single" w:color="000000" w:sz="4" w:space="0"/>
            </w:tcBorders>
            <w:noWrap w:val="0"/>
            <w:vAlign w:val="center"/>
          </w:tcPr>
          <w:p w14:paraId="66E7CCF5">
            <w:pPr>
              <w:keepNext w:val="0"/>
              <w:keepLines w:val="0"/>
              <w:pageBreakBefore w:val="0"/>
              <w:kinsoku/>
              <w:wordWrap/>
              <w:overflowPunct/>
              <w:topLinePunct w:val="0"/>
              <w:autoSpaceDE/>
              <w:autoSpaceDN/>
              <w:bidi w:val="0"/>
              <w:adjustRightInd/>
              <w:snapToGrid/>
              <w:spacing w:line="380" w:lineRule="exact"/>
              <w:ind w:left="6" w:leftChars="0"/>
              <w:textAlignment w:val="auto"/>
              <w:rPr>
                <w:rFonts w:hint="eastAsia" w:ascii="宋体" w:hAnsi="宋体" w:eastAsia="宋体" w:cs="Times New Roman"/>
                <w:color w:val="auto"/>
                <w:sz w:val="21"/>
                <w:szCs w:val="21"/>
                <w:highlight w:val="none"/>
                <w:lang w:val="en-US" w:eastAsia="zh-CN"/>
              </w:rPr>
            </w:pPr>
            <w:r>
              <w:rPr>
                <w:rFonts w:hint="eastAsia" w:ascii="宋体" w:hAnsi="宋体" w:cs="宋体"/>
                <w:b w:val="0"/>
                <w:bCs w:val="0"/>
                <w:color w:val="auto"/>
                <w:sz w:val="21"/>
                <w:szCs w:val="21"/>
                <w:highlight w:val="none"/>
              </w:rPr>
              <w:t>自</w:t>
            </w:r>
            <w:r>
              <w:rPr>
                <w:rFonts w:hint="eastAsia" w:ascii="宋体" w:hAnsi="宋体" w:cs="宋体"/>
                <w:b w:val="0"/>
                <w:bCs w:val="0"/>
                <w:color w:val="auto"/>
                <w:sz w:val="21"/>
                <w:szCs w:val="21"/>
                <w:highlight w:val="none"/>
                <w:lang w:eastAsia="zh-CN"/>
              </w:rPr>
              <w:t>成交</w:t>
            </w:r>
            <w:r>
              <w:rPr>
                <w:rFonts w:hint="eastAsia" w:ascii="宋体" w:hAnsi="宋体" w:cs="宋体"/>
                <w:b w:val="0"/>
                <w:bCs w:val="0"/>
                <w:color w:val="auto"/>
                <w:sz w:val="21"/>
                <w:szCs w:val="21"/>
                <w:highlight w:val="none"/>
              </w:rPr>
              <w:t>通知书发出之日起25日内。</w:t>
            </w:r>
          </w:p>
        </w:tc>
      </w:tr>
      <w:tr w14:paraId="721A40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rPr>
        <w:tc>
          <w:tcPr>
            <w:tcW w:w="1387" w:type="dxa"/>
            <w:gridSpan w:val="2"/>
            <w:tcBorders>
              <w:top w:val="single" w:color="000000" w:sz="4" w:space="0"/>
              <w:left w:val="single" w:color="000000" w:sz="4" w:space="0"/>
              <w:bottom w:val="single" w:color="000000" w:sz="4" w:space="0"/>
              <w:right w:val="single" w:color="000000" w:sz="4" w:space="0"/>
            </w:tcBorders>
            <w:noWrap w:val="0"/>
            <w:vAlign w:val="center"/>
          </w:tcPr>
          <w:p w14:paraId="0E1FB7A4">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竞标报价要求</w:t>
            </w:r>
          </w:p>
        </w:tc>
        <w:tc>
          <w:tcPr>
            <w:tcW w:w="8091" w:type="dxa"/>
            <w:gridSpan w:val="2"/>
            <w:tcBorders>
              <w:top w:val="single" w:color="000000" w:sz="4" w:space="0"/>
              <w:left w:val="single" w:color="000000" w:sz="4" w:space="0"/>
              <w:bottom w:val="single" w:color="000000" w:sz="4" w:space="0"/>
              <w:right w:val="single" w:color="000000" w:sz="4" w:space="0"/>
            </w:tcBorders>
            <w:noWrap w:val="0"/>
            <w:vAlign w:val="center"/>
          </w:tcPr>
          <w:p w14:paraId="058F0E10">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20" w:firstLineChars="200"/>
              <w:textAlignment w:val="auto"/>
              <w:rPr>
                <w:rFonts w:hint="eastAsia"/>
                <w:color w:val="auto"/>
                <w:sz w:val="21"/>
                <w:szCs w:val="21"/>
                <w:highlight w:val="none"/>
                <w:lang w:val="en-US" w:eastAsia="zh-CN"/>
              </w:rPr>
            </w:pPr>
            <w:r>
              <w:rPr>
                <w:rFonts w:hint="eastAsia"/>
                <w:color w:val="auto"/>
                <w:sz w:val="21"/>
                <w:szCs w:val="21"/>
                <w:highlight w:val="none"/>
                <w:lang w:val="en-US" w:eastAsia="zh-CN"/>
              </w:rPr>
              <w:t>1.供应商的竞标报价包括但不限于以下内容：食材的购置、检验、粗加工、分拣、包装、仓储、运输、装卸、堆放、保险、损耗、退换、售后服务、雇员费用、管理费、</w:t>
            </w:r>
            <w:r>
              <w:rPr>
                <w:rFonts w:hint="eastAsia"/>
                <w:highlight w:val="none"/>
                <w:lang w:val="en-US" w:eastAsia="zh-CN"/>
              </w:rPr>
              <w:t>全额税费等合同履行过程中的一切费用</w:t>
            </w:r>
            <w:r>
              <w:rPr>
                <w:rFonts w:hint="eastAsia"/>
                <w:color w:val="auto"/>
                <w:sz w:val="21"/>
                <w:szCs w:val="21"/>
                <w:highlight w:val="none"/>
                <w:lang w:val="en-US" w:eastAsia="zh-CN"/>
              </w:rPr>
              <w:t>。本项目招标代理服务费、必要的保险费用和各项税金也包含在报价中。</w:t>
            </w:r>
          </w:p>
          <w:p w14:paraId="43A6EC90">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20" w:firstLineChars="200"/>
              <w:textAlignment w:val="auto"/>
              <w:rPr>
                <w:rFonts w:hint="eastAsia"/>
                <w:color w:val="auto"/>
                <w:sz w:val="21"/>
                <w:szCs w:val="21"/>
                <w:highlight w:val="none"/>
                <w:lang w:val="en-US" w:eastAsia="zh-CN"/>
              </w:rPr>
            </w:pPr>
            <w:r>
              <w:rPr>
                <w:rFonts w:hint="eastAsia"/>
                <w:color w:val="auto"/>
                <w:sz w:val="21"/>
                <w:szCs w:val="21"/>
                <w:highlight w:val="none"/>
                <w:lang w:val="en-US" w:eastAsia="zh-CN"/>
              </w:rPr>
              <w:t>2.确定成交供应商并签订合同后，按实际提供的食材费用结算。</w:t>
            </w:r>
          </w:p>
          <w:p w14:paraId="57D3599D">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20" w:firstLineChars="200"/>
              <w:textAlignment w:val="auto"/>
              <w:rPr>
                <w:rFonts w:hint="eastAsia"/>
                <w:color w:val="auto"/>
                <w:sz w:val="21"/>
                <w:szCs w:val="21"/>
                <w:highlight w:val="none"/>
                <w:lang w:val="en-US" w:eastAsia="zh-CN"/>
              </w:rPr>
            </w:pPr>
            <w:r>
              <w:rPr>
                <w:rFonts w:hint="eastAsia"/>
                <w:color w:val="auto"/>
                <w:sz w:val="21"/>
                <w:szCs w:val="21"/>
                <w:highlight w:val="none"/>
                <w:lang w:val="en-US" w:eastAsia="zh-CN"/>
              </w:rPr>
              <w:t>3.若供应商被选定为成交供应商，服务期内的产品供应中应严格执行价格承诺。在一个定价周期内（1个月）确定好的采购价格不得随意更改，并必须按时按量供货，不得因市场价格上涨降低产品品质，否则按采购产品价值三倍扣除履约保证金；不得因市场价格上涨停止供货，否则采购人有权依法终止合同，扣除全部履约保证金，由此产生的一切经济损失由成交供应商自行承担。</w:t>
            </w:r>
          </w:p>
          <w:p w14:paraId="6F849973">
            <w:pPr>
              <w:pStyle w:val="5"/>
              <w:keepNext w:val="0"/>
              <w:keepLines w:val="0"/>
              <w:pageBreakBefore w:val="0"/>
              <w:widowControl w:val="0"/>
              <w:kinsoku/>
              <w:wordWrap/>
              <w:overflowPunct/>
              <w:topLinePunct w:val="0"/>
              <w:autoSpaceDE/>
              <w:autoSpaceDN/>
              <w:bidi w:val="0"/>
              <w:adjustRightInd/>
              <w:snapToGrid/>
              <w:spacing w:after="0" w:line="380" w:lineRule="exact"/>
              <w:ind w:firstLine="420" w:firstLineChars="200"/>
              <w:textAlignment w:val="auto"/>
              <w:rPr>
                <w:rFonts w:hint="eastAsia" w:ascii="宋体" w:hAnsi="宋体" w:eastAsia="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4.本项目</w:t>
            </w:r>
            <w:r>
              <w:rPr>
                <w:rFonts w:hint="eastAsia" w:ascii="宋体" w:hAnsi="宋体" w:eastAsia="宋体" w:cs="Times New Roman"/>
                <w:color w:val="auto"/>
                <w:sz w:val="21"/>
                <w:szCs w:val="21"/>
                <w:highlight w:val="none"/>
                <w:lang w:val="en-US" w:eastAsia="zh-CN"/>
              </w:rPr>
              <w:t>竞标报价按下浮系数报价，供应商结合采购人提供的市场调查物价、市场价格、成本及自身条件、市场风险报出综合下浮系数。有效报价范围为：下浮系数≥10%。实际采购单价=市场价格（基准单价）×（1-下浮系数）。供应商一旦</w:t>
            </w:r>
            <w:r>
              <w:rPr>
                <w:rFonts w:hint="eastAsia" w:ascii="宋体" w:hAnsi="宋体" w:cs="Times New Roman"/>
                <w:color w:val="auto"/>
                <w:sz w:val="21"/>
                <w:szCs w:val="21"/>
                <w:highlight w:val="none"/>
                <w:lang w:val="en-US" w:eastAsia="zh-CN"/>
              </w:rPr>
              <w:t>成交</w:t>
            </w:r>
            <w:r>
              <w:rPr>
                <w:rFonts w:hint="eastAsia" w:ascii="宋体" w:hAnsi="宋体" w:eastAsia="宋体" w:cs="Times New Roman"/>
                <w:color w:val="auto"/>
                <w:sz w:val="21"/>
                <w:szCs w:val="21"/>
                <w:highlight w:val="none"/>
                <w:lang w:val="en-US" w:eastAsia="zh-CN"/>
              </w:rPr>
              <w:t>，该</w:t>
            </w:r>
            <w:r>
              <w:rPr>
                <w:rFonts w:hint="eastAsia" w:ascii="宋体" w:hAnsi="宋体" w:cs="Times New Roman"/>
                <w:color w:val="auto"/>
                <w:sz w:val="21"/>
                <w:szCs w:val="21"/>
                <w:highlight w:val="none"/>
                <w:lang w:val="en-US" w:eastAsia="zh-CN"/>
              </w:rPr>
              <w:t>成交</w:t>
            </w:r>
            <w:r>
              <w:rPr>
                <w:rFonts w:hint="eastAsia" w:ascii="宋体" w:hAnsi="宋体" w:eastAsia="宋体" w:cs="Times New Roman"/>
                <w:color w:val="auto"/>
                <w:sz w:val="21"/>
                <w:szCs w:val="21"/>
                <w:highlight w:val="none"/>
                <w:lang w:val="en-US" w:eastAsia="zh-CN"/>
              </w:rPr>
              <w:t>下浮系数在合同服务期内不得改变。</w:t>
            </w:r>
          </w:p>
          <w:p w14:paraId="50F74606">
            <w:pPr>
              <w:pStyle w:val="5"/>
              <w:keepNext w:val="0"/>
              <w:keepLines w:val="0"/>
              <w:pageBreakBefore w:val="0"/>
              <w:widowControl w:val="0"/>
              <w:kinsoku/>
              <w:wordWrap/>
              <w:overflowPunct/>
              <w:topLinePunct w:val="0"/>
              <w:autoSpaceDE/>
              <w:autoSpaceDN/>
              <w:bidi w:val="0"/>
              <w:adjustRightInd/>
              <w:snapToGrid/>
              <w:spacing w:after="0" w:line="380" w:lineRule="exact"/>
              <w:ind w:firstLine="420" w:firstLineChars="200"/>
              <w:textAlignment w:val="auto"/>
              <w:rPr>
                <w:rFonts w:hint="eastAsia" w:ascii="宋体" w:hAnsi="宋体" w:eastAsia="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5.</w:t>
            </w:r>
            <w:r>
              <w:rPr>
                <w:rFonts w:hint="eastAsia" w:ascii="宋体" w:hAnsi="宋体" w:eastAsia="宋体" w:cs="Times New Roman"/>
                <w:color w:val="auto"/>
                <w:sz w:val="21"/>
                <w:szCs w:val="21"/>
                <w:highlight w:val="none"/>
                <w:lang w:val="en-US" w:eastAsia="zh-CN"/>
              </w:rPr>
              <w:t>市场价格（基准单价）的确定：</w:t>
            </w:r>
          </w:p>
          <w:p w14:paraId="4FA5486D">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highlight w:val="none"/>
                <w:lang w:val="en-US" w:eastAsia="zh-CN"/>
              </w:rPr>
            </w:pPr>
            <w:r>
              <w:rPr>
                <w:rFonts w:hint="eastAsia"/>
                <w:highlight w:val="none"/>
                <w:lang w:val="en-US" w:eastAsia="zh-CN"/>
              </w:rPr>
              <w:t>①定价机制：市场价格由采购人和成交供应商到港口区紫金城海鲜综合市场（含配送服务价格及税费；如采购商品在该市场无销售的，可参照港口区辉龙市场、港口区采珠市场、港口区金海市场等客流量大、菜品种类齐全的农贸市场的价格），每月询价一次。若成交供应商拒绝参与询价，则以采购人单独询价结果为准。</w:t>
            </w:r>
          </w:p>
          <w:p w14:paraId="5482BD66">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highlight w:val="none"/>
                <w:lang w:val="en-US" w:eastAsia="zh-CN"/>
              </w:rPr>
            </w:pPr>
            <w:r>
              <w:rPr>
                <w:rFonts w:hint="eastAsia"/>
                <w:highlight w:val="none"/>
                <w:lang w:val="en-US" w:eastAsia="zh-CN"/>
              </w:rPr>
              <w:t xml:space="preserve">②询价：由采购人和成交供应商共同派员组成3人以上询价小组，每月到港口区紫金城海鲜综合市场考察询价 1 次，所询价格作为当月的市场价格。结算价格按以上公式计算实际采购价格。 </w:t>
            </w:r>
          </w:p>
          <w:p w14:paraId="297EC4A8">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highlight w:val="none"/>
                <w:lang w:val="en-US" w:eastAsia="zh-CN"/>
              </w:rPr>
            </w:pPr>
            <w:r>
              <w:rPr>
                <w:rFonts w:hint="eastAsia"/>
                <w:highlight w:val="none"/>
                <w:lang w:val="en-US" w:eastAsia="zh-CN"/>
              </w:rPr>
              <w:t xml:space="preserve">③定价：询价小组以询价得出的结果为参考依据，对所询价格与上周期价格对比，若市场价格涨幅超过10%，成交供应商须提供配送书面调价函告知采购人，经采购人核实审批同意后方可实行。 </w:t>
            </w:r>
          </w:p>
          <w:p w14:paraId="35A0D688">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auto"/>
                <w:sz w:val="21"/>
                <w:szCs w:val="21"/>
                <w:highlight w:val="none"/>
                <w:lang w:val="en-US" w:eastAsia="zh-CN"/>
              </w:rPr>
            </w:pPr>
            <w:r>
              <w:rPr>
                <w:rFonts w:hint="eastAsia"/>
                <w:highlight w:val="none"/>
                <w:lang w:val="en-US" w:eastAsia="zh-CN"/>
              </w:rPr>
              <w:t>④对未列入询价范围的急需食材，采取临时询价机制。即：采购人提出需求的次日，由询价小组开展询价共同商定。</w:t>
            </w:r>
          </w:p>
        </w:tc>
      </w:tr>
      <w:tr w14:paraId="6678A2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 w:hRule="atLeast"/>
        </w:trPr>
        <w:tc>
          <w:tcPr>
            <w:tcW w:w="1387" w:type="dxa"/>
            <w:gridSpan w:val="2"/>
            <w:tcBorders>
              <w:top w:val="single" w:color="000000" w:sz="4" w:space="0"/>
              <w:left w:val="single" w:color="000000" w:sz="4" w:space="0"/>
              <w:bottom w:val="single" w:color="000000" w:sz="4" w:space="0"/>
              <w:right w:val="single" w:color="000000" w:sz="4" w:space="0"/>
            </w:tcBorders>
            <w:noWrap w:val="0"/>
            <w:vAlign w:val="center"/>
          </w:tcPr>
          <w:p w14:paraId="119AEC8C">
            <w:pPr>
              <w:pStyle w:val="42"/>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付款条件</w:t>
            </w:r>
          </w:p>
        </w:tc>
        <w:tc>
          <w:tcPr>
            <w:tcW w:w="8091" w:type="dxa"/>
            <w:gridSpan w:val="2"/>
            <w:tcBorders>
              <w:top w:val="single" w:color="000000" w:sz="4" w:space="0"/>
              <w:left w:val="single" w:color="000000" w:sz="4" w:space="0"/>
              <w:bottom w:val="single" w:color="000000" w:sz="4" w:space="0"/>
              <w:right w:val="single" w:color="000000" w:sz="4" w:space="0"/>
            </w:tcBorders>
            <w:noWrap w:val="0"/>
            <w:vAlign w:val="center"/>
          </w:tcPr>
          <w:p w14:paraId="2D00CAF2">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1.本项目无预付款，货款按月结算。供应商应于每月10日前</w:t>
            </w:r>
            <w:r>
              <w:rPr>
                <w:rFonts w:hint="eastAsia" w:ascii="宋体" w:hAnsi="宋体" w:cs="Times New Roman"/>
                <w:color w:val="auto"/>
                <w:sz w:val="21"/>
                <w:szCs w:val="21"/>
                <w:highlight w:val="none"/>
                <w:lang w:val="en-US" w:eastAsia="zh-CN"/>
              </w:rPr>
              <w:t>，</w:t>
            </w:r>
            <w:r>
              <w:rPr>
                <w:rFonts w:hint="eastAsia" w:ascii="宋体" w:hAnsi="宋体" w:eastAsia="宋体" w:cs="Times New Roman"/>
                <w:color w:val="auto"/>
                <w:sz w:val="21"/>
                <w:szCs w:val="21"/>
                <w:highlight w:val="none"/>
                <w:lang w:val="en-US" w:eastAsia="zh-CN"/>
              </w:rPr>
              <w:t>将上月已由</w:t>
            </w:r>
            <w:r>
              <w:rPr>
                <w:rFonts w:hint="eastAsia" w:ascii="宋体" w:hAnsi="宋体" w:cs="Times New Roman"/>
                <w:color w:val="auto"/>
                <w:sz w:val="21"/>
                <w:szCs w:val="21"/>
                <w:highlight w:val="none"/>
                <w:lang w:val="en-US" w:eastAsia="zh-CN"/>
              </w:rPr>
              <w:t>三</w:t>
            </w:r>
            <w:r>
              <w:rPr>
                <w:rFonts w:hint="eastAsia" w:ascii="宋体" w:hAnsi="宋体" w:eastAsia="宋体" w:cs="Times New Roman"/>
                <w:color w:val="auto"/>
                <w:sz w:val="21"/>
                <w:szCs w:val="21"/>
                <w:highlight w:val="none"/>
                <w:lang w:val="en-US" w:eastAsia="zh-CN"/>
              </w:rPr>
              <w:t>方</w:t>
            </w:r>
            <w:r>
              <w:rPr>
                <w:rFonts w:hint="eastAsia" w:ascii="宋体" w:hAnsi="宋体" w:cs="Times New Roman"/>
                <w:color w:val="auto"/>
                <w:sz w:val="21"/>
                <w:szCs w:val="21"/>
                <w:highlight w:val="none"/>
                <w:lang w:val="en-US" w:eastAsia="zh-CN"/>
              </w:rPr>
              <w:t>（</w:t>
            </w:r>
            <w:r>
              <w:rPr>
                <w:rFonts w:hint="eastAsia" w:ascii="宋体" w:hAnsi="宋体" w:cs="宋体"/>
                <w:b w:val="0"/>
                <w:bCs w:val="0"/>
                <w:color w:val="auto"/>
                <w:sz w:val="21"/>
                <w:highlight w:val="none"/>
                <w:lang w:val="en-US" w:eastAsia="zh-CN"/>
              </w:rPr>
              <w:t>采购人、成交供应商与食堂服务商</w:t>
            </w:r>
            <w:r>
              <w:rPr>
                <w:rFonts w:hint="eastAsia" w:ascii="宋体" w:hAnsi="宋体" w:cs="Times New Roman"/>
                <w:color w:val="auto"/>
                <w:sz w:val="21"/>
                <w:szCs w:val="21"/>
                <w:highlight w:val="none"/>
                <w:lang w:val="en-US" w:eastAsia="zh-CN"/>
              </w:rPr>
              <w:t>）</w:t>
            </w:r>
            <w:r>
              <w:rPr>
                <w:rFonts w:hint="eastAsia" w:ascii="宋体" w:hAnsi="宋体" w:eastAsia="宋体" w:cs="Times New Roman"/>
                <w:color w:val="auto"/>
                <w:sz w:val="21"/>
                <w:szCs w:val="21"/>
                <w:highlight w:val="none"/>
                <w:lang w:val="en-US" w:eastAsia="zh-CN"/>
              </w:rPr>
              <w:t>签字确认的《食材验收单》汇总整理，形成供货清单，递交采购人核定当月结算金额：供货清单汇总递交给采购人，由采购人根据供货清单核定当月结算金额，结算清单由</w:t>
            </w:r>
            <w:r>
              <w:rPr>
                <w:rFonts w:hint="eastAsia" w:ascii="宋体" w:hAnsi="宋体" w:cs="Times New Roman"/>
                <w:color w:val="auto"/>
                <w:sz w:val="21"/>
                <w:szCs w:val="21"/>
                <w:highlight w:val="none"/>
                <w:lang w:val="en-US" w:eastAsia="zh-CN"/>
              </w:rPr>
              <w:t>采购人和成交供应商</w:t>
            </w:r>
            <w:r>
              <w:rPr>
                <w:rFonts w:hint="eastAsia" w:ascii="宋体" w:hAnsi="宋体" w:eastAsia="宋体" w:cs="Times New Roman"/>
                <w:color w:val="auto"/>
                <w:sz w:val="21"/>
                <w:szCs w:val="21"/>
                <w:highlight w:val="none"/>
                <w:lang w:val="en-US" w:eastAsia="zh-CN"/>
              </w:rPr>
              <w:t>双方签字确认：</w:t>
            </w:r>
          </w:p>
          <w:p w14:paraId="03F9BBC3">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当月结算金额=∑各类货物结算金额</w:t>
            </w:r>
          </w:p>
          <w:p w14:paraId="15DB756B">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某货物结算金额=该月某货物实际验收合格数量×某货物实际采购单价</w:t>
            </w:r>
          </w:p>
          <w:p w14:paraId="65E4B12E">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某货物实际采购单价=市场价格（基准单价）×（1-成交下浮系数）</w:t>
            </w:r>
          </w:p>
          <w:p w14:paraId="770DBD97">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color w:val="auto"/>
                <w:sz w:val="21"/>
                <w:szCs w:val="21"/>
                <w:lang w:val="en-US" w:eastAsia="zh-CN"/>
              </w:rPr>
            </w:pPr>
            <w:r>
              <w:rPr>
                <w:rFonts w:hint="eastAsia" w:ascii="宋体" w:hAnsi="宋体" w:eastAsia="宋体" w:cs="Times New Roman"/>
                <w:color w:val="auto"/>
                <w:sz w:val="21"/>
                <w:szCs w:val="21"/>
                <w:highlight w:val="none"/>
                <w:lang w:val="en-US" w:eastAsia="zh-CN"/>
              </w:rPr>
              <w:t>2.货款结算前，供应商按</w:t>
            </w:r>
            <w:r>
              <w:rPr>
                <w:rFonts w:hint="eastAsia" w:ascii="宋体" w:hAnsi="宋体" w:cs="Times New Roman"/>
                <w:color w:val="auto"/>
                <w:sz w:val="21"/>
                <w:szCs w:val="21"/>
                <w:highlight w:val="none"/>
                <w:lang w:val="en-US" w:eastAsia="zh-CN"/>
              </w:rPr>
              <w:t>采购人和成交供应商</w:t>
            </w:r>
            <w:r>
              <w:rPr>
                <w:rFonts w:hint="eastAsia" w:ascii="宋体" w:hAnsi="宋体" w:eastAsia="宋体" w:cs="Times New Roman"/>
                <w:color w:val="auto"/>
                <w:sz w:val="21"/>
                <w:szCs w:val="21"/>
                <w:highlight w:val="none"/>
                <w:lang w:val="en-US" w:eastAsia="zh-CN"/>
              </w:rPr>
              <w:t>双方签字确认的结算金额向采购人开具真实、合法、有效的等额发票后，采购人在收到发票后向供应商支付该月货款。出具发票方、收款方均须与供应商名称一致。供应商未开具合法有效发票的，采购人有权不支付相应款项。</w:t>
            </w:r>
          </w:p>
        </w:tc>
      </w:tr>
      <w:tr w14:paraId="51BDD5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 w:hRule="atLeast"/>
        </w:trPr>
        <w:tc>
          <w:tcPr>
            <w:tcW w:w="1387" w:type="dxa"/>
            <w:gridSpan w:val="2"/>
            <w:tcBorders>
              <w:top w:val="single" w:color="000000" w:sz="4" w:space="0"/>
              <w:left w:val="single" w:color="000000" w:sz="4" w:space="0"/>
              <w:bottom w:val="single" w:color="000000" w:sz="4" w:space="0"/>
              <w:right w:val="single" w:color="000000" w:sz="4" w:space="0"/>
            </w:tcBorders>
            <w:noWrap w:val="0"/>
            <w:vAlign w:val="center"/>
          </w:tcPr>
          <w:p w14:paraId="6810EF33">
            <w:pPr>
              <w:pStyle w:val="42"/>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违约责任</w:t>
            </w:r>
          </w:p>
        </w:tc>
        <w:tc>
          <w:tcPr>
            <w:tcW w:w="8091" w:type="dxa"/>
            <w:gridSpan w:val="2"/>
            <w:tcBorders>
              <w:top w:val="single" w:color="000000" w:sz="4" w:space="0"/>
              <w:left w:val="single" w:color="000000" w:sz="4" w:space="0"/>
              <w:bottom w:val="single" w:color="000000" w:sz="4" w:space="0"/>
              <w:right w:val="single" w:color="000000" w:sz="4" w:space="0"/>
            </w:tcBorders>
            <w:noWrap w:val="0"/>
            <w:vAlign w:val="center"/>
          </w:tcPr>
          <w:p w14:paraId="1ABF5EA8">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leftChars="0" w:right="0" w:rightChars="0" w:firstLine="420" w:firstLineChars="200"/>
              <w:textAlignment w:val="auto"/>
              <w:rPr>
                <w:rFonts w:hint="eastAsia" w:ascii="宋体" w:hAnsi="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1.</w:t>
            </w:r>
            <w:r>
              <w:rPr>
                <w:rFonts w:hint="eastAsia" w:ascii="宋体" w:hAnsi="宋体" w:eastAsia="宋体" w:cs="Times New Roman"/>
                <w:color w:val="auto"/>
                <w:kern w:val="2"/>
                <w:sz w:val="21"/>
                <w:szCs w:val="21"/>
                <w:highlight w:val="none"/>
                <w:lang w:val="en-US" w:eastAsia="zh-CN" w:bidi="ar-SA"/>
              </w:rPr>
              <w:t>成交供应商提供产品出现假冒或者严重质量、安全问题，采购人有权单方通知成交供应商解除本项目合同，并有权扣除成交供应商全部履约保证金。给采购人或采购人单位职员造成实际损失的，采购人有权要求成交供应商承担</w:t>
            </w:r>
            <w:r>
              <w:rPr>
                <w:rFonts w:hint="eastAsia" w:ascii="宋体" w:hAnsi="宋体" w:cs="Times New Roman"/>
                <w:color w:val="auto"/>
                <w:kern w:val="2"/>
                <w:sz w:val="21"/>
                <w:szCs w:val="21"/>
                <w:highlight w:val="none"/>
                <w:lang w:val="en-US" w:eastAsia="zh-CN" w:bidi="ar-SA"/>
              </w:rPr>
              <w:t>。</w:t>
            </w:r>
          </w:p>
          <w:p w14:paraId="7BDEA86F">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firstLine="420" w:firstLineChars="20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2.</w:t>
            </w:r>
            <w:r>
              <w:rPr>
                <w:rFonts w:hint="eastAsia" w:ascii="宋体" w:hAnsi="宋体" w:eastAsia="宋体" w:cs="Times New Roman"/>
                <w:color w:val="auto"/>
                <w:kern w:val="2"/>
                <w:sz w:val="21"/>
                <w:szCs w:val="21"/>
                <w:highlight w:val="none"/>
                <w:lang w:val="en-US" w:eastAsia="zh-CN" w:bidi="ar-SA"/>
              </w:rPr>
              <w:t>成交供应商未能按采购人要求时间交货，每延迟1小时扣减当笔订单金额5%。迟延超过2小时的，采购人有权选择拒收</w:t>
            </w:r>
            <w:r>
              <w:rPr>
                <w:rFonts w:hint="eastAsia" w:ascii="宋体" w:hAnsi="宋体" w:cs="Times New Roman"/>
                <w:color w:val="auto"/>
                <w:kern w:val="2"/>
                <w:sz w:val="21"/>
                <w:szCs w:val="21"/>
                <w:highlight w:val="none"/>
                <w:lang w:val="en-US" w:eastAsia="zh-CN" w:bidi="ar-SA"/>
              </w:rPr>
              <w:t>，</w:t>
            </w:r>
            <w:r>
              <w:rPr>
                <w:rFonts w:hint="eastAsia" w:ascii="宋体" w:hAnsi="宋体" w:eastAsia="宋体" w:cs="Times New Roman"/>
                <w:color w:val="auto"/>
                <w:kern w:val="2"/>
                <w:sz w:val="21"/>
                <w:szCs w:val="21"/>
                <w:highlight w:val="none"/>
                <w:lang w:val="en-US" w:eastAsia="zh-CN" w:bidi="ar-SA"/>
              </w:rPr>
              <w:t>采购人不拒收的，按折价10%收货，以赔偿给采购人造成的影响。</w:t>
            </w:r>
          </w:p>
          <w:p w14:paraId="31B1D1AE">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firstLine="420" w:firstLineChars="200"/>
              <w:textAlignment w:val="auto"/>
              <w:rPr>
                <w:rFonts w:hint="eastAsia" w:ascii="宋体" w:hAnsi="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3.成交供应商提供产品与采购人要求种类、品质不符，供应商应在接到通知后1小时内派员到场确认，并在确认后</w:t>
            </w:r>
            <w:r>
              <w:rPr>
                <w:rFonts w:hint="eastAsia" w:ascii="宋体" w:hAnsi="宋体" w:cs="Times New Roman"/>
                <w:color w:val="auto"/>
                <w:kern w:val="2"/>
                <w:sz w:val="21"/>
                <w:szCs w:val="21"/>
                <w:highlight w:val="none"/>
                <w:lang w:val="en-US" w:eastAsia="zh-CN" w:bidi="ar-SA"/>
              </w:rPr>
              <w:t>1</w:t>
            </w:r>
            <w:r>
              <w:rPr>
                <w:rFonts w:hint="eastAsia" w:ascii="宋体" w:hAnsi="宋体" w:eastAsia="宋体" w:cs="Times New Roman"/>
                <w:color w:val="auto"/>
                <w:kern w:val="2"/>
                <w:sz w:val="21"/>
                <w:szCs w:val="21"/>
                <w:highlight w:val="none"/>
                <w:lang w:val="en-US" w:eastAsia="zh-CN" w:bidi="ar-SA"/>
              </w:rPr>
              <w:t>小时</w:t>
            </w:r>
            <w:r>
              <w:rPr>
                <w:rFonts w:hint="eastAsia" w:ascii="宋体" w:hAnsi="宋体" w:cs="Times New Roman"/>
                <w:color w:val="auto"/>
                <w:kern w:val="2"/>
                <w:sz w:val="21"/>
                <w:szCs w:val="21"/>
                <w:highlight w:val="none"/>
                <w:lang w:val="en-US" w:eastAsia="zh-CN" w:bidi="ar-SA"/>
              </w:rPr>
              <w:t>内，按采购人要求，</w:t>
            </w:r>
            <w:r>
              <w:rPr>
                <w:rFonts w:hint="eastAsia" w:ascii="宋体" w:hAnsi="宋体" w:eastAsia="宋体" w:cs="Times New Roman"/>
                <w:color w:val="auto"/>
                <w:kern w:val="2"/>
                <w:sz w:val="21"/>
                <w:szCs w:val="21"/>
                <w:highlight w:val="none"/>
                <w:lang w:val="en-US" w:eastAsia="zh-CN" w:bidi="ar-SA"/>
              </w:rPr>
              <w:t>将不符品种予以替换。逾期未替换或替换后仍无法通过采购人验货的，或者逾期交货超过2小时的，采购人有权拒收，并要求成交供应商支付该批不符品种订货价款三倍的违约金。若因该批次食材问题导致采购人产生其他实际损失（如餐费退还、额外采购成本等），供应商应另行赔偿</w:t>
            </w:r>
            <w:r>
              <w:rPr>
                <w:rFonts w:hint="eastAsia" w:ascii="宋体" w:hAnsi="宋体" w:cs="Times New Roman"/>
                <w:color w:val="auto"/>
                <w:kern w:val="2"/>
                <w:sz w:val="21"/>
                <w:szCs w:val="21"/>
                <w:highlight w:val="none"/>
                <w:lang w:val="en-US" w:eastAsia="zh-CN" w:bidi="ar-SA"/>
              </w:rPr>
              <w:t>。</w:t>
            </w:r>
          </w:p>
          <w:p w14:paraId="7D08792A">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firstLine="420" w:firstLineChars="20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4.采购人有权从任一笔应付采购款中直接扣除成交供应商应支付的违约金或应承担的其他赔偿费用。</w:t>
            </w:r>
          </w:p>
          <w:p w14:paraId="54E33772">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firstLine="420" w:firstLineChars="20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5.发生上述情形累计超过3次，或者成交供应商拒不支付违约金的，或者发生一次但情节严重的（如因成交供应商未按时供货导致采购人开餐延误甚至停餐等），采购人有权单方通知成交供应商解除本合同，并没收全部履约保证金。给采购人造成损失的，采购人有权要求成交供应商承担。履约保证金在扣除了成交供应商应支付的违约金后，如有剩余采购人应退还成交供应商，不足部分，采购人有权从未支付的货款中扣除。</w:t>
            </w:r>
          </w:p>
          <w:p w14:paraId="3EE987C8">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firstLine="420" w:firstLineChars="20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6.供应商一旦成交，承诺的下浮系数在合同服务期内不得变更，否则采购人有权单方终止合同，扣除全部履约保证金，由此产生的一切经济损失由成交供应商自行承担。</w:t>
            </w:r>
          </w:p>
          <w:p w14:paraId="5DB26645">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firstLine="420" w:firstLineChars="20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7.成交供应商应每日对所提供的服务车辆使用情况及安全状况进行排查，确保采购人所采购的产品物资在规定时间</w:t>
            </w:r>
            <w:r>
              <w:rPr>
                <w:rFonts w:hint="eastAsia" w:ascii="宋体" w:hAnsi="宋体" w:cs="Times New Roman"/>
                <w:color w:val="auto"/>
                <w:kern w:val="2"/>
                <w:sz w:val="21"/>
                <w:szCs w:val="21"/>
                <w:highlight w:val="none"/>
                <w:lang w:val="en-US" w:eastAsia="zh-CN" w:bidi="ar-SA"/>
              </w:rPr>
              <w:t>内</w:t>
            </w:r>
            <w:r>
              <w:rPr>
                <w:rFonts w:hint="eastAsia" w:ascii="宋体" w:hAnsi="宋体" w:eastAsia="宋体" w:cs="Times New Roman"/>
                <w:color w:val="auto"/>
                <w:kern w:val="2"/>
                <w:sz w:val="21"/>
                <w:szCs w:val="21"/>
                <w:highlight w:val="none"/>
                <w:lang w:val="en-US" w:eastAsia="zh-CN" w:bidi="ar-SA"/>
              </w:rPr>
              <w:t>正常交货。因成交供应商车辆情况导致逾期交货的，属成交供应商责任，采购人将按前款约定进行处理。累计情形超过3次，或者发生一次但情节严重的，采购人有权</w:t>
            </w:r>
            <w:r>
              <w:rPr>
                <w:rFonts w:hint="eastAsia" w:ascii="宋体" w:hAnsi="宋体" w:cs="Times New Roman"/>
                <w:color w:val="auto"/>
                <w:kern w:val="2"/>
                <w:sz w:val="21"/>
                <w:szCs w:val="21"/>
                <w:highlight w:val="none"/>
                <w:lang w:val="en-US" w:eastAsia="zh-CN" w:bidi="ar-SA"/>
              </w:rPr>
              <w:t>依法</w:t>
            </w:r>
            <w:r>
              <w:rPr>
                <w:rFonts w:hint="eastAsia" w:ascii="宋体" w:hAnsi="宋体" w:eastAsia="宋体" w:cs="Times New Roman"/>
                <w:color w:val="auto"/>
                <w:kern w:val="2"/>
                <w:sz w:val="21"/>
                <w:szCs w:val="21"/>
                <w:highlight w:val="none"/>
                <w:lang w:val="en-US" w:eastAsia="zh-CN" w:bidi="ar-SA"/>
              </w:rPr>
              <w:t>解除本合同，给采购人造成损失的，采购人有权要求成交供应商承担。</w:t>
            </w:r>
          </w:p>
          <w:p w14:paraId="6CBB1F3E">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firstLine="420" w:firstLineChars="20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8.成交供应商不得以任何形式将成交项目转包、分包，否则采购人有权</w:t>
            </w:r>
            <w:r>
              <w:rPr>
                <w:rFonts w:hint="eastAsia" w:ascii="宋体" w:hAnsi="宋体" w:cs="Times New Roman"/>
                <w:color w:val="auto"/>
                <w:kern w:val="2"/>
                <w:sz w:val="21"/>
                <w:szCs w:val="21"/>
                <w:highlight w:val="none"/>
                <w:lang w:val="en-US" w:eastAsia="zh-CN" w:bidi="ar-SA"/>
              </w:rPr>
              <w:t>依法</w:t>
            </w:r>
            <w:r>
              <w:rPr>
                <w:rFonts w:hint="eastAsia" w:ascii="宋体" w:hAnsi="宋体" w:eastAsia="宋体" w:cs="Times New Roman"/>
                <w:color w:val="auto"/>
                <w:kern w:val="2"/>
                <w:sz w:val="21"/>
                <w:szCs w:val="21"/>
                <w:highlight w:val="none"/>
                <w:lang w:val="en-US" w:eastAsia="zh-CN" w:bidi="ar-SA"/>
              </w:rPr>
              <w:t>终止合同，由此产生的一切经济损失由成交供应商自行承担。</w:t>
            </w:r>
          </w:p>
          <w:p w14:paraId="1183A112">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firstLine="420" w:firstLineChars="20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9.出现下列情形之一，采购人可立即终止合同并没收履约保证金：</w:t>
            </w:r>
          </w:p>
          <w:p w14:paraId="5F80C509">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firstLine="420" w:firstLineChars="20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（1）抽检2批次食材不合格；</w:t>
            </w:r>
          </w:p>
          <w:p w14:paraId="051D9C2D">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firstLine="420" w:firstLineChars="20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（2）被市场监管部门处罚并影响采购人声誉；</w:t>
            </w:r>
          </w:p>
          <w:p w14:paraId="7EB7D271">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firstLine="420" w:firstLineChars="20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（3）发生食品安全事故。</w:t>
            </w:r>
          </w:p>
        </w:tc>
      </w:tr>
      <w:tr w14:paraId="4CFFA4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trPr>
        <w:tc>
          <w:tcPr>
            <w:tcW w:w="1387" w:type="dxa"/>
            <w:gridSpan w:val="2"/>
            <w:tcBorders>
              <w:top w:val="single" w:color="000000" w:sz="4" w:space="0"/>
              <w:left w:val="single" w:color="000000" w:sz="4" w:space="0"/>
              <w:bottom w:val="single" w:color="000000" w:sz="4" w:space="0"/>
              <w:right w:val="single" w:color="000000" w:sz="4" w:space="0"/>
            </w:tcBorders>
            <w:noWrap w:val="0"/>
            <w:vAlign w:val="center"/>
          </w:tcPr>
          <w:p w14:paraId="0A94CA10">
            <w:pPr>
              <w:pStyle w:val="42"/>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其他要求</w:t>
            </w:r>
          </w:p>
        </w:tc>
        <w:tc>
          <w:tcPr>
            <w:tcW w:w="8091" w:type="dxa"/>
            <w:gridSpan w:val="2"/>
            <w:tcBorders>
              <w:top w:val="single" w:color="000000" w:sz="4" w:space="0"/>
              <w:left w:val="single" w:color="000000" w:sz="4" w:space="0"/>
              <w:bottom w:val="single" w:color="000000" w:sz="4" w:space="0"/>
              <w:right w:val="single" w:color="000000" w:sz="4" w:space="0"/>
            </w:tcBorders>
            <w:noWrap w:val="0"/>
            <w:vAlign w:val="center"/>
          </w:tcPr>
          <w:p w14:paraId="145FB601">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1</w:t>
            </w:r>
            <w:r>
              <w:rPr>
                <w:rFonts w:hint="eastAsia" w:ascii="宋体" w:hAnsi="宋体" w:eastAsia="宋体" w:cs="Times New Roman"/>
                <w:color w:val="auto"/>
                <w:sz w:val="21"/>
                <w:szCs w:val="21"/>
                <w:highlight w:val="none"/>
                <w:lang w:val="en-US" w:eastAsia="zh-CN"/>
              </w:rPr>
              <w:t>.本项目为服务项目，不设核心产品。</w:t>
            </w:r>
          </w:p>
          <w:p w14:paraId="07710118">
            <w:pPr>
              <w:keepNext w:val="0"/>
              <w:keepLines w:val="0"/>
              <w:pageBreakBefore w:val="0"/>
              <w:widowControl w:val="0"/>
              <w:kinsoku/>
              <w:wordWrap/>
              <w:overflowPunct/>
              <w:topLinePunct w:val="0"/>
              <w:autoSpaceDE/>
              <w:autoSpaceDN/>
              <w:bidi w:val="0"/>
              <w:adjustRightInd/>
              <w:snapToGrid/>
              <w:spacing w:line="380" w:lineRule="exact"/>
              <w:ind w:firstLine="422" w:firstLineChars="200"/>
              <w:textAlignment w:val="auto"/>
              <w:rPr>
                <w:rFonts w:hint="default" w:ascii="宋体" w:hAnsi="宋体" w:eastAsia="宋体" w:cs="Times New Roman"/>
                <w:b/>
                <w:bCs/>
                <w:color w:val="auto"/>
                <w:sz w:val="21"/>
                <w:szCs w:val="21"/>
                <w:highlight w:val="none"/>
                <w:lang w:val="en-US" w:eastAsia="zh-CN"/>
              </w:rPr>
            </w:pPr>
            <w:r>
              <w:rPr>
                <w:rFonts w:hint="eastAsia" w:ascii="宋体" w:hAnsi="宋体" w:cs="Times New Roman"/>
                <w:b/>
                <w:bCs/>
                <w:color w:val="auto"/>
                <w:sz w:val="21"/>
                <w:szCs w:val="21"/>
                <w:highlight w:val="none"/>
                <w:lang w:val="en-US" w:eastAsia="zh-CN"/>
              </w:rPr>
              <w:t>2</w:t>
            </w:r>
            <w:r>
              <w:rPr>
                <w:rFonts w:hint="eastAsia" w:ascii="宋体" w:hAnsi="宋体" w:eastAsia="宋体" w:cs="Times New Roman"/>
                <w:b/>
                <w:bCs/>
                <w:color w:val="auto"/>
                <w:sz w:val="21"/>
                <w:szCs w:val="21"/>
                <w:highlight w:val="none"/>
                <w:lang w:val="en-US" w:eastAsia="zh-CN"/>
              </w:rPr>
              <w:t>.以上技术要求和商务要求不允许负偏离，否则竞标无效。</w:t>
            </w:r>
          </w:p>
          <w:p w14:paraId="5151D091">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3</w:t>
            </w:r>
            <w:r>
              <w:rPr>
                <w:rFonts w:hint="eastAsia" w:ascii="宋体" w:hAnsi="宋体" w:eastAsia="宋体" w:cs="Times New Roman"/>
                <w:color w:val="auto"/>
                <w:sz w:val="21"/>
                <w:szCs w:val="21"/>
                <w:highlight w:val="none"/>
                <w:lang w:val="en-US" w:eastAsia="zh-CN"/>
              </w:rPr>
              <w:t>.供应商在履约过程中需投入相关专业技术力量，并在响应文件中</w:t>
            </w:r>
            <w:r>
              <w:rPr>
                <w:rFonts w:hint="eastAsia" w:ascii="宋体" w:hAnsi="宋体" w:cs="Times New Roman"/>
                <w:color w:val="auto"/>
                <w:szCs w:val="21"/>
                <w:highlight w:val="none"/>
                <w:lang w:val="en-US" w:eastAsia="zh-CN"/>
              </w:rPr>
              <w:t>必须</w:t>
            </w:r>
            <w:r>
              <w:rPr>
                <w:rFonts w:hint="eastAsia" w:ascii="宋体" w:hAnsi="宋体" w:eastAsia="宋体" w:cs="Times New Roman"/>
                <w:color w:val="auto"/>
                <w:sz w:val="21"/>
                <w:szCs w:val="21"/>
                <w:highlight w:val="none"/>
                <w:lang w:val="en-US" w:eastAsia="zh-CN"/>
              </w:rPr>
              <w:t>提供本项目的技术服务方案以供评审，技术服务方案的内容（包括但不限于项目实施方案、食材安全措施方案、应急方案、服务保障方案、拟投入人员配置及管理方案内容）。</w:t>
            </w:r>
          </w:p>
        </w:tc>
      </w:tr>
      <w:tr w14:paraId="4BA4FD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478" w:type="dxa"/>
            <w:gridSpan w:val="4"/>
            <w:tcBorders>
              <w:top w:val="single" w:color="000000" w:sz="4" w:space="0"/>
              <w:left w:val="single" w:color="000000" w:sz="4" w:space="0"/>
              <w:bottom w:val="single" w:color="000000" w:sz="4" w:space="0"/>
              <w:right w:val="single" w:color="000000" w:sz="4" w:space="0"/>
            </w:tcBorders>
            <w:noWrap w:val="0"/>
            <w:vAlign w:val="center"/>
          </w:tcPr>
          <w:p w14:paraId="502386D2">
            <w:pPr>
              <w:pStyle w:val="42"/>
              <w:keepNext w:val="0"/>
              <w:keepLines w:val="0"/>
              <w:pageBreakBefore w:val="0"/>
              <w:kinsoku/>
              <w:wordWrap/>
              <w:overflowPunct/>
              <w:topLinePunct w:val="0"/>
              <w:autoSpaceDE/>
              <w:autoSpaceDN/>
              <w:bidi w:val="0"/>
              <w:adjustRightInd/>
              <w:snapToGrid/>
              <w:spacing w:line="380" w:lineRule="exact"/>
              <w:textAlignment w:val="auto"/>
              <w:rPr>
                <w:rFonts w:hint="eastAsia" w:hAnsi="宋体" w:cs="宋体"/>
                <w:bCs/>
                <w:color w:val="auto"/>
                <w:sz w:val="21"/>
                <w:szCs w:val="21"/>
                <w:highlight w:val="none"/>
                <w:lang w:val="en-US" w:eastAsia="zh-CN"/>
              </w:rPr>
            </w:pPr>
            <w:r>
              <w:rPr>
                <w:rFonts w:hint="eastAsia" w:hAnsi="宋体" w:cs="宋体"/>
                <w:b/>
                <w:color w:val="auto"/>
                <w:sz w:val="21"/>
                <w:szCs w:val="21"/>
                <w:highlight w:val="none"/>
                <w:lang w:val="en-US" w:eastAsia="zh-CN"/>
              </w:rPr>
              <w:t>第三部分：与实现项目目标相关的其他要求</w:t>
            </w:r>
          </w:p>
        </w:tc>
      </w:tr>
      <w:tr w14:paraId="09CC6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trPr>
        <w:tc>
          <w:tcPr>
            <w:tcW w:w="1387" w:type="dxa"/>
            <w:gridSpan w:val="2"/>
            <w:tcBorders>
              <w:top w:val="single" w:color="000000" w:sz="4" w:space="0"/>
              <w:left w:val="single" w:color="000000" w:sz="4" w:space="0"/>
              <w:bottom w:val="single" w:color="000000" w:sz="4" w:space="0"/>
              <w:right w:val="single" w:color="000000" w:sz="4" w:space="0"/>
            </w:tcBorders>
            <w:noWrap w:val="0"/>
            <w:vAlign w:val="center"/>
          </w:tcPr>
          <w:p w14:paraId="10A690C6">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cs="宋体"/>
                <w:color w:val="auto"/>
                <w:kern w:val="0"/>
                <w:sz w:val="21"/>
                <w:szCs w:val="21"/>
                <w:highlight w:val="none"/>
              </w:rPr>
            </w:pPr>
            <w:r>
              <w:rPr>
                <w:rFonts w:hint="eastAsia" w:hAnsi="宋体" w:cs="宋体"/>
                <w:bCs/>
                <w:color w:val="auto"/>
                <w:sz w:val="21"/>
                <w:szCs w:val="21"/>
                <w:highlight w:val="none"/>
                <w:lang w:val="en-US" w:eastAsia="zh-CN"/>
              </w:rPr>
              <w:t>规范标准</w:t>
            </w:r>
          </w:p>
        </w:tc>
        <w:tc>
          <w:tcPr>
            <w:tcW w:w="8091" w:type="dxa"/>
            <w:gridSpan w:val="2"/>
            <w:tcBorders>
              <w:top w:val="single" w:color="000000" w:sz="4" w:space="0"/>
              <w:left w:val="single" w:color="000000" w:sz="4" w:space="0"/>
              <w:bottom w:val="single" w:color="000000" w:sz="4" w:space="0"/>
              <w:right w:val="single" w:color="000000" w:sz="4" w:space="0"/>
            </w:tcBorders>
            <w:noWrap w:val="0"/>
            <w:vAlign w:val="center"/>
          </w:tcPr>
          <w:p w14:paraId="13FDA1BB">
            <w:pPr>
              <w:pStyle w:val="42"/>
              <w:keepNext w:val="0"/>
              <w:keepLines w:val="0"/>
              <w:pageBreakBefore w:val="0"/>
              <w:kinsoku/>
              <w:wordWrap/>
              <w:overflowPunct/>
              <w:topLinePunct w:val="0"/>
              <w:autoSpaceDE/>
              <w:autoSpaceDN/>
              <w:bidi w:val="0"/>
              <w:adjustRightInd/>
              <w:snapToGrid/>
              <w:spacing w:line="380" w:lineRule="exact"/>
              <w:textAlignment w:val="auto"/>
              <w:rPr>
                <w:rFonts w:hint="eastAsia" w:hAnsi="宋体" w:cs="宋体"/>
                <w:bCs/>
                <w:color w:val="auto"/>
                <w:sz w:val="21"/>
                <w:szCs w:val="21"/>
                <w:highlight w:val="none"/>
                <w:lang w:val="en-US" w:eastAsia="zh-CN"/>
              </w:rPr>
            </w:pPr>
            <w:r>
              <w:rPr>
                <w:rFonts w:hint="eastAsia" w:hAnsi="宋体" w:cs="宋体"/>
                <w:bCs/>
                <w:color w:val="auto"/>
                <w:sz w:val="21"/>
                <w:szCs w:val="21"/>
                <w:highlight w:val="none"/>
                <w:lang w:val="en-US" w:eastAsia="zh-CN"/>
              </w:rPr>
              <w:t>采购标的需执行的国家标准、行业标准、地方标准或者其他标准、规范。多项标准的，按最新标准或较高标准执行。</w:t>
            </w:r>
          </w:p>
        </w:tc>
      </w:tr>
      <w:tr w14:paraId="7C622E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trPr>
        <w:tc>
          <w:tcPr>
            <w:tcW w:w="1387" w:type="dxa"/>
            <w:gridSpan w:val="2"/>
            <w:tcBorders>
              <w:top w:val="single" w:color="000000" w:sz="4" w:space="0"/>
              <w:left w:val="single" w:color="000000" w:sz="4" w:space="0"/>
              <w:bottom w:val="single" w:color="000000" w:sz="4" w:space="0"/>
              <w:right w:val="single" w:color="000000" w:sz="4" w:space="0"/>
            </w:tcBorders>
            <w:noWrap w:val="0"/>
            <w:vAlign w:val="center"/>
          </w:tcPr>
          <w:p w14:paraId="4E65F7A0">
            <w:pPr>
              <w:keepNext w:val="0"/>
              <w:keepLines w:val="0"/>
              <w:pageBreakBefore w:val="0"/>
              <w:kinsoku/>
              <w:wordWrap/>
              <w:overflowPunct/>
              <w:topLinePunct w:val="0"/>
              <w:autoSpaceDE/>
              <w:autoSpaceDN/>
              <w:bidi w:val="0"/>
              <w:adjustRightInd/>
              <w:snapToGrid/>
              <w:spacing w:line="380" w:lineRule="exact"/>
              <w:textAlignment w:val="auto"/>
              <w:rPr>
                <w:rFonts w:hint="eastAsia" w:hAnsi="宋体" w:cs="宋体"/>
                <w:bCs/>
                <w:color w:val="auto"/>
                <w:sz w:val="21"/>
                <w:szCs w:val="21"/>
                <w:highlight w:val="none"/>
                <w:lang w:val="en-US" w:eastAsia="zh-CN"/>
              </w:rPr>
            </w:pPr>
            <w:r>
              <w:rPr>
                <w:rFonts w:hint="eastAsia" w:hAnsi="宋体" w:cs="宋体"/>
                <w:bCs/>
                <w:color w:val="auto"/>
                <w:sz w:val="21"/>
                <w:szCs w:val="21"/>
                <w:highlight w:val="none"/>
                <w:lang w:val="en-US" w:eastAsia="zh-CN"/>
              </w:rPr>
              <w:t>验收标准</w:t>
            </w:r>
          </w:p>
        </w:tc>
        <w:tc>
          <w:tcPr>
            <w:tcW w:w="8091" w:type="dxa"/>
            <w:gridSpan w:val="2"/>
            <w:tcBorders>
              <w:top w:val="single" w:color="000000" w:sz="4" w:space="0"/>
              <w:left w:val="single" w:color="000000" w:sz="4" w:space="0"/>
              <w:bottom w:val="single" w:color="000000" w:sz="4" w:space="0"/>
              <w:right w:val="single" w:color="000000" w:sz="4" w:space="0"/>
            </w:tcBorders>
            <w:noWrap w:val="0"/>
            <w:vAlign w:val="center"/>
          </w:tcPr>
          <w:p w14:paraId="1CFFBFB2">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成交供应商将食材送达采购人指定地点后，由采购人、成交供应商与食堂服务商共同进行验收。核对食材的品种、数量是否与经审核确认的需求单一致，并对食材的重量进行过磅确认。</w:t>
            </w:r>
          </w:p>
          <w:p w14:paraId="665A9CE5">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验收合格的，三方（采购人、成交供应商与食堂服务商）应在《食材验收单》上共同签字确认。《食材验收单》应至少一式三份，由采购人、成交供应商、食堂服务商各执一份，作为结算和对账的依据。</w:t>
            </w:r>
          </w:p>
          <w:p w14:paraId="117595DD">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验收不合格的，由采购人、成交供应商应在《食材验收单》上详细注明不合格原因、数量等信息，由食材配送服务商进行补货或采取其他应急措施。验收不合格的违约责任详见“商务要求：违约责任”。</w:t>
            </w:r>
          </w:p>
        </w:tc>
      </w:tr>
      <w:tr w14:paraId="7FF843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trPr>
        <w:tc>
          <w:tcPr>
            <w:tcW w:w="1387" w:type="dxa"/>
            <w:gridSpan w:val="2"/>
            <w:tcBorders>
              <w:top w:val="single" w:color="000000" w:sz="4" w:space="0"/>
              <w:left w:val="single" w:color="000000" w:sz="4" w:space="0"/>
              <w:bottom w:val="single" w:color="000000" w:sz="4" w:space="0"/>
              <w:right w:val="single" w:color="000000" w:sz="4" w:space="0"/>
            </w:tcBorders>
            <w:noWrap w:val="0"/>
            <w:vAlign w:val="center"/>
          </w:tcPr>
          <w:p w14:paraId="3EDADC8E">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cs="宋体"/>
                <w:color w:val="auto"/>
                <w:kern w:val="0"/>
                <w:sz w:val="21"/>
                <w:szCs w:val="21"/>
                <w:highlight w:val="none"/>
              </w:rPr>
            </w:pPr>
            <w:r>
              <w:rPr>
                <w:rFonts w:hint="eastAsia" w:ascii="宋体" w:hAnsi="宋体" w:cs="宋体"/>
                <w:color w:val="auto"/>
                <w:sz w:val="21"/>
                <w:szCs w:val="21"/>
                <w:highlight w:val="none"/>
              </w:rPr>
              <w:t>项目业绩</w:t>
            </w:r>
          </w:p>
        </w:tc>
        <w:tc>
          <w:tcPr>
            <w:tcW w:w="8091" w:type="dxa"/>
            <w:gridSpan w:val="2"/>
            <w:tcBorders>
              <w:top w:val="single" w:color="000000" w:sz="4" w:space="0"/>
              <w:left w:val="single" w:color="000000" w:sz="4" w:space="0"/>
              <w:bottom w:val="single" w:color="000000" w:sz="4" w:space="0"/>
              <w:right w:val="single" w:color="000000" w:sz="4" w:space="0"/>
            </w:tcBorders>
            <w:noWrap w:val="0"/>
            <w:vAlign w:val="center"/>
          </w:tcPr>
          <w:p w14:paraId="6FA95C87">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cs="宋体"/>
                <w:bCs/>
                <w:color w:val="auto"/>
                <w:sz w:val="21"/>
                <w:szCs w:val="21"/>
                <w:highlight w:val="none"/>
              </w:rPr>
            </w:pPr>
            <w:r>
              <w:rPr>
                <w:rFonts w:hint="eastAsia" w:ascii="宋体" w:hAnsi="宋体" w:cs="宋体"/>
                <w:bCs/>
                <w:color w:val="auto"/>
                <w:sz w:val="21"/>
                <w:szCs w:val="21"/>
                <w:highlight w:val="none"/>
              </w:rPr>
              <w:t>详见第四章 评审程序、评审方法和评审标准</w:t>
            </w:r>
          </w:p>
        </w:tc>
      </w:tr>
    </w:tbl>
    <w:p w14:paraId="0C71AA33">
      <w:pPr>
        <w:jc w:val="left"/>
        <w:rPr>
          <w:rFonts w:hint="eastAsia" w:ascii="微软雅黑" w:hAnsi="微软雅黑" w:eastAsia="微软雅黑" w:cs="微软雅黑"/>
          <w:color w:val="auto"/>
          <w:kern w:val="0"/>
          <w:sz w:val="32"/>
          <w:szCs w:val="32"/>
          <w:highlight w:val="none"/>
        </w:rPr>
      </w:pPr>
    </w:p>
    <w:p w14:paraId="6F2EC897">
      <w:pPr>
        <w:jc w:val="left"/>
        <w:rPr>
          <w:rFonts w:hint="eastAsia" w:ascii="微软雅黑" w:hAnsi="微软雅黑" w:eastAsia="微软雅黑" w:cs="微软雅黑"/>
          <w:color w:val="auto"/>
          <w:kern w:val="0"/>
          <w:sz w:val="32"/>
          <w:szCs w:val="32"/>
          <w:highlight w:val="none"/>
        </w:rPr>
      </w:pPr>
    </w:p>
    <w:p w14:paraId="1709A7D6">
      <w:pPr>
        <w:jc w:val="left"/>
        <w:rPr>
          <w:rFonts w:hint="eastAsia" w:ascii="微软雅黑" w:hAnsi="微软雅黑" w:eastAsia="微软雅黑" w:cs="微软雅黑"/>
          <w:color w:val="auto"/>
          <w:kern w:val="0"/>
          <w:sz w:val="32"/>
          <w:szCs w:val="32"/>
          <w:highlight w:val="none"/>
        </w:rPr>
      </w:pPr>
    </w:p>
    <w:p w14:paraId="4E9301D8">
      <w:pPr>
        <w:jc w:val="left"/>
        <w:rPr>
          <w:rFonts w:hint="eastAsia" w:ascii="微软雅黑" w:hAnsi="微软雅黑" w:eastAsia="微软雅黑" w:cs="微软雅黑"/>
          <w:color w:val="auto"/>
          <w:kern w:val="0"/>
          <w:sz w:val="32"/>
          <w:szCs w:val="32"/>
          <w:highlight w:val="none"/>
        </w:rPr>
      </w:pPr>
    </w:p>
    <w:p w14:paraId="5E816F78">
      <w:pPr>
        <w:jc w:val="left"/>
        <w:rPr>
          <w:rFonts w:hint="eastAsia" w:ascii="微软雅黑" w:hAnsi="微软雅黑" w:eastAsia="微软雅黑" w:cs="微软雅黑"/>
          <w:color w:val="auto"/>
          <w:kern w:val="0"/>
          <w:sz w:val="32"/>
          <w:szCs w:val="32"/>
          <w:highlight w:val="none"/>
        </w:rPr>
      </w:pPr>
    </w:p>
    <w:p w14:paraId="2FCAE5B7">
      <w:pPr>
        <w:jc w:val="left"/>
        <w:rPr>
          <w:rFonts w:hint="eastAsia" w:ascii="微软雅黑" w:hAnsi="微软雅黑" w:eastAsia="微软雅黑" w:cs="微软雅黑"/>
          <w:color w:val="auto"/>
          <w:kern w:val="0"/>
          <w:sz w:val="32"/>
          <w:szCs w:val="32"/>
          <w:highlight w:val="none"/>
        </w:rPr>
      </w:pPr>
    </w:p>
    <w:p w14:paraId="24815FF8">
      <w:pPr>
        <w:jc w:val="left"/>
        <w:rPr>
          <w:rFonts w:hint="eastAsia" w:ascii="微软雅黑" w:hAnsi="微软雅黑" w:eastAsia="微软雅黑" w:cs="微软雅黑"/>
          <w:color w:val="auto"/>
          <w:kern w:val="0"/>
          <w:sz w:val="32"/>
          <w:szCs w:val="32"/>
          <w:highlight w:val="none"/>
        </w:rPr>
      </w:pPr>
    </w:p>
    <w:p w14:paraId="6846E60D">
      <w:pPr>
        <w:jc w:val="left"/>
        <w:rPr>
          <w:rFonts w:hint="eastAsia" w:ascii="Arial Unicode MS" w:hAnsi="Arial Unicode MS" w:eastAsia="Arial Unicode MS" w:cs="Arial Unicode MS"/>
          <w:color w:val="auto"/>
          <w:kern w:val="0"/>
          <w:sz w:val="32"/>
          <w:szCs w:val="32"/>
          <w:highlight w:val="none"/>
        </w:rPr>
      </w:pPr>
      <w:r>
        <w:rPr>
          <w:rFonts w:hint="eastAsia" w:ascii="微软雅黑" w:hAnsi="微软雅黑" w:eastAsia="微软雅黑" w:cs="微软雅黑"/>
          <w:color w:val="auto"/>
          <w:kern w:val="0"/>
          <w:sz w:val="32"/>
          <w:szCs w:val="32"/>
          <w:highlight w:val="none"/>
        </w:rPr>
        <w:t>附件：</w:t>
      </w:r>
    </w:p>
    <w:p w14:paraId="5EA37A65">
      <w:pPr>
        <w:spacing w:line="528" w:lineRule="exact"/>
        <w:jc w:val="center"/>
        <w:rPr>
          <w:rFonts w:hint="eastAsia" w:ascii="Arial Unicode MS" w:hAnsi="Arial Unicode MS" w:eastAsia="Arial Unicode MS" w:cs="Arial Unicode MS"/>
          <w:color w:val="auto"/>
          <w:sz w:val="40"/>
          <w:szCs w:val="40"/>
          <w:highlight w:val="none"/>
        </w:rPr>
      </w:pPr>
      <w:r>
        <w:rPr>
          <w:rFonts w:hint="eastAsia" w:ascii="微软雅黑" w:hAnsi="微软雅黑" w:eastAsia="微软雅黑" w:cs="微软雅黑"/>
          <w:color w:val="auto"/>
          <w:sz w:val="40"/>
          <w:szCs w:val="40"/>
          <w:highlight w:val="none"/>
        </w:rPr>
        <w:t>中小微企业划型标准</w:t>
      </w:r>
    </w:p>
    <w:tbl>
      <w:tblPr>
        <w:tblStyle w:val="12"/>
        <w:tblW w:w="0" w:type="auto"/>
        <w:jc w:val="center"/>
        <w:tblLayout w:type="fixed"/>
        <w:tblCellMar>
          <w:top w:w="0" w:type="dxa"/>
          <w:left w:w="108" w:type="dxa"/>
          <w:bottom w:w="0" w:type="dxa"/>
          <w:right w:w="108" w:type="dxa"/>
        </w:tblCellMar>
      </w:tblPr>
      <w:tblGrid>
        <w:gridCol w:w="1985"/>
        <w:gridCol w:w="1984"/>
        <w:gridCol w:w="851"/>
        <w:gridCol w:w="1842"/>
        <w:gridCol w:w="1701"/>
        <w:gridCol w:w="1134"/>
      </w:tblGrid>
      <w:tr w14:paraId="18AC8A17">
        <w:tblPrEx>
          <w:tblCellMar>
            <w:top w:w="0" w:type="dxa"/>
            <w:left w:w="108" w:type="dxa"/>
            <w:bottom w:w="0" w:type="dxa"/>
            <w:right w:w="108" w:type="dxa"/>
          </w:tblCellMar>
        </w:tblPrEx>
        <w:trPr>
          <w:trHeight w:val="285" w:hRule="atLeast"/>
          <w:jc w:val="center"/>
        </w:trPr>
        <w:tc>
          <w:tcPr>
            <w:tcW w:w="1985" w:type="dxa"/>
            <w:tcBorders>
              <w:top w:val="single" w:color="auto" w:sz="4" w:space="0"/>
              <w:left w:val="single" w:color="auto" w:sz="4" w:space="0"/>
              <w:bottom w:val="single" w:color="auto" w:sz="4" w:space="0"/>
              <w:right w:val="single" w:color="auto" w:sz="4" w:space="0"/>
            </w:tcBorders>
            <w:noWrap/>
            <w:vAlign w:val="center"/>
          </w:tcPr>
          <w:p w14:paraId="35E911E7">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noWrap/>
            <w:vAlign w:val="center"/>
          </w:tcPr>
          <w:p w14:paraId="7EA78590">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ign w:val="center"/>
          </w:tcPr>
          <w:p w14:paraId="2B8DC878">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noWrap/>
            <w:vAlign w:val="center"/>
          </w:tcPr>
          <w:p w14:paraId="2BEFCC2A">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noWrap/>
            <w:vAlign w:val="center"/>
          </w:tcPr>
          <w:p w14:paraId="741CA444">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ign w:val="center"/>
          </w:tcPr>
          <w:p w14:paraId="2177B183">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微型</w:t>
            </w:r>
          </w:p>
        </w:tc>
      </w:tr>
      <w:tr w14:paraId="7BD9AB8C">
        <w:tblPrEx>
          <w:tblCellMar>
            <w:top w:w="0" w:type="dxa"/>
            <w:left w:w="108" w:type="dxa"/>
            <w:bottom w:w="0" w:type="dxa"/>
            <w:right w:w="108" w:type="dxa"/>
          </w:tblCellMar>
        </w:tblPrEx>
        <w:trPr>
          <w:trHeight w:val="225" w:hRule="atLeast"/>
          <w:jc w:val="center"/>
        </w:trPr>
        <w:tc>
          <w:tcPr>
            <w:tcW w:w="1985" w:type="dxa"/>
            <w:tcBorders>
              <w:top w:val="nil"/>
              <w:left w:val="single" w:color="auto" w:sz="4" w:space="0"/>
              <w:bottom w:val="single" w:color="auto" w:sz="4" w:space="0"/>
              <w:right w:val="single" w:color="auto" w:sz="4" w:space="0"/>
            </w:tcBorders>
            <w:noWrap/>
            <w:vAlign w:val="bottom"/>
          </w:tcPr>
          <w:p w14:paraId="05BC8A6D">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农、林、牧、渔</w:t>
            </w:r>
          </w:p>
        </w:tc>
        <w:tc>
          <w:tcPr>
            <w:tcW w:w="1984" w:type="dxa"/>
            <w:tcBorders>
              <w:top w:val="nil"/>
              <w:left w:val="nil"/>
              <w:bottom w:val="single" w:color="auto" w:sz="4" w:space="0"/>
              <w:right w:val="single" w:color="auto" w:sz="4" w:space="0"/>
            </w:tcBorders>
            <w:noWrap/>
            <w:vAlign w:val="center"/>
          </w:tcPr>
          <w:p w14:paraId="6A45DD6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1CFD1CF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2F1BA29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701" w:type="dxa"/>
            <w:tcBorders>
              <w:top w:val="nil"/>
              <w:left w:val="nil"/>
              <w:bottom w:val="single" w:color="auto" w:sz="4" w:space="0"/>
              <w:right w:val="single" w:color="auto" w:sz="4" w:space="0"/>
            </w:tcBorders>
            <w:noWrap/>
            <w:vAlign w:val="center"/>
          </w:tcPr>
          <w:p w14:paraId="1CE1DCD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50≤Y＜500</w:t>
            </w:r>
          </w:p>
        </w:tc>
        <w:tc>
          <w:tcPr>
            <w:tcW w:w="1134" w:type="dxa"/>
            <w:tcBorders>
              <w:top w:val="nil"/>
              <w:left w:val="nil"/>
              <w:bottom w:val="single" w:color="auto" w:sz="4" w:space="0"/>
              <w:right w:val="single" w:color="auto" w:sz="4" w:space="0"/>
            </w:tcBorders>
            <w:noWrap/>
            <w:vAlign w:val="center"/>
          </w:tcPr>
          <w:p w14:paraId="7FC293C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511EA670">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ign w:val="bottom"/>
          </w:tcPr>
          <w:p w14:paraId="5B2C1A8C">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工业</w:t>
            </w:r>
          </w:p>
        </w:tc>
        <w:tc>
          <w:tcPr>
            <w:tcW w:w="1984" w:type="dxa"/>
            <w:tcBorders>
              <w:top w:val="nil"/>
              <w:left w:val="nil"/>
              <w:bottom w:val="single" w:color="auto" w:sz="4" w:space="0"/>
              <w:right w:val="single" w:color="auto" w:sz="4" w:space="0"/>
            </w:tcBorders>
            <w:noWrap/>
            <w:vAlign w:val="center"/>
          </w:tcPr>
          <w:p w14:paraId="2BD5111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20D5C85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4277D48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ign w:val="center"/>
          </w:tcPr>
          <w:p w14:paraId="0C241B2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ign w:val="center"/>
          </w:tcPr>
          <w:p w14:paraId="2BCE71E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2C7BD749">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08E64498">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00C261A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5437A26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506E24D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2000≤Y＜40000</w:t>
            </w:r>
          </w:p>
        </w:tc>
        <w:tc>
          <w:tcPr>
            <w:tcW w:w="1701" w:type="dxa"/>
            <w:tcBorders>
              <w:top w:val="nil"/>
              <w:left w:val="nil"/>
              <w:bottom w:val="single" w:color="auto" w:sz="4" w:space="0"/>
              <w:right w:val="single" w:color="auto" w:sz="4" w:space="0"/>
            </w:tcBorders>
            <w:noWrap/>
            <w:vAlign w:val="center"/>
          </w:tcPr>
          <w:p w14:paraId="68C58D2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300≤Y＜2000</w:t>
            </w:r>
          </w:p>
        </w:tc>
        <w:tc>
          <w:tcPr>
            <w:tcW w:w="1134" w:type="dxa"/>
            <w:tcBorders>
              <w:top w:val="nil"/>
              <w:left w:val="nil"/>
              <w:bottom w:val="single" w:color="auto" w:sz="4" w:space="0"/>
              <w:right w:val="single" w:color="auto" w:sz="4" w:space="0"/>
            </w:tcBorders>
            <w:noWrap/>
            <w:vAlign w:val="center"/>
          </w:tcPr>
          <w:p w14:paraId="472569A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59801D59">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ign w:val="bottom"/>
          </w:tcPr>
          <w:p w14:paraId="6F9A57BB">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建筑业</w:t>
            </w:r>
          </w:p>
        </w:tc>
        <w:tc>
          <w:tcPr>
            <w:tcW w:w="1984" w:type="dxa"/>
            <w:tcBorders>
              <w:top w:val="nil"/>
              <w:left w:val="nil"/>
              <w:bottom w:val="single" w:color="auto" w:sz="4" w:space="0"/>
              <w:right w:val="single" w:color="auto" w:sz="4" w:space="0"/>
            </w:tcBorders>
            <w:noWrap/>
            <w:vAlign w:val="center"/>
          </w:tcPr>
          <w:p w14:paraId="361A91D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463F46D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007B3FB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6000≤Y＜80000</w:t>
            </w:r>
          </w:p>
        </w:tc>
        <w:tc>
          <w:tcPr>
            <w:tcW w:w="1701" w:type="dxa"/>
            <w:tcBorders>
              <w:top w:val="nil"/>
              <w:left w:val="nil"/>
              <w:bottom w:val="single" w:color="auto" w:sz="4" w:space="0"/>
              <w:right w:val="single" w:color="auto" w:sz="4" w:space="0"/>
            </w:tcBorders>
            <w:noWrap/>
            <w:vAlign w:val="center"/>
          </w:tcPr>
          <w:p w14:paraId="3E61226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300≤Y＜6000</w:t>
            </w:r>
          </w:p>
        </w:tc>
        <w:tc>
          <w:tcPr>
            <w:tcW w:w="1134" w:type="dxa"/>
            <w:tcBorders>
              <w:top w:val="nil"/>
              <w:left w:val="nil"/>
              <w:bottom w:val="single" w:color="auto" w:sz="4" w:space="0"/>
              <w:right w:val="single" w:color="auto" w:sz="4" w:space="0"/>
            </w:tcBorders>
            <w:noWrap/>
            <w:vAlign w:val="center"/>
          </w:tcPr>
          <w:p w14:paraId="02CC19F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34E33D59">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5DFD91D7">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14B9980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ign w:val="center"/>
          </w:tcPr>
          <w:p w14:paraId="386B2E6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15E7B85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5000≤Z＜80000</w:t>
            </w:r>
          </w:p>
        </w:tc>
        <w:tc>
          <w:tcPr>
            <w:tcW w:w="1701" w:type="dxa"/>
            <w:tcBorders>
              <w:top w:val="nil"/>
              <w:left w:val="nil"/>
              <w:bottom w:val="single" w:color="auto" w:sz="4" w:space="0"/>
              <w:right w:val="single" w:color="auto" w:sz="4" w:space="0"/>
            </w:tcBorders>
            <w:noWrap/>
            <w:vAlign w:val="center"/>
          </w:tcPr>
          <w:p w14:paraId="5CAB33C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300≤Z＜5000</w:t>
            </w:r>
          </w:p>
        </w:tc>
        <w:tc>
          <w:tcPr>
            <w:tcW w:w="1134" w:type="dxa"/>
            <w:tcBorders>
              <w:top w:val="nil"/>
              <w:left w:val="nil"/>
              <w:bottom w:val="single" w:color="auto" w:sz="4" w:space="0"/>
              <w:right w:val="single" w:color="auto" w:sz="4" w:space="0"/>
            </w:tcBorders>
            <w:noWrap/>
            <w:vAlign w:val="center"/>
          </w:tcPr>
          <w:p w14:paraId="7E3B03B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Z＜300</w:t>
            </w:r>
          </w:p>
        </w:tc>
      </w:tr>
      <w:tr w14:paraId="3B612EE6">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ign w:val="bottom"/>
          </w:tcPr>
          <w:p w14:paraId="1E0F74B9">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批发业</w:t>
            </w:r>
          </w:p>
        </w:tc>
        <w:tc>
          <w:tcPr>
            <w:tcW w:w="1984" w:type="dxa"/>
            <w:tcBorders>
              <w:top w:val="nil"/>
              <w:left w:val="nil"/>
              <w:bottom w:val="single" w:color="auto" w:sz="4" w:space="0"/>
              <w:right w:val="single" w:color="auto" w:sz="4" w:space="0"/>
            </w:tcBorders>
            <w:noWrap/>
            <w:vAlign w:val="center"/>
          </w:tcPr>
          <w:p w14:paraId="734FFD7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7ED9CF6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5E86F97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20≤X＜200</w:t>
            </w:r>
          </w:p>
        </w:tc>
        <w:tc>
          <w:tcPr>
            <w:tcW w:w="1701" w:type="dxa"/>
            <w:tcBorders>
              <w:top w:val="nil"/>
              <w:left w:val="nil"/>
              <w:bottom w:val="single" w:color="auto" w:sz="4" w:space="0"/>
              <w:right w:val="single" w:color="auto" w:sz="4" w:space="0"/>
            </w:tcBorders>
            <w:noWrap/>
            <w:vAlign w:val="center"/>
          </w:tcPr>
          <w:p w14:paraId="6E9749B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5≤X＜20</w:t>
            </w:r>
          </w:p>
        </w:tc>
        <w:tc>
          <w:tcPr>
            <w:tcW w:w="1134" w:type="dxa"/>
            <w:tcBorders>
              <w:top w:val="nil"/>
              <w:left w:val="nil"/>
              <w:bottom w:val="single" w:color="auto" w:sz="4" w:space="0"/>
              <w:right w:val="single" w:color="auto" w:sz="4" w:space="0"/>
            </w:tcBorders>
            <w:noWrap/>
            <w:vAlign w:val="center"/>
          </w:tcPr>
          <w:p w14:paraId="19B18CB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X＜5</w:t>
            </w:r>
          </w:p>
        </w:tc>
      </w:tr>
      <w:tr w14:paraId="61B3A90C">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7B2408F2">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2A425F8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33418C5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29E1155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5000≤Y＜40000</w:t>
            </w:r>
          </w:p>
        </w:tc>
        <w:tc>
          <w:tcPr>
            <w:tcW w:w="1701" w:type="dxa"/>
            <w:tcBorders>
              <w:top w:val="nil"/>
              <w:left w:val="nil"/>
              <w:bottom w:val="single" w:color="auto" w:sz="4" w:space="0"/>
              <w:right w:val="single" w:color="auto" w:sz="4" w:space="0"/>
            </w:tcBorders>
            <w:noWrap/>
            <w:vAlign w:val="center"/>
          </w:tcPr>
          <w:p w14:paraId="7D17EC8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134" w:type="dxa"/>
            <w:tcBorders>
              <w:top w:val="nil"/>
              <w:left w:val="nil"/>
              <w:bottom w:val="single" w:color="auto" w:sz="4" w:space="0"/>
              <w:right w:val="single" w:color="auto" w:sz="4" w:space="0"/>
            </w:tcBorders>
            <w:noWrap/>
            <w:vAlign w:val="center"/>
          </w:tcPr>
          <w:p w14:paraId="1857182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Y＜1000</w:t>
            </w:r>
          </w:p>
        </w:tc>
      </w:tr>
      <w:tr w14:paraId="3A74E054">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ign w:val="bottom"/>
          </w:tcPr>
          <w:p w14:paraId="6F073050">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零售业</w:t>
            </w:r>
          </w:p>
        </w:tc>
        <w:tc>
          <w:tcPr>
            <w:tcW w:w="1984" w:type="dxa"/>
            <w:tcBorders>
              <w:top w:val="nil"/>
              <w:left w:val="nil"/>
              <w:bottom w:val="single" w:color="auto" w:sz="4" w:space="0"/>
              <w:right w:val="single" w:color="auto" w:sz="4" w:space="0"/>
            </w:tcBorders>
            <w:noWrap/>
            <w:vAlign w:val="center"/>
          </w:tcPr>
          <w:p w14:paraId="51A7621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4736D82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276EB82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50≤X＜300</w:t>
            </w:r>
          </w:p>
        </w:tc>
        <w:tc>
          <w:tcPr>
            <w:tcW w:w="1701" w:type="dxa"/>
            <w:tcBorders>
              <w:top w:val="nil"/>
              <w:left w:val="nil"/>
              <w:bottom w:val="single" w:color="auto" w:sz="4" w:space="0"/>
              <w:right w:val="single" w:color="auto" w:sz="4" w:space="0"/>
            </w:tcBorders>
            <w:noWrap/>
            <w:vAlign w:val="center"/>
          </w:tcPr>
          <w:p w14:paraId="6CC99E3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10≤X＜50</w:t>
            </w:r>
          </w:p>
        </w:tc>
        <w:tc>
          <w:tcPr>
            <w:tcW w:w="1134" w:type="dxa"/>
            <w:tcBorders>
              <w:top w:val="nil"/>
              <w:left w:val="nil"/>
              <w:bottom w:val="single" w:color="auto" w:sz="4" w:space="0"/>
              <w:right w:val="single" w:color="auto" w:sz="4" w:space="0"/>
            </w:tcBorders>
            <w:noWrap/>
            <w:vAlign w:val="center"/>
          </w:tcPr>
          <w:p w14:paraId="49B19CB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4B2C9112">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452BEC7E">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4B45399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219FD96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4404AB6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701" w:type="dxa"/>
            <w:tcBorders>
              <w:top w:val="nil"/>
              <w:left w:val="nil"/>
              <w:bottom w:val="single" w:color="auto" w:sz="4" w:space="0"/>
              <w:right w:val="single" w:color="auto" w:sz="4" w:space="0"/>
            </w:tcBorders>
            <w:noWrap/>
            <w:vAlign w:val="center"/>
          </w:tcPr>
          <w:p w14:paraId="3D96FC8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100≤Y＜500</w:t>
            </w:r>
          </w:p>
        </w:tc>
        <w:tc>
          <w:tcPr>
            <w:tcW w:w="1134" w:type="dxa"/>
            <w:tcBorders>
              <w:top w:val="nil"/>
              <w:left w:val="nil"/>
              <w:bottom w:val="single" w:color="auto" w:sz="4" w:space="0"/>
              <w:right w:val="single" w:color="auto" w:sz="4" w:space="0"/>
            </w:tcBorders>
            <w:noWrap/>
            <w:vAlign w:val="center"/>
          </w:tcPr>
          <w:p w14:paraId="42CF35D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73359B2C">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ign w:val="bottom"/>
          </w:tcPr>
          <w:p w14:paraId="51F1E678">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noWrap/>
            <w:vAlign w:val="center"/>
          </w:tcPr>
          <w:p w14:paraId="5C0979C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1B4FFA0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3100726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ign w:val="center"/>
          </w:tcPr>
          <w:p w14:paraId="7DB07FA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ign w:val="center"/>
          </w:tcPr>
          <w:p w14:paraId="7944033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6A009C5F">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416077F1">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1C4EB19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55F8D0A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6089D0B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3000≤Y＜30000</w:t>
            </w:r>
          </w:p>
        </w:tc>
        <w:tc>
          <w:tcPr>
            <w:tcW w:w="1701" w:type="dxa"/>
            <w:tcBorders>
              <w:top w:val="nil"/>
              <w:left w:val="nil"/>
              <w:bottom w:val="single" w:color="auto" w:sz="4" w:space="0"/>
              <w:right w:val="single" w:color="auto" w:sz="4" w:space="0"/>
            </w:tcBorders>
            <w:noWrap/>
            <w:vAlign w:val="center"/>
          </w:tcPr>
          <w:p w14:paraId="38C76BC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200≤Y＜3000</w:t>
            </w:r>
          </w:p>
        </w:tc>
        <w:tc>
          <w:tcPr>
            <w:tcW w:w="1134" w:type="dxa"/>
            <w:tcBorders>
              <w:top w:val="nil"/>
              <w:left w:val="nil"/>
              <w:bottom w:val="single" w:color="auto" w:sz="4" w:space="0"/>
              <w:right w:val="single" w:color="auto" w:sz="4" w:space="0"/>
            </w:tcBorders>
            <w:noWrap/>
            <w:vAlign w:val="center"/>
          </w:tcPr>
          <w:p w14:paraId="0BEF413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w:t>
            </w:r>
          </w:p>
        </w:tc>
      </w:tr>
      <w:tr w14:paraId="1AB41F97">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ign w:val="bottom"/>
          </w:tcPr>
          <w:p w14:paraId="1A2B3917">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仓储业</w:t>
            </w:r>
          </w:p>
        </w:tc>
        <w:tc>
          <w:tcPr>
            <w:tcW w:w="1984" w:type="dxa"/>
            <w:tcBorders>
              <w:top w:val="nil"/>
              <w:left w:val="nil"/>
              <w:bottom w:val="single" w:color="auto" w:sz="4" w:space="0"/>
              <w:right w:val="single" w:color="auto" w:sz="4" w:space="0"/>
            </w:tcBorders>
            <w:noWrap/>
            <w:vAlign w:val="center"/>
          </w:tcPr>
          <w:p w14:paraId="54032A2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266BE8E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579C810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w:t>
            </w:r>
          </w:p>
        </w:tc>
        <w:tc>
          <w:tcPr>
            <w:tcW w:w="1701" w:type="dxa"/>
            <w:tcBorders>
              <w:top w:val="nil"/>
              <w:left w:val="nil"/>
              <w:bottom w:val="single" w:color="auto" w:sz="4" w:space="0"/>
              <w:right w:val="single" w:color="auto" w:sz="4" w:space="0"/>
            </w:tcBorders>
            <w:noWrap/>
            <w:vAlign w:val="center"/>
          </w:tcPr>
          <w:p w14:paraId="21EFEC3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20≤X＜100</w:t>
            </w:r>
          </w:p>
        </w:tc>
        <w:tc>
          <w:tcPr>
            <w:tcW w:w="1134" w:type="dxa"/>
            <w:tcBorders>
              <w:top w:val="nil"/>
              <w:left w:val="nil"/>
              <w:bottom w:val="single" w:color="auto" w:sz="4" w:space="0"/>
              <w:right w:val="single" w:color="auto" w:sz="4" w:space="0"/>
            </w:tcBorders>
            <w:noWrap/>
            <w:vAlign w:val="center"/>
          </w:tcPr>
          <w:p w14:paraId="76A526F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57BB6967">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791270C5">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6F83DAD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0EE553B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013DD44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1000≤Y＜30000</w:t>
            </w:r>
          </w:p>
        </w:tc>
        <w:tc>
          <w:tcPr>
            <w:tcW w:w="1701" w:type="dxa"/>
            <w:tcBorders>
              <w:top w:val="nil"/>
              <w:left w:val="nil"/>
              <w:bottom w:val="single" w:color="auto" w:sz="4" w:space="0"/>
              <w:right w:val="single" w:color="auto" w:sz="4" w:space="0"/>
            </w:tcBorders>
            <w:noWrap/>
            <w:vAlign w:val="center"/>
          </w:tcPr>
          <w:p w14:paraId="2694960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ign w:val="center"/>
          </w:tcPr>
          <w:p w14:paraId="632C541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5DAE7EF5">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ign w:val="bottom"/>
          </w:tcPr>
          <w:p w14:paraId="216F550F">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邮政业</w:t>
            </w:r>
          </w:p>
        </w:tc>
        <w:tc>
          <w:tcPr>
            <w:tcW w:w="1984" w:type="dxa"/>
            <w:tcBorders>
              <w:top w:val="nil"/>
              <w:left w:val="nil"/>
              <w:bottom w:val="single" w:color="auto" w:sz="4" w:space="0"/>
              <w:right w:val="single" w:color="auto" w:sz="4" w:space="0"/>
            </w:tcBorders>
            <w:noWrap/>
            <w:vAlign w:val="center"/>
          </w:tcPr>
          <w:p w14:paraId="0057783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7F529D2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1A95B75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ign w:val="center"/>
          </w:tcPr>
          <w:p w14:paraId="1EC9344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ign w:val="center"/>
          </w:tcPr>
          <w:p w14:paraId="3DFD4A2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2208755F">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2EA46DA1">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4376B41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077623D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76D08D3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2000≤Y＜30000</w:t>
            </w:r>
          </w:p>
        </w:tc>
        <w:tc>
          <w:tcPr>
            <w:tcW w:w="1701" w:type="dxa"/>
            <w:tcBorders>
              <w:top w:val="nil"/>
              <w:left w:val="nil"/>
              <w:bottom w:val="single" w:color="auto" w:sz="4" w:space="0"/>
              <w:right w:val="single" w:color="auto" w:sz="4" w:space="0"/>
            </w:tcBorders>
            <w:noWrap/>
            <w:vAlign w:val="center"/>
          </w:tcPr>
          <w:p w14:paraId="17641C3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ign w:val="center"/>
          </w:tcPr>
          <w:p w14:paraId="66E8FB3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2EDE13E2">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ign w:val="bottom"/>
          </w:tcPr>
          <w:p w14:paraId="6C8BCF15">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住宿业</w:t>
            </w:r>
          </w:p>
        </w:tc>
        <w:tc>
          <w:tcPr>
            <w:tcW w:w="1984" w:type="dxa"/>
            <w:tcBorders>
              <w:top w:val="nil"/>
              <w:left w:val="nil"/>
              <w:bottom w:val="single" w:color="auto" w:sz="4" w:space="0"/>
              <w:right w:val="single" w:color="auto" w:sz="4" w:space="0"/>
            </w:tcBorders>
            <w:noWrap/>
            <w:vAlign w:val="center"/>
          </w:tcPr>
          <w:p w14:paraId="71C04D2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15DEA21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105B7FE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ign w:val="center"/>
          </w:tcPr>
          <w:p w14:paraId="7E59991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ign w:val="center"/>
          </w:tcPr>
          <w:p w14:paraId="3A08862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17E858E2">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4C362979">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7594DB5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77C95E4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5AA49C0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701" w:type="dxa"/>
            <w:tcBorders>
              <w:top w:val="nil"/>
              <w:left w:val="nil"/>
              <w:bottom w:val="single" w:color="auto" w:sz="4" w:space="0"/>
              <w:right w:val="single" w:color="auto" w:sz="4" w:space="0"/>
            </w:tcBorders>
            <w:noWrap/>
            <w:vAlign w:val="center"/>
          </w:tcPr>
          <w:p w14:paraId="31E0E83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ign w:val="center"/>
          </w:tcPr>
          <w:p w14:paraId="2810993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410F71F0">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ign w:val="bottom"/>
          </w:tcPr>
          <w:p w14:paraId="69A6CC7A">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餐饮业</w:t>
            </w:r>
          </w:p>
        </w:tc>
        <w:tc>
          <w:tcPr>
            <w:tcW w:w="1984" w:type="dxa"/>
            <w:tcBorders>
              <w:top w:val="nil"/>
              <w:left w:val="nil"/>
              <w:bottom w:val="single" w:color="auto" w:sz="4" w:space="0"/>
              <w:right w:val="single" w:color="auto" w:sz="4" w:space="0"/>
            </w:tcBorders>
            <w:noWrap/>
            <w:vAlign w:val="center"/>
          </w:tcPr>
          <w:p w14:paraId="5363B1A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263C1B2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75C60CC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ign w:val="center"/>
          </w:tcPr>
          <w:p w14:paraId="6E0971E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ign w:val="center"/>
          </w:tcPr>
          <w:p w14:paraId="5CB0837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03A38F98">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32A1821F">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5F1A127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568294A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1C25996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701" w:type="dxa"/>
            <w:tcBorders>
              <w:top w:val="nil"/>
              <w:left w:val="nil"/>
              <w:bottom w:val="single" w:color="auto" w:sz="4" w:space="0"/>
              <w:right w:val="single" w:color="auto" w:sz="4" w:space="0"/>
            </w:tcBorders>
            <w:noWrap/>
            <w:vAlign w:val="center"/>
          </w:tcPr>
          <w:p w14:paraId="66FF153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ign w:val="center"/>
          </w:tcPr>
          <w:p w14:paraId="5A2F124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14A4D65B">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ign w:val="bottom"/>
          </w:tcPr>
          <w:p w14:paraId="2D8ACC51">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noWrap/>
            <w:vAlign w:val="center"/>
          </w:tcPr>
          <w:p w14:paraId="5A6203E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6FFF791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36236A4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100≤X＜2000</w:t>
            </w:r>
          </w:p>
        </w:tc>
        <w:tc>
          <w:tcPr>
            <w:tcW w:w="1701" w:type="dxa"/>
            <w:tcBorders>
              <w:top w:val="nil"/>
              <w:left w:val="nil"/>
              <w:bottom w:val="single" w:color="auto" w:sz="4" w:space="0"/>
              <w:right w:val="single" w:color="auto" w:sz="4" w:space="0"/>
            </w:tcBorders>
            <w:noWrap/>
            <w:vAlign w:val="center"/>
          </w:tcPr>
          <w:p w14:paraId="3A8DEB2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ign w:val="center"/>
          </w:tcPr>
          <w:p w14:paraId="7108AC2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3A7C50A7">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60177AB3">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2A08FDD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76C63ED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041CED9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1000≤Y＜100000</w:t>
            </w:r>
          </w:p>
        </w:tc>
        <w:tc>
          <w:tcPr>
            <w:tcW w:w="1701" w:type="dxa"/>
            <w:tcBorders>
              <w:top w:val="nil"/>
              <w:left w:val="nil"/>
              <w:bottom w:val="single" w:color="auto" w:sz="4" w:space="0"/>
              <w:right w:val="single" w:color="auto" w:sz="4" w:space="0"/>
            </w:tcBorders>
            <w:noWrap/>
            <w:vAlign w:val="center"/>
          </w:tcPr>
          <w:p w14:paraId="1CAB4D4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ign w:val="center"/>
          </w:tcPr>
          <w:p w14:paraId="4794E62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2C540DFD">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ign w:val="bottom"/>
          </w:tcPr>
          <w:p w14:paraId="30EE4505">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noWrap/>
            <w:vAlign w:val="center"/>
          </w:tcPr>
          <w:p w14:paraId="4600BF7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0D4FA48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797DA15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ign w:val="center"/>
          </w:tcPr>
          <w:p w14:paraId="3B724AB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ign w:val="center"/>
          </w:tcPr>
          <w:p w14:paraId="1ACF23F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442A8B20">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2B6968F1">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716104A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1AC7A6F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263192C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w:t>
            </w:r>
          </w:p>
        </w:tc>
        <w:tc>
          <w:tcPr>
            <w:tcW w:w="1701" w:type="dxa"/>
            <w:tcBorders>
              <w:top w:val="nil"/>
              <w:left w:val="nil"/>
              <w:bottom w:val="single" w:color="auto" w:sz="4" w:space="0"/>
              <w:right w:val="single" w:color="auto" w:sz="4" w:space="0"/>
            </w:tcBorders>
            <w:noWrap/>
            <w:vAlign w:val="center"/>
          </w:tcPr>
          <w:p w14:paraId="593F539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50≤Y＜1000</w:t>
            </w:r>
          </w:p>
        </w:tc>
        <w:tc>
          <w:tcPr>
            <w:tcW w:w="1134" w:type="dxa"/>
            <w:tcBorders>
              <w:top w:val="nil"/>
              <w:left w:val="nil"/>
              <w:bottom w:val="single" w:color="auto" w:sz="4" w:space="0"/>
              <w:right w:val="single" w:color="auto" w:sz="4" w:space="0"/>
            </w:tcBorders>
            <w:noWrap/>
            <w:vAlign w:val="center"/>
          </w:tcPr>
          <w:p w14:paraId="6C3946F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10CBD87A">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ign w:val="bottom"/>
          </w:tcPr>
          <w:p w14:paraId="6316B436">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noWrap/>
            <w:vAlign w:val="center"/>
          </w:tcPr>
          <w:p w14:paraId="0470DEA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3257E17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5E207E7E">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1000≤Y＜200000</w:t>
            </w:r>
          </w:p>
        </w:tc>
        <w:tc>
          <w:tcPr>
            <w:tcW w:w="1701" w:type="dxa"/>
            <w:tcBorders>
              <w:top w:val="nil"/>
              <w:left w:val="nil"/>
              <w:bottom w:val="single" w:color="auto" w:sz="4" w:space="0"/>
              <w:right w:val="single" w:color="auto" w:sz="4" w:space="0"/>
            </w:tcBorders>
            <w:noWrap/>
            <w:vAlign w:val="center"/>
          </w:tcPr>
          <w:p w14:paraId="691A85F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100≤X＜1000</w:t>
            </w:r>
          </w:p>
        </w:tc>
        <w:tc>
          <w:tcPr>
            <w:tcW w:w="1134" w:type="dxa"/>
            <w:tcBorders>
              <w:top w:val="nil"/>
              <w:left w:val="nil"/>
              <w:bottom w:val="single" w:color="auto" w:sz="4" w:space="0"/>
              <w:right w:val="single" w:color="auto" w:sz="4" w:space="0"/>
            </w:tcBorders>
            <w:noWrap/>
            <w:vAlign w:val="center"/>
          </w:tcPr>
          <w:p w14:paraId="13CD871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3BC0BA18">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0C07B951">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4AE5F68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ign w:val="center"/>
          </w:tcPr>
          <w:p w14:paraId="738618E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5E65293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5000≤Z＜10000</w:t>
            </w:r>
          </w:p>
        </w:tc>
        <w:tc>
          <w:tcPr>
            <w:tcW w:w="1701" w:type="dxa"/>
            <w:tcBorders>
              <w:top w:val="nil"/>
              <w:left w:val="nil"/>
              <w:bottom w:val="single" w:color="auto" w:sz="4" w:space="0"/>
              <w:right w:val="single" w:color="auto" w:sz="4" w:space="0"/>
            </w:tcBorders>
            <w:noWrap/>
            <w:vAlign w:val="center"/>
          </w:tcPr>
          <w:p w14:paraId="07EC1B3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2000≤Y＜5000</w:t>
            </w:r>
          </w:p>
        </w:tc>
        <w:tc>
          <w:tcPr>
            <w:tcW w:w="1134" w:type="dxa"/>
            <w:tcBorders>
              <w:top w:val="nil"/>
              <w:left w:val="nil"/>
              <w:bottom w:val="single" w:color="auto" w:sz="4" w:space="0"/>
              <w:right w:val="single" w:color="auto" w:sz="4" w:space="0"/>
            </w:tcBorders>
            <w:noWrap/>
            <w:vAlign w:val="center"/>
          </w:tcPr>
          <w:p w14:paraId="0584187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Y＜2000</w:t>
            </w:r>
          </w:p>
        </w:tc>
      </w:tr>
      <w:tr w14:paraId="640ADFB2">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ign w:val="bottom"/>
          </w:tcPr>
          <w:p w14:paraId="0E89093A">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物业管理</w:t>
            </w:r>
          </w:p>
        </w:tc>
        <w:tc>
          <w:tcPr>
            <w:tcW w:w="1984" w:type="dxa"/>
            <w:tcBorders>
              <w:top w:val="nil"/>
              <w:left w:val="nil"/>
              <w:bottom w:val="single" w:color="auto" w:sz="4" w:space="0"/>
              <w:right w:val="single" w:color="auto" w:sz="4" w:space="0"/>
            </w:tcBorders>
            <w:noWrap/>
            <w:vAlign w:val="center"/>
          </w:tcPr>
          <w:p w14:paraId="115A3AC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233D7F9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64151E4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ign w:val="center"/>
          </w:tcPr>
          <w:p w14:paraId="2D01D17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134" w:type="dxa"/>
            <w:tcBorders>
              <w:top w:val="nil"/>
              <w:left w:val="nil"/>
              <w:bottom w:val="single" w:color="auto" w:sz="4" w:space="0"/>
              <w:right w:val="single" w:color="auto" w:sz="4" w:space="0"/>
            </w:tcBorders>
            <w:noWrap/>
            <w:vAlign w:val="center"/>
          </w:tcPr>
          <w:p w14:paraId="29468809">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1E99F163">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3E8B8E79">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0190D47D">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ign w:val="center"/>
          </w:tcPr>
          <w:p w14:paraId="36B39BE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11C8417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701" w:type="dxa"/>
            <w:tcBorders>
              <w:top w:val="nil"/>
              <w:left w:val="nil"/>
              <w:bottom w:val="single" w:color="auto" w:sz="4" w:space="0"/>
              <w:right w:val="single" w:color="auto" w:sz="4" w:space="0"/>
            </w:tcBorders>
            <w:noWrap/>
            <w:vAlign w:val="center"/>
          </w:tcPr>
          <w:p w14:paraId="2B5B1BF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500≤Y＜1000</w:t>
            </w:r>
          </w:p>
        </w:tc>
        <w:tc>
          <w:tcPr>
            <w:tcW w:w="1134" w:type="dxa"/>
            <w:tcBorders>
              <w:top w:val="nil"/>
              <w:left w:val="nil"/>
              <w:bottom w:val="single" w:color="auto" w:sz="4" w:space="0"/>
              <w:right w:val="single" w:color="auto" w:sz="4" w:space="0"/>
            </w:tcBorders>
            <w:noWrap/>
            <w:vAlign w:val="center"/>
          </w:tcPr>
          <w:p w14:paraId="70BD9466">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Y＜500</w:t>
            </w:r>
          </w:p>
        </w:tc>
      </w:tr>
      <w:tr w14:paraId="7C72DC2A">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noWrap/>
            <w:vAlign w:val="bottom"/>
          </w:tcPr>
          <w:p w14:paraId="5632B504">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noWrap/>
            <w:vAlign w:val="center"/>
          </w:tcPr>
          <w:p w14:paraId="23658DB8">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43BFD8EF">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50C2D2A4">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ign w:val="center"/>
          </w:tcPr>
          <w:p w14:paraId="49165C3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ign w:val="center"/>
          </w:tcPr>
          <w:p w14:paraId="6AC7574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6F2305CA">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1BD35B0F">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ign w:val="center"/>
          </w:tcPr>
          <w:p w14:paraId="7E8EBA9A">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ign w:val="center"/>
          </w:tcPr>
          <w:p w14:paraId="2E2BF490">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ign w:val="center"/>
          </w:tcPr>
          <w:p w14:paraId="2DCDED03">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8000≤Z＜120000</w:t>
            </w:r>
          </w:p>
        </w:tc>
        <w:tc>
          <w:tcPr>
            <w:tcW w:w="1701" w:type="dxa"/>
            <w:tcBorders>
              <w:top w:val="nil"/>
              <w:left w:val="nil"/>
              <w:bottom w:val="single" w:color="auto" w:sz="4" w:space="0"/>
              <w:right w:val="single" w:color="auto" w:sz="4" w:space="0"/>
            </w:tcBorders>
            <w:noWrap/>
            <w:vAlign w:val="center"/>
          </w:tcPr>
          <w:p w14:paraId="4FE64A0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100≤Z＜8000</w:t>
            </w:r>
          </w:p>
        </w:tc>
        <w:tc>
          <w:tcPr>
            <w:tcW w:w="1134" w:type="dxa"/>
            <w:tcBorders>
              <w:top w:val="nil"/>
              <w:left w:val="nil"/>
              <w:bottom w:val="single" w:color="auto" w:sz="4" w:space="0"/>
              <w:right w:val="single" w:color="auto" w:sz="4" w:space="0"/>
            </w:tcBorders>
            <w:noWrap/>
            <w:vAlign w:val="center"/>
          </w:tcPr>
          <w:p w14:paraId="19A0E761">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004F7550">
        <w:tblPrEx>
          <w:tblCellMar>
            <w:top w:w="0" w:type="dxa"/>
            <w:left w:w="108" w:type="dxa"/>
            <w:bottom w:w="0" w:type="dxa"/>
            <w:right w:w="108" w:type="dxa"/>
          </w:tblCellMar>
        </w:tblPrEx>
        <w:trPr>
          <w:trHeight w:val="225" w:hRule="atLeast"/>
          <w:jc w:val="center"/>
        </w:trPr>
        <w:tc>
          <w:tcPr>
            <w:tcW w:w="1985" w:type="dxa"/>
            <w:tcBorders>
              <w:top w:val="nil"/>
              <w:left w:val="single" w:color="auto" w:sz="4" w:space="0"/>
              <w:bottom w:val="single" w:color="auto" w:sz="4" w:space="0"/>
              <w:right w:val="single" w:color="auto" w:sz="4" w:space="0"/>
            </w:tcBorders>
            <w:noWrap/>
            <w:vAlign w:val="bottom"/>
          </w:tcPr>
          <w:p w14:paraId="159413FE">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noWrap/>
            <w:vAlign w:val="center"/>
          </w:tcPr>
          <w:p w14:paraId="72724F8B">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ign w:val="center"/>
          </w:tcPr>
          <w:p w14:paraId="1DFEB7C7">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ign w:val="center"/>
          </w:tcPr>
          <w:p w14:paraId="261FA5E2">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ign w:val="center"/>
          </w:tcPr>
          <w:p w14:paraId="6EA908FC">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ign w:val="center"/>
          </w:tcPr>
          <w:p w14:paraId="7E0CA8A5">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bl>
    <w:p w14:paraId="1DBE6F48">
      <w:pPr>
        <w:spacing w:line="560" w:lineRule="exact"/>
        <w:ind w:firstLine="525" w:firstLineChars="250"/>
        <w:rPr>
          <w:rFonts w:ascii="宋体" w:hAnsi="宋体"/>
          <w:color w:val="auto"/>
          <w:kern w:val="0"/>
          <w:sz w:val="20"/>
          <w:szCs w:val="21"/>
          <w:highlight w:val="none"/>
        </w:rPr>
        <w:sectPr>
          <w:pgSz w:w="11906" w:h="16838"/>
          <w:pgMar w:top="1134" w:right="1134" w:bottom="1134" w:left="1134" w:header="720" w:footer="720" w:gutter="0"/>
          <w:cols w:space="720" w:num="1"/>
          <w:docGrid w:type="lines" w:linePitch="331" w:charSpace="0"/>
        </w:sectPr>
      </w:pPr>
      <w:r>
        <w:rPr>
          <w:rFonts w:hint="eastAsia" w:ascii="仿宋_GB2312" w:hAnsi="仿宋" w:eastAsia="仿宋_GB2312"/>
          <w:color w:val="auto"/>
          <w:szCs w:val="21"/>
          <w:highlight w:val="none"/>
        </w:rPr>
        <w:t>说明：上述标准</w:t>
      </w:r>
      <w:r>
        <w:rPr>
          <w:rFonts w:hint="eastAsia" w:ascii="仿宋_GB2312" w:hAnsi="仿宋" w:eastAsia="仿宋_GB2312"/>
          <w:color w:val="auto"/>
          <w:szCs w:val="21"/>
          <w:highlight w:val="none"/>
          <w:lang w:val="en-US" w:eastAsia="zh-CN"/>
        </w:rPr>
        <w:t>按</w:t>
      </w:r>
      <w:r>
        <w:rPr>
          <w:rFonts w:hint="eastAsia" w:ascii="仿宋_GB2312" w:hAnsi="仿宋" w:eastAsia="仿宋_GB2312"/>
          <w:color w:val="auto"/>
          <w:szCs w:val="21"/>
          <w:highlight w:val="none"/>
        </w:rPr>
        <w:t>照《关于印发中小企业划型标准规定的通知》（工信部联企业[2011]300号），大型、中型和小型企业须同时满足所列指标的下限，否则下划一档；微型企业只须满足所列指标中的一项即可。</w:t>
      </w:r>
    </w:p>
    <w:p w14:paraId="4B34DB8F">
      <w:pPr>
        <w:pStyle w:val="19"/>
        <w:numPr>
          <w:ilvl w:val="0"/>
          <w:numId w:val="0"/>
        </w:numPr>
        <w:jc w:val="center"/>
        <w:rPr>
          <w:rFonts w:hint="eastAsia"/>
          <w:color w:val="auto"/>
          <w:highlight w:val="none"/>
        </w:rPr>
      </w:pPr>
      <w:r>
        <w:rPr>
          <w:rFonts w:hint="eastAsia"/>
          <w:color w:val="auto"/>
          <w:highlight w:val="none"/>
        </w:rPr>
        <w:t>第四章  评审程序、评审方法和评审标准</w:t>
      </w:r>
    </w:p>
    <w:p w14:paraId="584243D0">
      <w:pPr>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一、评审程序和评审方法</w:t>
      </w:r>
    </w:p>
    <w:p w14:paraId="7CB8A0C3">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1</w:t>
      </w:r>
      <w:r>
        <w:rPr>
          <w:rFonts w:hint="eastAsia" w:ascii="黑体" w:hAnsi="黑体" w:eastAsia="黑体" w:cs="宋体"/>
          <w:b/>
          <w:bCs/>
          <w:color w:val="auto"/>
          <w:sz w:val="24"/>
          <w:highlight w:val="none"/>
        </w:rPr>
        <w:t>.资格审查</w:t>
      </w:r>
    </w:p>
    <w:p w14:paraId="78A4983A">
      <w:pPr>
        <w:spacing w:line="360" w:lineRule="auto"/>
        <w:ind w:firstLine="420" w:firstLineChars="200"/>
        <w:rPr>
          <w:rFonts w:ascii="宋体" w:hAnsi="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.1</w:t>
      </w:r>
      <w:r>
        <w:rPr>
          <w:rFonts w:hint="eastAsia" w:ascii="宋体" w:hAnsi="宋体"/>
          <w:color w:val="auto"/>
          <w:szCs w:val="21"/>
          <w:highlight w:val="none"/>
        </w:rPr>
        <w:t>响应文件开启后，磋商小组依法对供应商的资格证明文件进行审查。</w:t>
      </w:r>
    </w:p>
    <w:p w14:paraId="4819273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w:t>
      </w:r>
      <w:r>
        <w:rPr>
          <w:rFonts w:hint="eastAsia"/>
          <w:color w:val="auto"/>
          <w:highlight w:val="none"/>
        </w:rPr>
        <w:t>磋商小组</w:t>
      </w:r>
      <w:r>
        <w:rPr>
          <w:rFonts w:hint="eastAsia" w:ascii="宋体" w:hAnsi="宋体" w:cs="宋体"/>
          <w:color w:val="auto"/>
          <w:szCs w:val="21"/>
          <w:highlight w:val="none"/>
        </w:rPr>
        <w:t>在资格审查结束前，对供应商进行信用查询。</w:t>
      </w:r>
    </w:p>
    <w:p w14:paraId="2D799BD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（1）查询渠道：</w:t>
      </w:r>
      <w:r>
        <w:rPr>
          <w:rFonts w:ascii="宋体" w:hAnsi="宋体" w:cs="宋体"/>
          <w:color w:val="auto"/>
          <w:szCs w:val="21"/>
          <w:highlight w:val="none"/>
        </w:rPr>
        <w:t>广西政府采购云平台</w:t>
      </w:r>
      <w:r>
        <w:rPr>
          <w:rFonts w:hint="eastAsia" w:ascii="宋体" w:hAnsi="宋体" w:cs="宋体"/>
          <w:color w:val="auto"/>
          <w:szCs w:val="21"/>
          <w:highlight w:val="none"/>
        </w:rPr>
        <w:t>“信用中国”网站(www.creditchina.gov.cn)、中国政府采购网(www.ccgp.gov.cn)链接入口。</w:t>
      </w:r>
    </w:p>
    <w:p w14:paraId="14CB90B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0AD8346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（3）查询记录和证据留存方式：在查询网站中直接查询，截图另存为电子文档作为评审资料保存。</w:t>
      </w:r>
    </w:p>
    <w:p w14:paraId="5F13AFE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w:t>
      </w:r>
    </w:p>
    <w:p w14:paraId="658886D5">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.2资格审查标准为本磋商文件中载明对供应商资格要求的条件。资格审查采用合格制，凡符合磋商文件规定的供应商资格要求的响应文件均通过资格审查。</w:t>
      </w:r>
    </w:p>
    <w:p w14:paraId="7E2BE052">
      <w:pPr>
        <w:spacing w:line="360" w:lineRule="auto"/>
        <w:ind w:firstLine="422" w:firstLineChars="200"/>
        <w:rPr>
          <w:rFonts w:hint="eastAsia" w:ascii="宋体" w:hAnsi="宋体" w:cs="宋体"/>
          <w:b/>
          <w:bCs/>
          <w:color w:val="auto"/>
          <w:szCs w:val="21"/>
          <w:highlight w:val="none"/>
        </w:rPr>
      </w:pPr>
      <w:r>
        <w:rPr>
          <w:rFonts w:ascii="宋体" w:hAnsi="宋体" w:cs="宋体"/>
          <w:b/>
          <w:bCs/>
          <w:color w:val="auto"/>
          <w:szCs w:val="21"/>
          <w:highlight w:val="none"/>
        </w:rPr>
        <w:t>1</w:t>
      </w:r>
      <w:r>
        <w:rPr>
          <w:rFonts w:hint="eastAsia" w:ascii="宋体" w:hAnsi="宋体" w:cs="宋体"/>
          <w:b/>
          <w:bCs/>
          <w:color w:val="auto"/>
          <w:szCs w:val="21"/>
          <w:highlight w:val="none"/>
        </w:rPr>
        <w:t>.3供应商有下列情形之一的，资格审查不通过，其响应文件按无效响应处理：</w:t>
      </w:r>
    </w:p>
    <w:p w14:paraId="5493A77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）不具备磋商文件中规定的资格要求的；</w:t>
      </w:r>
    </w:p>
    <w:p w14:paraId="7337FC8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（2）未按磋商文件规定的方式获取本磋商文件的供应商；</w:t>
      </w:r>
    </w:p>
    <w:p w14:paraId="7C9EDD9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）响应文件的资格证明文件缺少任一项“供应商须知前附表”资格证明文件规定的“必须提供”的文件资料的；</w:t>
      </w:r>
    </w:p>
    <w:p w14:paraId="282B56A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）响应文件中的资格证明文件出现任一项不符合“供应商须知前附表”资格证明文件规定的“必须提供”的文件资料要求或者无效的；</w:t>
      </w:r>
    </w:p>
    <w:p w14:paraId="492541E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）同一合同项下的不同供应商，单位负责人为同一人或者存在直接控股、管理关系的；为本项目提供过整体设计、规范编制或者项目管理、监理、检测等服务的供应商，再参加该采购项目的其他采购活动的。</w:t>
      </w:r>
    </w:p>
    <w:p w14:paraId="6CF27935">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.4通过资格审查的合格供应商不足3家的，不得进入符合性审查环节，</w:t>
      </w:r>
      <w:r>
        <w:rPr>
          <w:rFonts w:hint="eastAsia" w:ascii="宋体" w:hAnsi="宋体"/>
          <w:color w:val="auto"/>
          <w:szCs w:val="21"/>
          <w:highlight w:val="none"/>
        </w:rPr>
        <w:t>采购人或者采购代理机构应当重新开展采购活动。</w:t>
      </w:r>
    </w:p>
    <w:p w14:paraId="50C1304B">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rPr>
        <w:t>.符合性审查</w:t>
      </w:r>
    </w:p>
    <w:p w14:paraId="354E7FD4">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2.1</w:t>
      </w:r>
      <w:r>
        <w:rPr>
          <w:rFonts w:hint="eastAsia" w:ascii="宋体" w:hAnsi="宋体" w:cs="宋体"/>
          <w:color w:val="auto"/>
          <w:szCs w:val="21"/>
          <w:highlight w:val="none"/>
        </w:rPr>
        <w:t>由磋商小组对</w:t>
      </w:r>
      <w:r>
        <w:rPr>
          <w:rFonts w:hint="eastAsia" w:ascii="宋体" w:hAnsi="宋体"/>
          <w:color w:val="auto"/>
          <w:szCs w:val="21"/>
          <w:highlight w:val="none"/>
        </w:rPr>
        <w:t>通过资格审查的合格供应商</w:t>
      </w:r>
      <w:r>
        <w:rPr>
          <w:rFonts w:hint="eastAsia" w:ascii="宋体" w:hAnsi="宋体" w:cs="宋体"/>
          <w:color w:val="auto"/>
          <w:szCs w:val="21"/>
          <w:highlight w:val="none"/>
        </w:rPr>
        <w:t>的响应文件的竞标报价、商务、技术等实质性要求进行符合性审查，以确定其是否满足磋商文件的实质性要求。</w:t>
      </w:r>
    </w:p>
    <w:p w14:paraId="75B08CE2">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2.2</w:t>
      </w:r>
      <w:r>
        <w:rPr>
          <w:rFonts w:hint="eastAsia" w:ascii="宋体" w:hAnsi="宋体" w:cs="宋体"/>
          <w:color w:val="auto"/>
          <w:szCs w:val="21"/>
          <w:highlight w:val="none"/>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E36D841">
      <w:pPr>
        <w:spacing w:line="360" w:lineRule="auto"/>
        <w:ind w:firstLine="420" w:firstLineChars="200"/>
        <w:rPr>
          <w:rFonts w:hint="eastAsia" w:ascii="宋体" w:hAnsi="宋体" w:cs="宋体"/>
          <w:color w:val="auto"/>
          <w:spacing w:val="-6"/>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w:t>
      </w:r>
      <w:r>
        <w:rPr>
          <w:rFonts w:hint="eastAsia" w:hAnsi="宋体"/>
          <w:color w:val="auto"/>
          <w:highlight w:val="none"/>
        </w:rPr>
        <w:t>签章</w:t>
      </w:r>
      <w:r>
        <w:rPr>
          <w:rFonts w:hint="eastAsia" w:ascii="宋体" w:hAnsi="宋体" w:cs="宋体"/>
          <w:color w:val="auto"/>
          <w:spacing w:val="-6"/>
          <w:szCs w:val="21"/>
          <w:highlight w:val="none"/>
        </w:rPr>
        <w:t>。</w:t>
      </w:r>
    </w:p>
    <w:p w14:paraId="72ED00EF">
      <w:pPr>
        <w:spacing w:line="360" w:lineRule="auto"/>
        <w:ind w:firstLine="420" w:firstLineChars="200"/>
        <w:rPr>
          <w:rFonts w:ascii="宋体" w:hAnsi="宋体" w:cs="宋体"/>
          <w:color w:val="auto"/>
          <w:spacing w:val="-6"/>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14:paraId="48893951">
      <w:pPr>
        <w:spacing w:line="360" w:lineRule="auto"/>
        <w:ind w:firstLine="396" w:firstLineChars="200"/>
        <w:rPr>
          <w:rFonts w:hint="eastAsia" w:ascii="宋体" w:hAnsi="宋体" w:cs="宋体"/>
          <w:color w:val="auto"/>
          <w:szCs w:val="21"/>
          <w:highlight w:val="none"/>
        </w:rPr>
      </w:pPr>
      <w:r>
        <w:rPr>
          <w:rFonts w:ascii="宋体" w:hAnsi="宋体" w:cs="宋体"/>
          <w:color w:val="auto"/>
          <w:spacing w:val="-6"/>
          <w:szCs w:val="21"/>
          <w:highlight w:val="none"/>
        </w:rPr>
        <w:t>2.4</w:t>
      </w:r>
      <w:r>
        <w:rPr>
          <w:rFonts w:hint="eastAsia" w:ascii="宋体" w:hAnsi="宋体" w:cs="宋体"/>
          <w:color w:val="auto"/>
          <w:szCs w:val="21"/>
          <w:highlight w:val="none"/>
        </w:rPr>
        <w:t xml:space="preserve">首次响应文件报价出现前后不一致的，按照下列规定修正： </w:t>
      </w:r>
    </w:p>
    <w:p w14:paraId="5E9498B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41F40D2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15F7EB6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16425F7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62648457">
      <w:pPr>
        <w:spacing w:line="360" w:lineRule="auto"/>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w:t>
      </w:r>
      <w:r>
        <w:rPr>
          <w:rFonts w:hint="eastAsia" w:ascii="宋体" w:hAnsi="宋体" w:cs="宋体"/>
          <w:b/>
          <w:bCs/>
          <w:color w:val="auto"/>
          <w:szCs w:val="21"/>
          <w:highlight w:val="none"/>
        </w:rPr>
        <w:t>其响应文件按无效响应处理。</w:t>
      </w:r>
    </w:p>
    <w:p w14:paraId="150C46D9">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商务技术报价评审</w:t>
      </w:r>
    </w:p>
    <w:p w14:paraId="17CD3BC1">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在评审时，如发现下列情形之一的，将被视为响应文件无效处理：</w:t>
      </w:r>
    </w:p>
    <w:p w14:paraId="2A267F5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（1）商务技术评审</w:t>
      </w:r>
    </w:p>
    <w:p w14:paraId="44F27B2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1）响应文件未按磋商文件要求签署、盖章；</w:t>
      </w:r>
    </w:p>
    <w:p w14:paraId="42FB25F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2）委托代理人未能出具有效身份证或者出具的身份证与授权委托书中的信息不符的； </w:t>
      </w:r>
    </w:p>
    <w:p w14:paraId="13BA9F7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1044957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4）商务要求允许负偏离的条款数超过“供应商须知前附表”规定项数的；</w:t>
      </w:r>
    </w:p>
    <w:p w14:paraId="7956913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5）未对竞标有效期作出响应或者响应文件承诺的竞标有效期不满足磋商文件要求；</w:t>
      </w:r>
    </w:p>
    <w:p w14:paraId="2520381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6）响应文件的实质性内容未使用中文表述、使用计量单位不符合磋商文件要求；</w:t>
      </w:r>
    </w:p>
    <w:p w14:paraId="2403E2D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7）响应文件中的文件资料因填写不齐全或者内容虚假或者出现其他情形而导致被磋商小组认定无效；</w:t>
      </w:r>
    </w:p>
    <w:p w14:paraId="150D712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8）响应文件含有采购人不能接受的附加条件；</w:t>
      </w:r>
    </w:p>
    <w:p w14:paraId="7AEA79B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9）属于“供应商须知正文”第7.</w:t>
      </w:r>
      <w:r>
        <w:rPr>
          <w:rFonts w:ascii="宋体" w:hAnsi="宋体" w:cs="宋体"/>
          <w:color w:val="auto"/>
          <w:szCs w:val="21"/>
          <w:highlight w:val="none"/>
        </w:rPr>
        <w:t>5</w:t>
      </w:r>
      <w:r>
        <w:rPr>
          <w:rFonts w:hint="eastAsia" w:ascii="宋体" w:hAnsi="宋体" w:cs="宋体"/>
          <w:color w:val="auto"/>
          <w:szCs w:val="21"/>
          <w:highlight w:val="none"/>
        </w:rPr>
        <w:t>条情形；</w:t>
      </w:r>
    </w:p>
    <w:p w14:paraId="52F7EC1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10）技术要求允许负偏离的条款数超过“供应商须知前附表”规定项数；</w:t>
      </w:r>
    </w:p>
    <w:p w14:paraId="51AFD25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11）虚假竞标，或者出现其他情形而导致被磋商小组认定无效；</w:t>
      </w:r>
    </w:p>
    <w:p w14:paraId="3141F72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12）磋商文件未载明允许提供备选（替代）竞标方案或明确不允许提供备选（替代）竞标方案时，供应商提供了备选（替代）竞标方案的；</w:t>
      </w:r>
    </w:p>
    <w:p w14:paraId="63DFB98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13）响应文件标注的项目名称或者项目编号与磋商文件标注的项目名称或者项目编号不一致的；</w:t>
      </w:r>
    </w:p>
    <w:p w14:paraId="68013B2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w:t>
      </w:r>
      <w:r>
        <w:rPr>
          <w:rFonts w:hint="eastAsia" w:ascii="宋体" w:hAnsi="宋体"/>
          <w:b/>
          <w:color w:val="auto"/>
          <w:szCs w:val="21"/>
          <w:highlight w:val="none"/>
        </w:rPr>
        <w:t>竞争性磋商文件明确不允许分包，响应文件拟分包的；</w:t>
      </w:r>
    </w:p>
    <w:p w14:paraId="6248F32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15）未响应磋商文件实质性要求；</w:t>
      </w:r>
    </w:p>
    <w:p w14:paraId="4C0D9B1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16）法律、法规和磋商文件规定的其他无效情形。</w:t>
      </w:r>
    </w:p>
    <w:p w14:paraId="7878501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）报价评审</w:t>
      </w:r>
    </w:p>
    <w:p w14:paraId="293F0CB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 xml:space="preserve"> </w:t>
      </w:r>
      <w:r>
        <w:rPr>
          <w:rFonts w:hint="eastAsia" w:ascii="宋体" w:hAnsi="宋体" w:cs="宋体"/>
          <w:color w:val="auto"/>
          <w:szCs w:val="21"/>
          <w:highlight w:val="none"/>
        </w:rPr>
        <w:t>响应文件未提供“供应商须知前附表” 报价文件中规定的“竞标报价表”；</w:t>
      </w:r>
    </w:p>
    <w:p w14:paraId="41A9A11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2）未采用</w:t>
      </w:r>
      <w:r>
        <w:rPr>
          <w:rFonts w:hint="eastAsia" w:ascii="宋体" w:hAnsi="宋体" w:cs="宋体"/>
          <w:color w:val="auto"/>
          <w:szCs w:val="21"/>
          <w:highlight w:val="none"/>
          <w:lang w:val="en-US" w:eastAsia="zh-CN"/>
        </w:rPr>
        <w:t>下浮</w:t>
      </w:r>
      <w:r>
        <w:rPr>
          <w:rFonts w:hint="eastAsia" w:ascii="宋体" w:hAnsi="宋体" w:cs="宋体"/>
          <w:color w:val="auto"/>
          <w:szCs w:val="21"/>
          <w:highlight w:val="none"/>
          <w:lang w:eastAsia="zh-CN"/>
        </w:rPr>
        <w:t>系数</w:t>
      </w:r>
      <w:r>
        <w:rPr>
          <w:rFonts w:hint="eastAsia" w:ascii="宋体" w:hAnsi="宋体" w:cs="宋体"/>
          <w:color w:val="auto"/>
          <w:szCs w:val="21"/>
          <w:highlight w:val="none"/>
        </w:rPr>
        <w:t>报价；</w:t>
      </w:r>
    </w:p>
    <w:p w14:paraId="0F2CC66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未就所竞标项目进行报价或者存在漏项报价；供应商未就所竞标项目内容作唯一报价；供应商未就所竞标项目的全部内容作完整唯一总价报价；供应商响应文件中存在有选择、有条件报价的（磋商文件允许有备选方案或者其他约定的除外）；</w:t>
      </w:r>
    </w:p>
    <w:p w14:paraId="691F6FE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竞标报价（包含首次报价、最后报价）超过所竞标项目规定的采购预算金额或者最高限价的（如本项目公布了最高限价）；竞标报价（包含首次报价、最后报价）超过磋商文件采购预算金额或者最高限价的（如本项目公布了最高限价）；</w:t>
      </w:r>
    </w:p>
    <w:p w14:paraId="252E56F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竞标报价（包含首次报价、最后报价）超过所竞标项目规定的采购预算金额或者最高限价（如本项目公布了最高限价）；或者经供应商确认修正后竞标</w:t>
      </w:r>
      <w:r>
        <w:rPr>
          <w:rFonts w:hint="eastAsia" w:ascii="宋体" w:hAnsi="宋体" w:cs="宋体"/>
          <w:color w:val="auto"/>
          <w:szCs w:val="21"/>
          <w:highlight w:val="none"/>
          <w:lang w:val="en-US" w:eastAsia="zh-CN"/>
        </w:rPr>
        <w:t>下浮</w:t>
      </w:r>
      <w:r>
        <w:rPr>
          <w:rFonts w:hint="eastAsia" w:ascii="宋体" w:hAnsi="宋体" w:cs="宋体"/>
          <w:color w:val="auto"/>
          <w:szCs w:val="21"/>
          <w:highlight w:val="none"/>
          <w:lang w:eastAsia="zh-CN"/>
        </w:rPr>
        <w:t>系数</w:t>
      </w:r>
      <w:r>
        <w:rPr>
          <w:rFonts w:hint="eastAsia" w:ascii="宋体" w:hAnsi="宋体" w:cs="宋体"/>
          <w:color w:val="auto"/>
          <w:szCs w:val="21"/>
          <w:highlight w:val="none"/>
        </w:rPr>
        <w:t>报价（包含首次报价、最后报价）超过磋商文件采购预算金额或者最高限价的（如本项目公布了最高限价）。</w:t>
      </w:r>
    </w:p>
    <w:p w14:paraId="1D85ACB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olor w:val="auto"/>
          <w:szCs w:val="21"/>
          <w:highlight w:val="none"/>
        </w:rPr>
        <w:t>响应文件响应的标的数量及单位与竞争性磋商采购文件要求实质性不一致的。</w:t>
      </w:r>
    </w:p>
    <w:p w14:paraId="12ACFD5E">
      <w:pPr>
        <w:spacing w:line="360" w:lineRule="auto"/>
        <w:ind w:firstLine="422" w:firstLineChars="200"/>
        <w:rPr>
          <w:rFonts w:hint="eastAsia" w:ascii="宋体" w:hAnsi="宋体" w:cs="宋体"/>
          <w:color w:val="auto"/>
          <w:szCs w:val="21"/>
          <w:highlight w:val="none"/>
        </w:rPr>
      </w:pPr>
      <w:r>
        <w:rPr>
          <w:rFonts w:ascii="宋体" w:hAnsi="宋体" w:cs="宋体"/>
          <w:b/>
          <w:bCs/>
          <w:color w:val="auto"/>
          <w:szCs w:val="21"/>
          <w:highlight w:val="none"/>
        </w:rPr>
        <w:t>2.6</w:t>
      </w:r>
      <w:r>
        <w:rPr>
          <w:rFonts w:hint="eastAsia" w:ascii="宋体" w:hAnsi="宋体" w:cs="宋体"/>
          <w:b/>
          <w:bCs/>
          <w:color w:val="auto"/>
          <w:szCs w:val="21"/>
          <w:highlight w:val="none"/>
        </w:rPr>
        <w:t>磋商小组对响应文件进行评审，未实质性响应磋商文件的响应文件按无效处理，</w:t>
      </w:r>
      <w:r>
        <w:rPr>
          <w:rFonts w:hint="eastAsia" w:ascii="宋体" w:hAnsi="宋体" w:cs="宋体"/>
          <w:color w:val="auto"/>
          <w:szCs w:val="21"/>
          <w:highlight w:val="none"/>
        </w:rPr>
        <w:t>磋商小组应当将资格和符合性不通过的情况告知有关供应商。磋商小组从符合磋商文件规定的相应资格条件的供应商名单中确定不少于3家的供应商参加磋商。</w:t>
      </w:r>
    </w:p>
    <w:p w14:paraId="0F9165D5">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2.7</w:t>
      </w:r>
      <w:r>
        <w:rPr>
          <w:rFonts w:hint="eastAsia" w:ascii="宋体" w:hAnsi="宋体"/>
          <w:color w:val="auto"/>
          <w:szCs w:val="21"/>
          <w:highlight w:val="none"/>
        </w:rPr>
        <w:t>通过符合性审查的合格供应商不足3家的，不得进入磋商环节，采购人或者采购代理机构应当重新开展采购活动。</w:t>
      </w:r>
    </w:p>
    <w:p w14:paraId="7F7A7D8C">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w:t>
      </w:r>
      <w:r>
        <w:rPr>
          <w:rFonts w:hint="eastAsia" w:ascii="黑体" w:hAnsi="黑体" w:eastAsia="黑体" w:cs="宋体"/>
          <w:b/>
          <w:bCs/>
          <w:color w:val="auto"/>
          <w:sz w:val="24"/>
          <w:highlight w:val="none"/>
        </w:rPr>
        <w:t>.磋商程序</w:t>
      </w:r>
    </w:p>
    <w:p w14:paraId="7FE5F389">
      <w:pPr>
        <w:spacing w:line="360" w:lineRule="auto"/>
        <w:ind w:firstLine="420" w:firstLineChars="200"/>
        <w:rPr>
          <w:rFonts w:hint="eastAsia" w:ascii="宋体" w:hAnsi="宋体" w:cs="宋体"/>
          <w:b/>
          <w:bCs/>
          <w:color w:val="auto"/>
          <w:kern w:val="0"/>
          <w:szCs w:val="21"/>
          <w:highlight w:val="none"/>
        </w:rPr>
      </w:pPr>
      <w:r>
        <w:rPr>
          <w:rFonts w:hint="eastAsia" w:ascii="宋体" w:hAnsi="宋体" w:cs="宋体"/>
          <w:color w:val="auto"/>
          <w:kern w:val="0"/>
          <w:szCs w:val="21"/>
          <w:highlight w:val="none"/>
        </w:rPr>
        <w:t>3</w:t>
      </w:r>
      <w:r>
        <w:rPr>
          <w:rFonts w:ascii="宋体" w:hAnsi="宋体" w:cs="宋体"/>
          <w:color w:val="auto"/>
          <w:kern w:val="0"/>
          <w:szCs w:val="21"/>
          <w:highlight w:val="none"/>
        </w:rPr>
        <w:t>.1</w:t>
      </w:r>
      <w:r>
        <w:rPr>
          <w:rFonts w:hint="eastAsia" w:ascii="宋体" w:hAnsi="宋体" w:cs="宋体"/>
          <w:color w:val="auto"/>
          <w:kern w:val="0"/>
          <w:szCs w:val="21"/>
          <w:highlight w:val="none"/>
        </w:rPr>
        <w:t>磋商小组</w:t>
      </w:r>
      <w:r>
        <w:rPr>
          <w:rFonts w:hint="eastAsia" w:ascii="宋体" w:hAnsi="宋体" w:cs="宋体"/>
          <w:color w:val="auto"/>
          <w:szCs w:val="21"/>
          <w:highlight w:val="none"/>
        </w:rPr>
        <w:t>集中与单一供应商分别进行磋商，并给予所有参加磋商的供应商平等的磋商机会。符合磋商资格的供应商必须在接到磋商通知后规定时间内参加磋商，未在规定时间内参加磋商的视同放弃参加磋商权利，</w:t>
      </w:r>
      <w:r>
        <w:rPr>
          <w:rFonts w:hint="eastAsia" w:ascii="宋体" w:hAnsi="宋体" w:cs="宋体"/>
          <w:b/>
          <w:bCs/>
          <w:color w:val="auto"/>
          <w:szCs w:val="21"/>
          <w:highlight w:val="none"/>
        </w:rPr>
        <w:t>其响应文件按无效响应处理。</w:t>
      </w:r>
    </w:p>
    <w:p w14:paraId="4DEAD118">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78A8C4BF">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3.3</w:t>
      </w:r>
      <w:r>
        <w:rPr>
          <w:rFonts w:hint="eastAsia" w:ascii="宋体" w:hAnsi="宋体" w:cs="宋体"/>
          <w:color w:val="auto"/>
          <w:szCs w:val="21"/>
          <w:highlight w:val="none"/>
        </w:rPr>
        <w:t>对磋商文件作出的实质性变动是磋商文件的有效组成部分，由磋商小组及时以电子澄清函形式同时通知所有参加磋商的供应商。</w:t>
      </w:r>
    </w:p>
    <w:p w14:paraId="3AF3715B">
      <w:pPr>
        <w:spacing w:line="360" w:lineRule="auto"/>
        <w:ind w:firstLine="420" w:firstLineChars="200"/>
        <w:rPr>
          <w:rFonts w:hint="eastAsia" w:ascii="宋体" w:hAnsi="宋体" w:cs="宋体"/>
          <w:b/>
          <w:bCs/>
          <w:color w:val="auto"/>
          <w:szCs w:val="21"/>
          <w:highlight w:val="none"/>
        </w:rPr>
      </w:pPr>
      <w:r>
        <w:rPr>
          <w:rFonts w:ascii="宋体" w:hAnsi="宋体" w:cs="宋体"/>
          <w:color w:val="auto"/>
          <w:szCs w:val="21"/>
          <w:highlight w:val="none"/>
        </w:rPr>
        <w:t>3.4</w:t>
      </w:r>
      <w:r>
        <w:rPr>
          <w:rFonts w:hint="eastAsia" w:ascii="宋体" w:hAnsi="宋体" w:cs="宋体"/>
          <w:color w:val="auto"/>
          <w:szCs w:val="21"/>
          <w:highlight w:val="none"/>
        </w:rPr>
        <w:t>供应商必须按照磋商文件的变动情况和磋商小组的要求以回函的形式重新提交响应文件，并加盖电子签章。参加磋商的供应商未在规定时间内重新提交响应文件的，视同退出磋商，</w:t>
      </w:r>
      <w:r>
        <w:rPr>
          <w:rFonts w:hint="eastAsia" w:ascii="宋体" w:hAnsi="宋体" w:cs="宋体"/>
          <w:b/>
          <w:bCs/>
          <w:color w:val="auto"/>
          <w:szCs w:val="21"/>
          <w:highlight w:val="none"/>
        </w:rPr>
        <w:t>其响应文件按无效处理。</w:t>
      </w:r>
    </w:p>
    <w:p w14:paraId="42E20A8B">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3.5</w:t>
      </w:r>
      <w:r>
        <w:rPr>
          <w:rFonts w:hint="eastAsia" w:ascii="宋体" w:hAnsi="宋体" w:cs="宋体"/>
          <w:color w:val="auto"/>
          <w:szCs w:val="21"/>
          <w:highlight w:val="none"/>
        </w:rPr>
        <w:t>磋商中，</w:t>
      </w:r>
      <w:r>
        <w:rPr>
          <w:rFonts w:hint="eastAsia" w:ascii="宋体" w:hAnsi="宋体" w:cs="宋体"/>
          <w:color w:val="auto"/>
          <w:spacing w:val="-6"/>
          <w:szCs w:val="21"/>
          <w:highlight w:val="none"/>
        </w:rPr>
        <w:t>磋商的任何一方不得透露与磋商有关的其他供应商的技术资料、价格和其他信息。</w:t>
      </w:r>
    </w:p>
    <w:p w14:paraId="27A72C9B">
      <w:pPr>
        <w:widowControl/>
        <w:tabs>
          <w:tab w:val="left" w:pos="540"/>
        </w:tabs>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3.6</w:t>
      </w:r>
      <w:r>
        <w:rPr>
          <w:rFonts w:hint="eastAsia" w:ascii="宋体" w:hAnsi="宋体" w:cs="宋体"/>
          <w:color w:val="auto"/>
          <w:szCs w:val="21"/>
          <w:highlight w:val="none"/>
        </w:rPr>
        <w:t>采购代理机构对磋商过程和重要磋商内容进行记录。</w:t>
      </w:r>
    </w:p>
    <w:p w14:paraId="44EBD527">
      <w:pPr>
        <w:widowControl/>
        <w:tabs>
          <w:tab w:val="left" w:pos="54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.7</w:t>
      </w:r>
      <w:r>
        <w:rPr>
          <w:color w:val="auto"/>
          <w:highlight w:val="none"/>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7EB0858A">
      <w:pPr>
        <w:tabs>
          <w:tab w:val="left" w:pos="2835"/>
        </w:tabs>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3.8除</w:t>
      </w:r>
      <w:r>
        <w:rPr>
          <w:color w:val="auto"/>
          <w:highlight w:val="none"/>
        </w:rPr>
        <w:t>本章第3.7条情形</w:t>
      </w:r>
      <w:r>
        <w:rPr>
          <w:rFonts w:hint="eastAsia"/>
          <w:color w:val="auto"/>
          <w:highlight w:val="none"/>
        </w:rPr>
        <w:t>外，</w:t>
      </w:r>
      <w:r>
        <w:rPr>
          <w:rFonts w:hint="eastAsia" w:ascii="宋体" w:hAnsi="宋体"/>
          <w:color w:val="auto"/>
          <w:szCs w:val="21"/>
          <w:highlight w:val="none"/>
        </w:rPr>
        <w:t>对磋商过程提交的响应文件进行有效性、完整性和响应程度审查，通过审查的合格供应商不足3家的，采购人或者采购代理机构应当重新开展采购活动。</w:t>
      </w:r>
    </w:p>
    <w:p w14:paraId="48C5B007">
      <w:pPr>
        <w:spacing w:line="360" w:lineRule="auto"/>
        <w:ind w:firstLine="482" w:firstLineChars="200"/>
        <w:rPr>
          <w:rFonts w:ascii="宋体" w:hAnsi="宋体" w:cs="宋体"/>
          <w:color w:val="auto"/>
          <w:szCs w:val="21"/>
          <w:highlight w:val="none"/>
        </w:rPr>
      </w:pPr>
      <w:r>
        <w:rPr>
          <w:rFonts w:ascii="黑体" w:hAnsi="黑体" w:eastAsia="黑体" w:cs="宋体"/>
          <w:b/>
          <w:bCs/>
          <w:color w:val="auto"/>
          <w:sz w:val="24"/>
          <w:highlight w:val="none"/>
        </w:rPr>
        <w:t>4.</w:t>
      </w:r>
      <w:r>
        <w:rPr>
          <w:rFonts w:hint="eastAsia" w:ascii="黑体" w:hAnsi="黑体" w:eastAsia="黑体" w:cs="宋体"/>
          <w:b/>
          <w:bCs/>
          <w:color w:val="auto"/>
          <w:sz w:val="24"/>
          <w:highlight w:val="none"/>
        </w:rPr>
        <w:t xml:space="preserve"> 最后报价</w:t>
      </w:r>
    </w:p>
    <w:p w14:paraId="247C3F8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磋商文件能够详细列明采购标的的技术、服务要求的，磋商结束后，磋商小组应当要求所有继续参加磋商的供应商在规定时间内在</w:t>
      </w:r>
      <w:r>
        <w:rPr>
          <w:rFonts w:ascii="宋体" w:hAnsi="宋体"/>
          <w:color w:val="auto"/>
          <w:szCs w:val="21"/>
          <w:highlight w:val="none"/>
        </w:rPr>
        <w:t>广西政府采购云平台</w:t>
      </w:r>
      <w:r>
        <w:rPr>
          <w:rFonts w:hint="eastAsia" w:ascii="宋体" w:hAnsi="宋体"/>
          <w:color w:val="auto"/>
          <w:szCs w:val="21"/>
          <w:highlight w:val="none"/>
        </w:rPr>
        <w:t>电子开标大厅</w:t>
      </w:r>
      <w:r>
        <w:rPr>
          <w:rFonts w:hint="eastAsia" w:ascii="宋体" w:hAnsi="宋体" w:cs="宋体"/>
          <w:color w:val="auto"/>
          <w:szCs w:val="21"/>
          <w:highlight w:val="none"/>
        </w:rPr>
        <w:t>提交最后报价，除本章第</w:t>
      </w:r>
      <w:r>
        <w:rPr>
          <w:rFonts w:ascii="宋体" w:hAnsi="宋体" w:cs="宋体"/>
          <w:color w:val="auto"/>
          <w:szCs w:val="21"/>
          <w:highlight w:val="none"/>
        </w:rPr>
        <w:t>4.3</w:t>
      </w:r>
      <w:r>
        <w:rPr>
          <w:rFonts w:hint="eastAsia" w:ascii="宋体" w:hAnsi="宋体" w:cs="宋体"/>
          <w:color w:val="auto"/>
          <w:szCs w:val="21"/>
          <w:highlight w:val="none"/>
        </w:rPr>
        <w:t>条外，提交最后报价的供应商不得少于3家，否则必须重新采购。</w:t>
      </w:r>
    </w:p>
    <w:p w14:paraId="584F158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.2</w:t>
      </w:r>
      <w:r>
        <w:rPr>
          <w:rFonts w:hint="eastAsia" w:ascii="宋体" w:hAnsi="宋体" w:cs="宋体"/>
          <w:color w:val="auto"/>
          <w:szCs w:val="21"/>
          <w:highlight w:val="none"/>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w:t>
      </w:r>
      <w:r>
        <w:rPr>
          <w:rFonts w:ascii="宋体" w:hAnsi="宋体"/>
          <w:color w:val="auto"/>
          <w:szCs w:val="21"/>
          <w:highlight w:val="none"/>
        </w:rPr>
        <w:t>广西政府采购云平台</w:t>
      </w:r>
      <w:r>
        <w:rPr>
          <w:rFonts w:hint="eastAsia" w:ascii="宋体" w:hAnsi="宋体"/>
          <w:color w:val="auto"/>
          <w:szCs w:val="21"/>
          <w:highlight w:val="none"/>
        </w:rPr>
        <w:t>电子开标大厅</w:t>
      </w:r>
      <w:r>
        <w:rPr>
          <w:rFonts w:hint="eastAsia" w:ascii="宋体" w:hAnsi="宋体" w:cs="宋体"/>
          <w:color w:val="auto"/>
          <w:szCs w:val="21"/>
          <w:highlight w:val="none"/>
        </w:rPr>
        <w:t>提交最后报价。</w:t>
      </w:r>
    </w:p>
    <w:p w14:paraId="65309B52">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4.3</w:t>
      </w:r>
      <w:r>
        <w:rPr>
          <w:rFonts w:hint="eastAsia" w:ascii="宋体" w:hAnsi="宋体" w:cs="宋体"/>
          <w:color w:val="auto"/>
          <w:szCs w:val="21"/>
          <w:highlight w:val="none"/>
        </w:rPr>
        <w:t xml:space="preserve"> 最后报价是供应商响应文件的有效组成部分。符合《政府采购竞争性磋商采购方式管理暂行办法》（财库〔2014〕214号）第三条第四项“市场竞争不充分的科研项目，以及需要扶持的科技成果转化项目”和</w:t>
      </w:r>
      <w:r>
        <w:rPr>
          <w:color w:val="auto"/>
          <w:highlight w:val="none"/>
        </w:rPr>
        <w:t>本章第3.7条情形的，</w:t>
      </w:r>
      <w:r>
        <w:rPr>
          <w:rFonts w:hint="eastAsia" w:ascii="宋体" w:hAnsi="宋体" w:cs="宋体"/>
          <w:color w:val="auto"/>
          <w:szCs w:val="21"/>
          <w:highlight w:val="none"/>
        </w:rPr>
        <w:t>提交最后报价的供应商可以为2家。</w:t>
      </w:r>
    </w:p>
    <w:p w14:paraId="13932EBE">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4.4</w:t>
      </w:r>
      <w:r>
        <w:rPr>
          <w:rFonts w:hint="eastAsia" w:ascii="宋体" w:hAnsi="宋体" w:cs="宋体"/>
          <w:color w:val="auto"/>
          <w:szCs w:val="21"/>
          <w:highlight w:val="none"/>
        </w:rPr>
        <w:t>已经提交响应文件的供应商，在提交最后报价之前，可以根据磋商情况退出磋商，</w:t>
      </w:r>
      <w:r>
        <w:rPr>
          <w:rFonts w:hint="eastAsia" w:ascii="宋体" w:hAnsi="宋体" w:cs="宋体"/>
          <w:b/>
          <w:bCs/>
          <w:color w:val="auto"/>
          <w:szCs w:val="21"/>
          <w:highlight w:val="none"/>
        </w:rPr>
        <w:t>退出磋商的供应商的响应文件按无效响应处理</w:t>
      </w:r>
      <w:r>
        <w:rPr>
          <w:rFonts w:hint="eastAsia" w:ascii="宋体" w:hAnsi="宋体" w:cs="宋体"/>
          <w:color w:val="auto"/>
          <w:szCs w:val="21"/>
          <w:highlight w:val="none"/>
        </w:rPr>
        <w:t>。采购人、采购代理机构将退还退出磋商的供应商的保证金。</w:t>
      </w:r>
    </w:p>
    <w:p w14:paraId="7BB3EDD6">
      <w:pPr>
        <w:spacing w:line="360" w:lineRule="auto"/>
        <w:ind w:firstLine="422" w:firstLineChars="200"/>
        <w:rPr>
          <w:rFonts w:ascii="宋体" w:hAnsi="宋体" w:cs="宋体"/>
          <w:b/>
          <w:bCs/>
          <w:color w:val="auto"/>
          <w:szCs w:val="21"/>
          <w:highlight w:val="none"/>
        </w:rPr>
      </w:pPr>
      <w:r>
        <w:rPr>
          <w:rFonts w:ascii="宋体" w:hAnsi="宋体" w:cs="宋体"/>
          <w:b/>
          <w:bCs/>
          <w:color w:val="auto"/>
          <w:szCs w:val="21"/>
          <w:highlight w:val="none"/>
        </w:rPr>
        <w:t>4.5</w:t>
      </w:r>
      <w:r>
        <w:rPr>
          <w:rFonts w:hint="eastAsia" w:ascii="宋体" w:hAnsi="宋体" w:cs="宋体"/>
          <w:b/>
          <w:bCs/>
          <w:color w:val="auto"/>
          <w:szCs w:val="21"/>
          <w:highlight w:val="none"/>
        </w:rPr>
        <w:t>供应商未在规定时间内提交最后报价的，视同退出磋商，其响应文件按无效处理。</w:t>
      </w:r>
    </w:p>
    <w:p w14:paraId="681363CD">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4.6</w:t>
      </w:r>
      <w:r>
        <w:rPr>
          <w:rFonts w:hint="eastAsia" w:ascii="宋体" w:hAnsi="宋体" w:cs="宋体"/>
          <w:color w:val="auto"/>
          <w:szCs w:val="21"/>
          <w:highlight w:val="none"/>
        </w:rPr>
        <w:t>最后报价统一开启后，磋商小组对最后报价进行有效性、完整性和响应程度的审查。</w:t>
      </w:r>
    </w:p>
    <w:p w14:paraId="46594BF8">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4.7</w:t>
      </w:r>
      <w:r>
        <w:rPr>
          <w:rFonts w:hint="eastAsia" w:ascii="宋体" w:hAnsi="宋体" w:cs="宋体"/>
          <w:color w:val="auto"/>
          <w:szCs w:val="21"/>
          <w:highlight w:val="none"/>
        </w:rPr>
        <w:t>最后报价出现前后不一致的，按照本章第</w:t>
      </w:r>
      <w:r>
        <w:rPr>
          <w:rFonts w:ascii="宋体" w:hAnsi="宋体" w:cs="宋体"/>
          <w:color w:val="auto"/>
          <w:szCs w:val="21"/>
          <w:highlight w:val="none"/>
        </w:rPr>
        <w:t>2.4</w:t>
      </w:r>
      <w:r>
        <w:rPr>
          <w:rFonts w:hint="eastAsia" w:ascii="宋体" w:hAnsi="宋体" w:cs="宋体"/>
          <w:color w:val="auto"/>
          <w:szCs w:val="21"/>
          <w:highlight w:val="none"/>
        </w:rPr>
        <w:t xml:space="preserve">条的规定修正。 </w:t>
      </w:r>
    </w:p>
    <w:p w14:paraId="0D7D7C37">
      <w:pPr>
        <w:spacing w:line="360" w:lineRule="auto"/>
        <w:ind w:firstLine="422" w:firstLineChars="200"/>
        <w:rPr>
          <w:rFonts w:ascii="宋体" w:hAnsi="宋体" w:cs="宋体"/>
          <w:b/>
          <w:bCs/>
          <w:color w:val="auto"/>
          <w:szCs w:val="21"/>
          <w:highlight w:val="none"/>
        </w:rPr>
      </w:pPr>
      <w:r>
        <w:rPr>
          <w:rFonts w:ascii="宋体" w:hAnsi="宋体" w:cs="宋体"/>
          <w:b/>
          <w:bCs/>
          <w:color w:val="auto"/>
          <w:szCs w:val="21"/>
          <w:highlight w:val="none"/>
        </w:rPr>
        <w:t>4.8</w:t>
      </w:r>
      <w:r>
        <w:rPr>
          <w:rFonts w:hint="eastAsia" w:ascii="宋体" w:hAnsi="宋体" w:cs="宋体"/>
          <w:b/>
          <w:bCs/>
          <w:color w:val="auto"/>
          <w:szCs w:val="21"/>
          <w:highlight w:val="none"/>
        </w:rPr>
        <w:t>修正后的报价出现下列情形的，按无效响应处理：</w:t>
      </w:r>
    </w:p>
    <w:p w14:paraId="0839433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7392317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（2）经供应商确认修正后的竞标报价（包含首次报价、最后报价）超过所竞标项目规定的采购预算金额或者最高限价的（如本项目公布了最高限价）；</w:t>
      </w:r>
    </w:p>
    <w:p w14:paraId="7E9BE73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（3）经供应商确认修正后的竞标报价（包含首次报价、最后报价）超过</w:t>
      </w:r>
      <w:r>
        <w:rPr>
          <w:color w:val="auto"/>
          <w:highlight w:val="none"/>
        </w:rPr>
        <w:t>分项标的</w:t>
      </w:r>
      <w:r>
        <w:rPr>
          <w:rFonts w:hint="eastAsia" w:ascii="宋体" w:hAnsi="宋体" w:cs="宋体"/>
          <w:color w:val="auto"/>
          <w:szCs w:val="21"/>
          <w:highlight w:val="none"/>
        </w:rPr>
        <w:t>采购预算金额或者最高限价的（如本项目公布了最高限价）。</w:t>
      </w:r>
    </w:p>
    <w:p w14:paraId="3A0D86CD">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4.9</w:t>
      </w:r>
      <w:r>
        <w:rPr>
          <w:rFonts w:hint="eastAsia" w:ascii="宋体" w:hAnsi="宋体" w:cs="宋体"/>
          <w:color w:val="auto"/>
          <w:szCs w:val="21"/>
          <w:highlight w:val="none"/>
        </w:rPr>
        <w:t>经供应商确认修正后的最后报价作为评审及签订合同的依据。</w:t>
      </w:r>
    </w:p>
    <w:p w14:paraId="6AA911D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4.10供应商出现最后报价按无效响应处理或者响应文件按无效处理时</w:t>
      </w:r>
      <w:r>
        <w:rPr>
          <w:rFonts w:hint="eastAsia" w:ascii="宋体" w:hAnsi="宋体"/>
          <w:color w:val="auto"/>
          <w:sz w:val="22"/>
          <w:szCs w:val="22"/>
          <w:highlight w:val="none"/>
        </w:rPr>
        <w:t>，磋商小组应当告知有关供应商</w:t>
      </w:r>
      <w:r>
        <w:rPr>
          <w:rFonts w:hint="eastAsia" w:ascii="宋体" w:hAnsi="宋体" w:cs="宋体"/>
          <w:color w:val="auto"/>
          <w:szCs w:val="21"/>
          <w:highlight w:val="none"/>
        </w:rPr>
        <w:t>。</w:t>
      </w:r>
    </w:p>
    <w:p w14:paraId="73EC68B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1最后报价结束后，磋商小组不得再与供应商进行任何形式的商谈。</w:t>
      </w:r>
    </w:p>
    <w:p w14:paraId="0D60CED5">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5</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比较与评价</w:t>
      </w:r>
    </w:p>
    <w:p w14:paraId="0F7FC1A6">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5.1</w:t>
      </w:r>
      <w:r>
        <w:rPr>
          <w:rFonts w:hint="eastAsia" w:ascii="宋体" w:hAnsi="宋体" w:cs="宋体"/>
          <w:color w:val="auto"/>
          <w:szCs w:val="21"/>
          <w:highlight w:val="none"/>
        </w:rPr>
        <w:t>评审方法：综合评分法。</w:t>
      </w:r>
    </w:p>
    <w:p w14:paraId="1186173D">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5.2</w:t>
      </w:r>
      <w:r>
        <w:rPr>
          <w:rFonts w:hint="eastAsia" w:ascii="宋体" w:hAnsi="宋体" w:cs="宋体"/>
          <w:color w:val="auto"/>
          <w:szCs w:val="21"/>
          <w:highlight w:val="none"/>
        </w:rPr>
        <w:t>经磋商确定最终采购需求和提交最后报价的供应商后，由磋商小组采用综合评分法对提交最后报价的供应商的响应文件和最后报价进行综合评分。</w:t>
      </w:r>
    </w:p>
    <w:p w14:paraId="7C17E6BF">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5.3</w:t>
      </w:r>
      <w:r>
        <w:rPr>
          <w:rFonts w:hint="eastAsia" w:ascii="宋体" w:hAnsi="宋体" w:cs="宋体"/>
          <w:color w:val="auto"/>
          <w:szCs w:val="21"/>
          <w:highlight w:val="none"/>
        </w:rPr>
        <w:t>评审时，磋商小组各成员应当独立对每个有效响应的文件进行评价、打分，然后汇总每个供应商每项评分因素的得分。</w:t>
      </w:r>
    </w:p>
    <w:p w14:paraId="1651F52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（1）磋商小组按照磋商文件中规定的评审标准计算各供应商的报价得分。项目评审过程中，不得去掉最后报价中的最高报价和最低报价。</w:t>
      </w:r>
    </w:p>
    <w:p w14:paraId="25FE438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（2）各供应商的得分为磋商小组所有成员的有效评分的算术平均数。</w:t>
      </w:r>
    </w:p>
    <w:p w14:paraId="2CBFFD6F">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5.4</w:t>
      </w:r>
      <w:r>
        <w:rPr>
          <w:rFonts w:hint="eastAsia" w:ascii="宋体" w:hAnsi="宋体" w:cs="宋体"/>
          <w:color w:val="auto"/>
          <w:szCs w:val="21"/>
          <w:highlight w:val="none"/>
        </w:rPr>
        <w:t>评审价为供应商的最后报价进行政策性扣除后的价格，评审价只是作为评审时使用。最终成交供应商的成交下浮系数</w:t>
      </w:r>
      <w:r>
        <w:rPr>
          <w:rFonts w:hint="eastAsia" w:ascii="宋体" w:hAnsi="宋体" w:cs="宋体"/>
          <w:color w:val="auto"/>
          <w:szCs w:val="21"/>
          <w:highlight w:val="none"/>
        </w:rPr>
        <w:t>等于最后报价（如有修正，以确认修正后的最后报价为准）。</w:t>
      </w:r>
    </w:p>
    <w:p w14:paraId="36EDF164">
      <w:pPr>
        <w:spacing w:line="360" w:lineRule="auto"/>
        <w:ind w:firstLine="424" w:firstLineChars="202"/>
        <w:jc w:val="left"/>
        <w:rPr>
          <w:rFonts w:ascii="宋体" w:hAnsi="宋体"/>
          <w:color w:val="auto"/>
          <w:spacing w:val="-6"/>
          <w:szCs w:val="21"/>
          <w:highlight w:val="none"/>
        </w:rPr>
      </w:pPr>
      <w:r>
        <w:rPr>
          <w:rFonts w:hint="eastAsia" w:ascii="宋体" w:hAnsi="宋体" w:cs="宋体"/>
          <w:color w:val="auto"/>
          <w:szCs w:val="21"/>
          <w:highlight w:val="none"/>
        </w:rPr>
        <w:t>5.5</w:t>
      </w:r>
      <w:r>
        <w:rPr>
          <w:rFonts w:hint="eastAsia" w:ascii="宋体" w:hAnsi="宋体"/>
          <w:color w:val="auto"/>
          <w:szCs w:val="21"/>
          <w:highlight w:val="none"/>
        </w:rPr>
        <w:t>异常低价响应审查</w:t>
      </w:r>
    </w:p>
    <w:p w14:paraId="29264BE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（1）磋商小组在评审中发现下列情形之一的，应当启动异常低价响应审查程序：</w:t>
      </w:r>
    </w:p>
    <w:p w14:paraId="01DD306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①响应报价低于全部通过符合性审查供应商响应报价平均值</w:t>
      </w:r>
      <w:r>
        <w:rPr>
          <w:rFonts w:hint="eastAsia" w:ascii="宋体" w:hAnsi="宋体" w:eastAsia="宋体" w:cs="Times New Roman"/>
          <w:color w:val="auto"/>
          <w:szCs w:val="21"/>
          <w:highlight w:val="none"/>
          <w:u w:val="single"/>
          <w:lang w:val="en-US" w:eastAsia="zh-CN"/>
        </w:rPr>
        <w:t>65%</w:t>
      </w:r>
      <w:r>
        <w:rPr>
          <w:rFonts w:hint="eastAsia" w:ascii="宋体" w:hAnsi="宋体"/>
          <w:color w:val="auto"/>
          <w:szCs w:val="21"/>
          <w:highlight w:val="none"/>
        </w:rPr>
        <w:t>的，即响应报价</w:t>
      </w:r>
      <w:r>
        <w:rPr>
          <w:rFonts w:hint="eastAsia" w:ascii="宋体" w:hAnsi="宋体"/>
          <w:color w:val="auto"/>
          <w:szCs w:val="21"/>
          <w:highlight w:val="none"/>
          <w:lang w:eastAsia="zh-CN"/>
        </w:rPr>
        <w:t>＜</w:t>
      </w:r>
      <w:r>
        <w:rPr>
          <w:rFonts w:hint="eastAsia" w:ascii="宋体" w:hAnsi="宋体"/>
          <w:color w:val="auto"/>
          <w:szCs w:val="21"/>
          <w:highlight w:val="none"/>
        </w:rPr>
        <w:t>全部通过符合性审查供应商响应报价平均值×</w:t>
      </w:r>
      <w:r>
        <w:rPr>
          <w:rFonts w:hint="eastAsia" w:ascii="宋体" w:hAnsi="宋体" w:eastAsia="宋体" w:cs="Times New Roman"/>
          <w:color w:val="auto"/>
          <w:szCs w:val="21"/>
          <w:highlight w:val="none"/>
          <w:u w:val="single"/>
          <w:lang w:val="en-US" w:eastAsia="zh-CN"/>
        </w:rPr>
        <w:t>65%</w:t>
      </w:r>
      <w:r>
        <w:rPr>
          <w:rFonts w:hint="eastAsia" w:ascii="宋体" w:hAnsi="宋体"/>
          <w:color w:val="auto"/>
          <w:szCs w:val="21"/>
          <w:highlight w:val="none"/>
        </w:rPr>
        <w:t xml:space="preserve">； </w:t>
      </w:r>
    </w:p>
    <w:p w14:paraId="4305082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②响应报价低于通过符合性审查的次低报价供应商响应报价</w:t>
      </w:r>
      <w:r>
        <w:rPr>
          <w:rFonts w:hint="eastAsia" w:ascii="宋体" w:hAnsi="宋体" w:eastAsia="宋体" w:cs="Times New Roman"/>
          <w:color w:val="auto"/>
          <w:szCs w:val="21"/>
          <w:highlight w:val="none"/>
          <w:u w:val="single"/>
          <w:lang w:val="en-US" w:eastAsia="zh-CN"/>
        </w:rPr>
        <w:t>65%</w:t>
      </w:r>
      <w:r>
        <w:rPr>
          <w:rFonts w:hint="eastAsia" w:ascii="宋体" w:hAnsi="宋体"/>
          <w:color w:val="auto"/>
          <w:szCs w:val="21"/>
          <w:highlight w:val="none"/>
        </w:rPr>
        <w:t>的，即响应报价＜通过符合性审查的次低报价供应商响应报价×</w:t>
      </w:r>
      <w:r>
        <w:rPr>
          <w:rFonts w:hint="eastAsia" w:ascii="宋体" w:hAnsi="宋体" w:eastAsia="宋体" w:cs="Times New Roman"/>
          <w:color w:val="auto"/>
          <w:szCs w:val="21"/>
          <w:highlight w:val="none"/>
          <w:u w:val="single"/>
          <w:lang w:val="en-US" w:eastAsia="zh-CN"/>
        </w:rPr>
        <w:t>65%</w:t>
      </w:r>
      <w:r>
        <w:rPr>
          <w:rFonts w:hint="eastAsia" w:ascii="宋体" w:hAnsi="宋体"/>
          <w:color w:val="auto"/>
          <w:szCs w:val="21"/>
          <w:highlight w:val="none"/>
        </w:rPr>
        <w:t xml:space="preserve">； </w:t>
      </w:r>
    </w:p>
    <w:p w14:paraId="179D42A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③响应报价低于采购项目最高限价</w:t>
      </w:r>
      <w:r>
        <w:rPr>
          <w:rFonts w:hint="eastAsia" w:ascii="宋体" w:hAnsi="宋体" w:eastAsia="宋体" w:cs="Times New Roman"/>
          <w:color w:val="auto"/>
          <w:szCs w:val="21"/>
          <w:highlight w:val="none"/>
          <w:u w:val="single"/>
          <w:lang w:val="en-US" w:eastAsia="zh-CN"/>
        </w:rPr>
        <w:t>65%</w:t>
      </w:r>
      <w:r>
        <w:rPr>
          <w:rFonts w:hint="eastAsia" w:ascii="宋体" w:hAnsi="宋体"/>
          <w:color w:val="auto"/>
          <w:szCs w:val="21"/>
          <w:highlight w:val="none"/>
        </w:rPr>
        <w:t>的，即响应报价＜采购项目最高限价×</w:t>
      </w:r>
      <w:r>
        <w:rPr>
          <w:rFonts w:hint="eastAsia" w:ascii="宋体" w:hAnsi="宋体" w:eastAsia="宋体" w:cs="Times New Roman"/>
          <w:color w:val="auto"/>
          <w:szCs w:val="21"/>
          <w:highlight w:val="none"/>
          <w:u w:val="single"/>
          <w:lang w:val="en-US" w:eastAsia="zh-CN"/>
        </w:rPr>
        <w:t>65%</w:t>
      </w:r>
      <w:r>
        <w:rPr>
          <w:rFonts w:hint="eastAsia" w:ascii="宋体" w:hAnsi="宋体"/>
          <w:color w:val="auto"/>
          <w:szCs w:val="21"/>
          <w:highlight w:val="none"/>
        </w:rPr>
        <w:t xml:space="preserve">； </w:t>
      </w:r>
    </w:p>
    <w:p w14:paraId="0DE69AC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④磋商小组基于专业判断，认为供应商报价过低，有可能影响产品质量或者不能诚信履约的其他情形。</w:t>
      </w:r>
    </w:p>
    <w:p w14:paraId="4E31FA8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可不再重复提交。</w:t>
      </w:r>
    </w:p>
    <w:p w14:paraId="58E9030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磋商小组依据专业经验，参考同类项目中标（成交）价格、类似产品市场价格水平、行业人工费用标准、国家有关部门指导行业协会发布的行业平均成本等情况，对报价合理性进行判断。</w:t>
      </w:r>
      <w:r>
        <w:rPr>
          <w:rFonts w:hint="eastAsia" w:ascii="宋体" w:hAnsi="宋体"/>
          <w:b/>
          <w:color w:val="auto"/>
          <w:szCs w:val="21"/>
          <w:highlight w:val="none"/>
        </w:rPr>
        <w:t>相关供应商不能提供书面说明、证明材料，或者提供的书面说明、证明材料不能证明其报价合理性的，磋商小组应当将其作为无效响应处理。</w:t>
      </w:r>
    </w:p>
    <w:p w14:paraId="62708DC1">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699BA1F3">
      <w:pPr>
        <w:spacing w:line="360" w:lineRule="auto"/>
        <w:ind w:firstLine="420" w:firstLineChars="200"/>
        <w:rPr>
          <w:rFonts w:hint="eastAsia" w:ascii="宋体" w:hAnsi="宋体"/>
          <w:color w:val="auto"/>
          <w:szCs w:val="21"/>
          <w:highlight w:val="none"/>
        </w:rPr>
      </w:pPr>
      <w:r>
        <w:rPr>
          <w:rFonts w:hint="eastAsia" w:ascii="宋体" w:hAnsi="宋体" w:eastAsia="宋体" w:cs="Times New Roman"/>
          <w:color w:val="auto"/>
          <w:szCs w:val="21"/>
          <w:highlight w:val="none"/>
        </w:rPr>
        <w:t>异常低价响应审查的启动原因、审查意见和审查结果应当在评审报告中记录，并随供应商提供的相关书面说明及证明材料，以及磋商小组有关互联网浏览、查询历史一并归档。</w:t>
      </w:r>
    </w:p>
    <w:p w14:paraId="3694C2CC">
      <w:pPr>
        <w:spacing w:line="360" w:lineRule="auto"/>
        <w:ind w:firstLine="420" w:firstLineChars="200"/>
        <w:rPr>
          <w:rFonts w:hint="eastAsia" w:ascii="宋体" w:hAnsi="宋体"/>
          <w:color w:val="auto"/>
          <w:kern w:val="0"/>
          <w:szCs w:val="21"/>
          <w:highlight w:val="none"/>
        </w:rPr>
      </w:pPr>
      <w:r>
        <w:rPr>
          <w:rFonts w:ascii="宋体" w:hAnsi="宋体" w:cs="宋体"/>
          <w:color w:val="auto"/>
          <w:szCs w:val="21"/>
          <w:highlight w:val="none"/>
        </w:rPr>
        <w:t>5.</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由磋商小组根据综合评分情况，按照评审得分由高到低顺序推荐3名以上成交候选供应商，并编写评</w:t>
      </w:r>
      <w:r>
        <w:rPr>
          <w:rFonts w:hint="eastAsia" w:ascii="宋体" w:hAnsi="宋体"/>
          <w:color w:val="auto"/>
          <w:kern w:val="0"/>
          <w:szCs w:val="21"/>
          <w:highlight w:val="none"/>
        </w:rPr>
        <w:t>审报告。符合本章第</w:t>
      </w:r>
      <w:r>
        <w:rPr>
          <w:rFonts w:ascii="宋体" w:hAnsi="宋体"/>
          <w:color w:val="auto"/>
          <w:kern w:val="0"/>
          <w:szCs w:val="21"/>
          <w:highlight w:val="none"/>
        </w:rPr>
        <w:t>4.3</w:t>
      </w:r>
      <w:r>
        <w:rPr>
          <w:rFonts w:hint="eastAsia" w:ascii="宋体" w:hAnsi="宋体"/>
          <w:color w:val="auto"/>
          <w:kern w:val="0"/>
          <w:szCs w:val="21"/>
          <w:highlight w:val="none"/>
        </w:rPr>
        <w:t>条情形的，可以推荐2家成交候选供应商。评审得分相同的，按照最后报价由低到高的顺序推荐。评审得分且最后报价相同的，按照技术指标优劣顺序推荐。</w:t>
      </w:r>
    </w:p>
    <w:p w14:paraId="75D92A27">
      <w:pPr>
        <w:spacing w:line="360" w:lineRule="auto"/>
        <w:ind w:firstLine="420" w:firstLineChars="200"/>
        <w:rPr>
          <w:rFonts w:hint="eastAsia" w:ascii="宋体" w:hAnsi="宋体" w:cs="宋体"/>
          <w:color w:val="auto"/>
          <w:szCs w:val="21"/>
          <w:highlight w:val="none"/>
        </w:rPr>
      </w:pPr>
      <w:r>
        <w:rPr>
          <w:rFonts w:ascii="宋体" w:hAnsi="宋体"/>
          <w:color w:val="auto"/>
          <w:kern w:val="0"/>
          <w:szCs w:val="21"/>
          <w:highlight w:val="none"/>
        </w:rPr>
        <w:t>5.</w:t>
      </w:r>
      <w:r>
        <w:rPr>
          <w:rFonts w:hint="eastAsia" w:ascii="宋体" w:hAnsi="宋体"/>
          <w:color w:val="auto"/>
          <w:kern w:val="0"/>
          <w:szCs w:val="21"/>
          <w:highlight w:val="none"/>
          <w:lang w:val="en-US" w:eastAsia="zh-CN"/>
        </w:rPr>
        <w:t>7</w:t>
      </w:r>
      <w:r>
        <w:rPr>
          <w:rFonts w:hint="eastAsia" w:ascii="宋体" w:hAnsi="宋体"/>
          <w:color w:val="auto"/>
          <w:kern w:val="0"/>
          <w:szCs w:val="21"/>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5ACCF8D0">
      <w:pPr>
        <w:spacing w:line="360" w:lineRule="auto"/>
        <w:jc w:val="both"/>
        <w:rPr>
          <w:rFonts w:hint="eastAsia" w:ascii="宋体" w:hAnsi="宋体"/>
          <w:b/>
          <w:color w:val="auto"/>
          <w:sz w:val="32"/>
          <w:szCs w:val="32"/>
          <w:highlight w:val="none"/>
        </w:rPr>
      </w:pPr>
    </w:p>
    <w:p w14:paraId="3992C703">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二、评审标准</w:t>
      </w:r>
    </w:p>
    <w:p w14:paraId="6C5C04E8">
      <w:pPr>
        <w:keepNext w:val="0"/>
        <w:keepLines w:val="0"/>
        <w:pageBreakBefore w:val="0"/>
        <w:kinsoku/>
        <w:wordWrap/>
        <w:overflowPunct/>
        <w:topLinePunct w:val="0"/>
        <w:autoSpaceDE/>
        <w:autoSpaceDN/>
        <w:bidi w:val="0"/>
        <w:adjustRightInd/>
        <w:spacing w:line="380" w:lineRule="exact"/>
        <w:ind w:firstLine="420" w:firstLineChars="200"/>
        <w:rPr>
          <w:rFonts w:hint="eastAsia" w:ascii="宋体" w:hAnsi="宋体" w:eastAsia="宋体" w:cs="宋体"/>
          <w:color w:val="auto"/>
          <w:szCs w:val="21"/>
          <w:highlight w:val="none"/>
        </w:rPr>
      </w:pPr>
      <w:r>
        <w:rPr>
          <w:rFonts w:hint="eastAsia" w:ascii="宋体" w:hAnsi="宋体"/>
          <w:bCs/>
          <w:color w:val="auto"/>
          <w:szCs w:val="21"/>
          <w:highlight w:val="none"/>
        </w:rPr>
        <w:t>6</w:t>
      </w:r>
      <w:r>
        <w:rPr>
          <w:rFonts w:ascii="宋体" w:hAnsi="宋体"/>
          <w:bCs/>
          <w:color w:val="auto"/>
          <w:szCs w:val="21"/>
          <w:highlight w:val="none"/>
        </w:rPr>
        <w:t>.</w:t>
      </w:r>
      <w:r>
        <w:rPr>
          <w:rFonts w:hint="eastAsia" w:ascii="宋体" w:hAnsi="宋体"/>
          <w:bCs/>
          <w:color w:val="auto"/>
          <w:szCs w:val="21"/>
          <w:highlight w:val="none"/>
        </w:rPr>
        <w:t>评审依据：磋商小组将以磋商响应文件为评审依据，对供应商的报价、技术、商务等方面内容按百分制打分。（计分方法按四舍五入取至百分位）</w:t>
      </w:r>
    </w:p>
    <w:tbl>
      <w:tblPr>
        <w:tblStyle w:val="12"/>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418"/>
        <w:gridCol w:w="6423"/>
        <w:gridCol w:w="716"/>
      </w:tblGrid>
      <w:tr w14:paraId="5C867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tcBorders>
              <w:top w:val="single" w:color="auto" w:sz="4" w:space="0"/>
              <w:left w:val="single" w:color="auto" w:sz="4" w:space="0"/>
              <w:bottom w:val="single" w:color="auto" w:sz="4" w:space="0"/>
              <w:right w:val="single" w:color="auto" w:sz="4" w:space="0"/>
            </w:tcBorders>
            <w:noWrap w:val="0"/>
            <w:vAlign w:val="center"/>
          </w:tcPr>
          <w:p w14:paraId="2DC989A4">
            <w:pPr>
              <w:keepNext w:val="0"/>
              <w:keepLines w:val="0"/>
              <w:pageBreakBefore w:val="0"/>
              <w:widowControl/>
              <w:kinsoku/>
              <w:wordWrap/>
              <w:overflowPunct/>
              <w:topLinePunct w:val="0"/>
              <w:autoSpaceDE/>
              <w:autoSpaceDN/>
              <w:bidi w:val="0"/>
              <w:adjustRightInd/>
              <w:spacing w:line="380" w:lineRule="exact"/>
              <w:jc w:val="center"/>
              <w:rPr>
                <w:rFonts w:ascii="宋体" w:hAnsi="宋体" w:cs="Tahoma"/>
                <w:b/>
                <w:bCs/>
                <w:color w:val="auto"/>
                <w:kern w:val="0"/>
                <w:szCs w:val="21"/>
                <w:highlight w:val="none"/>
              </w:rPr>
            </w:pPr>
            <w:r>
              <w:rPr>
                <w:rFonts w:hint="eastAsia" w:ascii="宋体" w:hAnsi="宋体" w:cs="Tahoma"/>
                <w:b/>
                <w:bCs/>
                <w:color w:val="auto"/>
                <w:kern w:val="0"/>
                <w:szCs w:val="21"/>
                <w:highlight w:val="none"/>
              </w:rPr>
              <w:t>序号</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9B7DF38">
            <w:pPr>
              <w:keepNext w:val="0"/>
              <w:keepLines w:val="0"/>
              <w:pageBreakBefore w:val="0"/>
              <w:widowControl/>
              <w:kinsoku/>
              <w:wordWrap/>
              <w:overflowPunct/>
              <w:topLinePunct w:val="0"/>
              <w:autoSpaceDE/>
              <w:autoSpaceDN/>
              <w:bidi w:val="0"/>
              <w:adjustRightInd/>
              <w:spacing w:line="380" w:lineRule="exact"/>
              <w:jc w:val="center"/>
              <w:rPr>
                <w:rFonts w:ascii="宋体" w:hAnsi="宋体" w:cs="Tahoma"/>
                <w:b/>
                <w:bCs/>
                <w:color w:val="auto"/>
                <w:kern w:val="0"/>
                <w:szCs w:val="21"/>
                <w:highlight w:val="none"/>
              </w:rPr>
            </w:pPr>
            <w:r>
              <w:rPr>
                <w:rFonts w:hint="eastAsia" w:ascii="宋体" w:hAnsi="宋体" w:cs="Tahoma"/>
                <w:b/>
                <w:bCs/>
                <w:color w:val="auto"/>
                <w:kern w:val="0"/>
                <w:szCs w:val="21"/>
                <w:highlight w:val="none"/>
              </w:rPr>
              <w:t>评审因素</w:t>
            </w:r>
          </w:p>
        </w:tc>
        <w:tc>
          <w:tcPr>
            <w:tcW w:w="6423" w:type="dxa"/>
            <w:tcBorders>
              <w:top w:val="single" w:color="auto" w:sz="4" w:space="0"/>
              <w:left w:val="single" w:color="auto" w:sz="4" w:space="0"/>
              <w:bottom w:val="single" w:color="auto" w:sz="4" w:space="0"/>
              <w:right w:val="single" w:color="auto" w:sz="4" w:space="0"/>
            </w:tcBorders>
            <w:noWrap w:val="0"/>
            <w:vAlign w:val="center"/>
          </w:tcPr>
          <w:p w14:paraId="6FE01D0B">
            <w:pPr>
              <w:keepNext w:val="0"/>
              <w:keepLines w:val="0"/>
              <w:pageBreakBefore w:val="0"/>
              <w:widowControl/>
              <w:kinsoku/>
              <w:wordWrap/>
              <w:overflowPunct/>
              <w:topLinePunct w:val="0"/>
              <w:autoSpaceDE/>
              <w:autoSpaceDN/>
              <w:bidi w:val="0"/>
              <w:adjustRightInd/>
              <w:spacing w:line="380" w:lineRule="exact"/>
              <w:jc w:val="center"/>
              <w:rPr>
                <w:rFonts w:ascii="宋体" w:hAnsi="宋体" w:cs="Tahoma"/>
                <w:b/>
                <w:bCs/>
                <w:color w:val="auto"/>
                <w:kern w:val="0"/>
                <w:szCs w:val="21"/>
                <w:highlight w:val="none"/>
              </w:rPr>
            </w:pPr>
            <w:r>
              <w:rPr>
                <w:rFonts w:hint="eastAsia" w:ascii="宋体" w:hAnsi="宋体" w:cs="Tahoma"/>
                <w:b/>
                <w:bCs/>
                <w:color w:val="auto"/>
                <w:kern w:val="0"/>
                <w:szCs w:val="21"/>
                <w:highlight w:val="none"/>
              </w:rPr>
              <w:t>评审因素具体内容</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65A68923">
            <w:pPr>
              <w:keepNext w:val="0"/>
              <w:keepLines w:val="0"/>
              <w:pageBreakBefore w:val="0"/>
              <w:widowControl/>
              <w:kinsoku/>
              <w:wordWrap/>
              <w:overflowPunct/>
              <w:topLinePunct w:val="0"/>
              <w:autoSpaceDE/>
              <w:autoSpaceDN/>
              <w:bidi w:val="0"/>
              <w:adjustRightInd/>
              <w:spacing w:line="380" w:lineRule="exact"/>
              <w:jc w:val="center"/>
              <w:rPr>
                <w:rFonts w:ascii="宋体" w:hAnsi="宋体" w:cs="Tahoma"/>
                <w:b/>
                <w:bCs/>
                <w:color w:val="auto"/>
                <w:kern w:val="0"/>
                <w:szCs w:val="21"/>
                <w:highlight w:val="none"/>
              </w:rPr>
            </w:pPr>
            <w:r>
              <w:rPr>
                <w:rFonts w:hint="eastAsia" w:ascii="宋体" w:hAnsi="宋体" w:cs="Tahoma"/>
                <w:b/>
                <w:bCs/>
                <w:color w:val="auto"/>
                <w:kern w:val="0"/>
                <w:szCs w:val="21"/>
                <w:highlight w:val="none"/>
              </w:rPr>
              <w:t>分值</w:t>
            </w:r>
          </w:p>
        </w:tc>
      </w:tr>
      <w:tr w14:paraId="573E7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tcBorders>
              <w:top w:val="single" w:color="auto" w:sz="4" w:space="0"/>
              <w:left w:val="single" w:color="auto" w:sz="4" w:space="0"/>
              <w:bottom w:val="single" w:color="auto" w:sz="4" w:space="0"/>
              <w:right w:val="single" w:color="auto" w:sz="4" w:space="0"/>
            </w:tcBorders>
            <w:noWrap w:val="0"/>
            <w:vAlign w:val="center"/>
          </w:tcPr>
          <w:p w14:paraId="4BF78D12">
            <w:pPr>
              <w:keepNext w:val="0"/>
              <w:keepLines w:val="0"/>
              <w:pageBreakBefore w:val="0"/>
              <w:widowControl/>
              <w:kinsoku/>
              <w:wordWrap/>
              <w:overflowPunct/>
              <w:topLinePunct w:val="0"/>
              <w:autoSpaceDE/>
              <w:autoSpaceDN/>
              <w:bidi w:val="0"/>
              <w:adjustRightInd/>
              <w:spacing w:line="380" w:lineRule="exact"/>
              <w:jc w:val="center"/>
              <w:rPr>
                <w:rFonts w:ascii="宋体" w:hAnsi="宋体" w:cs="Tahoma"/>
                <w:color w:val="auto"/>
                <w:kern w:val="0"/>
                <w:szCs w:val="21"/>
                <w:highlight w:val="none"/>
              </w:rPr>
            </w:pPr>
            <w:r>
              <w:rPr>
                <w:rFonts w:hint="eastAsia" w:ascii="宋体" w:hAnsi="宋体" w:cs="Tahoma"/>
                <w:color w:val="auto"/>
                <w:kern w:val="0"/>
                <w:szCs w:val="21"/>
                <w:highlight w:val="none"/>
              </w:rPr>
              <w:t>1</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CC16B19">
            <w:pPr>
              <w:keepNext w:val="0"/>
              <w:keepLines w:val="0"/>
              <w:pageBreakBefore w:val="0"/>
              <w:widowControl/>
              <w:kinsoku/>
              <w:wordWrap/>
              <w:overflowPunct/>
              <w:topLinePunct w:val="0"/>
              <w:autoSpaceDE/>
              <w:autoSpaceDN/>
              <w:bidi w:val="0"/>
              <w:adjustRightInd/>
              <w:spacing w:line="380" w:lineRule="exact"/>
              <w:jc w:val="center"/>
              <w:rPr>
                <w:rFonts w:ascii="宋体" w:hAnsi="宋体" w:cs="Tahoma"/>
                <w:color w:val="auto"/>
                <w:kern w:val="0"/>
                <w:szCs w:val="21"/>
                <w:highlight w:val="none"/>
              </w:rPr>
            </w:pPr>
            <w:r>
              <w:rPr>
                <w:rFonts w:hint="eastAsia" w:ascii="宋体" w:hAnsi="宋体" w:cs="Tahoma"/>
                <w:color w:val="auto"/>
                <w:kern w:val="0"/>
                <w:szCs w:val="21"/>
                <w:highlight w:val="none"/>
              </w:rPr>
              <w:t>价格分</w:t>
            </w:r>
          </w:p>
        </w:tc>
        <w:tc>
          <w:tcPr>
            <w:tcW w:w="6423" w:type="dxa"/>
            <w:tcBorders>
              <w:top w:val="single" w:color="auto" w:sz="4" w:space="0"/>
              <w:left w:val="single" w:color="auto" w:sz="4" w:space="0"/>
              <w:bottom w:val="single" w:color="auto" w:sz="4" w:space="0"/>
              <w:right w:val="single" w:color="auto" w:sz="4" w:space="0"/>
            </w:tcBorders>
            <w:noWrap w:val="0"/>
            <w:vAlign w:val="top"/>
          </w:tcPr>
          <w:p w14:paraId="064226E6">
            <w:pPr>
              <w:keepNext w:val="0"/>
              <w:keepLines w:val="0"/>
              <w:pageBreakBefore w:val="0"/>
              <w:kinsoku/>
              <w:wordWrap/>
              <w:overflowPunct/>
              <w:topLinePunct w:val="0"/>
              <w:autoSpaceDE/>
              <w:autoSpaceDN/>
              <w:bidi w:val="0"/>
              <w:adjustRightInd/>
              <w:spacing w:line="380" w:lineRule="exact"/>
              <w:ind w:firstLine="42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（1）本项目属于专门面向</w:t>
            </w:r>
            <w:r>
              <w:rPr>
                <w:rFonts w:hint="eastAsia" w:ascii="宋体" w:hAnsi="宋体" w:cs="宋体"/>
                <w:bCs/>
                <w:color w:val="auto"/>
                <w:kern w:val="0"/>
                <w:szCs w:val="21"/>
                <w:highlight w:val="none"/>
              </w:rPr>
              <w:t>中小企业</w:t>
            </w:r>
            <w:r>
              <w:rPr>
                <w:rFonts w:hint="eastAsia" w:ascii="宋体" w:hAnsi="宋体" w:eastAsia="宋体" w:cs="宋体"/>
                <w:bCs/>
                <w:color w:val="auto"/>
                <w:sz w:val="21"/>
                <w:szCs w:val="21"/>
                <w:highlight w:val="none"/>
                <w:lang w:val="en-US" w:eastAsia="zh-CN"/>
              </w:rPr>
              <w:t>采购的项目，根据《政府采购促进中小企业发展管理办法》（财库〔2020〕46号）的规定、《财政部、司法部关于政府采购支持监狱企业发展有关问题的通知》（财库〔2014〕68号）、《关于促进残疾人就业政府采购政策的通知》（财库〔2017〕141号）的规定，不再对</w:t>
            </w:r>
            <w:r>
              <w:rPr>
                <w:rFonts w:hint="eastAsia" w:ascii="宋体" w:hAnsi="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lang w:val="en-US" w:eastAsia="zh-CN"/>
              </w:rPr>
              <w:t>的</w:t>
            </w:r>
            <w:r>
              <w:rPr>
                <w:rFonts w:hint="eastAsia" w:ascii="宋体" w:hAnsi="宋体" w:cs="宋体"/>
                <w:bCs/>
                <w:color w:val="auto"/>
                <w:sz w:val="21"/>
                <w:szCs w:val="21"/>
                <w:highlight w:val="none"/>
                <w:lang w:val="en-US" w:eastAsia="zh-CN"/>
              </w:rPr>
              <w:t>竞标</w:t>
            </w:r>
            <w:r>
              <w:rPr>
                <w:rFonts w:hint="eastAsia" w:ascii="宋体" w:hAnsi="宋体" w:eastAsia="宋体" w:cs="宋体"/>
                <w:bCs/>
                <w:color w:val="auto"/>
                <w:sz w:val="21"/>
                <w:szCs w:val="21"/>
                <w:highlight w:val="none"/>
                <w:lang w:val="en-US" w:eastAsia="zh-CN"/>
              </w:rPr>
              <w:t>报价进行政策性扣除。</w:t>
            </w:r>
          </w:p>
          <w:p w14:paraId="470A55E8">
            <w:pPr>
              <w:keepNext w:val="0"/>
              <w:keepLines w:val="0"/>
              <w:pageBreakBefore w:val="0"/>
              <w:kinsoku/>
              <w:wordWrap/>
              <w:overflowPunct/>
              <w:topLinePunct w:val="0"/>
              <w:autoSpaceDE/>
              <w:autoSpaceDN/>
              <w:bidi w:val="0"/>
              <w:adjustRightInd/>
              <w:spacing w:line="380" w:lineRule="exact"/>
              <w:ind w:firstLine="42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（2）本国产品政策性扣除计算方法。</w:t>
            </w:r>
          </w:p>
          <w:p w14:paraId="2264C58C">
            <w:pPr>
              <w:keepNext w:val="0"/>
              <w:keepLines w:val="0"/>
              <w:pageBreakBefore w:val="0"/>
              <w:kinsoku/>
              <w:wordWrap/>
              <w:overflowPunct/>
              <w:topLinePunct w:val="0"/>
              <w:autoSpaceDE/>
              <w:autoSpaceDN/>
              <w:bidi w:val="0"/>
              <w:adjustRightInd/>
              <w:spacing w:line="380" w:lineRule="exact"/>
              <w:ind w:firstLine="42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根据《国务院办公厅关于在政府采购中实施本国产品标准及相关政策的通知》（国办发〔2025〕34号）的规定，本项目不涉及本国产品政策性扣除。</w:t>
            </w:r>
          </w:p>
          <w:p w14:paraId="44C7F9D7">
            <w:pPr>
              <w:keepNext w:val="0"/>
              <w:keepLines w:val="0"/>
              <w:pageBreakBefore w:val="0"/>
              <w:kinsoku/>
              <w:wordWrap/>
              <w:overflowPunct/>
              <w:topLinePunct w:val="0"/>
              <w:autoSpaceDE/>
              <w:autoSpaceDN/>
              <w:bidi w:val="0"/>
              <w:adjustRightInd/>
              <w:spacing w:line="380" w:lineRule="exact"/>
              <w:ind w:firstLine="42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w:t>
            </w:r>
            <w:r>
              <w:rPr>
                <w:rFonts w:hint="eastAsia" w:ascii="宋体" w:hAnsi="宋体" w:cs="Courier New"/>
                <w:bCs/>
                <w:color w:val="auto"/>
                <w:szCs w:val="21"/>
                <w:highlight w:val="none"/>
              </w:rPr>
              <w:t>以进入比较与评价环节的</w:t>
            </w:r>
            <w:r>
              <w:rPr>
                <w:rFonts w:hint="eastAsia"/>
                <w:color w:val="auto"/>
                <w:highlight w:val="none"/>
              </w:rPr>
              <w:t>供应商最终</w:t>
            </w:r>
            <w:r>
              <w:rPr>
                <w:rFonts w:hint="eastAsia"/>
                <w:color w:val="auto"/>
                <w:highlight w:val="none"/>
                <w:lang w:eastAsia="zh-CN"/>
              </w:rPr>
              <w:t>下浮</w:t>
            </w:r>
            <w:r>
              <w:rPr>
                <w:rFonts w:hint="eastAsia" w:ascii="宋体" w:hAnsi="宋体" w:cs="Courier New"/>
                <w:bCs/>
                <w:color w:val="auto"/>
                <w:szCs w:val="21"/>
                <w:highlight w:val="none"/>
              </w:rPr>
              <w:t>系数报价</w:t>
            </w:r>
            <w:r>
              <w:rPr>
                <w:rFonts w:hint="eastAsia"/>
                <w:color w:val="auto"/>
                <w:highlight w:val="none"/>
              </w:rPr>
              <w:t>作为计分依据</w:t>
            </w:r>
            <w:r>
              <w:rPr>
                <w:rFonts w:hint="eastAsia"/>
                <w:color w:val="auto"/>
                <w:highlight w:val="none"/>
                <w:lang w:eastAsia="zh-CN"/>
              </w:rPr>
              <w:t>，</w:t>
            </w:r>
            <w:r>
              <w:rPr>
                <w:rFonts w:hint="eastAsia" w:ascii="宋体" w:hAnsi="宋体" w:eastAsia="宋体" w:cs="宋体"/>
                <w:bCs/>
                <w:color w:val="auto"/>
                <w:sz w:val="21"/>
                <w:szCs w:val="21"/>
                <w:highlight w:val="none"/>
                <w:lang w:val="en-US" w:eastAsia="zh-CN"/>
              </w:rPr>
              <w:t>以1-最高下浮系数报价为评标基准价，其价格分为满分。</w:t>
            </w:r>
          </w:p>
          <w:p w14:paraId="66B5030A">
            <w:pPr>
              <w:keepNext w:val="0"/>
              <w:keepLines w:val="0"/>
              <w:pageBreakBefore w:val="0"/>
              <w:kinsoku/>
              <w:wordWrap/>
              <w:overflowPunct/>
              <w:topLinePunct w:val="0"/>
              <w:autoSpaceDE/>
              <w:autoSpaceDN/>
              <w:bidi w:val="0"/>
              <w:adjustRightInd/>
              <w:spacing w:line="380" w:lineRule="exact"/>
              <w:ind w:firstLine="42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举例：A供应商的下浮系数报价为10%则其</w:t>
            </w:r>
            <w:r>
              <w:rPr>
                <w:rFonts w:hint="eastAsia" w:ascii="宋体" w:hAnsi="宋体" w:cs="宋体"/>
                <w:bCs/>
                <w:color w:val="auto"/>
                <w:sz w:val="21"/>
                <w:szCs w:val="21"/>
                <w:highlight w:val="none"/>
                <w:lang w:val="en-US" w:eastAsia="zh-CN"/>
              </w:rPr>
              <w:t>竞标</w:t>
            </w:r>
            <w:r>
              <w:rPr>
                <w:rFonts w:hint="eastAsia" w:ascii="宋体" w:hAnsi="宋体" w:eastAsia="宋体" w:cs="宋体"/>
                <w:bCs/>
                <w:color w:val="auto"/>
                <w:sz w:val="21"/>
                <w:szCs w:val="21"/>
                <w:highlight w:val="none"/>
                <w:lang w:val="en-US" w:eastAsia="zh-CN"/>
              </w:rPr>
              <w:t>评审报价为1-10%=90%，B供应商的下浮系数报价为</w:t>
            </w:r>
            <w:r>
              <w:rPr>
                <w:rFonts w:hint="eastAsia" w:ascii="宋体" w:hAnsi="宋体" w:cs="宋体"/>
                <w:bCs/>
                <w:color w:val="auto"/>
                <w:sz w:val="21"/>
                <w:szCs w:val="21"/>
                <w:highlight w:val="none"/>
                <w:lang w:val="en-US" w:eastAsia="zh-CN"/>
              </w:rPr>
              <w:t>1</w:t>
            </w:r>
            <w:r>
              <w:rPr>
                <w:rFonts w:hint="eastAsia" w:ascii="宋体" w:hAnsi="宋体" w:eastAsia="宋体" w:cs="宋体"/>
                <w:bCs/>
                <w:color w:val="auto"/>
                <w:sz w:val="21"/>
                <w:szCs w:val="21"/>
                <w:highlight w:val="none"/>
                <w:lang w:val="en-US" w:eastAsia="zh-CN"/>
              </w:rPr>
              <w:t>5%则其</w:t>
            </w:r>
            <w:r>
              <w:rPr>
                <w:rFonts w:hint="eastAsia" w:ascii="宋体" w:hAnsi="宋体" w:cs="宋体"/>
                <w:bCs/>
                <w:color w:val="auto"/>
                <w:sz w:val="21"/>
                <w:szCs w:val="21"/>
                <w:highlight w:val="none"/>
                <w:lang w:val="en-US" w:eastAsia="zh-CN"/>
              </w:rPr>
              <w:t>竞标</w:t>
            </w:r>
            <w:r>
              <w:rPr>
                <w:rFonts w:hint="eastAsia" w:ascii="宋体" w:hAnsi="宋体" w:eastAsia="宋体" w:cs="宋体"/>
                <w:bCs/>
                <w:color w:val="auto"/>
                <w:sz w:val="21"/>
                <w:szCs w:val="21"/>
                <w:highlight w:val="none"/>
                <w:lang w:val="en-US" w:eastAsia="zh-CN"/>
              </w:rPr>
              <w:t>评审报价为1-</w:t>
            </w:r>
            <w:r>
              <w:rPr>
                <w:rFonts w:hint="eastAsia" w:ascii="宋体" w:hAnsi="宋体" w:cs="宋体"/>
                <w:bCs/>
                <w:color w:val="auto"/>
                <w:sz w:val="21"/>
                <w:szCs w:val="21"/>
                <w:highlight w:val="none"/>
                <w:lang w:val="en-US" w:eastAsia="zh-CN"/>
              </w:rPr>
              <w:t>1</w:t>
            </w:r>
            <w:r>
              <w:rPr>
                <w:rFonts w:hint="eastAsia" w:ascii="宋体" w:hAnsi="宋体" w:eastAsia="宋体" w:cs="宋体"/>
                <w:bCs/>
                <w:color w:val="auto"/>
                <w:sz w:val="21"/>
                <w:szCs w:val="21"/>
                <w:highlight w:val="none"/>
                <w:lang w:val="en-US" w:eastAsia="zh-CN"/>
              </w:rPr>
              <w:t>5%=</w:t>
            </w:r>
            <w:r>
              <w:rPr>
                <w:rFonts w:hint="eastAsia" w:ascii="宋体" w:hAnsi="宋体" w:cs="宋体"/>
                <w:bCs/>
                <w:color w:val="auto"/>
                <w:sz w:val="21"/>
                <w:szCs w:val="21"/>
                <w:highlight w:val="none"/>
                <w:lang w:val="en-US" w:eastAsia="zh-CN"/>
              </w:rPr>
              <w:t>8</w:t>
            </w:r>
            <w:r>
              <w:rPr>
                <w:rFonts w:hint="eastAsia" w:ascii="宋体" w:hAnsi="宋体" w:eastAsia="宋体" w:cs="宋体"/>
                <w:bCs/>
                <w:color w:val="auto"/>
                <w:sz w:val="21"/>
                <w:szCs w:val="21"/>
                <w:highlight w:val="none"/>
                <w:lang w:val="en-US" w:eastAsia="zh-CN"/>
              </w:rPr>
              <w:t>5%，最低的</w:t>
            </w:r>
            <w:r>
              <w:rPr>
                <w:rFonts w:hint="eastAsia" w:ascii="宋体" w:hAnsi="宋体" w:cs="宋体"/>
                <w:bCs/>
                <w:color w:val="auto"/>
                <w:sz w:val="21"/>
                <w:szCs w:val="21"/>
                <w:highlight w:val="none"/>
                <w:lang w:val="en-US" w:eastAsia="zh-CN"/>
              </w:rPr>
              <w:t>竞标</w:t>
            </w:r>
            <w:r>
              <w:rPr>
                <w:rFonts w:hint="eastAsia" w:ascii="宋体" w:hAnsi="宋体" w:eastAsia="宋体" w:cs="宋体"/>
                <w:bCs/>
                <w:color w:val="auto"/>
                <w:sz w:val="21"/>
                <w:szCs w:val="21"/>
                <w:highlight w:val="none"/>
                <w:lang w:val="en-US" w:eastAsia="zh-CN"/>
              </w:rPr>
              <w:t>评审报价则为</w:t>
            </w:r>
            <w:r>
              <w:rPr>
                <w:rFonts w:hint="eastAsia" w:ascii="宋体" w:hAnsi="宋体" w:cs="宋体"/>
                <w:bCs/>
                <w:color w:val="auto"/>
                <w:sz w:val="21"/>
                <w:szCs w:val="21"/>
                <w:highlight w:val="none"/>
                <w:lang w:val="en-US" w:eastAsia="zh-CN"/>
              </w:rPr>
              <w:t>85</w:t>
            </w:r>
            <w:r>
              <w:rPr>
                <w:rFonts w:hint="eastAsia" w:ascii="宋体" w:hAnsi="宋体" w:eastAsia="宋体" w:cs="宋体"/>
                <w:bCs/>
                <w:color w:val="auto"/>
                <w:sz w:val="21"/>
                <w:szCs w:val="21"/>
                <w:highlight w:val="none"/>
                <w:lang w:val="en-US" w:eastAsia="zh-CN"/>
              </w:rPr>
              <w:t>%。</w:t>
            </w:r>
          </w:p>
          <w:p w14:paraId="512797C0">
            <w:pPr>
              <w:keepNext w:val="0"/>
              <w:keepLines w:val="0"/>
              <w:pageBreakBefore w:val="0"/>
              <w:kinsoku/>
              <w:wordWrap/>
              <w:overflowPunct/>
              <w:topLinePunct w:val="0"/>
              <w:autoSpaceDE/>
              <w:autoSpaceDN/>
              <w:bidi w:val="0"/>
              <w:adjustRightInd/>
              <w:spacing w:line="380" w:lineRule="exact"/>
              <w:ind w:firstLine="42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（4）价格分计算公式：        </w:t>
            </w:r>
          </w:p>
          <w:p w14:paraId="330AC86A">
            <w:pPr>
              <w:keepNext w:val="0"/>
              <w:keepLines w:val="0"/>
              <w:pageBreakBefore w:val="0"/>
              <w:kinsoku/>
              <w:wordWrap/>
              <w:overflowPunct/>
              <w:topLinePunct w:val="0"/>
              <w:autoSpaceDE/>
              <w:autoSpaceDN/>
              <w:bidi w:val="0"/>
              <w:adjustRightInd/>
              <w:spacing w:line="380" w:lineRule="exact"/>
              <w:ind w:firstLine="420"/>
              <w:rPr>
                <w:rFonts w:hAnsi="宋体" w:cs="Courier New"/>
                <w:bCs/>
                <w:color w:val="auto"/>
                <w:highlight w:val="none"/>
                <w:lang w:val="en-US" w:eastAsia="zh-CN"/>
              </w:rPr>
            </w:pPr>
            <w:r>
              <w:rPr>
                <w:rFonts w:hint="eastAsia" w:ascii="宋体" w:hAnsi="宋体" w:cs="Courier New"/>
                <w:bCs/>
                <w:color w:val="auto"/>
                <w:szCs w:val="21"/>
                <w:highlight w:val="none"/>
              </w:rPr>
              <w:t>某供应商的</w:t>
            </w:r>
            <w:r>
              <w:rPr>
                <w:rFonts w:hint="eastAsia" w:ascii="宋体" w:hAnsi="宋体" w:cs="Courier New"/>
                <w:bCs/>
                <w:color w:val="auto"/>
                <w:szCs w:val="21"/>
                <w:highlight w:val="none"/>
                <w:lang w:eastAsia="zh-CN"/>
              </w:rPr>
              <w:t>下浮</w:t>
            </w:r>
            <w:r>
              <w:rPr>
                <w:rFonts w:hint="eastAsia" w:ascii="宋体" w:hAnsi="宋体" w:cs="Courier New"/>
                <w:bCs/>
                <w:color w:val="auto"/>
                <w:szCs w:val="21"/>
                <w:highlight w:val="none"/>
              </w:rPr>
              <w:t>系数报价分=基准价/</w:t>
            </w:r>
            <w:r>
              <w:rPr>
                <w:rFonts w:hint="eastAsia" w:ascii="宋体" w:hAnsi="宋体" w:cs="Courier New"/>
                <w:bCs/>
                <w:color w:val="auto"/>
                <w:szCs w:val="21"/>
                <w:highlight w:val="none"/>
                <w:lang w:eastAsia="zh-CN"/>
              </w:rPr>
              <w:t>（</w:t>
            </w:r>
            <w:r>
              <w:rPr>
                <w:rFonts w:hint="eastAsia" w:ascii="宋体" w:hAnsi="宋体" w:cs="Courier New"/>
                <w:bCs/>
                <w:color w:val="auto"/>
                <w:szCs w:val="21"/>
                <w:highlight w:val="none"/>
                <w:lang w:val="en-US" w:eastAsia="zh-CN"/>
              </w:rPr>
              <w:t>1-</w:t>
            </w:r>
            <w:r>
              <w:rPr>
                <w:rFonts w:hint="eastAsia" w:ascii="宋体" w:hAnsi="宋体" w:cs="Courier New"/>
                <w:bCs/>
                <w:color w:val="auto"/>
                <w:szCs w:val="21"/>
                <w:highlight w:val="none"/>
              </w:rPr>
              <w:t>某供应商</w:t>
            </w:r>
            <w:r>
              <w:rPr>
                <w:rFonts w:hint="eastAsia"/>
                <w:color w:val="auto"/>
                <w:highlight w:val="none"/>
              </w:rPr>
              <w:t>最终</w:t>
            </w:r>
            <w:r>
              <w:rPr>
                <w:rFonts w:hint="eastAsia"/>
                <w:color w:val="auto"/>
                <w:highlight w:val="none"/>
                <w:lang w:eastAsia="zh-CN"/>
              </w:rPr>
              <w:t>下浮</w:t>
            </w:r>
            <w:r>
              <w:rPr>
                <w:rFonts w:hint="eastAsia" w:ascii="宋体" w:hAnsi="宋体" w:cs="Courier New"/>
                <w:bCs/>
                <w:color w:val="auto"/>
                <w:szCs w:val="21"/>
                <w:highlight w:val="none"/>
              </w:rPr>
              <w:t>系数报价</w:t>
            </w:r>
            <w:r>
              <w:rPr>
                <w:rFonts w:hint="eastAsia" w:ascii="宋体" w:hAnsi="宋体" w:cs="Courier New"/>
                <w:bCs/>
                <w:color w:val="auto"/>
                <w:szCs w:val="21"/>
                <w:highlight w:val="none"/>
                <w:lang w:eastAsia="zh-CN"/>
              </w:rPr>
              <w:t>）</w:t>
            </w:r>
            <w:r>
              <w:rPr>
                <w:rFonts w:hint="eastAsia" w:ascii="宋体" w:hAnsi="宋体" w:cs="Courier New"/>
                <w:bCs/>
                <w:color w:val="auto"/>
                <w:szCs w:val="21"/>
                <w:highlight w:val="none"/>
              </w:rPr>
              <w:t>×</w:t>
            </w:r>
            <w:r>
              <w:rPr>
                <w:rFonts w:hint="eastAsia" w:ascii="宋体" w:hAnsi="宋体" w:cs="Courier New"/>
                <w:bCs/>
                <w:color w:val="auto"/>
                <w:szCs w:val="21"/>
                <w:highlight w:val="none"/>
                <w:lang w:val="en-US" w:eastAsia="zh-CN"/>
              </w:rPr>
              <w:t>15</w:t>
            </w:r>
            <w:r>
              <w:rPr>
                <w:rFonts w:hint="eastAsia" w:ascii="宋体" w:hAnsi="宋体" w:cs="Courier New"/>
                <w:bCs/>
                <w:color w:val="auto"/>
                <w:szCs w:val="21"/>
                <w:highlight w:val="none"/>
              </w:rPr>
              <w:t>分。</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0FEB36ED">
            <w:pPr>
              <w:keepNext w:val="0"/>
              <w:keepLines w:val="0"/>
              <w:pageBreakBefore w:val="0"/>
              <w:widowControl/>
              <w:kinsoku/>
              <w:wordWrap/>
              <w:overflowPunct/>
              <w:topLinePunct w:val="0"/>
              <w:autoSpaceDE/>
              <w:autoSpaceDN/>
              <w:bidi w:val="0"/>
              <w:adjustRightInd/>
              <w:spacing w:line="380" w:lineRule="exact"/>
              <w:jc w:val="center"/>
              <w:rPr>
                <w:rFonts w:ascii="宋体" w:hAnsi="宋体" w:cs="Tahoma"/>
                <w:color w:val="auto"/>
                <w:kern w:val="0"/>
                <w:szCs w:val="21"/>
                <w:highlight w:val="none"/>
              </w:rPr>
            </w:pPr>
            <w:r>
              <w:rPr>
                <w:rFonts w:hint="eastAsia" w:ascii="宋体" w:hAnsi="宋体" w:cs="Tahoma"/>
                <w:color w:val="auto"/>
                <w:kern w:val="0"/>
                <w:szCs w:val="21"/>
                <w:highlight w:val="none"/>
                <w:lang w:val="en-US" w:eastAsia="zh-CN"/>
              </w:rPr>
              <w:t>15</w:t>
            </w:r>
            <w:r>
              <w:rPr>
                <w:rFonts w:hint="eastAsia" w:ascii="宋体" w:hAnsi="宋体" w:cs="Tahoma"/>
                <w:color w:val="auto"/>
                <w:kern w:val="0"/>
                <w:szCs w:val="21"/>
                <w:highlight w:val="none"/>
              </w:rPr>
              <w:t>分</w:t>
            </w:r>
          </w:p>
        </w:tc>
      </w:tr>
      <w:tr w14:paraId="7AD91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tcBorders>
              <w:top w:val="single" w:color="auto" w:sz="4" w:space="0"/>
              <w:left w:val="single" w:color="auto" w:sz="4" w:space="0"/>
              <w:bottom w:val="single" w:color="auto" w:sz="4" w:space="0"/>
              <w:right w:val="single" w:color="auto" w:sz="4" w:space="0"/>
            </w:tcBorders>
            <w:noWrap w:val="0"/>
            <w:vAlign w:val="center"/>
          </w:tcPr>
          <w:p w14:paraId="627C1961">
            <w:pPr>
              <w:keepNext w:val="0"/>
              <w:keepLines w:val="0"/>
              <w:pageBreakBefore w:val="0"/>
              <w:widowControl/>
              <w:kinsoku/>
              <w:wordWrap/>
              <w:overflowPunct/>
              <w:topLinePunct w:val="0"/>
              <w:autoSpaceDE/>
              <w:autoSpaceDN/>
              <w:bidi w:val="0"/>
              <w:adjustRightInd/>
              <w:spacing w:line="380" w:lineRule="exact"/>
              <w:jc w:val="center"/>
              <w:rPr>
                <w:rFonts w:ascii="宋体" w:hAnsi="宋体" w:cs="Tahoma"/>
                <w:color w:val="auto"/>
                <w:kern w:val="0"/>
                <w:szCs w:val="21"/>
                <w:highlight w:val="none"/>
              </w:rPr>
            </w:pPr>
            <w:r>
              <w:rPr>
                <w:rFonts w:hint="eastAsia" w:ascii="宋体" w:hAnsi="宋体"/>
                <w:bCs/>
                <w:color w:val="auto"/>
                <w:kern w:val="0"/>
                <w:szCs w:val="21"/>
                <w:highlight w:val="none"/>
              </w:rPr>
              <w:t>2</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8FA6B0C">
            <w:pPr>
              <w:keepNext w:val="0"/>
              <w:keepLines w:val="0"/>
              <w:pageBreakBefore w:val="0"/>
              <w:widowControl/>
              <w:kinsoku/>
              <w:wordWrap/>
              <w:overflowPunct/>
              <w:topLinePunct w:val="0"/>
              <w:autoSpaceDE/>
              <w:autoSpaceDN/>
              <w:bidi w:val="0"/>
              <w:adjustRightInd/>
              <w:spacing w:line="380" w:lineRule="exact"/>
              <w:jc w:val="center"/>
              <w:rPr>
                <w:rFonts w:hint="eastAsia" w:ascii="宋体" w:hAnsi="宋体" w:eastAsia="宋体" w:cs="Tahoma"/>
                <w:color w:val="auto"/>
                <w:kern w:val="0"/>
                <w:szCs w:val="21"/>
                <w:highlight w:val="none"/>
                <w:lang w:eastAsia="zh-CN"/>
              </w:rPr>
            </w:pPr>
            <w:r>
              <w:rPr>
                <w:rFonts w:hint="eastAsia" w:ascii="宋体" w:hAnsi="宋体"/>
                <w:bCs/>
                <w:color w:val="auto"/>
                <w:kern w:val="0"/>
                <w:szCs w:val="21"/>
                <w:highlight w:val="none"/>
              </w:rPr>
              <w:t>技术</w:t>
            </w:r>
            <w:r>
              <w:rPr>
                <w:rFonts w:hint="eastAsia" w:ascii="宋体" w:hAnsi="宋体"/>
                <w:bCs/>
                <w:color w:val="auto"/>
                <w:kern w:val="0"/>
                <w:szCs w:val="21"/>
                <w:highlight w:val="none"/>
                <w:lang w:eastAsia="zh-CN"/>
              </w:rPr>
              <w:t>服务方案</w:t>
            </w:r>
          </w:p>
        </w:tc>
        <w:tc>
          <w:tcPr>
            <w:tcW w:w="7139" w:type="dxa"/>
            <w:gridSpan w:val="2"/>
            <w:tcBorders>
              <w:top w:val="single" w:color="auto" w:sz="4" w:space="0"/>
              <w:left w:val="single" w:color="auto" w:sz="4" w:space="0"/>
              <w:bottom w:val="single" w:color="auto" w:sz="4" w:space="0"/>
              <w:right w:val="single" w:color="auto" w:sz="4" w:space="0"/>
            </w:tcBorders>
            <w:noWrap w:val="0"/>
            <w:vAlign w:val="top"/>
          </w:tcPr>
          <w:p w14:paraId="55720B1E">
            <w:pPr>
              <w:keepNext w:val="0"/>
              <w:keepLines w:val="0"/>
              <w:pageBreakBefore w:val="0"/>
              <w:widowControl/>
              <w:kinsoku/>
              <w:wordWrap/>
              <w:overflowPunct/>
              <w:topLinePunct w:val="0"/>
              <w:autoSpaceDE/>
              <w:autoSpaceDN/>
              <w:bidi w:val="0"/>
              <w:adjustRightInd/>
              <w:spacing w:line="380" w:lineRule="exact"/>
              <w:jc w:val="center"/>
              <w:rPr>
                <w:rFonts w:ascii="宋体" w:hAnsi="宋体" w:cs="Tahoma"/>
                <w:color w:val="auto"/>
                <w:kern w:val="0"/>
                <w:szCs w:val="21"/>
                <w:highlight w:val="none"/>
              </w:rPr>
            </w:pPr>
            <w:r>
              <w:rPr>
                <w:rFonts w:hint="eastAsia" w:ascii="宋体" w:hAnsi="宋体" w:cs="Tahoma"/>
                <w:color w:val="auto"/>
                <w:kern w:val="0"/>
                <w:szCs w:val="21"/>
                <w:highlight w:val="none"/>
              </w:rPr>
              <w:t>评审因素</w:t>
            </w:r>
          </w:p>
        </w:tc>
      </w:tr>
      <w:tr w14:paraId="147FF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533" w:type="dxa"/>
            <w:tcBorders>
              <w:top w:val="single" w:color="auto" w:sz="4" w:space="0"/>
              <w:left w:val="single" w:color="auto" w:sz="4" w:space="0"/>
              <w:bottom w:val="single" w:color="auto" w:sz="4" w:space="0"/>
              <w:right w:val="single" w:color="auto" w:sz="4" w:space="0"/>
            </w:tcBorders>
            <w:noWrap w:val="0"/>
            <w:vAlign w:val="center"/>
          </w:tcPr>
          <w:p w14:paraId="0ED44447">
            <w:pPr>
              <w:keepNext w:val="0"/>
              <w:keepLines w:val="0"/>
              <w:pageBreakBefore w:val="0"/>
              <w:kinsoku/>
              <w:wordWrap/>
              <w:overflowPunct/>
              <w:topLinePunct w:val="0"/>
              <w:autoSpaceDE/>
              <w:autoSpaceDN/>
              <w:bidi w:val="0"/>
              <w:adjustRightInd/>
              <w:spacing w:line="380" w:lineRule="exact"/>
              <w:ind w:left="-105" w:leftChars="-50" w:right="-105" w:rightChars="-50"/>
              <w:jc w:val="center"/>
              <w:rPr>
                <w:rFonts w:ascii="宋体" w:hAnsi="宋体"/>
                <w:bCs/>
                <w:color w:val="auto"/>
                <w:kern w:val="0"/>
                <w:szCs w:val="21"/>
                <w:highlight w:val="none"/>
              </w:rPr>
            </w:pPr>
            <w:r>
              <w:rPr>
                <w:rFonts w:hint="eastAsia" w:ascii="宋体" w:hAnsi="宋体"/>
                <w:bCs/>
                <w:color w:val="auto"/>
                <w:kern w:val="0"/>
                <w:szCs w:val="21"/>
                <w:highlight w:val="none"/>
              </w:rPr>
              <w:t>2</w:t>
            </w:r>
            <w:r>
              <w:rPr>
                <w:rFonts w:ascii="宋体" w:hAnsi="宋体"/>
                <w:bCs/>
                <w:color w:val="auto"/>
                <w:kern w:val="0"/>
                <w:szCs w:val="21"/>
                <w:highlight w:val="none"/>
              </w:rPr>
              <w:t>.1</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A8069F0">
            <w:pPr>
              <w:keepNext w:val="0"/>
              <w:keepLines w:val="0"/>
              <w:pageBreakBefore w:val="0"/>
              <w:kinsoku/>
              <w:wordWrap/>
              <w:overflowPunct/>
              <w:topLinePunct w:val="0"/>
              <w:autoSpaceDE/>
              <w:autoSpaceDN/>
              <w:bidi w:val="0"/>
              <w:adjustRightInd/>
              <w:spacing w:line="380" w:lineRule="exact"/>
              <w:jc w:val="center"/>
              <w:rPr>
                <w:rFonts w:hint="eastAsia" w:ascii="宋体" w:hAnsi="宋体" w:eastAsia="宋体" w:cs="宋体"/>
                <w:bCs/>
                <w:color w:val="auto"/>
                <w:szCs w:val="21"/>
                <w:highlight w:val="none"/>
              </w:rPr>
            </w:pPr>
            <w:r>
              <w:rPr>
                <w:rFonts w:hint="eastAsia" w:ascii="宋体" w:hAnsi="宋体" w:eastAsia="宋体" w:cs="宋体"/>
                <w:b w:val="0"/>
                <w:bCs/>
                <w:color w:val="auto"/>
                <w:sz w:val="21"/>
                <w:szCs w:val="21"/>
                <w:highlight w:val="none"/>
                <w:lang w:val="en-US" w:eastAsia="zh-CN"/>
              </w:rPr>
              <w:t>项目实施方案</w:t>
            </w:r>
          </w:p>
        </w:tc>
        <w:tc>
          <w:tcPr>
            <w:tcW w:w="6423" w:type="dxa"/>
            <w:tcBorders>
              <w:top w:val="single" w:color="auto" w:sz="4" w:space="0"/>
              <w:left w:val="single" w:color="auto" w:sz="4" w:space="0"/>
              <w:bottom w:val="single" w:color="auto" w:sz="4" w:space="0"/>
              <w:right w:val="single" w:color="auto" w:sz="4" w:space="0"/>
            </w:tcBorders>
            <w:noWrap w:val="0"/>
            <w:vAlign w:val="top"/>
          </w:tcPr>
          <w:p w14:paraId="0C802503">
            <w:pPr>
              <w:keepNext w:val="0"/>
              <w:keepLines w:val="0"/>
              <w:pageBreakBefore w:val="0"/>
              <w:kinsoku/>
              <w:wordWrap/>
              <w:overflowPunct/>
              <w:topLinePunct w:val="0"/>
              <w:autoSpaceDE/>
              <w:autoSpaceDN/>
              <w:bidi w:val="0"/>
              <w:adjustRightInd/>
              <w:spacing w:line="380" w:lineRule="exact"/>
              <w:ind w:firstLine="420" w:firstLineChars="200"/>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由磋商小组成员根据供应商提供的</w:t>
            </w:r>
            <w:r>
              <w:rPr>
                <w:rFonts w:hint="eastAsia" w:ascii="宋体" w:hAnsi="宋体" w:cs="宋体"/>
                <w:bCs/>
                <w:color w:val="auto"/>
                <w:szCs w:val="21"/>
                <w:highlight w:val="none"/>
                <w:lang w:val="en-US" w:eastAsia="zh-CN"/>
              </w:rPr>
              <w:t>项目实施方案</w:t>
            </w:r>
            <w:r>
              <w:rPr>
                <w:rFonts w:hint="eastAsia" w:ascii="宋体" w:hAnsi="宋体" w:cs="宋体"/>
                <w:bCs/>
                <w:color w:val="auto"/>
                <w:szCs w:val="21"/>
                <w:highlight w:val="none"/>
              </w:rPr>
              <w:t>进行独立评审并独立打分</w:t>
            </w:r>
            <w:r>
              <w:rPr>
                <w:rFonts w:hint="eastAsia" w:ascii="宋体" w:hAnsi="宋体" w:cs="宋体"/>
                <w:bCs/>
                <w:color w:val="auto"/>
                <w:szCs w:val="21"/>
                <w:highlight w:val="none"/>
                <w:lang w:eastAsia="zh-CN"/>
              </w:rPr>
              <w:t>，未进档不得分。</w:t>
            </w:r>
          </w:p>
          <w:p w14:paraId="6D9DE334">
            <w:pPr>
              <w:pStyle w:val="9"/>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eastAsia="zh-CN"/>
              </w:rPr>
              <w:t>一</w:t>
            </w:r>
            <w:r>
              <w:rPr>
                <w:rFonts w:hint="eastAsia" w:ascii="宋体" w:hAnsi="宋体" w:eastAsia="宋体" w:cs="宋体"/>
                <w:b w:val="0"/>
                <w:bCs/>
                <w:color w:val="auto"/>
                <w:sz w:val="21"/>
                <w:szCs w:val="21"/>
                <w:highlight w:val="none"/>
              </w:rPr>
              <w:t>档（</w:t>
            </w:r>
            <w:r>
              <w:rPr>
                <w:rFonts w:hint="eastAsia" w:ascii="宋体" w:hAnsi="宋体" w:cs="宋体"/>
                <w:b w:val="0"/>
                <w:bCs/>
                <w:color w:val="auto"/>
                <w:sz w:val="21"/>
                <w:szCs w:val="21"/>
                <w:highlight w:val="none"/>
                <w:lang w:val="en-US" w:eastAsia="zh-CN"/>
              </w:rPr>
              <w:t>6</w:t>
            </w:r>
            <w:r>
              <w:rPr>
                <w:rFonts w:hint="eastAsia" w:ascii="宋体" w:hAnsi="宋体" w:eastAsia="宋体" w:cs="宋体"/>
                <w:b w:val="0"/>
                <w:bCs/>
                <w:color w:val="auto"/>
                <w:sz w:val="21"/>
                <w:szCs w:val="21"/>
                <w:highlight w:val="none"/>
              </w:rPr>
              <w:t>分）：</w:t>
            </w:r>
            <w:r>
              <w:rPr>
                <w:rFonts w:hint="eastAsia" w:ascii="宋体" w:hAnsi="宋体" w:eastAsia="宋体" w:cs="宋体"/>
                <w:b w:val="0"/>
                <w:bCs/>
                <w:color w:val="auto"/>
                <w:sz w:val="21"/>
                <w:szCs w:val="21"/>
                <w:highlight w:val="none"/>
                <w:lang w:val="en-US" w:eastAsia="zh-CN"/>
              </w:rPr>
              <w:t>提供</w:t>
            </w:r>
            <w:r>
              <w:rPr>
                <w:rFonts w:hint="eastAsia" w:ascii="宋体" w:hAnsi="宋体" w:eastAsia="宋体" w:cs="宋体"/>
                <w:b w:val="0"/>
                <w:bCs/>
                <w:color w:val="auto"/>
                <w:sz w:val="21"/>
                <w:szCs w:val="21"/>
                <w:highlight w:val="none"/>
                <w:lang w:eastAsia="zh-CN"/>
              </w:rPr>
              <w:t>项目</w:t>
            </w:r>
            <w:r>
              <w:rPr>
                <w:rFonts w:hint="eastAsia" w:ascii="宋体" w:hAnsi="宋体" w:eastAsia="宋体" w:cs="宋体"/>
                <w:b w:val="0"/>
                <w:bCs/>
                <w:color w:val="auto"/>
                <w:sz w:val="21"/>
                <w:szCs w:val="21"/>
                <w:highlight w:val="none"/>
                <w:lang w:val="en-US" w:eastAsia="zh-CN"/>
              </w:rPr>
              <w:t>实施方案，包含供货流程、卫生管理措施，提供</w:t>
            </w:r>
            <w:r>
              <w:rPr>
                <w:rFonts w:hint="eastAsia" w:ascii="宋体" w:hAnsi="宋体" w:eastAsia="宋体" w:cs="宋体"/>
                <w:b w:val="0"/>
                <w:bCs/>
                <w:color w:val="auto"/>
                <w:sz w:val="21"/>
                <w:szCs w:val="21"/>
                <w:highlight w:val="none"/>
                <w:lang w:eastAsia="zh-CN"/>
              </w:rPr>
              <w:t>基本的项目</w:t>
            </w:r>
            <w:r>
              <w:rPr>
                <w:rFonts w:hint="eastAsia" w:ascii="宋体" w:hAnsi="宋体" w:eastAsia="宋体" w:cs="宋体"/>
                <w:b w:val="0"/>
                <w:bCs/>
                <w:color w:val="auto"/>
                <w:sz w:val="21"/>
                <w:szCs w:val="21"/>
                <w:highlight w:val="none"/>
                <w:lang w:val="en-US" w:eastAsia="zh-CN"/>
              </w:rPr>
              <w:t>采购</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装卸、配送流程措施，制定配送计划。</w:t>
            </w:r>
          </w:p>
          <w:p w14:paraId="5F0E7FDE">
            <w:pPr>
              <w:pStyle w:val="9"/>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hint="eastAsia" w:ascii="宋体" w:hAnsi="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二</w:t>
            </w:r>
            <w:r>
              <w:rPr>
                <w:rFonts w:hint="eastAsia" w:ascii="宋体" w:hAnsi="宋体" w:eastAsia="宋体" w:cs="宋体"/>
                <w:b w:val="0"/>
                <w:bCs/>
                <w:color w:val="auto"/>
                <w:sz w:val="21"/>
                <w:szCs w:val="21"/>
                <w:highlight w:val="none"/>
              </w:rPr>
              <w:t>档（</w:t>
            </w:r>
            <w:r>
              <w:rPr>
                <w:rFonts w:hint="eastAsia" w:ascii="宋体" w:hAnsi="宋体" w:cs="宋体"/>
                <w:b w:val="0"/>
                <w:bCs/>
                <w:color w:val="auto"/>
                <w:sz w:val="21"/>
                <w:szCs w:val="21"/>
                <w:highlight w:val="none"/>
                <w:lang w:val="en-US" w:eastAsia="zh-CN"/>
              </w:rPr>
              <w:t>9</w:t>
            </w:r>
            <w:r>
              <w:rPr>
                <w:rFonts w:hint="eastAsia" w:ascii="宋体" w:hAnsi="宋体" w:eastAsia="宋体" w:cs="宋体"/>
                <w:b w:val="0"/>
                <w:bCs/>
                <w:color w:val="auto"/>
                <w:sz w:val="21"/>
                <w:szCs w:val="21"/>
                <w:highlight w:val="none"/>
              </w:rPr>
              <w:t>分）：提供项目实施方案，同时满足以下条件：①提供供货流程图；②制定配送计划，明确配送时间、进度安排；③提供公司卫生管理办法</w:t>
            </w:r>
            <w:r>
              <w:rPr>
                <w:rFonts w:hint="eastAsia" w:ascii="宋体" w:hAnsi="宋体" w:cs="宋体"/>
                <w:b w:val="0"/>
                <w:bCs/>
                <w:color w:val="auto"/>
                <w:sz w:val="21"/>
                <w:szCs w:val="21"/>
                <w:highlight w:val="none"/>
                <w:lang w:eastAsia="zh-CN"/>
              </w:rPr>
              <w:t>。</w:t>
            </w:r>
          </w:p>
          <w:p w14:paraId="2C44F1BF">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hint="eastAsia" w:ascii="宋体" w:hAnsi="宋体" w:cs="宋体"/>
                <w:bCs/>
                <w:color w:val="auto"/>
                <w:kern w:val="0"/>
                <w:szCs w:val="21"/>
                <w:highlight w:val="none"/>
              </w:rPr>
            </w:pPr>
            <w:r>
              <w:rPr>
                <w:rFonts w:hint="eastAsia" w:ascii="宋体" w:hAnsi="宋体" w:eastAsia="宋体" w:cs="宋体"/>
                <w:b w:val="0"/>
                <w:bCs/>
                <w:color w:val="auto"/>
                <w:sz w:val="21"/>
                <w:szCs w:val="21"/>
                <w:highlight w:val="none"/>
                <w:lang w:val="en-US" w:eastAsia="zh-CN"/>
              </w:rPr>
              <w:t>三</w:t>
            </w:r>
            <w:r>
              <w:rPr>
                <w:rFonts w:hint="eastAsia" w:ascii="宋体" w:hAnsi="宋体" w:eastAsia="宋体" w:cs="宋体"/>
                <w:b w:val="0"/>
                <w:bCs/>
                <w:color w:val="auto"/>
                <w:sz w:val="21"/>
                <w:szCs w:val="21"/>
                <w:highlight w:val="none"/>
              </w:rPr>
              <w:t>档（</w:t>
            </w:r>
            <w:r>
              <w:rPr>
                <w:rFonts w:hint="eastAsia" w:ascii="宋体" w:hAnsi="宋体" w:cs="宋体"/>
                <w:b w:val="0"/>
                <w:bCs/>
                <w:color w:val="auto"/>
                <w:sz w:val="21"/>
                <w:szCs w:val="21"/>
                <w:highlight w:val="none"/>
                <w:lang w:val="en-US" w:eastAsia="zh-CN"/>
              </w:rPr>
              <w:t>12</w:t>
            </w:r>
            <w:r>
              <w:rPr>
                <w:rFonts w:hint="eastAsia" w:ascii="宋体" w:hAnsi="宋体" w:eastAsia="宋体" w:cs="宋体"/>
                <w:b w:val="0"/>
                <w:bCs/>
                <w:color w:val="auto"/>
                <w:sz w:val="21"/>
                <w:szCs w:val="21"/>
                <w:highlight w:val="none"/>
              </w:rPr>
              <w:t>分）：提供完整的项目实施方案，同时满足以下全部条件：①提供供货流程图，流程标注关键控制点（采购、分拣、装车、运输、交付）；②制定配送计划，明确每日配送时间、进度安排、车辆选择、食材装载要求、配送路线规划；③提供公司卫生管理制度文件，明确配送场地卫生消杀计划、车辆清洁及消毒计划、用具清洁消毒规范</w:t>
            </w:r>
            <w:r>
              <w:rPr>
                <w:rFonts w:hint="eastAsia" w:ascii="宋体" w:hAnsi="宋体" w:cs="宋体"/>
                <w:b w:val="0"/>
                <w:bCs/>
                <w:color w:val="auto"/>
                <w:sz w:val="21"/>
                <w:szCs w:val="21"/>
                <w:highlight w:val="none"/>
                <w:lang w:eastAsia="zh-CN"/>
              </w:rPr>
              <w:t>。</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1A26DA59">
            <w:pPr>
              <w:keepNext w:val="0"/>
              <w:keepLines w:val="0"/>
              <w:pageBreakBefore w:val="0"/>
              <w:kinsoku/>
              <w:wordWrap/>
              <w:overflowPunct/>
              <w:topLinePunct w:val="0"/>
              <w:autoSpaceDE/>
              <w:autoSpaceDN/>
              <w:bidi w:val="0"/>
              <w:adjustRightInd/>
              <w:spacing w:line="380" w:lineRule="exact"/>
              <w:jc w:val="center"/>
              <w:rPr>
                <w:rFonts w:ascii="宋体" w:hAnsi="宋体" w:cs="Courier New"/>
                <w:bCs/>
                <w:color w:val="auto"/>
                <w:szCs w:val="21"/>
                <w:highlight w:val="none"/>
              </w:rPr>
            </w:pPr>
            <w:r>
              <w:rPr>
                <w:rFonts w:hint="eastAsia" w:ascii="宋体" w:hAnsi="宋体" w:cs="宋体"/>
                <w:bCs/>
                <w:color w:val="auto"/>
                <w:szCs w:val="21"/>
                <w:highlight w:val="none"/>
                <w:lang w:val="en-US" w:eastAsia="zh-CN"/>
              </w:rPr>
              <w:t>12</w:t>
            </w:r>
            <w:r>
              <w:rPr>
                <w:rFonts w:hint="eastAsia" w:ascii="宋体" w:hAnsi="宋体" w:cs="Tahoma"/>
                <w:color w:val="auto"/>
                <w:kern w:val="0"/>
                <w:szCs w:val="21"/>
                <w:highlight w:val="none"/>
              </w:rPr>
              <w:t>分</w:t>
            </w:r>
          </w:p>
        </w:tc>
      </w:tr>
      <w:tr w14:paraId="27D67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533" w:type="dxa"/>
            <w:tcBorders>
              <w:top w:val="single" w:color="auto" w:sz="4" w:space="0"/>
              <w:left w:val="single" w:color="auto" w:sz="4" w:space="0"/>
              <w:bottom w:val="single" w:color="auto" w:sz="4" w:space="0"/>
              <w:right w:val="single" w:color="auto" w:sz="4" w:space="0"/>
            </w:tcBorders>
            <w:noWrap w:val="0"/>
            <w:vAlign w:val="center"/>
          </w:tcPr>
          <w:p w14:paraId="450AD3C4">
            <w:pPr>
              <w:keepNext w:val="0"/>
              <w:keepLines w:val="0"/>
              <w:pageBreakBefore w:val="0"/>
              <w:kinsoku/>
              <w:wordWrap/>
              <w:overflowPunct/>
              <w:topLinePunct w:val="0"/>
              <w:autoSpaceDE/>
              <w:autoSpaceDN/>
              <w:bidi w:val="0"/>
              <w:adjustRightInd/>
              <w:spacing w:line="380" w:lineRule="exact"/>
              <w:ind w:left="-105" w:leftChars="-50" w:right="-105" w:rightChars="-50"/>
              <w:jc w:val="center"/>
              <w:rPr>
                <w:rFonts w:ascii="宋体" w:hAnsi="宋体" w:eastAsia="宋体"/>
                <w:bCs/>
                <w:color w:val="auto"/>
                <w:kern w:val="0"/>
                <w:szCs w:val="21"/>
                <w:highlight w:val="none"/>
                <w:lang w:val="en-US" w:eastAsia="zh-CN"/>
              </w:rPr>
            </w:pPr>
            <w:r>
              <w:rPr>
                <w:rFonts w:hint="eastAsia" w:ascii="宋体" w:hAnsi="宋体"/>
                <w:bCs/>
                <w:color w:val="auto"/>
                <w:kern w:val="0"/>
                <w:szCs w:val="21"/>
                <w:highlight w:val="none"/>
                <w:lang w:val="en-US" w:eastAsia="zh-CN"/>
              </w:rPr>
              <w:t>2.2</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D944C1B">
            <w:pPr>
              <w:keepNext w:val="0"/>
              <w:keepLines w:val="0"/>
              <w:pageBreakBefore w:val="0"/>
              <w:kinsoku/>
              <w:wordWrap/>
              <w:overflowPunct/>
              <w:topLinePunct w:val="0"/>
              <w:autoSpaceDE/>
              <w:autoSpaceDN/>
              <w:bidi w:val="0"/>
              <w:adjustRightInd/>
              <w:spacing w:line="380" w:lineRule="exact"/>
              <w:rPr>
                <w:rFonts w:hint="eastAsia" w:ascii="宋体" w:hAnsi="宋体" w:eastAsia="宋体" w:cs="宋体"/>
                <w:bCs/>
                <w:color w:val="auto"/>
                <w:szCs w:val="21"/>
                <w:highlight w:val="none"/>
                <w:lang w:eastAsia="zh-CN"/>
              </w:rPr>
            </w:pPr>
            <w:r>
              <w:rPr>
                <w:rFonts w:hint="eastAsia" w:ascii="宋体" w:hAnsi="宋体" w:eastAsia="宋体" w:cs="宋体"/>
                <w:b w:val="0"/>
                <w:bCs/>
                <w:color w:val="auto"/>
                <w:sz w:val="21"/>
                <w:szCs w:val="21"/>
                <w:highlight w:val="none"/>
                <w:lang w:val="en-US" w:eastAsia="zh-CN"/>
              </w:rPr>
              <w:t>食材安全措施方案</w:t>
            </w:r>
          </w:p>
        </w:tc>
        <w:tc>
          <w:tcPr>
            <w:tcW w:w="6423" w:type="dxa"/>
            <w:tcBorders>
              <w:top w:val="single" w:color="auto" w:sz="4" w:space="0"/>
              <w:left w:val="single" w:color="auto" w:sz="4" w:space="0"/>
              <w:bottom w:val="single" w:color="auto" w:sz="4" w:space="0"/>
              <w:right w:val="single" w:color="auto" w:sz="4" w:space="0"/>
            </w:tcBorders>
            <w:noWrap w:val="0"/>
            <w:vAlign w:val="center"/>
          </w:tcPr>
          <w:p w14:paraId="503B786F">
            <w:pPr>
              <w:keepNext w:val="0"/>
              <w:keepLines w:val="0"/>
              <w:pageBreakBefore w:val="0"/>
              <w:kinsoku/>
              <w:wordWrap/>
              <w:overflowPunct/>
              <w:topLinePunct w:val="0"/>
              <w:autoSpaceDE/>
              <w:autoSpaceDN/>
              <w:bidi w:val="0"/>
              <w:adjustRightInd/>
              <w:spacing w:line="380" w:lineRule="exact"/>
              <w:ind w:firstLine="420" w:firstLineChars="200"/>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由磋商小组成员根据供应商提供的</w:t>
            </w:r>
            <w:r>
              <w:rPr>
                <w:rFonts w:hint="eastAsia" w:ascii="宋体" w:hAnsi="宋体" w:cs="宋体"/>
                <w:bCs/>
                <w:color w:val="auto"/>
                <w:szCs w:val="21"/>
                <w:highlight w:val="none"/>
                <w:lang w:val="en-US" w:eastAsia="zh-CN"/>
              </w:rPr>
              <w:t>食材安全措施方案</w:t>
            </w:r>
            <w:r>
              <w:rPr>
                <w:rFonts w:hint="eastAsia" w:ascii="宋体" w:hAnsi="宋体" w:cs="宋体"/>
                <w:bCs/>
                <w:color w:val="auto"/>
                <w:szCs w:val="21"/>
                <w:highlight w:val="none"/>
              </w:rPr>
              <w:t>进行独立评审并独立打分</w:t>
            </w:r>
            <w:r>
              <w:rPr>
                <w:rFonts w:hint="eastAsia" w:ascii="宋体" w:hAnsi="宋体" w:cs="宋体"/>
                <w:bCs/>
                <w:color w:val="auto"/>
                <w:szCs w:val="21"/>
                <w:highlight w:val="none"/>
                <w:lang w:eastAsia="zh-CN"/>
              </w:rPr>
              <w:t>，未进档不得分。</w:t>
            </w:r>
          </w:p>
          <w:p w14:paraId="51525A16">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b w:val="0"/>
                <w:bCs w:val="0"/>
                <w:color w:val="auto"/>
                <w:sz w:val="21"/>
                <w:szCs w:val="21"/>
                <w:highlight w:val="none"/>
                <w:lang w:val="zh-CN" w:eastAsia="zh-CN" w:bidi="zh-CN"/>
              </w:rPr>
            </w:pPr>
            <w:r>
              <w:rPr>
                <w:rFonts w:hint="eastAsia" w:ascii="宋体" w:hAnsi="宋体" w:eastAsia="宋体" w:cs="宋体"/>
                <w:b w:val="0"/>
                <w:bCs w:val="0"/>
                <w:color w:val="auto"/>
                <w:sz w:val="21"/>
                <w:szCs w:val="21"/>
                <w:highlight w:val="none"/>
                <w:lang w:val="en-US" w:eastAsia="zh-CN"/>
              </w:rPr>
              <w:t>一</w:t>
            </w:r>
            <w:r>
              <w:rPr>
                <w:rFonts w:hint="eastAsia" w:ascii="宋体" w:hAnsi="宋体" w:eastAsia="宋体" w:cs="宋体"/>
                <w:b w:val="0"/>
                <w:bCs w:val="0"/>
                <w:color w:val="auto"/>
                <w:sz w:val="21"/>
                <w:szCs w:val="21"/>
                <w:highlight w:val="none"/>
              </w:rPr>
              <w:t>档（</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eastAsia="zh-CN"/>
              </w:rPr>
              <w:t>对</w:t>
            </w:r>
            <w:r>
              <w:rPr>
                <w:rFonts w:hint="eastAsia" w:ascii="宋体" w:hAnsi="宋体" w:eastAsia="宋体" w:cs="宋体"/>
                <w:b w:val="0"/>
                <w:bCs w:val="0"/>
                <w:color w:val="auto"/>
                <w:sz w:val="21"/>
                <w:szCs w:val="21"/>
                <w:highlight w:val="none"/>
                <w:lang w:val="zh-CN" w:eastAsia="zh-CN" w:bidi="zh-CN"/>
              </w:rPr>
              <w:t>进货采购渠道、食材安全</w:t>
            </w:r>
            <w:r>
              <w:rPr>
                <w:rFonts w:hint="eastAsia" w:ascii="宋体" w:hAnsi="宋体" w:cs="宋体"/>
                <w:b w:val="0"/>
                <w:bCs w:val="0"/>
                <w:color w:val="auto"/>
                <w:sz w:val="21"/>
                <w:szCs w:val="21"/>
                <w:highlight w:val="none"/>
                <w:lang w:val="en-US" w:eastAsia="zh-CN" w:bidi="zh-CN"/>
              </w:rPr>
              <w:t>有简单的</w:t>
            </w:r>
            <w:r>
              <w:rPr>
                <w:rFonts w:hint="eastAsia" w:ascii="宋体" w:hAnsi="宋体" w:eastAsia="宋体" w:cs="宋体"/>
                <w:b w:val="0"/>
                <w:bCs w:val="0"/>
                <w:color w:val="auto"/>
                <w:sz w:val="21"/>
                <w:szCs w:val="21"/>
                <w:highlight w:val="none"/>
                <w:lang w:val="zh-CN" w:eastAsia="zh-CN" w:bidi="zh-CN"/>
              </w:rPr>
              <w:t>控制管理措施</w:t>
            </w:r>
            <w:r>
              <w:rPr>
                <w:rFonts w:hint="eastAsia" w:ascii="宋体" w:hAnsi="宋体" w:cs="宋体"/>
                <w:b w:val="0"/>
                <w:bCs w:val="0"/>
                <w:color w:val="auto"/>
                <w:sz w:val="21"/>
                <w:szCs w:val="21"/>
                <w:highlight w:val="none"/>
                <w:lang w:val="zh-CN" w:eastAsia="zh-CN" w:bidi="zh-CN"/>
              </w:rPr>
              <w:t>，</w:t>
            </w:r>
            <w:r>
              <w:rPr>
                <w:rFonts w:hint="eastAsia" w:ascii="宋体" w:hAnsi="宋体" w:eastAsia="宋体" w:cs="宋体"/>
                <w:b w:val="0"/>
                <w:bCs w:val="0"/>
                <w:color w:val="auto"/>
                <w:sz w:val="21"/>
                <w:szCs w:val="21"/>
                <w:highlight w:val="none"/>
                <w:lang w:val="zh-CN" w:eastAsia="zh-CN" w:bidi="zh-CN"/>
              </w:rPr>
              <w:t>检验检疫措施、食材质量标准</w:t>
            </w:r>
            <w:r>
              <w:rPr>
                <w:rFonts w:hint="eastAsia" w:ascii="宋体" w:hAnsi="宋体" w:cs="宋体"/>
                <w:b w:val="0"/>
                <w:bCs w:val="0"/>
                <w:color w:val="auto"/>
                <w:sz w:val="21"/>
                <w:szCs w:val="21"/>
                <w:highlight w:val="none"/>
                <w:lang w:val="zh-CN" w:eastAsia="zh-CN" w:bidi="zh-CN"/>
              </w:rPr>
              <w:t>不够详细。</w:t>
            </w:r>
          </w:p>
          <w:p w14:paraId="3D7E6258">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档（</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val="en-US" w:eastAsia="zh-CN"/>
              </w:rPr>
              <w:t>提供食材安全措施方案，</w:t>
            </w:r>
            <w:r>
              <w:rPr>
                <w:rFonts w:hint="eastAsia" w:ascii="宋体" w:hAnsi="宋体" w:eastAsia="宋体" w:cs="宋体"/>
                <w:b w:val="0"/>
                <w:bCs w:val="0"/>
                <w:color w:val="auto"/>
                <w:sz w:val="21"/>
                <w:szCs w:val="21"/>
                <w:highlight w:val="none"/>
                <w:lang w:eastAsia="zh-CN"/>
              </w:rPr>
              <w:t>对</w:t>
            </w:r>
            <w:r>
              <w:rPr>
                <w:rFonts w:hint="eastAsia" w:ascii="宋体" w:hAnsi="宋体" w:eastAsia="宋体" w:cs="宋体"/>
                <w:b w:val="0"/>
                <w:bCs w:val="0"/>
                <w:color w:val="auto"/>
                <w:sz w:val="21"/>
                <w:szCs w:val="21"/>
                <w:highlight w:val="none"/>
                <w:lang w:val="zh-CN" w:eastAsia="zh-CN" w:bidi="zh-CN"/>
              </w:rPr>
              <w:t>进货采购渠道、食材安全</w:t>
            </w:r>
            <w:r>
              <w:rPr>
                <w:rFonts w:hint="eastAsia" w:ascii="宋体" w:hAnsi="宋体" w:cs="宋体"/>
                <w:b w:val="0"/>
                <w:bCs w:val="0"/>
                <w:color w:val="auto"/>
                <w:sz w:val="21"/>
                <w:szCs w:val="21"/>
                <w:highlight w:val="none"/>
                <w:lang w:val="en-US" w:eastAsia="zh-CN" w:bidi="zh-CN"/>
              </w:rPr>
              <w:t>有简单的</w:t>
            </w:r>
            <w:r>
              <w:rPr>
                <w:rFonts w:hint="eastAsia" w:ascii="宋体" w:hAnsi="宋体" w:eastAsia="宋体" w:cs="宋体"/>
                <w:b w:val="0"/>
                <w:bCs w:val="0"/>
                <w:color w:val="auto"/>
                <w:sz w:val="21"/>
                <w:szCs w:val="21"/>
                <w:highlight w:val="none"/>
                <w:lang w:val="zh-CN" w:eastAsia="zh-CN" w:bidi="zh-CN"/>
              </w:rPr>
              <w:t>控制管理措施</w:t>
            </w:r>
            <w:r>
              <w:rPr>
                <w:rFonts w:hint="eastAsia" w:ascii="宋体" w:hAnsi="宋体" w:cs="宋体"/>
                <w:b w:val="0"/>
                <w:bCs w:val="0"/>
                <w:color w:val="auto"/>
                <w:sz w:val="21"/>
                <w:szCs w:val="21"/>
                <w:highlight w:val="none"/>
                <w:lang w:val="zh-CN" w:eastAsia="zh-CN" w:bidi="zh-CN"/>
              </w:rPr>
              <w:t>，</w:t>
            </w:r>
            <w:r>
              <w:rPr>
                <w:rFonts w:hint="eastAsia" w:ascii="宋体" w:hAnsi="宋体" w:eastAsia="宋体" w:cs="宋体"/>
                <w:b w:val="0"/>
                <w:bCs w:val="0"/>
                <w:color w:val="auto"/>
                <w:sz w:val="21"/>
                <w:szCs w:val="21"/>
                <w:highlight w:val="none"/>
                <w:lang w:val="zh-CN" w:eastAsia="zh-CN" w:bidi="zh-CN"/>
              </w:rPr>
              <w:t>检验检疫措施、食材质量标准等方面有描述，承诺有固定且稳定的进货渠道；</w:t>
            </w:r>
            <w:r>
              <w:rPr>
                <w:rFonts w:hint="eastAsia" w:ascii="宋体" w:hAnsi="宋体" w:eastAsia="宋体" w:cs="宋体"/>
                <w:b w:val="0"/>
                <w:bCs w:val="0"/>
                <w:color w:val="auto"/>
                <w:sz w:val="21"/>
                <w:szCs w:val="21"/>
                <w:highlight w:val="none"/>
                <w:lang w:val="en-US" w:eastAsia="zh-CN" w:bidi="zh-CN"/>
              </w:rPr>
              <w:t>具有</w:t>
            </w:r>
            <w:r>
              <w:rPr>
                <w:rFonts w:hint="eastAsia" w:ascii="宋体" w:hAnsi="宋体" w:eastAsia="宋体" w:cs="宋体"/>
                <w:b w:val="0"/>
                <w:bCs w:val="0"/>
                <w:color w:val="auto"/>
                <w:sz w:val="21"/>
                <w:szCs w:val="21"/>
                <w:highlight w:val="none"/>
                <w:lang w:val="zh-CN" w:eastAsia="zh-CN" w:bidi="zh-CN"/>
              </w:rPr>
              <w:t>食材安全控制管理措施及检验检疫措施，保证食材的卫生安全和质量稳定性。</w:t>
            </w:r>
          </w:p>
          <w:p w14:paraId="75A7F34D">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档（</w:t>
            </w:r>
            <w:r>
              <w:rPr>
                <w:rFonts w:hint="eastAsia" w:ascii="宋体" w:hAnsi="宋体" w:cs="宋体"/>
                <w:b w:val="0"/>
                <w:bCs w:val="0"/>
                <w:color w:val="auto"/>
                <w:sz w:val="21"/>
                <w:szCs w:val="21"/>
                <w:highlight w:val="none"/>
                <w:lang w:val="en-US" w:eastAsia="zh-CN"/>
              </w:rPr>
              <w:t>12</w:t>
            </w:r>
            <w:r>
              <w:rPr>
                <w:rFonts w:hint="eastAsia" w:ascii="宋体" w:hAnsi="宋体" w:eastAsia="宋体" w:cs="宋体"/>
                <w:b w:val="0"/>
                <w:bCs w:val="0"/>
                <w:color w:val="auto"/>
                <w:sz w:val="21"/>
                <w:szCs w:val="21"/>
                <w:highlight w:val="none"/>
              </w:rPr>
              <w:t>分）：建立相应的追溯体系，具有食材安全控制管理措施及检验检疫措施，有定期保质期检查流程等内容，保证食材的卫生安全和质量稳定性；同时具有进货采购渠道管理（含供应商评价机制）、检验检疫措施（覆盖蔬菜农药残留检测、肉类检疫证明、不合格产品处置机制）、保质期管理、贮存管理（明确分区及温控要求）、运输管理（明确温控及清洁消毒要求）等方面内容</w:t>
            </w:r>
            <w:r>
              <w:rPr>
                <w:rFonts w:hint="eastAsia" w:ascii="宋体" w:hAnsi="宋体" w:eastAsia="宋体" w:cs="宋体"/>
                <w:b w:val="0"/>
                <w:bCs w:val="0"/>
                <w:strike w:val="0"/>
                <w:dstrike w:val="0"/>
                <w:color w:val="auto"/>
                <w:sz w:val="21"/>
                <w:szCs w:val="21"/>
                <w:highlight w:val="none"/>
              </w:rPr>
              <w:t>，</w:t>
            </w:r>
            <w:r>
              <w:rPr>
                <w:rFonts w:hint="eastAsia" w:ascii="宋体" w:hAnsi="宋体" w:eastAsia="宋体" w:cs="宋体"/>
                <w:b w:val="0"/>
                <w:bCs w:val="0"/>
                <w:color w:val="auto"/>
                <w:sz w:val="21"/>
                <w:szCs w:val="21"/>
                <w:highlight w:val="none"/>
                <w:lang w:val="zh-CN" w:eastAsia="zh-CN" w:bidi="zh-CN"/>
              </w:rPr>
              <w:t>保证食材的卫生安全和质量稳定性。</w:t>
            </w:r>
          </w:p>
          <w:p w14:paraId="30EBE244">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eastAsia="zh-CN"/>
              </w:rPr>
              <w:t>四档（</w:t>
            </w:r>
            <w:r>
              <w:rPr>
                <w:rFonts w:hint="eastAsia" w:ascii="宋体" w:hAnsi="宋体" w:cs="宋体"/>
                <w:b w:val="0"/>
                <w:bCs w:val="0"/>
                <w:color w:val="auto"/>
                <w:sz w:val="21"/>
                <w:szCs w:val="21"/>
                <w:highlight w:val="none"/>
                <w:lang w:val="en-US" w:eastAsia="zh-CN"/>
              </w:rPr>
              <w:t>15分</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建立相应的追溯体系，具有食材安全控制管理措施及检验检疫措施，有定期保质期检查流程等内容，保证食材的卫生安全和质量稳定性；同时具有进货采购渠道管理（含供应商评价机制）、检验检疫措施（覆盖蔬菜农药残留检测、肉类检疫证明、不合格产品处置机制）、保质期管理、贮存管理（明确分区及温控要求）、运输管理（明确温控及清洁消毒要求）等方面内容</w:t>
            </w:r>
            <w:r>
              <w:rPr>
                <w:rFonts w:hint="eastAsia" w:ascii="宋体" w:hAnsi="宋体" w:eastAsia="宋体" w:cs="宋体"/>
                <w:b w:val="0"/>
                <w:bCs w:val="0"/>
                <w:strike w:val="0"/>
                <w:dstrike w:val="0"/>
                <w:color w:val="auto"/>
                <w:sz w:val="21"/>
                <w:szCs w:val="21"/>
                <w:highlight w:val="none"/>
              </w:rPr>
              <w:t>，各项措施均具有具体安排，且能从采购进货检查到配送形成完整的安全措施体系</w:t>
            </w:r>
            <w:r>
              <w:rPr>
                <w:rFonts w:hint="eastAsia" w:ascii="宋体" w:hAnsi="宋体" w:cs="宋体"/>
                <w:b w:val="0"/>
                <w:bCs w:val="0"/>
                <w:strike w:val="0"/>
                <w:dstrike w:val="0"/>
                <w:color w:val="auto"/>
                <w:sz w:val="21"/>
                <w:szCs w:val="21"/>
                <w:highlight w:val="none"/>
                <w:lang w:eastAsia="zh-CN"/>
              </w:rPr>
              <w:t>，</w:t>
            </w:r>
            <w:r>
              <w:rPr>
                <w:rFonts w:hint="eastAsia" w:ascii="宋体" w:hAnsi="宋体" w:eastAsia="宋体" w:cs="宋体"/>
                <w:b w:val="0"/>
                <w:bCs w:val="0"/>
                <w:color w:val="auto"/>
                <w:sz w:val="21"/>
                <w:szCs w:val="21"/>
                <w:highlight w:val="none"/>
                <w:lang w:val="zh-CN" w:eastAsia="zh-CN" w:bidi="zh-CN"/>
              </w:rPr>
              <w:t>保证食材的卫生安全和质量稳定性。</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439E0603">
            <w:pPr>
              <w:keepNext w:val="0"/>
              <w:keepLines w:val="0"/>
              <w:pageBreakBefore w:val="0"/>
              <w:kinsoku/>
              <w:wordWrap/>
              <w:overflowPunct/>
              <w:topLinePunct w:val="0"/>
              <w:autoSpaceDE/>
              <w:autoSpaceDN/>
              <w:bidi w:val="0"/>
              <w:adjustRightInd/>
              <w:spacing w:line="380" w:lineRule="exact"/>
              <w:jc w:val="center"/>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15</w:t>
            </w:r>
            <w:r>
              <w:rPr>
                <w:rFonts w:hint="eastAsia" w:ascii="宋体" w:hAnsi="宋体" w:cs="Tahoma"/>
                <w:color w:val="auto"/>
                <w:kern w:val="0"/>
                <w:szCs w:val="21"/>
                <w:highlight w:val="none"/>
              </w:rPr>
              <w:t>分</w:t>
            </w:r>
          </w:p>
        </w:tc>
      </w:tr>
      <w:tr w14:paraId="1FD0F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533" w:type="dxa"/>
            <w:tcBorders>
              <w:top w:val="single" w:color="auto" w:sz="4" w:space="0"/>
              <w:left w:val="single" w:color="auto" w:sz="4" w:space="0"/>
              <w:bottom w:val="single" w:color="auto" w:sz="4" w:space="0"/>
              <w:right w:val="single" w:color="auto" w:sz="4" w:space="0"/>
            </w:tcBorders>
            <w:noWrap w:val="0"/>
            <w:vAlign w:val="center"/>
          </w:tcPr>
          <w:p w14:paraId="6F034E9B">
            <w:pPr>
              <w:keepNext w:val="0"/>
              <w:keepLines w:val="0"/>
              <w:pageBreakBefore w:val="0"/>
              <w:kinsoku/>
              <w:wordWrap/>
              <w:overflowPunct/>
              <w:topLinePunct w:val="0"/>
              <w:autoSpaceDE/>
              <w:autoSpaceDN/>
              <w:bidi w:val="0"/>
              <w:adjustRightInd/>
              <w:spacing w:line="380" w:lineRule="exact"/>
              <w:ind w:left="-105" w:leftChars="-50" w:right="-105" w:rightChars="-50"/>
              <w:jc w:val="center"/>
              <w:rPr>
                <w:rFonts w:hint="eastAsia" w:ascii="宋体" w:hAnsi="宋体" w:eastAsia="宋体"/>
                <w:bCs/>
                <w:color w:val="auto"/>
                <w:kern w:val="0"/>
                <w:szCs w:val="21"/>
                <w:highlight w:val="none"/>
                <w:lang w:eastAsia="zh-CN"/>
              </w:rPr>
            </w:pPr>
            <w:r>
              <w:rPr>
                <w:rFonts w:hint="eastAsia" w:ascii="宋体" w:hAnsi="宋体" w:cs="宋体"/>
                <w:bCs/>
                <w:color w:val="auto"/>
                <w:kern w:val="0"/>
                <w:szCs w:val="21"/>
                <w:highlight w:val="none"/>
              </w:rPr>
              <w:t>2.</w:t>
            </w:r>
            <w:r>
              <w:rPr>
                <w:rFonts w:hint="eastAsia" w:ascii="宋体" w:hAnsi="宋体" w:cs="宋体"/>
                <w:bCs/>
                <w:color w:val="auto"/>
                <w:kern w:val="0"/>
                <w:szCs w:val="21"/>
                <w:highlight w:val="none"/>
                <w:lang w:val="en-US" w:eastAsia="zh-CN"/>
              </w:rPr>
              <w:t>3</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1A6EBF6">
            <w:pPr>
              <w:keepNext w:val="0"/>
              <w:keepLines w:val="0"/>
              <w:pageBreakBefore w:val="0"/>
              <w:kinsoku/>
              <w:wordWrap/>
              <w:overflowPunct/>
              <w:topLinePunct w:val="0"/>
              <w:autoSpaceDE/>
              <w:autoSpaceDN/>
              <w:bidi w:val="0"/>
              <w:adjustRightInd/>
              <w:spacing w:line="380" w:lineRule="exact"/>
              <w:jc w:val="center"/>
              <w:rPr>
                <w:rFonts w:hint="eastAsia" w:ascii="宋体" w:hAnsi="宋体" w:eastAsia="宋体" w:cs="宋体"/>
                <w:bCs/>
                <w:color w:val="auto"/>
                <w:szCs w:val="21"/>
                <w:highlight w:val="none"/>
                <w:lang w:eastAsia="zh-CN"/>
              </w:rPr>
            </w:pPr>
            <w:r>
              <w:rPr>
                <w:rFonts w:hint="eastAsia" w:ascii="宋体" w:hAnsi="宋体" w:eastAsia="宋体" w:cs="宋体"/>
                <w:b w:val="0"/>
                <w:bCs/>
                <w:color w:val="auto"/>
                <w:sz w:val="21"/>
                <w:szCs w:val="21"/>
                <w:highlight w:val="none"/>
                <w:lang w:val="en-US" w:eastAsia="zh-CN"/>
              </w:rPr>
              <w:t>应急方案</w:t>
            </w:r>
          </w:p>
        </w:tc>
        <w:tc>
          <w:tcPr>
            <w:tcW w:w="6423" w:type="dxa"/>
            <w:tcBorders>
              <w:top w:val="single" w:color="auto" w:sz="4" w:space="0"/>
              <w:left w:val="single" w:color="auto" w:sz="4" w:space="0"/>
              <w:bottom w:val="single" w:color="auto" w:sz="4" w:space="0"/>
              <w:right w:val="single" w:color="auto" w:sz="4" w:space="0"/>
            </w:tcBorders>
            <w:noWrap w:val="0"/>
            <w:vAlign w:val="top"/>
          </w:tcPr>
          <w:p w14:paraId="2E0228F6">
            <w:pPr>
              <w:keepNext w:val="0"/>
              <w:keepLines w:val="0"/>
              <w:pageBreakBefore w:val="0"/>
              <w:kinsoku/>
              <w:wordWrap/>
              <w:overflowPunct/>
              <w:topLinePunct w:val="0"/>
              <w:autoSpaceDE/>
              <w:autoSpaceDN/>
              <w:bidi w:val="0"/>
              <w:adjustRightInd/>
              <w:spacing w:line="380" w:lineRule="exact"/>
              <w:ind w:firstLine="420" w:firstLineChars="200"/>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由磋商小组成员根据供应商提供的</w:t>
            </w:r>
            <w:r>
              <w:rPr>
                <w:rFonts w:hint="eastAsia" w:ascii="宋体" w:hAnsi="宋体" w:cs="宋体"/>
                <w:bCs/>
                <w:color w:val="auto"/>
                <w:szCs w:val="21"/>
                <w:highlight w:val="none"/>
                <w:lang w:val="en-US" w:eastAsia="zh-CN"/>
              </w:rPr>
              <w:t>应急方案</w:t>
            </w:r>
            <w:r>
              <w:rPr>
                <w:rFonts w:hint="eastAsia" w:ascii="宋体" w:hAnsi="宋体" w:cs="宋体"/>
                <w:bCs/>
                <w:color w:val="auto"/>
                <w:szCs w:val="21"/>
                <w:highlight w:val="none"/>
              </w:rPr>
              <w:t>进行独立评审并独立打分</w:t>
            </w:r>
            <w:r>
              <w:rPr>
                <w:rFonts w:hint="eastAsia" w:ascii="宋体" w:hAnsi="宋体" w:cs="宋体"/>
                <w:bCs/>
                <w:color w:val="auto"/>
                <w:szCs w:val="21"/>
                <w:highlight w:val="none"/>
                <w:lang w:eastAsia="zh-CN"/>
              </w:rPr>
              <w:t>，未进档不得分。</w:t>
            </w:r>
          </w:p>
          <w:p w14:paraId="058F6373">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b w:val="0"/>
                <w:bCs w:val="0"/>
                <w:color w:val="auto"/>
                <w:sz w:val="21"/>
                <w:szCs w:val="21"/>
                <w:highlight w:val="none"/>
                <w:lang w:val="en-US" w:eastAsia="zh-CN" w:bidi="zh-CN"/>
              </w:rPr>
            </w:pPr>
            <w:r>
              <w:rPr>
                <w:rFonts w:hint="eastAsia" w:ascii="宋体" w:hAnsi="宋体" w:eastAsia="宋体" w:cs="宋体"/>
                <w:b w:val="0"/>
                <w:bCs w:val="0"/>
                <w:color w:val="auto"/>
                <w:sz w:val="21"/>
                <w:szCs w:val="21"/>
                <w:highlight w:val="none"/>
                <w:lang w:val="en-US" w:eastAsia="zh-CN" w:bidi="zh-CN"/>
              </w:rPr>
              <w:t>一档（</w:t>
            </w:r>
            <w:r>
              <w:rPr>
                <w:rFonts w:hint="eastAsia" w:ascii="宋体" w:hAnsi="宋体" w:cs="宋体"/>
                <w:b w:val="0"/>
                <w:bCs w:val="0"/>
                <w:color w:val="auto"/>
                <w:sz w:val="21"/>
                <w:szCs w:val="21"/>
                <w:highlight w:val="none"/>
                <w:lang w:val="en-US" w:eastAsia="zh-CN" w:bidi="zh-CN"/>
              </w:rPr>
              <w:t>3</w:t>
            </w:r>
            <w:r>
              <w:rPr>
                <w:rFonts w:hint="eastAsia" w:ascii="宋体" w:hAnsi="宋体" w:eastAsia="宋体" w:cs="宋体"/>
                <w:b w:val="0"/>
                <w:bCs w:val="0"/>
                <w:color w:val="auto"/>
                <w:sz w:val="21"/>
                <w:szCs w:val="21"/>
                <w:highlight w:val="none"/>
                <w:lang w:val="en-US" w:eastAsia="zh-CN" w:bidi="zh-CN"/>
              </w:rPr>
              <w:t>分）：</w:t>
            </w:r>
            <w:r>
              <w:rPr>
                <w:rFonts w:hint="eastAsia" w:ascii="宋体" w:hAnsi="宋体" w:eastAsia="宋体" w:cs="宋体"/>
                <w:b w:val="0"/>
                <w:bCs w:val="0"/>
                <w:color w:val="auto"/>
                <w:sz w:val="21"/>
                <w:szCs w:val="21"/>
                <w:highlight w:val="none"/>
                <w:lang w:val="en-US" w:eastAsia="zh-CN"/>
              </w:rPr>
              <w:t>提供应急方案，</w:t>
            </w:r>
            <w:r>
              <w:rPr>
                <w:rFonts w:hint="eastAsia" w:ascii="宋体" w:hAnsi="宋体" w:eastAsia="宋体" w:cs="宋体"/>
                <w:b w:val="0"/>
                <w:bCs w:val="0"/>
                <w:color w:val="auto"/>
                <w:sz w:val="21"/>
                <w:szCs w:val="21"/>
                <w:highlight w:val="none"/>
                <w:lang w:val="en-US" w:eastAsia="zh-CN" w:bidi="zh-CN"/>
              </w:rPr>
              <w:t>对</w:t>
            </w:r>
            <w:r>
              <w:rPr>
                <w:rFonts w:hint="eastAsia" w:ascii="宋体" w:hAnsi="宋体" w:eastAsia="宋体" w:cs="宋体"/>
                <w:b w:val="0"/>
                <w:bCs w:val="0"/>
                <w:color w:val="auto"/>
                <w:sz w:val="21"/>
                <w:szCs w:val="21"/>
                <w:highlight w:val="none"/>
                <w:lang w:val="zh-CN" w:eastAsia="zh-CN" w:bidi="zh-CN"/>
              </w:rPr>
              <w:t>食材短缺、紧急食材配送</w:t>
            </w:r>
            <w:r>
              <w:rPr>
                <w:rFonts w:hint="eastAsia" w:ascii="宋体" w:hAnsi="宋体" w:eastAsia="宋体" w:cs="宋体"/>
                <w:b w:val="0"/>
                <w:bCs w:val="0"/>
                <w:color w:val="auto"/>
                <w:sz w:val="21"/>
                <w:szCs w:val="21"/>
                <w:highlight w:val="none"/>
                <w:lang w:val="en-US" w:eastAsia="zh-CN" w:bidi="zh-CN"/>
              </w:rPr>
              <w:t>、天气问题、问题食材等特殊情况制定</w:t>
            </w:r>
            <w:r>
              <w:rPr>
                <w:rFonts w:hint="eastAsia" w:ascii="宋体" w:hAnsi="宋体" w:cs="宋体"/>
                <w:b w:val="0"/>
                <w:bCs w:val="0"/>
                <w:color w:val="auto"/>
                <w:sz w:val="21"/>
                <w:szCs w:val="21"/>
                <w:highlight w:val="none"/>
                <w:lang w:val="en-US" w:eastAsia="zh-CN" w:bidi="zh-CN"/>
              </w:rPr>
              <w:t>简单的</w:t>
            </w:r>
            <w:r>
              <w:rPr>
                <w:rFonts w:hint="eastAsia" w:ascii="宋体" w:hAnsi="宋体" w:eastAsia="宋体" w:cs="宋体"/>
                <w:b w:val="0"/>
                <w:bCs w:val="0"/>
                <w:color w:val="auto"/>
                <w:sz w:val="21"/>
                <w:szCs w:val="21"/>
                <w:highlight w:val="none"/>
                <w:lang w:val="en-US" w:eastAsia="zh-CN" w:bidi="zh-CN"/>
              </w:rPr>
              <w:t>应急预案。</w:t>
            </w:r>
          </w:p>
          <w:p w14:paraId="19744A09">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b w:val="0"/>
                <w:bCs w:val="0"/>
                <w:color w:val="auto"/>
                <w:sz w:val="21"/>
                <w:szCs w:val="21"/>
                <w:highlight w:val="none"/>
                <w:lang w:val="en-US" w:eastAsia="zh-CN" w:bidi="zh-CN"/>
              </w:rPr>
            </w:pPr>
            <w:r>
              <w:rPr>
                <w:rFonts w:hint="eastAsia" w:ascii="宋体" w:hAnsi="宋体" w:eastAsia="宋体" w:cs="宋体"/>
                <w:b w:val="0"/>
                <w:bCs w:val="0"/>
                <w:color w:val="auto"/>
                <w:sz w:val="21"/>
                <w:szCs w:val="21"/>
                <w:highlight w:val="none"/>
                <w:lang w:val="en-US" w:eastAsia="zh-CN" w:bidi="zh-CN"/>
              </w:rPr>
              <w:t>二档（</w:t>
            </w:r>
            <w:r>
              <w:rPr>
                <w:rFonts w:hint="eastAsia" w:ascii="宋体" w:hAnsi="宋体" w:cs="宋体"/>
                <w:b w:val="0"/>
                <w:bCs w:val="0"/>
                <w:color w:val="auto"/>
                <w:sz w:val="21"/>
                <w:szCs w:val="21"/>
                <w:highlight w:val="none"/>
                <w:lang w:val="en-US" w:eastAsia="zh-CN" w:bidi="zh-CN"/>
              </w:rPr>
              <w:t>6</w:t>
            </w:r>
            <w:r>
              <w:rPr>
                <w:rFonts w:hint="eastAsia" w:ascii="宋体" w:hAnsi="宋体" w:eastAsia="宋体" w:cs="宋体"/>
                <w:b w:val="0"/>
                <w:bCs w:val="0"/>
                <w:color w:val="auto"/>
                <w:sz w:val="21"/>
                <w:szCs w:val="21"/>
                <w:highlight w:val="none"/>
                <w:lang w:val="en-US" w:eastAsia="zh-CN" w:bidi="zh-CN"/>
              </w:rPr>
              <w:t>分）：</w:t>
            </w:r>
            <w:r>
              <w:rPr>
                <w:rFonts w:hint="eastAsia" w:ascii="宋体" w:hAnsi="宋体" w:eastAsia="宋体" w:cs="宋体"/>
                <w:b w:val="0"/>
                <w:bCs w:val="0"/>
                <w:color w:val="auto"/>
                <w:sz w:val="21"/>
                <w:szCs w:val="21"/>
                <w:highlight w:val="none"/>
                <w:lang w:val="en-US" w:eastAsia="zh-CN"/>
              </w:rPr>
              <w:t>提供应急方案，</w:t>
            </w:r>
            <w:r>
              <w:rPr>
                <w:rFonts w:hint="eastAsia" w:ascii="宋体" w:hAnsi="宋体" w:eastAsia="宋体" w:cs="宋体"/>
                <w:b w:val="0"/>
                <w:bCs w:val="0"/>
                <w:color w:val="auto"/>
                <w:sz w:val="21"/>
                <w:szCs w:val="21"/>
                <w:highlight w:val="none"/>
                <w:lang w:val="en-US" w:eastAsia="zh-CN" w:bidi="zh-CN"/>
              </w:rPr>
              <w:t>对</w:t>
            </w:r>
            <w:r>
              <w:rPr>
                <w:rFonts w:hint="eastAsia" w:ascii="宋体" w:hAnsi="宋体" w:eastAsia="宋体" w:cs="宋体"/>
                <w:b w:val="0"/>
                <w:bCs w:val="0"/>
                <w:color w:val="auto"/>
                <w:sz w:val="21"/>
                <w:szCs w:val="21"/>
                <w:highlight w:val="none"/>
                <w:lang w:val="zh-CN" w:eastAsia="zh-CN" w:bidi="zh-CN"/>
              </w:rPr>
              <w:t>食材短缺情况、紧急食材配送</w:t>
            </w:r>
            <w:r>
              <w:rPr>
                <w:rFonts w:hint="eastAsia" w:ascii="宋体" w:hAnsi="宋体" w:eastAsia="宋体" w:cs="宋体"/>
                <w:b w:val="0"/>
                <w:bCs w:val="0"/>
                <w:color w:val="auto"/>
                <w:sz w:val="21"/>
                <w:szCs w:val="21"/>
                <w:highlight w:val="none"/>
                <w:lang w:val="en-US" w:eastAsia="zh-CN" w:bidi="zh-CN"/>
              </w:rPr>
              <w:t>、天气问题、问题食材等特殊情况制定</w:t>
            </w:r>
            <w:r>
              <w:rPr>
                <w:rFonts w:hint="eastAsia" w:ascii="宋体" w:hAnsi="宋体" w:cs="宋体"/>
                <w:b w:val="0"/>
                <w:bCs w:val="0"/>
                <w:color w:val="auto"/>
                <w:sz w:val="21"/>
                <w:szCs w:val="21"/>
                <w:highlight w:val="none"/>
                <w:lang w:val="en-US" w:eastAsia="zh-CN" w:bidi="zh-CN"/>
              </w:rPr>
              <w:t>简单的</w:t>
            </w:r>
            <w:r>
              <w:rPr>
                <w:rFonts w:hint="eastAsia" w:ascii="宋体" w:hAnsi="宋体" w:eastAsia="宋体" w:cs="宋体"/>
                <w:b w:val="0"/>
                <w:bCs w:val="0"/>
                <w:color w:val="auto"/>
                <w:sz w:val="21"/>
                <w:szCs w:val="21"/>
                <w:highlight w:val="none"/>
                <w:lang w:val="en-US" w:eastAsia="zh-CN" w:bidi="zh-CN"/>
              </w:rPr>
              <w:t>应急预案，且配置有机动人员用于紧急事件处理。</w:t>
            </w:r>
          </w:p>
          <w:p w14:paraId="6A7EC672">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ascii="宋体" w:hAnsi="宋体" w:eastAsia="宋体" w:cs="宋体"/>
                <w:bCs/>
                <w:color w:val="auto"/>
                <w:szCs w:val="21"/>
                <w:highlight w:val="none"/>
                <w:lang w:val="en-US" w:eastAsia="zh-CN"/>
              </w:rPr>
            </w:pPr>
            <w:r>
              <w:rPr>
                <w:rFonts w:hint="eastAsia" w:ascii="宋体" w:hAnsi="宋体" w:eastAsia="宋体" w:cs="宋体"/>
                <w:b w:val="0"/>
                <w:bCs w:val="0"/>
                <w:color w:val="auto"/>
                <w:sz w:val="21"/>
                <w:szCs w:val="21"/>
                <w:highlight w:val="none"/>
                <w:lang w:val="en-US" w:eastAsia="zh-CN" w:bidi="zh-CN"/>
              </w:rPr>
              <w:t>三档（</w:t>
            </w:r>
            <w:r>
              <w:rPr>
                <w:rFonts w:hint="eastAsia" w:ascii="宋体" w:hAnsi="宋体" w:cs="宋体"/>
                <w:b w:val="0"/>
                <w:bCs w:val="0"/>
                <w:color w:val="auto"/>
                <w:sz w:val="21"/>
                <w:szCs w:val="21"/>
                <w:highlight w:val="none"/>
                <w:lang w:val="en-US" w:eastAsia="zh-CN" w:bidi="zh-CN"/>
              </w:rPr>
              <w:t>10</w:t>
            </w:r>
            <w:r>
              <w:rPr>
                <w:rFonts w:hint="eastAsia" w:ascii="宋体" w:hAnsi="宋体" w:eastAsia="宋体" w:cs="宋体"/>
                <w:b w:val="0"/>
                <w:bCs w:val="0"/>
                <w:color w:val="auto"/>
                <w:sz w:val="21"/>
                <w:szCs w:val="21"/>
                <w:highlight w:val="none"/>
                <w:lang w:val="en-US" w:eastAsia="zh-CN" w:bidi="zh-CN"/>
              </w:rPr>
              <w:t>分）：提供应急方案，对食材短缺、紧急食材配送、天气问题、问题食材等特殊情况制定详细的应急预案，并制定食品安全突发事件应急处置方案（明确报告流程、处置措施及责任人）、特殊应急期间（如重大活动、突发公共卫生事件等）的食材保障方案；承诺配备机动应急车辆及备用配送人员，能保证在特殊情况时可立即调配，保障配送服务的质量。</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32518050">
            <w:pPr>
              <w:keepNext w:val="0"/>
              <w:keepLines w:val="0"/>
              <w:pageBreakBefore w:val="0"/>
              <w:kinsoku/>
              <w:wordWrap/>
              <w:overflowPunct/>
              <w:topLinePunct w:val="0"/>
              <w:autoSpaceDE/>
              <w:autoSpaceDN/>
              <w:bidi w:val="0"/>
              <w:adjustRightInd/>
              <w:spacing w:line="38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10</w:t>
            </w:r>
            <w:r>
              <w:rPr>
                <w:rFonts w:hint="eastAsia" w:ascii="宋体" w:hAnsi="宋体" w:cs="Tahoma"/>
                <w:color w:val="auto"/>
                <w:kern w:val="0"/>
                <w:szCs w:val="21"/>
                <w:highlight w:val="none"/>
              </w:rPr>
              <w:t>分</w:t>
            </w:r>
          </w:p>
        </w:tc>
      </w:tr>
      <w:tr w14:paraId="00F27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533" w:type="dxa"/>
            <w:tcBorders>
              <w:top w:val="single" w:color="auto" w:sz="4" w:space="0"/>
              <w:left w:val="single" w:color="auto" w:sz="4" w:space="0"/>
              <w:bottom w:val="single" w:color="auto" w:sz="4" w:space="0"/>
              <w:right w:val="single" w:color="auto" w:sz="4" w:space="0"/>
            </w:tcBorders>
            <w:noWrap w:val="0"/>
            <w:vAlign w:val="center"/>
          </w:tcPr>
          <w:p w14:paraId="41052DA5">
            <w:pPr>
              <w:keepNext w:val="0"/>
              <w:keepLines w:val="0"/>
              <w:pageBreakBefore w:val="0"/>
              <w:kinsoku/>
              <w:wordWrap/>
              <w:overflowPunct/>
              <w:topLinePunct w:val="0"/>
              <w:autoSpaceDE/>
              <w:autoSpaceDN/>
              <w:bidi w:val="0"/>
              <w:adjustRightInd/>
              <w:spacing w:line="380" w:lineRule="exact"/>
              <w:ind w:left="-105" w:leftChars="-50" w:right="-105" w:rightChars="-50"/>
              <w:jc w:val="center"/>
              <w:rPr>
                <w:rFonts w:ascii="宋体" w:hAnsi="宋体" w:eastAsia="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2.4</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CF12752">
            <w:pPr>
              <w:keepNext w:val="0"/>
              <w:keepLines w:val="0"/>
              <w:pageBreakBefore w:val="0"/>
              <w:kinsoku/>
              <w:wordWrap/>
              <w:overflowPunct/>
              <w:topLinePunct w:val="0"/>
              <w:autoSpaceDE/>
              <w:autoSpaceDN/>
              <w:bidi w:val="0"/>
              <w:adjustRightInd/>
              <w:spacing w:line="380" w:lineRule="exact"/>
              <w:rPr>
                <w:rFonts w:hint="eastAsia" w:ascii="宋体" w:hAnsi="宋体" w:cs="宋体"/>
                <w:bCs/>
                <w:color w:val="auto"/>
                <w:szCs w:val="21"/>
                <w:highlight w:val="none"/>
              </w:rPr>
            </w:pPr>
            <w:r>
              <w:rPr>
                <w:rFonts w:hint="eastAsia" w:ascii="宋体" w:hAnsi="宋体" w:eastAsia="宋体" w:cs="宋体"/>
                <w:b w:val="0"/>
                <w:bCs/>
                <w:color w:val="auto"/>
                <w:sz w:val="21"/>
                <w:szCs w:val="21"/>
                <w:highlight w:val="none"/>
                <w:lang w:val="en-US" w:eastAsia="zh-CN"/>
              </w:rPr>
              <w:t>服务保障方案</w:t>
            </w:r>
          </w:p>
        </w:tc>
        <w:tc>
          <w:tcPr>
            <w:tcW w:w="6423" w:type="dxa"/>
            <w:tcBorders>
              <w:top w:val="single" w:color="auto" w:sz="4" w:space="0"/>
              <w:left w:val="single" w:color="auto" w:sz="4" w:space="0"/>
              <w:bottom w:val="single" w:color="auto" w:sz="4" w:space="0"/>
              <w:right w:val="single" w:color="auto" w:sz="4" w:space="0"/>
            </w:tcBorders>
            <w:noWrap w:val="0"/>
            <w:vAlign w:val="center"/>
          </w:tcPr>
          <w:p w14:paraId="620C3538">
            <w:pPr>
              <w:keepNext w:val="0"/>
              <w:keepLines w:val="0"/>
              <w:pageBreakBefore w:val="0"/>
              <w:kinsoku/>
              <w:wordWrap/>
              <w:overflowPunct/>
              <w:topLinePunct w:val="0"/>
              <w:autoSpaceDE/>
              <w:autoSpaceDN/>
              <w:bidi w:val="0"/>
              <w:adjustRightInd/>
              <w:spacing w:line="380" w:lineRule="exact"/>
              <w:ind w:firstLine="420" w:firstLineChars="200"/>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由磋商小组成员根据供应商提供的</w:t>
            </w:r>
            <w:r>
              <w:rPr>
                <w:rFonts w:hint="eastAsia" w:ascii="宋体" w:hAnsi="宋体" w:cs="宋体"/>
                <w:bCs/>
                <w:color w:val="auto"/>
                <w:szCs w:val="21"/>
                <w:highlight w:val="none"/>
                <w:lang w:val="en-US" w:eastAsia="zh-CN"/>
              </w:rPr>
              <w:t>服务保障方案</w:t>
            </w:r>
            <w:r>
              <w:rPr>
                <w:rFonts w:hint="eastAsia" w:ascii="宋体" w:hAnsi="宋体" w:cs="宋体"/>
                <w:bCs/>
                <w:color w:val="auto"/>
                <w:szCs w:val="21"/>
                <w:highlight w:val="none"/>
              </w:rPr>
              <w:t>进行独立评审并独立打分</w:t>
            </w:r>
            <w:r>
              <w:rPr>
                <w:rFonts w:hint="eastAsia" w:ascii="宋体" w:hAnsi="宋体" w:cs="宋体"/>
                <w:bCs/>
                <w:color w:val="auto"/>
                <w:szCs w:val="21"/>
                <w:highlight w:val="none"/>
                <w:lang w:eastAsia="zh-CN"/>
              </w:rPr>
              <w:t>，未进档不得分。</w:t>
            </w:r>
          </w:p>
          <w:p w14:paraId="7B1355DE">
            <w:pPr>
              <w:pStyle w:val="4"/>
              <w:keepNext w:val="0"/>
              <w:keepLines w:val="0"/>
              <w:pageBreakBefore w:val="0"/>
              <w:widowControl w:val="0"/>
              <w:kinsoku/>
              <w:wordWrap/>
              <w:overflowPunct/>
              <w:topLinePunct w:val="0"/>
              <w:autoSpaceDE/>
              <w:autoSpaceDN/>
              <w:bidi w:val="0"/>
              <w:adjustRightInd/>
              <w:snapToGrid/>
              <w:spacing w:line="380" w:lineRule="exact"/>
              <w:ind w:firstLine="422" w:firstLineChars="200"/>
              <w:textAlignment w:val="auto"/>
              <w:rPr>
                <w:rFonts w:hint="eastAsia" w:ascii="宋体" w:hAnsi="宋体" w:eastAsia="宋体" w:cs="宋体"/>
                <w:b w:val="0"/>
                <w:bCs w:val="0"/>
                <w:strike/>
                <w:dstrike w:val="0"/>
                <w:color w:val="auto"/>
                <w:sz w:val="21"/>
                <w:szCs w:val="21"/>
                <w:highlight w:val="none"/>
                <w:lang w:val="en-US" w:eastAsia="zh-CN" w:bidi="zh-CN"/>
              </w:rPr>
            </w:pPr>
            <w:r>
              <w:rPr>
                <w:rFonts w:hint="eastAsia" w:ascii="宋体" w:hAnsi="宋体" w:eastAsia="宋体" w:cs="宋体"/>
                <w:b/>
                <w:bCs/>
                <w:color w:val="auto"/>
                <w:sz w:val="21"/>
                <w:szCs w:val="21"/>
                <w:highlight w:val="none"/>
                <w:lang w:val="en-US" w:eastAsia="zh-CN" w:bidi="zh-CN"/>
              </w:rPr>
              <w:t>一</w:t>
            </w:r>
            <w:r>
              <w:rPr>
                <w:rFonts w:hint="eastAsia" w:ascii="宋体" w:hAnsi="宋体" w:eastAsia="宋体" w:cs="宋体"/>
                <w:b w:val="0"/>
                <w:bCs w:val="0"/>
                <w:color w:val="auto"/>
                <w:sz w:val="21"/>
                <w:szCs w:val="21"/>
                <w:highlight w:val="none"/>
                <w:lang w:val="en-US" w:eastAsia="zh-CN" w:bidi="zh-CN"/>
              </w:rPr>
              <w:t>档（</w:t>
            </w:r>
            <w:r>
              <w:rPr>
                <w:rFonts w:hint="eastAsia" w:ascii="宋体" w:hAnsi="宋体" w:cs="宋体"/>
                <w:b w:val="0"/>
                <w:bCs w:val="0"/>
                <w:color w:val="auto"/>
                <w:sz w:val="21"/>
                <w:szCs w:val="21"/>
                <w:highlight w:val="none"/>
                <w:lang w:val="en-US" w:eastAsia="zh-CN" w:bidi="zh-CN"/>
              </w:rPr>
              <w:t>6</w:t>
            </w:r>
            <w:r>
              <w:rPr>
                <w:rFonts w:hint="eastAsia" w:ascii="宋体" w:hAnsi="宋体" w:eastAsia="宋体" w:cs="宋体"/>
                <w:b w:val="0"/>
                <w:bCs w:val="0"/>
                <w:color w:val="auto"/>
                <w:sz w:val="21"/>
                <w:szCs w:val="21"/>
                <w:highlight w:val="none"/>
                <w:lang w:val="en-US" w:eastAsia="zh-CN" w:bidi="zh-CN"/>
              </w:rPr>
              <w:t>分）：提供服务保障方案，包含服务承诺书及售前服务措施，售前服务措施含食材加工、卫生管理等方面的内容。</w:t>
            </w:r>
          </w:p>
          <w:p w14:paraId="7AE0182E">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b w:val="0"/>
                <w:bCs w:val="0"/>
                <w:color w:val="auto"/>
                <w:sz w:val="21"/>
                <w:szCs w:val="21"/>
                <w:highlight w:val="none"/>
                <w:lang w:val="en-US" w:eastAsia="zh-CN" w:bidi="zh-CN"/>
              </w:rPr>
            </w:pPr>
            <w:r>
              <w:rPr>
                <w:rFonts w:hint="eastAsia" w:ascii="宋体" w:hAnsi="宋体" w:eastAsia="宋体" w:cs="宋体"/>
                <w:b w:val="0"/>
                <w:bCs w:val="0"/>
                <w:color w:val="auto"/>
                <w:sz w:val="21"/>
                <w:szCs w:val="21"/>
                <w:highlight w:val="none"/>
                <w:lang w:val="en-US" w:eastAsia="zh-CN" w:bidi="zh-CN"/>
              </w:rPr>
              <w:t>二档（</w:t>
            </w:r>
            <w:r>
              <w:rPr>
                <w:rFonts w:hint="eastAsia" w:ascii="宋体" w:hAnsi="宋体" w:cs="宋体"/>
                <w:b w:val="0"/>
                <w:bCs w:val="0"/>
                <w:color w:val="auto"/>
                <w:sz w:val="21"/>
                <w:szCs w:val="21"/>
                <w:highlight w:val="none"/>
                <w:lang w:val="en-US" w:eastAsia="zh-CN" w:bidi="zh-CN"/>
              </w:rPr>
              <w:t>9</w:t>
            </w:r>
            <w:r>
              <w:rPr>
                <w:rFonts w:hint="eastAsia" w:ascii="宋体" w:hAnsi="宋体" w:eastAsia="宋体" w:cs="宋体"/>
                <w:b w:val="0"/>
                <w:bCs w:val="0"/>
                <w:color w:val="auto"/>
                <w:sz w:val="21"/>
                <w:szCs w:val="21"/>
                <w:highlight w:val="none"/>
                <w:lang w:val="en-US" w:eastAsia="zh-CN" w:bidi="zh-CN"/>
              </w:rPr>
              <w:t>分）：提供服务保障方案，包含服务承诺书及售前、售中服务措施，售前（食材加工、卫生管理等）、售中（产品出现的质量及安全问题、退货处理、台账管理等）制定有相应措施。</w:t>
            </w:r>
          </w:p>
          <w:p w14:paraId="0CEC834C">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ascii="宋体" w:hAnsi="宋体" w:eastAsia="宋体" w:cs="宋体"/>
                <w:bCs/>
                <w:color w:val="auto"/>
                <w:szCs w:val="21"/>
                <w:highlight w:val="none"/>
                <w:lang w:val="en-US" w:eastAsia="zh-CN"/>
              </w:rPr>
            </w:pPr>
            <w:r>
              <w:rPr>
                <w:rFonts w:hint="eastAsia" w:ascii="宋体" w:hAnsi="宋体" w:eastAsia="宋体" w:cs="宋体"/>
                <w:b w:val="0"/>
                <w:bCs w:val="0"/>
                <w:color w:val="auto"/>
                <w:sz w:val="21"/>
                <w:szCs w:val="21"/>
                <w:highlight w:val="none"/>
                <w:lang w:val="en-US" w:eastAsia="zh-CN" w:bidi="zh-CN"/>
              </w:rPr>
              <w:t>三档（</w:t>
            </w:r>
            <w:r>
              <w:rPr>
                <w:rFonts w:hint="eastAsia" w:ascii="宋体" w:hAnsi="宋体" w:cs="宋体"/>
                <w:b w:val="0"/>
                <w:bCs w:val="0"/>
                <w:color w:val="auto"/>
                <w:sz w:val="21"/>
                <w:szCs w:val="21"/>
                <w:highlight w:val="none"/>
                <w:lang w:val="en-US" w:eastAsia="zh-CN" w:bidi="zh-CN"/>
              </w:rPr>
              <w:t>12</w:t>
            </w:r>
            <w:r>
              <w:rPr>
                <w:rFonts w:hint="eastAsia" w:ascii="宋体" w:hAnsi="宋体" w:eastAsia="宋体" w:cs="宋体"/>
                <w:b w:val="0"/>
                <w:bCs w:val="0"/>
                <w:color w:val="auto"/>
                <w:sz w:val="21"/>
                <w:szCs w:val="21"/>
                <w:highlight w:val="none"/>
                <w:lang w:val="en-US" w:eastAsia="zh-CN" w:bidi="zh-CN"/>
              </w:rPr>
              <w:t>分）：提供服务保障方案，包含详细的服务承诺书及售前、售中、售后服务措施，售前（食材加工、卫生管理等）、售中（产品出现的质量及安全问题、退货处理、台账管理等）、售后（售后服务监督、评价和定期回访等）制定有相应措施；提供服务保障，能保证在服务过程中不断优化服务；严格进行蔬菜质量与安全把关，主动开展检验工作</w:t>
            </w:r>
            <w:r>
              <w:rPr>
                <w:rFonts w:hint="eastAsia" w:ascii="宋体" w:hAnsi="宋体" w:cs="宋体"/>
                <w:b w:val="0"/>
                <w:bCs w:val="0"/>
                <w:color w:val="auto"/>
                <w:sz w:val="21"/>
                <w:szCs w:val="21"/>
                <w:highlight w:val="none"/>
                <w:lang w:val="en-US" w:eastAsia="zh-CN" w:bidi="zh-CN"/>
              </w:rPr>
              <w:t>。</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21D2B6F8">
            <w:pPr>
              <w:keepNext w:val="0"/>
              <w:keepLines w:val="0"/>
              <w:pageBreakBefore w:val="0"/>
              <w:kinsoku/>
              <w:wordWrap/>
              <w:overflowPunct/>
              <w:topLinePunct w:val="0"/>
              <w:autoSpaceDE/>
              <w:autoSpaceDN/>
              <w:bidi w:val="0"/>
              <w:adjustRightInd/>
              <w:spacing w:line="380" w:lineRule="exact"/>
              <w:jc w:val="center"/>
              <w:rPr>
                <w:rFonts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12</w:t>
            </w:r>
            <w:r>
              <w:rPr>
                <w:rFonts w:hint="eastAsia" w:ascii="宋体" w:hAnsi="宋体" w:cs="宋体"/>
                <w:bCs/>
                <w:color w:val="auto"/>
                <w:szCs w:val="21"/>
                <w:highlight w:val="none"/>
                <w:lang w:val="en-US" w:eastAsia="zh-CN"/>
              </w:rPr>
              <w:t>分</w:t>
            </w:r>
          </w:p>
        </w:tc>
      </w:tr>
      <w:tr w14:paraId="1C536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33" w:type="dxa"/>
            <w:tcBorders>
              <w:top w:val="single" w:color="auto" w:sz="4" w:space="0"/>
              <w:left w:val="single" w:color="auto" w:sz="4" w:space="0"/>
              <w:bottom w:val="single" w:color="auto" w:sz="4" w:space="0"/>
              <w:right w:val="single" w:color="auto" w:sz="4" w:space="0"/>
            </w:tcBorders>
            <w:noWrap w:val="0"/>
            <w:vAlign w:val="center"/>
          </w:tcPr>
          <w:p w14:paraId="7807BF34">
            <w:pPr>
              <w:keepNext w:val="0"/>
              <w:keepLines w:val="0"/>
              <w:pageBreakBefore w:val="0"/>
              <w:widowControl/>
              <w:kinsoku/>
              <w:wordWrap/>
              <w:overflowPunct/>
              <w:topLinePunct w:val="0"/>
              <w:autoSpaceDE/>
              <w:autoSpaceDN/>
              <w:bidi w:val="0"/>
              <w:adjustRightInd/>
              <w:spacing w:line="380" w:lineRule="exact"/>
              <w:jc w:val="center"/>
              <w:rPr>
                <w:rFonts w:ascii="宋体" w:hAnsi="宋体" w:cs="Tahoma"/>
                <w:color w:val="auto"/>
                <w:kern w:val="0"/>
                <w:szCs w:val="21"/>
                <w:highlight w:val="none"/>
              </w:rPr>
            </w:pPr>
            <w:r>
              <w:rPr>
                <w:rFonts w:hint="eastAsia" w:ascii="宋体" w:hAnsi="宋体" w:cs="Tahoma"/>
                <w:color w:val="auto"/>
                <w:kern w:val="0"/>
                <w:szCs w:val="21"/>
                <w:highlight w:val="none"/>
              </w:rPr>
              <w:t>3</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FD73BF4">
            <w:pPr>
              <w:keepNext w:val="0"/>
              <w:keepLines w:val="0"/>
              <w:pageBreakBefore w:val="0"/>
              <w:widowControl/>
              <w:kinsoku/>
              <w:wordWrap/>
              <w:overflowPunct/>
              <w:topLinePunct w:val="0"/>
              <w:autoSpaceDE/>
              <w:autoSpaceDN/>
              <w:bidi w:val="0"/>
              <w:adjustRightInd/>
              <w:spacing w:line="380" w:lineRule="exact"/>
              <w:jc w:val="center"/>
              <w:rPr>
                <w:rFonts w:ascii="宋体" w:hAnsi="宋体" w:cs="Courier New"/>
                <w:bCs/>
                <w:color w:val="auto"/>
                <w:kern w:val="0"/>
                <w:szCs w:val="21"/>
                <w:highlight w:val="none"/>
              </w:rPr>
            </w:pPr>
            <w:r>
              <w:rPr>
                <w:rFonts w:hint="eastAsia" w:ascii="宋体" w:hAnsi="宋体" w:cs="Courier New"/>
                <w:bCs/>
                <w:color w:val="auto"/>
                <w:szCs w:val="21"/>
                <w:highlight w:val="none"/>
              </w:rPr>
              <w:t>商务分</w:t>
            </w:r>
          </w:p>
        </w:tc>
        <w:tc>
          <w:tcPr>
            <w:tcW w:w="7139" w:type="dxa"/>
            <w:gridSpan w:val="2"/>
            <w:tcBorders>
              <w:top w:val="single" w:color="auto" w:sz="4" w:space="0"/>
              <w:left w:val="single" w:color="auto" w:sz="4" w:space="0"/>
              <w:bottom w:val="single" w:color="auto" w:sz="4" w:space="0"/>
              <w:right w:val="single" w:color="auto" w:sz="4" w:space="0"/>
            </w:tcBorders>
            <w:noWrap w:val="0"/>
            <w:vAlign w:val="center"/>
          </w:tcPr>
          <w:p w14:paraId="3E6CC1AE">
            <w:pPr>
              <w:keepNext w:val="0"/>
              <w:keepLines w:val="0"/>
              <w:pageBreakBefore w:val="0"/>
              <w:widowControl/>
              <w:kinsoku/>
              <w:wordWrap/>
              <w:overflowPunct/>
              <w:topLinePunct w:val="0"/>
              <w:autoSpaceDE/>
              <w:autoSpaceDN/>
              <w:bidi w:val="0"/>
              <w:adjustRightInd/>
              <w:spacing w:line="380" w:lineRule="exact"/>
              <w:jc w:val="center"/>
              <w:textAlignment w:val="auto"/>
              <w:rPr>
                <w:rFonts w:ascii="宋体" w:hAnsi="宋体" w:cs="Courier New"/>
                <w:bCs/>
                <w:color w:val="auto"/>
                <w:szCs w:val="21"/>
                <w:highlight w:val="none"/>
              </w:rPr>
            </w:pPr>
            <w:r>
              <w:rPr>
                <w:rFonts w:hint="eastAsia" w:ascii="宋体" w:hAnsi="宋体" w:cs="Courier New"/>
                <w:bCs/>
                <w:color w:val="auto"/>
                <w:szCs w:val="21"/>
                <w:highlight w:val="none"/>
              </w:rPr>
              <w:t>评审因素</w:t>
            </w:r>
          </w:p>
        </w:tc>
      </w:tr>
      <w:tr w14:paraId="2F9B9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533" w:type="dxa"/>
            <w:tcBorders>
              <w:top w:val="single" w:color="auto" w:sz="4" w:space="0"/>
              <w:left w:val="single" w:color="auto" w:sz="4" w:space="0"/>
              <w:bottom w:val="single" w:color="auto" w:sz="4" w:space="0"/>
              <w:right w:val="single" w:color="auto" w:sz="4" w:space="0"/>
            </w:tcBorders>
            <w:noWrap w:val="0"/>
            <w:vAlign w:val="center"/>
          </w:tcPr>
          <w:p w14:paraId="783F48EF">
            <w:pPr>
              <w:keepNext w:val="0"/>
              <w:keepLines w:val="0"/>
              <w:pageBreakBefore w:val="0"/>
              <w:kinsoku/>
              <w:wordWrap/>
              <w:overflowPunct/>
              <w:topLinePunct w:val="0"/>
              <w:autoSpaceDE/>
              <w:autoSpaceDN/>
              <w:bidi w:val="0"/>
              <w:adjustRightInd/>
              <w:spacing w:line="380" w:lineRule="exact"/>
              <w:jc w:val="center"/>
              <w:rPr>
                <w:rFonts w:hint="eastAsia" w:ascii="宋体" w:hAnsi="宋体" w:eastAsia="宋体" w:cs="Tahoma"/>
                <w:color w:val="auto"/>
                <w:kern w:val="0"/>
                <w:szCs w:val="21"/>
                <w:highlight w:val="none"/>
                <w:lang w:eastAsia="zh-CN"/>
              </w:rPr>
            </w:pPr>
            <w:r>
              <w:rPr>
                <w:rFonts w:hint="eastAsia" w:ascii="宋体" w:hAnsi="宋体" w:cs="Tahoma"/>
                <w:color w:val="auto"/>
                <w:kern w:val="0"/>
                <w:szCs w:val="21"/>
                <w:highlight w:val="none"/>
              </w:rPr>
              <w:t>3.</w:t>
            </w:r>
            <w:r>
              <w:rPr>
                <w:rFonts w:hint="eastAsia" w:ascii="宋体" w:hAnsi="宋体" w:cs="Tahoma"/>
                <w:color w:val="auto"/>
                <w:kern w:val="0"/>
                <w:szCs w:val="21"/>
                <w:highlight w:val="none"/>
                <w:lang w:val="en-US" w:eastAsia="zh-CN"/>
              </w:rPr>
              <w:t>1</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653FB0B">
            <w:pPr>
              <w:pStyle w:val="96"/>
              <w:keepNext w:val="0"/>
              <w:keepLines w:val="0"/>
              <w:pageBreakBefore w:val="0"/>
              <w:widowControl w:val="0"/>
              <w:kinsoku/>
              <w:wordWrap/>
              <w:overflowPunct/>
              <w:topLinePunct w:val="0"/>
              <w:autoSpaceDE/>
              <w:autoSpaceDN/>
              <w:bidi w:val="0"/>
              <w:adjustRightInd/>
              <w:spacing w:line="380" w:lineRule="exact"/>
              <w:ind w:left="0" w:leftChars="0"/>
              <w:jc w:val="center"/>
              <w:rPr>
                <w:rFonts w:hint="eastAsia" w:ascii="宋体" w:hAnsi="宋体" w:eastAsia="宋体" w:cs="宋体"/>
                <w:bCs/>
                <w:color w:val="auto"/>
                <w:kern w:val="2"/>
                <w:sz w:val="21"/>
                <w:szCs w:val="21"/>
                <w:highlight w:val="none"/>
                <w:lang w:val="en-US" w:eastAsia="zh-CN" w:bidi="ar-SA"/>
              </w:rPr>
            </w:pPr>
            <w:r>
              <w:rPr>
                <w:rFonts w:hint="eastAsia" w:cs="宋体"/>
                <w:bCs/>
                <w:color w:val="auto"/>
                <w:kern w:val="2"/>
                <w:sz w:val="21"/>
                <w:szCs w:val="21"/>
                <w:highlight w:val="none"/>
                <w:lang w:val="en-US" w:eastAsia="zh-CN" w:bidi="ar-SA"/>
              </w:rPr>
              <w:t>履约能力</w:t>
            </w:r>
          </w:p>
        </w:tc>
        <w:tc>
          <w:tcPr>
            <w:tcW w:w="6423" w:type="dxa"/>
            <w:tcBorders>
              <w:top w:val="single" w:color="auto" w:sz="4" w:space="0"/>
              <w:left w:val="single" w:color="auto" w:sz="4" w:space="0"/>
              <w:bottom w:val="single" w:color="auto" w:sz="4" w:space="0"/>
              <w:right w:val="single" w:color="auto" w:sz="4" w:space="0"/>
            </w:tcBorders>
            <w:noWrap w:val="0"/>
            <w:vAlign w:val="center"/>
          </w:tcPr>
          <w:p w14:paraId="2A0EFF92">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default" w:ascii="Arial" w:hAnsi="Arial" w:eastAsia="宋体" w:cs="Arial"/>
                <w:bCs/>
                <w:color w:val="auto"/>
                <w:szCs w:val="21"/>
                <w:highlight w:val="none"/>
                <w:lang w:val="en-US" w:eastAsia="zh-CN"/>
              </w:rPr>
            </w:pPr>
            <w:r>
              <w:rPr>
                <w:rFonts w:hint="eastAsia" w:ascii="宋体" w:hAnsi="宋体" w:cs="Courier New"/>
                <w:bCs/>
                <w:color w:val="auto"/>
                <w:szCs w:val="21"/>
                <w:highlight w:val="none"/>
              </w:rPr>
              <w:t>（1）</w:t>
            </w:r>
            <w:r>
              <w:rPr>
                <w:rFonts w:hint="eastAsia" w:ascii="Arial" w:hAnsi="Arial" w:cs="Arial"/>
                <w:bCs/>
                <w:color w:val="auto"/>
                <w:szCs w:val="21"/>
                <w:highlight w:val="none"/>
              </w:rPr>
              <w:t>配送车辆分</w:t>
            </w:r>
            <w:r>
              <w:rPr>
                <w:rFonts w:hint="eastAsia" w:ascii="Arial" w:hAnsi="Arial" w:cs="Arial"/>
                <w:bCs/>
                <w:color w:val="auto"/>
                <w:szCs w:val="21"/>
                <w:highlight w:val="none"/>
                <w:lang w:val="en-US" w:eastAsia="zh-CN"/>
              </w:rPr>
              <w:t xml:space="preserve">  </w:t>
            </w:r>
          </w:p>
          <w:p w14:paraId="501E09B9">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ascii="Arial" w:hAnsi="Arial" w:cs="Arial"/>
                <w:bCs/>
                <w:color w:val="auto"/>
                <w:szCs w:val="21"/>
                <w:highlight w:val="none"/>
              </w:rPr>
            </w:pPr>
            <w:r>
              <w:rPr>
                <w:rFonts w:hint="eastAsia" w:ascii="Arial" w:hAnsi="Arial" w:cs="Arial"/>
                <w:bCs/>
                <w:color w:val="auto"/>
                <w:szCs w:val="21"/>
                <w:highlight w:val="none"/>
              </w:rPr>
              <w:t>供应商拟投入本项目全程监控配送厢式冷藏专用车</w:t>
            </w:r>
            <w:r>
              <w:rPr>
                <w:rFonts w:ascii="Arial" w:hAnsi="Arial" w:cs="Arial"/>
                <w:bCs/>
                <w:color w:val="auto"/>
                <w:szCs w:val="21"/>
                <w:highlight w:val="none"/>
              </w:rPr>
              <w:t>1</w:t>
            </w:r>
            <w:r>
              <w:rPr>
                <w:rFonts w:hint="eastAsia" w:ascii="Arial" w:hAnsi="Arial" w:cs="Arial"/>
                <w:bCs/>
                <w:color w:val="auto"/>
                <w:szCs w:val="21"/>
                <w:highlight w:val="none"/>
              </w:rPr>
              <w:t>辆得</w:t>
            </w:r>
            <w:r>
              <w:rPr>
                <w:rFonts w:hint="eastAsia" w:ascii="Arial" w:hAnsi="Arial" w:cs="Arial"/>
                <w:bCs/>
                <w:color w:val="auto"/>
                <w:szCs w:val="21"/>
                <w:highlight w:val="none"/>
                <w:lang w:val="en-US" w:eastAsia="zh-CN"/>
              </w:rPr>
              <w:t>3</w:t>
            </w:r>
            <w:r>
              <w:rPr>
                <w:rFonts w:hint="eastAsia" w:ascii="Arial" w:hAnsi="Arial" w:cs="Arial"/>
                <w:bCs/>
                <w:color w:val="auto"/>
                <w:szCs w:val="21"/>
                <w:highlight w:val="none"/>
              </w:rPr>
              <w:t>分，满分</w:t>
            </w:r>
            <w:r>
              <w:rPr>
                <w:rFonts w:hint="eastAsia" w:ascii="Arial" w:hAnsi="Arial" w:cs="Arial"/>
                <w:bCs/>
                <w:color w:val="auto"/>
                <w:szCs w:val="21"/>
                <w:highlight w:val="none"/>
                <w:lang w:val="en-US" w:eastAsia="zh-CN"/>
              </w:rPr>
              <w:t>3</w:t>
            </w:r>
            <w:r>
              <w:rPr>
                <w:rFonts w:hint="eastAsia" w:ascii="Arial" w:hAnsi="Arial" w:cs="Arial"/>
                <w:bCs/>
                <w:color w:val="auto"/>
                <w:szCs w:val="21"/>
                <w:highlight w:val="none"/>
              </w:rPr>
              <w:t>分；</w:t>
            </w:r>
          </w:p>
          <w:p w14:paraId="551CC946">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Arial" w:hAnsi="Arial" w:cs="Arial"/>
                <w:bCs/>
                <w:color w:val="auto"/>
                <w:szCs w:val="21"/>
                <w:highlight w:val="none"/>
              </w:rPr>
            </w:pPr>
            <w:r>
              <w:rPr>
                <w:rFonts w:hint="eastAsia" w:ascii="Arial" w:hAnsi="Arial" w:cs="Arial"/>
                <w:bCs/>
                <w:color w:val="auto"/>
                <w:szCs w:val="21"/>
                <w:highlight w:val="none"/>
              </w:rPr>
              <w:t>注：</w:t>
            </w:r>
            <w:r>
              <w:rPr>
                <w:rFonts w:hint="eastAsia" w:ascii="宋体" w:hAnsi="宋体" w:cs="Arial"/>
                <w:bCs/>
                <w:color w:val="auto"/>
                <w:szCs w:val="21"/>
                <w:highlight w:val="none"/>
              </w:rPr>
              <w:t>①</w:t>
            </w:r>
            <w:r>
              <w:rPr>
                <w:rFonts w:hint="eastAsia" w:ascii="Arial" w:hAnsi="Arial" w:cs="Arial"/>
                <w:bCs/>
                <w:color w:val="auto"/>
                <w:szCs w:val="21"/>
                <w:highlight w:val="none"/>
              </w:rPr>
              <w:t>供应商自有车辆的，响应文件中提供车辆行驶证；车辆为租赁的，响应文件中提供车辆行驶证及车辆租用合同；否则视为该车辆非供应商拟派本项目固定使用车辆，不计入数量计算。</w:t>
            </w:r>
          </w:p>
          <w:p w14:paraId="189ECB2C">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ascii="Arial" w:hAnsi="Arial" w:cs="Arial"/>
                <w:bCs/>
                <w:color w:val="auto"/>
                <w:szCs w:val="21"/>
                <w:highlight w:val="none"/>
              </w:rPr>
            </w:pPr>
            <w:r>
              <w:rPr>
                <w:rFonts w:hint="eastAsia" w:ascii="宋体" w:hAnsi="宋体" w:cs="Arial"/>
                <w:bCs/>
                <w:color w:val="auto"/>
                <w:szCs w:val="21"/>
                <w:highlight w:val="none"/>
              </w:rPr>
              <w:t>②</w:t>
            </w:r>
            <w:r>
              <w:rPr>
                <w:rFonts w:hint="eastAsia" w:ascii="Arial" w:hAnsi="Arial" w:cs="Arial"/>
                <w:bCs/>
                <w:color w:val="auto"/>
                <w:szCs w:val="21"/>
                <w:highlight w:val="none"/>
              </w:rPr>
              <w:t>响应文件中提供监控界面截图及监控设备照片</w:t>
            </w:r>
          </w:p>
          <w:p w14:paraId="5A15AD9A">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hint="eastAsia" w:ascii="Arial" w:hAnsi="Arial" w:eastAsia="宋体" w:cs="Arial"/>
                <w:bCs/>
                <w:color w:val="auto"/>
                <w:szCs w:val="21"/>
                <w:highlight w:val="none"/>
              </w:rPr>
            </w:pPr>
            <w:r>
              <w:rPr>
                <w:rFonts w:hint="eastAsia" w:ascii="Arial" w:hAnsi="Arial" w:cs="Arial"/>
                <w:bCs/>
                <w:color w:val="auto"/>
                <w:szCs w:val="21"/>
                <w:highlight w:val="none"/>
              </w:rPr>
              <w:t>以上证明材料符合</w:t>
            </w:r>
            <w:r>
              <w:rPr>
                <w:rFonts w:hint="eastAsia" w:ascii="Arial" w:hAnsi="Arial" w:eastAsia="宋体" w:cs="Arial"/>
                <w:bCs/>
                <w:color w:val="auto"/>
                <w:szCs w:val="21"/>
                <w:highlight w:val="none"/>
              </w:rPr>
              <w:t>要求并盖供应商公章，否则不得分。</w:t>
            </w:r>
          </w:p>
          <w:p w14:paraId="3513E725">
            <w:pPr>
              <w:pStyle w:val="16"/>
              <w:keepNext w:val="0"/>
              <w:keepLines w:val="0"/>
              <w:pageBreakBefore w:val="0"/>
              <w:kinsoku/>
              <w:wordWrap/>
              <w:overflowPunct/>
              <w:topLinePunct w:val="0"/>
              <w:autoSpaceDE/>
              <w:autoSpaceDN/>
              <w:bidi w:val="0"/>
              <w:adjustRightInd/>
              <w:snapToGrid/>
              <w:spacing w:before="0" w:after="0" w:line="380" w:lineRule="exact"/>
              <w:ind w:firstLine="420" w:firstLineChars="200"/>
              <w:textAlignment w:val="auto"/>
              <w:rPr>
                <w:rFonts w:hint="eastAsia" w:ascii="Arial" w:hAnsi="Arial" w:eastAsia="宋体" w:cs="Arial"/>
                <w:bCs/>
                <w:color w:val="auto"/>
                <w:spacing w:val="0"/>
                <w:kern w:val="2"/>
                <w:sz w:val="21"/>
                <w:szCs w:val="21"/>
                <w:highlight w:val="none"/>
                <w:lang w:val="en-US" w:eastAsia="zh-CN" w:bidi="ar-SA"/>
              </w:rPr>
            </w:pPr>
            <w:r>
              <w:rPr>
                <w:rFonts w:hint="eastAsia" w:ascii="Arial" w:hAnsi="Arial" w:eastAsia="宋体" w:cs="Arial"/>
                <w:bCs/>
                <w:color w:val="auto"/>
                <w:spacing w:val="0"/>
                <w:kern w:val="2"/>
                <w:sz w:val="21"/>
                <w:szCs w:val="21"/>
                <w:highlight w:val="none"/>
                <w:lang w:val="en-US" w:eastAsia="zh-CN" w:bidi="ar-SA"/>
              </w:rPr>
              <w:t>（2）拟投入人员分</w:t>
            </w:r>
          </w:p>
          <w:p w14:paraId="2C94F11C">
            <w:pPr>
              <w:pStyle w:val="5"/>
              <w:keepNext w:val="0"/>
              <w:keepLines w:val="0"/>
              <w:pageBreakBefore w:val="0"/>
              <w:kinsoku/>
              <w:wordWrap/>
              <w:overflowPunct/>
              <w:topLinePunct w:val="0"/>
              <w:autoSpaceDE/>
              <w:autoSpaceDN/>
              <w:bidi w:val="0"/>
              <w:adjustRightInd/>
              <w:snapToGrid/>
              <w:spacing w:after="0" w:line="380" w:lineRule="exact"/>
              <w:ind w:firstLine="420" w:firstLineChars="200"/>
              <w:textAlignment w:val="auto"/>
              <w:rPr>
                <w:rFonts w:hint="default" w:ascii="Arial" w:hAnsi="Arial" w:eastAsia="宋体" w:cs="Arial"/>
                <w:bCs/>
                <w:color w:val="auto"/>
                <w:spacing w:val="0"/>
                <w:kern w:val="2"/>
                <w:sz w:val="21"/>
                <w:szCs w:val="21"/>
                <w:highlight w:val="none"/>
                <w:lang w:val="en-US" w:eastAsia="zh-CN" w:bidi="ar-SA"/>
              </w:rPr>
            </w:pPr>
            <w:r>
              <w:rPr>
                <w:rFonts w:hint="eastAsia" w:ascii="Arial" w:hAnsi="Arial" w:eastAsia="宋体" w:cs="Arial"/>
                <w:bCs/>
                <w:color w:val="auto"/>
                <w:spacing w:val="0"/>
                <w:kern w:val="2"/>
                <w:sz w:val="21"/>
                <w:szCs w:val="21"/>
                <w:highlight w:val="none"/>
                <w:lang w:val="en-US" w:eastAsia="zh-CN" w:bidi="ar-SA"/>
              </w:rPr>
              <w:t>拟投入本项目的实施人员，投入3人以上得1分，投入5人以上得2分，满分2分。</w:t>
            </w:r>
          </w:p>
          <w:p w14:paraId="74521696">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ascii="Arial" w:hAnsi="Arial" w:cs="Arial"/>
                <w:bCs/>
                <w:color w:val="auto"/>
                <w:szCs w:val="21"/>
                <w:highlight w:val="none"/>
              </w:rPr>
            </w:pPr>
            <w:r>
              <w:rPr>
                <w:rFonts w:hint="eastAsia" w:ascii="Arial" w:hAnsi="Arial" w:cs="Arial"/>
                <w:bCs/>
                <w:color w:val="auto"/>
                <w:szCs w:val="21"/>
                <w:highlight w:val="none"/>
              </w:rPr>
              <w:t>（</w:t>
            </w:r>
            <w:r>
              <w:rPr>
                <w:rFonts w:hint="eastAsia" w:ascii="Arial" w:hAnsi="Arial" w:cs="Arial"/>
                <w:bCs/>
                <w:color w:val="auto"/>
                <w:szCs w:val="21"/>
                <w:highlight w:val="none"/>
                <w:lang w:val="en-US" w:eastAsia="zh-CN"/>
              </w:rPr>
              <w:t>3</w:t>
            </w:r>
            <w:r>
              <w:rPr>
                <w:rFonts w:hint="eastAsia" w:ascii="Arial" w:hAnsi="Arial" w:cs="Arial"/>
                <w:bCs/>
                <w:color w:val="auto"/>
                <w:szCs w:val="21"/>
                <w:highlight w:val="none"/>
              </w:rPr>
              <w:t>）配送场所分：</w:t>
            </w:r>
          </w:p>
          <w:p w14:paraId="665D9EEC">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ascii="Arial" w:hAnsi="Arial" w:cs="Arial"/>
                <w:bCs/>
                <w:color w:val="auto"/>
                <w:szCs w:val="21"/>
                <w:highlight w:val="none"/>
              </w:rPr>
            </w:pPr>
            <w:r>
              <w:rPr>
                <w:rFonts w:hint="eastAsia"/>
                <w:color w:val="auto"/>
                <w:highlight w:val="none"/>
              </w:rPr>
              <w:t>供应商拟投入的配送经营场所（功能明确且区域划分清晰）：</w:t>
            </w:r>
            <w:r>
              <w:rPr>
                <w:rFonts w:hint="eastAsia" w:ascii="Arial" w:hAnsi="Arial" w:cs="Arial"/>
                <w:bCs/>
                <w:color w:val="auto"/>
                <w:szCs w:val="21"/>
                <w:highlight w:val="none"/>
              </w:rPr>
              <w:t>食材分捡</w:t>
            </w:r>
            <w:r>
              <w:rPr>
                <w:rFonts w:ascii="Arial" w:hAnsi="Arial" w:cs="Arial"/>
                <w:bCs/>
                <w:color w:val="auto"/>
                <w:szCs w:val="21"/>
                <w:highlight w:val="none"/>
              </w:rPr>
              <w:t>/</w:t>
            </w:r>
            <w:r>
              <w:rPr>
                <w:rFonts w:hint="eastAsia" w:ascii="Arial" w:hAnsi="Arial" w:cs="Arial"/>
                <w:bCs/>
                <w:color w:val="auto"/>
                <w:szCs w:val="21"/>
                <w:highlight w:val="none"/>
              </w:rPr>
              <w:t>割间及清洗区、加工区、常温仓储区、冷冻保鲜区、办公区，每个区域得</w:t>
            </w:r>
            <w:r>
              <w:rPr>
                <w:rFonts w:ascii="Arial" w:hAnsi="Arial" w:cs="Arial"/>
                <w:bCs/>
                <w:color w:val="auto"/>
                <w:szCs w:val="21"/>
                <w:highlight w:val="none"/>
              </w:rPr>
              <w:t>2</w:t>
            </w:r>
            <w:r>
              <w:rPr>
                <w:rFonts w:hint="eastAsia" w:ascii="Arial" w:hAnsi="Arial" w:cs="Arial"/>
                <w:bCs/>
                <w:color w:val="auto"/>
                <w:szCs w:val="21"/>
                <w:highlight w:val="none"/>
              </w:rPr>
              <w:t>分，满分</w:t>
            </w:r>
            <w:r>
              <w:rPr>
                <w:rFonts w:ascii="Arial" w:hAnsi="Arial" w:cs="Arial"/>
                <w:bCs/>
                <w:color w:val="auto"/>
                <w:szCs w:val="21"/>
                <w:highlight w:val="none"/>
              </w:rPr>
              <w:t>10</w:t>
            </w:r>
            <w:r>
              <w:rPr>
                <w:rFonts w:hint="eastAsia" w:ascii="Arial" w:hAnsi="Arial" w:cs="Arial"/>
                <w:bCs/>
                <w:color w:val="auto"/>
                <w:szCs w:val="21"/>
                <w:highlight w:val="none"/>
              </w:rPr>
              <w:t>分。响应文件中提供场所分区场景实景图片。证明材料应符合要求，否则不得分。</w:t>
            </w:r>
          </w:p>
          <w:p w14:paraId="0670280D">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color w:val="auto"/>
                <w:highlight w:val="none"/>
              </w:rPr>
            </w:pPr>
            <w:r>
              <w:rPr>
                <w:rFonts w:hint="eastAsia"/>
                <w:color w:val="auto"/>
                <w:highlight w:val="none"/>
              </w:rPr>
              <w:t>（</w:t>
            </w:r>
            <w:r>
              <w:rPr>
                <w:rFonts w:hint="eastAsia"/>
                <w:color w:val="auto"/>
                <w:highlight w:val="none"/>
                <w:lang w:val="en-US" w:eastAsia="zh-CN"/>
              </w:rPr>
              <w:t>4</w:t>
            </w:r>
            <w:r>
              <w:rPr>
                <w:rFonts w:hint="eastAsia"/>
                <w:color w:val="auto"/>
                <w:highlight w:val="none"/>
              </w:rPr>
              <w:t>）检测能力</w:t>
            </w:r>
          </w:p>
          <w:p w14:paraId="72D99964">
            <w:pPr>
              <w:keepNext w:val="0"/>
              <w:keepLines w:val="0"/>
              <w:pageBreakBefore w:val="0"/>
              <w:widowControl/>
              <w:numPr>
                <w:ilvl w:val="0"/>
                <w:numId w:val="0"/>
              </w:numPr>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bCs/>
                <w:color w:val="auto"/>
                <w:kern w:val="2"/>
                <w:sz w:val="21"/>
                <w:szCs w:val="21"/>
                <w:highlight w:val="none"/>
                <w:lang w:val="en-US" w:eastAsia="zh-CN" w:bidi="ar-SA"/>
              </w:rPr>
            </w:pPr>
            <w:r>
              <w:rPr>
                <w:color w:val="auto"/>
                <w:highlight w:val="none"/>
              </w:rPr>
              <w:t>供应商具备食品检验检测能力的</w:t>
            </w:r>
            <w:r>
              <w:rPr>
                <w:rFonts w:hint="eastAsia"/>
                <w:color w:val="auto"/>
                <w:highlight w:val="none"/>
              </w:rPr>
              <w:t>：响应</w:t>
            </w:r>
            <w:r>
              <w:rPr>
                <w:color w:val="auto"/>
                <w:highlight w:val="none"/>
              </w:rPr>
              <w:t>文件中提供</w:t>
            </w:r>
            <w:r>
              <w:rPr>
                <w:rFonts w:hint="eastAsia"/>
                <w:color w:val="auto"/>
                <w:highlight w:val="none"/>
              </w:rPr>
              <w:t>供应商</w:t>
            </w:r>
            <w:r>
              <w:rPr>
                <w:color w:val="auto"/>
                <w:highlight w:val="none"/>
              </w:rPr>
              <w:t>的检测技术人员相关的检测证书复印件，每提供1名检测技术人员证书的得1.5分，满分3分，未按要求提供者不得分。</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2338C3CA">
            <w:pPr>
              <w:keepNext w:val="0"/>
              <w:keepLines w:val="0"/>
              <w:pageBreakBefore w:val="0"/>
              <w:kinsoku/>
              <w:wordWrap/>
              <w:overflowPunct/>
              <w:topLinePunct w:val="0"/>
              <w:autoSpaceDE/>
              <w:autoSpaceDN/>
              <w:bidi w:val="0"/>
              <w:adjustRightInd/>
              <w:spacing w:line="380" w:lineRule="exact"/>
              <w:jc w:val="center"/>
              <w:rPr>
                <w:rFonts w:hint="eastAsia" w:ascii="宋体" w:hAnsi="宋体" w:eastAsia="宋体" w:cs="Tahoma"/>
                <w:color w:val="auto"/>
                <w:kern w:val="0"/>
                <w:szCs w:val="21"/>
                <w:highlight w:val="none"/>
                <w:lang w:val="en-US" w:eastAsia="zh-CN"/>
              </w:rPr>
            </w:pPr>
            <w:r>
              <w:rPr>
                <w:rFonts w:hint="eastAsia" w:ascii="宋体" w:hAnsi="宋体" w:cs="Tahoma"/>
                <w:color w:val="auto"/>
                <w:kern w:val="0"/>
                <w:szCs w:val="21"/>
                <w:highlight w:val="none"/>
                <w:lang w:val="en-US" w:eastAsia="zh-CN"/>
              </w:rPr>
              <w:t>18</w:t>
            </w:r>
            <w:r>
              <w:rPr>
                <w:rFonts w:hint="eastAsia" w:ascii="宋体" w:hAnsi="宋体" w:cs="Tahoma"/>
                <w:color w:val="auto"/>
                <w:kern w:val="0"/>
                <w:szCs w:val="21"/>
                <w:highlight w:val="none"/>
                <w:lang w:val="en-US" w:eastAsia="zh-CN"/>
              </w:rPr>
              <w:t>分</w:t>
            </w:r>
          </w:p>
        </w:tc>
      </w:tr>
      <w:tr w14:paraId="5BA32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533" w:type="dxa"/>
            <w:tcBorders>
              <w:top w:val="single" w:color="auto" w:sz="4" w:space="0"/>
              <w:left w:val="single" w:color="auto" w:sz="4" w:space="0"/>
              <w:bottom w:val="single" w:color="auto" w:sz="4" w:space="0"/>
              <w:right w:val="single" w:color="auto" w:sz="4" w:space="0"/>
            </w:tcBorders>
            <w:noWrap w:val="0"/>
            <w:vAlign w:val="center"/>
          </w:tcPr>
          <w:p w14:paraId="6C1B9540">
            <w:pPr>
              <w:keepNext w:val="0"/>
              <w:keepLines w:val="0"/>
              <w:pageBreakBefore w:val="0"/>
              <w:kinsoku/>
              <w:wordWrap/>
              <w:overflowPunct/>
              <w:topLinePunct w:val="0"/>
              <w:autoSpaceDE/>
              <w:autoSpaceDN/>
              <w:bidi w:val="0"/>
              <w:adjustRightInd/>
              <w:spacing w:line="380" w:lineRule="exact"/>
              <w:jc w:val="center"/>
              <w:rPr>
                <w:rFonts w:hint="default" w:ascii="宋体" w:hAnsi="宋体" w:eastAsia="宋体" w:cs="Tahoma"/>
                <w:color w:val="auto"/>
                <w:kern w:val="0"/>
                <w:szCs w:val="21"/>
                <w:highlight w:val="none"/>
                <w:lang w:val="en-US" w:eastAsia="zh-CN"/>
              </w:rPr>
            </w:pPr>
            <w:r>
              <w:rPr>
                <w:rFonts w:hint="eastAsia" w:ascii="宋体" w:hAnsi="宋体" w:cs="Tahoma"/>
                <w:color w:val="auto"/>
                <w:kern w:val="0"/>
                <w:szCs w:val="21"/>
                <w:highlight w:val="none"/>
                <w:lang w:val="en-US" w:eastAsia="zh-CN"/>
              </w:rPr>
              <w:t>3.2</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820CC74">
            <w:pPr>
              <w:pStyle w:val="96"/>
              <w:keepNext w:val="0"/>
              <w:keepLines w:val="0"/>
              <w:pageBreakBefore w:val="0"/>
              <w:widowControl w:val="0"/>
              <w:kinsoku/>
              <w:wordWrap/>
              <w:overflowPunct/>
              <w:topLinePunct w:val="0"/>
              <w:autoSpaceDE/>
              <w:autoSpaceDN/>
              <w:bidi w:val="0"/>
              <w:adjustRightInd/>
              <w:spacing w:line="380" w:lineRule="exact"/>
              <w:ind w:left="0" w:leftChars="0"/>
              <w:jc w:val="center"/>
              <w:rPr>
                <w:rFonts w:hint="eastAsia" w:ascii="宋体" w:hAnsi="宋体" w:eastAsia="宋体" w:cs="宋体"/>
                <w:bCs/>
                <w:color w:val="auto"/>
                <w:kern w:val="2"/>
                <w:sz w:val="21"/>
                <w:szCs w:val="21"/>
                <w:highlight w:val="none"/>
                <w:lang w:val="en-US" w:eastAsia="zh-CN" w:bidi="ar-SA"/>
              </w:rPr>
            </w:pPr>
            <w:r>
              <w:rPr>
                <w:rFonts w:hint="eastAsia" w:cs="宋体"/>
                <w:bCs/>
                <w:color w:val="auto"/>
                <w:kern w:val="2"/>
                <w:sz w:val="21"/>
                <w:szCs w:val="21"/>
                <w:highlight w:val="none"/>
                <w:lang w:val="en-US" w:eastAsia="zh-CN" w:bidi="ar-SA"/>
              </w:rPr>
              <w:t>项目</w:t>
            </w:r>
            <w:r>
              <w:rPr>
                <w:rFonts w:hint="eastAsia" w:ascii="宋体" w:hAnsi="宋体" w:eastAsia="宋体" w:cs="宋体"/>
                <w:bCs/>
                <w:color w:val="auto"/>
                <w:kern w:val="2"/>
                <w:sz w:val="21"/>
                <w:szCs w:val="21"/>
                <w:highlight w:val="none"/>
                <w:lang w:val="en-US" w:eastAsia="zh-CN" w:bidi="ar-SA"/>
              </w:rPr>
              <w:t>业绩</w:t>
            </w:r>
          </w:p>
        </w:tc>
        <w:tc>
          <w:tcPr>
            <w:tcW w:w="6423" w:type="dxa"/>
            <w:tcBorders>
              <w:top w:val="single" w:color="auto" w:sz="4" w:space="0"/>
              <w:left w:val="single" w:color="auto" w:sz="4" w:space="0"/>
              <w:bottom w:val="single" w:color="auto" w:sz="4" w:space="0"/>
              <w:right w:val="single" w:color="auto" w:sz="4" w:space="0"/>
            </w:tcBorders>
            <w:noWrap w:val="0"/>
            <w:vAlign w:val="center"/>
          </w:tcPr>
          <w:p w14:paraId="7A204BCC">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both"/>
              <w:textAlignment w:val="auto"/>
              <w:outlineLvl w:val="1"/>
              <w:rPr>
                <w:rFonts w:hint="eastAsia"/>
                <w:color w:val="auto"/>
                <w:highlight w:val="none"/>
                <w:lang w:val="zh-TW" w:eastAsia="zh-CN"/>
              </w:rPr>
            </w:pPr>
            <w:r>
              <w:rPr>
                <w:rFonts w:hint="eastAsia"/>
                <w:color w:val="auto"/>
                <w:highlight w:val="none"/>
                <w:lang w:val="zh-TW" w:eastAsia="zh-CN"/>
              </w:rPr>
              <w:t>供应商20</w:t>
            </w:r>
            <w:r>
              <w:rPr>
                <w:rFonts w:hint="eastAsia"/>
                <w:color w:val="auto"/>
                <w:highlight w:val="none"/>
                <w:lang w:val="zh-TW" w:eastAsia="zh-TW"/>
              </w:rPr>
              <w:t>2</w:t>
            </w:r>
            <w:r>
              <w:rPr>
                <w:rFonts w:hint="eastAsia"/>
                <w:color w:val="auto"/>
                <w:highlight w:val="none"/>
                <w:lang w:val="en-US" w:eastAsia="zh-CN"/>
              </w:rPr>
              <w:t>0</w:t>
            </w:r>
            <w:r>
              <w:rPr>
                <w:rFonts w:hint="eastAsia"/>
                <w:color w:val="auto"/>
                <w:highlight w:val="none"/>
                <w:lang w:val="zh-TW" w:eastAsia="zh-CN"/>
              </w:rPr>
              <w:t>年1月1日以来具有同类项目业绩的，每有一个得</w:t>
            </w:r>
            <w:r>
              <w:rPr>
                <w:rFonts w:hint="eastAsia"/>
                <w:color w:val="auto"/>
                <w:highlight w:val="none"/>
                <w:lang w:val="en-US" w:eastAsia="zh-CN"/>
              </w:rPr>
              <w:t>3</w:t>
            </w:r>
            <w:r>
              <w:rPr>
                <w:rFonts w:hint="eastAsia"/>
                <w:color w:val="auto"/>
                <w:highlight w:val="none"/>
                <w:lang w:val="zh-TW" w:eastAsia="zh-CN"/>
              </w:rPr>
              <w:t>分，满分</w:t>
            </w:r>
            <w:r>
              <w:rPr>
                <w:rFonts w:hint="eastAsia"/>
                <w:color w:val="auto"/>
                <w:highlight w:val="none"/>
                <w:lang w:val="en-US" w:eastAsia="zh-CN"/>
              </w:rPr>
              <w:t>18</w:t>
            </w:r>
            <w:r>
              <w:rPr>
                <w:rFonts w:hint="eastAsia"/>
                <w:color w:val="auto"/>
                <w:highlight w:val="none"/>
                <w:lang w:val="zh-TW" w:eastAsia="zh-CN"/>
              </w:rPr>
              <w:t>分。（响应文件中提供中标</w:t>
            </w:r>
            <w:r>
              <w:rPr>
                <w:rFonts w:hint="eastAsia"/>
                <w:color w:val="auto"/>
                <w:highlight w:val="none"/>
                <w:lang w:val="en-US" w:eastAsia="zh-CN"/>
              </w:rPr>
              <w:t>/成交</w:t>
            </w:r>
            <w:r>
              <w:rPr>
                <w:rFonts w:hint="eastAsia"/>
                <w:color w:val="auto"/>
                <w:highlight w:val="none"/>
                <w:lang w:val="zh-TW" w:eastAsia="zh-CN"/>
              </w:rPr>
              <w:t>通知书或采购合同</w:t>
            </w:r>
            <w:r>
              <w:rPr>
                <w:rFonts w:hint="eastAsia" w:ascii="Times New Roman" w:hAnsi="Times New Roman" w:eastAsia="宋体" w:cs="Times New Roman"/>
                <w:color w:val="auto"/>
                <w:highlight w:val="none"/>
                <w:lang w:val="en-US" w:eastAsia="zh-CN"/>
              </w:rPr>
              <w:t>复印件或扫描件</w:t>
            </w:r>
            <w:r>
              <w:rPr>
                <w:rFonts w:hint="eastAsia" w:ascii="Times New Roman" w:hAnsi="Times New Roman" w:eastAsia="宋体" w:cs="Times New Roman"/>
                <w:color w:val="auto"/>
                <w:highlight w:val="none"/>
                <w:lang w:val="zh-TW" w:eastAsia="zh-CN"/>
              </w:rPr>
              <w:t>，加盖供应商电子签章）</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5F13FF33">
            <w:pPr>
              <w:keepNext w:val="0"/>
              <w:keepLines w:val="0"/>
              <w:pageBreakBefore w:val="0"/>
              <w:kinsoku/>
              <w:wordWrap/>
              <w:overflowPunct/>
              <w:topLinePunct w:val="0"/>
              <w:autoSpaceDE/>
              <w:autoSpaceDN/>
              <w:bidi w:val="0"/>
              <w:adjustRightInd/>
              <w:spacing w:line="380" w:lineRule="exact"/>
              <w:jc w:val="center"/>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18</w:t>
            </w:r>
            <w:r>
              <w:rPr>
                <w:rFonts w:hint="eastAsia" w:ascii="宋体" w:hAnsi="宋体" w:cs="Tahoma"/>
                <w:color w:val="auto"/>
                <w:kern w:val="0"/>
                <w:szCs w:val="21"/>
                <w:highlight w:val="none"/>
              </w:rPr>
              <w:t>分</w:t>
            </w:r>
          </w:p>
        </w:tc>
      </w:tr>
    </w:tbl>
    <w:p w14:paraId="284D048E">
      <w:pPr>
        <w:spacing w:line="360" w:lineRule="auto"/>
        <w:ind w:firstLine="422" w:firstLineChars="200"/>
        <w:rPr>
          <w:rFonts w:ascii="宋体" w:hAnsi="宋体"/>
          <w:bCs/>
          <w:color w:val="auto"/>
          <w:szCs w:val="21"/>
          <w:highlight w:val="none"/>
        </w:rPr>
      </w:pPr>
      <w:r>
        <w:rPr>
          <w:rFonts w:hint="eastAsia" w:hAnsi="宋体" w:cs="Courier New"/>
          <w:b/>
          <w:bCs/>
          <w:color w:val="auto"/>
          <w:highlight w:val="none"/>
        </w:rPr>
        <w:t>注：本项目为服务项目，不适用节能、环保、区内产品政策功能加分。</w:t>
      </w:r>
    </w:p>
    <w:p w14:paraId="450D4B49">
      <w:pPr>
        <w:spacing w:line="360" w:lineRule="auto"/>
        <w:ind w:firstLine="420" w:firstLineChars="200"/>
        <w:rPr>
          <w:rFonts w:hint="eastAsia" w:ascii="宋体" w:hAnsi="宋体"/>
          <w:color w:val="auto"/>
          <w:szCs w:val="21"/>
          <w:highlight w:val="none"/>
        </w:rPr>
      </w:pPr>
      <w:r>
        <w:rPr>
          <w:rFonts w:ascii="宋体" w:hAnsi="宋体"/>
          <w:bCs/>
          <w:color w:val="auto"/>
          <w:szCs w:val="21"/>
          <w:highlight w:val="none"/>
        </w:rPr>
        <w:t>7.</w:t>
      </w:r>
      <w:r>
        <w:rPr>
          <w:rFonts w:hint="eastAsia" w:ascii="宋体" w:hAnsi="宋体"/>
          <w:bCs/>
          <w:color w:val="auto"/>
          <w:szCs w:val="21"/>
          <w:highlight w:val="none"/>
        </w:rPr>
        <w:t>由磋商小组根据综合评分情况，按照评审得分由高到低顺序推荐3名以上成交候选供应商，并编写评审报告，</w:t>
      </w:r>
      <w:r>
        <w:rPr>
          <w:rFonts w:hint="eastAsia" w:ascii="宋体" w:hAnsi="宋体" w:cs="宋体"/>
          <w:color w:val="auto"/>
          <w:highlight w:val="none"/>
        </w:rPr>
        <w:t>评审报告</w:t>
      </w:r>
      <w:r>
        <w:rPr>
          <w:rFonts w:hint="eastAsia" w:hAnsi="宋体"/>
          <w:color w:val="auto"/>
          <w:highlight w:val="none"/>
        </w:rPr>
        <w:t>通过电子交易平台向采购人、采购代理机构提交。</w:t>
      </w:r>
      <w:r>
        <w:rPr>
          <w:rFonts w:hint="eastAsia" w:ascii="宋体" w:hAnsi="宋体"/>
          <w:bCs/>
          <w:color w:val="auto"/>
          <w:szCs w:val="21"/>
          <w:highlight w:val="none"/>
        </w:rPr>
        <w:t>符合本章第</w:t>
      </w:r>
      <w:r>
        <w:rPr>
          <w:rFonts w:ascii="宋体" w:hAnsi="宋体"/>
          <w:bCs/>
          <w:color w:val="auto"/>
          <w:szCs w:val="21"/>
          <w:highlight w:val="none"/>
        </w:rPr>
        <w:t>4.3</w:t>
      </w:r>
      <w:r>
        <w:rPr>
          <w:rFonts w:hint="eastAsia" w:ascii="宋体" w:hAnsi="宋体"/>
          <w:bCs/>
          <w:color w:val="auto"/>
          <w:szCs w:val="21"/>
          <w:highlight w:val="none"/>
        </w:rPr>
        <w:t>条情形的，可以推荐2家成交候选供应商。评审得分相同的，按照最后报价由低到高的顺序推荐。评审得分且最后报价相同的，按照技术指标优劣顺序推荐（按技术得分由高到低排序）。评审得分、最后报价、技术得分均相同的，由磋商小组随机抽取推荐。</w:t>
      </w:r>
    </w:p>
    <w:p w14:paraId="56BD78BB">
      <w:pPr>
        <w:pStyle w:val="19"/>
        <w:numPr>
          <w:ilvl w:val="0"/>
          <w:numId w:val="0"/>
        </w:numPr>
        <w:jc w:val="both"/>
        <w:rPr>
          <w:rFonts w:hint="eastAsia"/>
          <w:color w:val="auto"/>
          <w:highlight w:val="none"/>
          <w:lang w:val="en-US" w:eastAsia="zh-CN"/>
        </w:rPr>
      </w:pPr>
      <w:r>
        <w:rPr>
          <w:rFonts w:hint="eastAsia"/>
          <w:color w:val="auto"/>
          <w:highlight w:val="none"/>
          <w:lang w:val="en-US" w:eastAsia="zh-CN"/>
        </w:rPr>
        <w:t xml:space="preserve">        </w:t>
      </w:r>
    </w:p>
    <w:p w14:paraId="7A0C93EC">
      <w:pPr>
        <w:pStyle w:val="19"/>
        <w:numPr>
          <w:ilvl w:val="0"/>
          <w:numId w:val="0"/>
        </w:numPr>
        <w:jc w:val="both"/>
        <w:rPr>
          <w:rFonts w:hint="eastAsia"/>
          <w:color w:val="auto"/>
          <w:highlight w:val="none"/>
          <w:lang w:val="en-US" w:eastAsia="zh-CN"/>
        </w:rPr>
      </w:pPr>
    </w:p>
    <w:p w14:paraId="446C4A6E">
      <w:pPr>
        <w:rPr>
          <w:rFonts w:hint="eastAsia"/>
          <w:color w:val="auto"/>
          <w:highlight w:val="none"/>
          <w:lang w:val="en-US" w:eastAsia="zh-CN"/>
        </w:rPr>
      </w:pPr>
    </w:p>
    <w:p w14:paraId="3443E3BD">
      <w:pPr>
        <w:rPr>
          <w:rFonts w:hint="eastAsia"/>
          <w:color w:val="auto"/>
          <w:highlight w:val="none"/>
          <w:lang w:val="en-US" w:eastAsia="zh-CN"/>
        </w:rPr>
      </w:pPr>
    </w:p>
    <w:p w14:paraId="6706E5EC">
      <w:pPr>
        <w:rPr>
          <w:rFonts w:hint="eastAsia"/>
          <w:color w:val="auto"/>
          <w:highlight w:val="none"/>
          <w:lang w:val="en-US" w:eastAsia="zh-CN"/>
        </w:rPr>
      </w:pPr>
    </w:p>
    <w:p w14:paraId="060D49DA">
      <w:pPr>
        <w:rPr>
          <w:rFonts w:hint="eastAsia"/>
          <w:color w:val="auto"/>
          <w:highlight w:val="none"/>
          <w:lang w:val="en-US" w:eastAsia="zh-CN"/>
        </w:rPr>
      </w:pPr>
    </w:p>
    <w:p w14:paraId="0B6014E8">
      <w:pPr>
        <w:rPr>
          <w:rFonts w:hint="eastAsia"/>
          <w:color w:val="auto"/>
          <w:highlight w:val="none"/>
          <w:lang w:val="en-US" w:eastAsia="zh-CN"/>
        </w:rPr>
      </w:pPr>
    </w:p>
    <w:p w14:paraId="709819E9">
      <w:pPr>
        <w:rPr>
          <w:rFonts w:hint="eastAsia"/>
          <w:color w:val="auto"/>
          <w:highlight w:val="none"/>
          <w:lang w:val="en-US" w:eastAsia="zh-CN"/>
        </w:rPr>
      </w:pPr>
    </w:p>
    <w:p w14:paraId="3E3378C9">
      <w:pPr>
        <w:rPr>
          <w:rFonts w:hint="eastAsia"/>
          <w:color w:val="auto"/>
          <w:highlight w:val="none"/>
          <w:lang w:val="en-US" w:eastAsia="zh-CN"/>
        </w:rPr>
      </w:pPr>
    </w:p>
    <w:p w14:paraId="5A5CD065">
      <w:pPr>
        <w:rPr>
          <w:rFonts w:hint="eastAsia"/>
          <w:color w:val="auto"/>
          <w:highlight w:val="none"/>
          <w:lang w:val="en-US" w:eastAsia="zh-CN"/>
        </w:rPr>
      </w:pPr>
    </w:p>
    <w:p w14:paraId="11E607E3">
      <w:pPr>
        <w:rPr>
          <w:rFonts w:hint="eastAsia"/>
          <w:color w:val="auto"/>
          <w:highlight w:val="none"/>
          <w:lang w:val="en-US" w:eastAsia="zh-CN"/>
        </w:rPr>
      </w:pPr>
    </w:p>
    <w:p w14:paraId="7DD1B3A2">
      <w:pPr>
        <w:rPr>
          <w:rFonts w:hint="eastAsia"/>
          <w:color w:val="auto"/>
          <w:highlight w:val="none"/>
          <w:lang w:val="en-US" w:eastAsia="zh-CN"/>
        </w:rPr>
      </w:pPr>
    </w:p>
    <w:p w14:paraId="0ED35115">
      <w:pPr>
        <w:rPr>
          <w:rFonts w:hint="eastAsia"/>
          <w:color w:val="auto"/>
          <w:highlight w:val="none"/>
          <w:lang w:val="en-US" w:eastAsia="zh-CN"/>
        </w:rPr>
      </w:pPr>
    </w:p>
    <w:p w14:paraId="58F59AE9">
      <w:pPr>
        <w:rPr>
          <w:rFonts w:hint="eastAsia"/>
          <w:color w:val="auto"/>
          <w:highlight w:val="none"/>
          <w:lang w:val="en-US" w:eastAsia="zh-CN"/>
        </w:rPr>
      </w:pPr>
    </w:p>
    <w:p w14:paraId="1A1E0554">
      <w:pPr>
        <w:rPr>
          <w:rFonts w:hint="eastAsia"/>
          <w:color w:val="auto"/>
          <w:highlight w:val="none"/>
          <w:lang w:val="en-US" w:eastAsia="zh-CN"/>
        </w:rPr>
      </w:pPr>
    </w:p>
    <w:p w14:paraId="11AF20DE">
      <w:pPr>
        <w:rPr>
          <w:rFonts w:hint="eastAsia"/>
          <w:color w:val="auto"/>
          <w:highlight w:val="none"/>
          <w:lang w:val="en-US" w:eastAsia="zh-CN"/>
        </w:rPr>
      </w:pPr>
    </w:p>
    <w:p w14:paraId="3E475C25">
      <w:pPr>
        <w:rPr>
          <w:rFonts w:hint="eastAsia"/>
          <w:color w:val="auto"/>
          <w:highlight w:val="none"/>
          <w:lang w:val="en-US" w:eastAsia="zh-CN"/>
        </w:rPr>
      </w:pPr>
    </w:p>
    <w:p w14:paraId="76ED1539">
      <w:pPr>
        <w:rPr>
          <w:rFonts w:hint="eastAsia"/>
          <w:color w:val="auto"/>
          <w:highlight w:val="none"/>
          <w:lang w:val="en-US" w:eastAsia="zh-CN"/>
        </w:rPr>
      </w:pPr>
    </w:p>
    <w:p w14:paraId="5DD23F2F">
      <w:pPr>
        <w:rPr>
          <w:rFonts w:hint="eastAsia"/>
          <w:color w:val="auto"/>
          <w:highlight w:val="none"/>
          <w:lang w:val="en-US" w:eastAsia="zh-CN"/>
        </w:rPr>
      </w:pPr>
    </w:p>
    <w:p w14:paraId="2E12E739">
      <w:pPr>
        <w:rPr>
          <w:rFonts w:hint="eastAsia"/>
          <w:color w:val="auto"/>
          <w:highlight w:val="none"/>
          <w:lang w:val="en-US" w:eastAsia="zh-CN"/>
        </w:rPr>
      </w:pPr>
    </w:p>
    <w:p w14:paraId="0C5FCA2F">
      <w:pPr>
        <w:rPr>
          <w:rFonts w:hint="eastAsia"/>
          <w:color w:val="auto"/>
          <w:highlight w:val="none"/>
          <w:lang w:val="en-US" w:eastAsia="zh-CN"/>
        </w:rPr>
      </w:pPr>
    </w:p>
    <w:p w14:paraId="7D550DDA">
      <w:pPr>
        <w:rPr>
          <w:rFonts w:hint="eastAsia"/>
          <w:color w:val="auto"/>
          <w:highlight w:val="none"/>
          <w:lang w:val="en-US" w:eastAsia="zh-CN"/>
        </w:rPr>
      </w:pPr>
    </w:p>
    <w:p w14:paraId="3CE2D1FD">
      <w:pPr>
        <w:rPr>
          <w:rFonts w:hint="eastAsia"/>
          <w:color w:val="auto"/>
          <w:highlight w:val="none"/>
          <w:lang w:val="en-US" w:eastAsia="zh-CN"/>
        </w:rPr>
      </w:pPr>
    </w:p>
    <w:p w14:paraId="724F283B">
      <w:pPr>
        <w:rPr>
          <w:rFonts w:hint="eastAsia"/>
          <w:color w:val="auto"/>
          <w:highlight w:val="none"/>
          <w:lang w:val="en-US" w:eastAsia="zh-CN"/>
        </w:rPr>
      </w:pPr>
    </w:p>
    <w:p w14:paraId="161182B9">
      <w:pPr>
        <w:rPr>
          <w:rFonts w:hint="eastAsia"/>
          <w:color w:val="auto"/>
          <w:highlight w:val="none"/>
          <w:lang w:val="en-US" w:eastAsia="zh-CN"/>
        </w:rPr>
      </w:pPr>
    </w:p>
    <w:p w14:paraId="2912C914">
      <w:pPr>
        <w:rPr>
          <w:rFonts w:hint="eastAsia"/>
          <w:color w:val="auto"/>
          <w:highlight w:val="none"/>
          <w:lang w:val="en-US" w:eastAsia="zh-CN"/>
        </w:rPr>
      </w:pPr>
    </w:p>
    <w:p w14:paraId="4020848B">
      <w:pPr>
        <w:rPr>
          <w:rFonts w:hint="eastAsia"/>
          <w:color w:val="auto"/>
          <w:highlight w:val="none"/>
          <w:lang w:val="en-US" w:eastAsia="zh-CN"/>
        </w:rPr>
      </w:pPr>
    </w:p>
    <w:p w14:paraId="398C9A43">
      <w:pPr>
        <w:rPr>
          <w:rFonts w:hint="eastAsia"/>
          <w:color w:val="auto"/>
          <w:highlight w:val="none"/>
          <w:lang w:val="en-US" w:eastAsia="zh-CN"/>
        </w:rPr>
      </w:pPr>
    </w:p>
    <w:p w14:paraId="5E323694">
      <w:pPr>
        <w:rPr>
          <w:rFonts w:hint="eastAsia"/>
          <w:color w:val="auto"/>
          <w:highlight w:val="none"/>
          <w:lang w:val="en-US" w:eastAsia="zh-CN"/>
        </w:rPr>
      </w:pPr>
    </w:p>
    <w:p w14:paraId="44C961E2">
      <w:pPr>
        <w:rPr>
          <w:rFonts w:hint="eastAsia"/>
          <w:color w:val="auto"/>
          <w:highlight w:val="none"/>
          <w:lang w:val="en-US" w:eastAsia="zh-CN"/>
        </w:rPr>
      </w:pPr>
    </w:p>
    <w:p w14:paraId="14F43966">
      <w:pPr>
        <w:rPr>
          <w:rFonts w:hint="eastAsia"/>
          <w:color w:val="auto"/>
          <w:highlight w:val="none"/>
          <w:lang w:val="en-US" w:eastAsia="zh-CN"/>
        </w:rPr>
      </w:pPr>
    </w:p>
    <w:p w14:paraId="7C14960E">
      <w:pPr>
        <w:rPr>
          <w:rFonts w:hint="eastAsia"/>
          <w:color w:val="auto"/>
          <w:highlight w:val="none"/>
          <w:lang w:val="en-US" w:eastAsia="zh-CN"/>
        </w:rPr>
      </w:pPr>
    </w:p>
    <w:p w14:paraId="4CD933E0">
      <w:pPr>
        <w:rPr>
          <w:rFonts w:hint="eastAsia"/>
          <w:color w:val="auto"/>
          <w:highlight w:val="none"/>
          <w:lang w:val="en-US" w:eastAsia="zh-CN"/>
        </w:rPr>
      </w:pPr>
    </w:p>
    <w:p w14:paraId="31C805FE">
      <w:pPr>
        <w:rPr>
          <w:rFonts w:hint="eastAsia"/>
          <w:color w:val="auto"/>
          <w:highlight w:val="none"/>
          <w:lang w:val="en-US" w:eastAsia="zh-CN"/>
        </w:rPr>
      </w:pPr>
    </w:p>
    <w:p w14:paraId="60B30210">
      <w:pPr>
        <w:rPr>
          <w:rFonts w:hint="eastAsia"/>
          <w:color w:val="auto"/>
          <w:highlight w:val="none"/>
          <w:lang w:val="en-US" w:eastAsia="zh-CN"/>
        </w:rPr>
      </w:pPr>
    </w:p>
    <w:p w14:paraId="68166FBA">
      <w:pPr>
        <w:rPr>
          <w:rFonts w:hint="eastAsia"/>
          <w:color w:val="auto"/>
          <w:highlight w:val="none"/>
          <w:lang w:val="en-US" w:eastAsia="zh-CN"/>
        </w:rPr>
      </w:pPr>
    </w:p>
    <w:p w14:paraId="1570B117">
      <w:pPr>
        <w:rPr>
          <w:rFonts w:hint="eastAsia"/>
          <w:color w:val="auto"/>
          <w:highlight w:val="none"/>
          <w:lang w:val="en-US" w:eastAsia="zh-CN"/>
        </w:rPr>
      </w:pPr>
    </w:p>
    <w:p w14:paraId="68788F1C">
      <w:pPr>
        <w:rPr>
          <w:rFonts w:hint="eastAsia"/>
          <w:color w:val="auto"/>
          <w:highlight w:val="none"/>
          <w:lang w:val="en-US" w:eastAsia="zh-CN"/>
        </w:rPr>
      </w:pPr>
    </w:p>
    <w:p w14:paraId="08523D2C">
      <w:pPr>
        <w:rPr>
          <w:rFonts w:hint="eastAsia"/>
          <w:color w:val="auto"/>
          <w:highlight w:val="none"/>
          <w:lang w:val="en-US" w:eastAsia="zh-CN"/>
        </w:rPr>
      </w:pPr>
    </w:p>
    <w:p w14:paraId="3B0D9E1F">
      <w:pPr>
        <w:rPr>
          <w:rFonts w:hint="eastAsia"/>
          <w:color w:val="auto"/>
          <w:highlight w:val="none"/>
          <w:lang w:val="en-US" w:eastAsia="zh-CN"/>
        </w:rPr>
      </w:pPr>
    </w:p>
    <w:p w14:paraId="2B576A71">
      <w:pPr>
        <w:rPr>
          <w:rFonts w:hint="eastAsia"/>
          <w:color w:val="auto"/>
          <w:highlight w:val="none"/>
          <w:lang w:val="en-US" w:eastAsia="zh-CN"/>
        </w:rPr>
      </w:pPr>
    </w:p>
    <w:p w14:paraId="22A52C7C">
      <w:pPr>
        <w:rPr>
          <w:rFonts w:hint="eastAsia"/>
          <w:color w:val="auto"/>
          <w:highlight w:val="none"/>
          <w:lang w:val="en-US" w:eastAsia="zh-CN"/>
        </w:rPr>
      </w:pPr>
    </w:p>
    <w:p w14:paraId="610BF85F">
      <w:pPr>
        <w:rPr>
          <w:rFonts w:hint="eastAsia"/>
          <w:color w:val="auto"/>
          <w:highlight w:val="none"/>
          <w:lang w:val="en-US" w:eastAsia="zh-CN"/>
        </w:rPr>
      </w:pPr>
    </w:p>
    <w:p w14:paraId="5C2E8FDB">
      <w:pPr>
        <w:pStyle w:val="19"/>
        <w:numPr>
          <w:ilvl w:val="0"/>
          <w:numId w:val="0"/>
        </w:numPr>
        <w:ind w:firstLine="1767" w:firstLineChars="400"/>
        <w:jc w:val="both"/>
        <w:rPr>
          <w:rFonts w:hint="eastAsia"/>
          <w:color w:val="auto"/>
          <w:highlight w:val="none"/>
        </w:rPr>
      </w:pPr>
      <w:r>
        <w:rPr>
          <w:rFonts w:hint="eastAsia"/>
          <w:color w:val="auto"/>
          <w:highlight w:val="none"/>
          <w:lang w:val="en-US" w:eastAsia="zh-CN"/>
        </w:rPr>
        <w:t xml:space="preserve"> </w:t>
      </w:r>
      <w:r>
        <w:rPr>
          <w:rFonts w:hint="eastAsia"/>
          <w:color w:val="auto"/>
          <w:highlight w:val="none"/>
        </w:rPr>
        <w:t>第五章 响应文件格式</w:t>
      </w:r>
    </w:p>
    <w:p w14:paraId="2A79FC92">
      <w:pPr>
        <w:spacing w:line="240" w:lineRule="atLeast"/>
        <w:rPr>
          <w:rFonts w:hint="eastAsia" w:ascii="宋体" w:hAnsi="宋体"/>
          <w:b/>
          <w:color w:val="auto"/>
          <w:sz w:val="32"/>
          <w:szCs w:val="32"/>
          <w:highlight w:val="none"/>
        </w:rPr>
      </w:pPr>
    </w:p>
    <w:p w14:paraId="176ED54B">
      <w:pPr>
        <w:spacing w:line="240" w:lineRule="atLeast"/>
        <w:rPr>
          <w:rFonts w:hint="eastAsia" w:ascii="宋体" w:hAnsi="宋体"/>
          <w:b/>
          <w:color w:val="auto"/>
          <w:sz w:val="32"/>
          <w:szCs w:val="32"/>
          <w:highlight w:val="none"/>
        </w:rPr>
      </w:pPr>
    </w:p>
    <w:p w14:paraId="28DCA8B5">
      <w:pPr>
        <w:spacing w:line="240" w:lineRule="atLeast"/>
        <w:rPr>
          <w:rFonts w:hint="eastAsia" w:ascii="宋体" w:hAnsi="宋体"/>
          <w:b/>
          <w:color w:val="auto"/>
          <w:sz w:val="32"/>
          <w:szCs w:val="32"/>
          <w:highlight w:val="none"/>
        </w:rPr>
      </w:pPr>
    </w:p>
    <w:p w14:paraId="63070C4B">
      <w:pPr>
        <w:spacing w:line="240" w:lineRule="atLeast"/>
        <w:rPr>
          <w:rFonts w:hint="eastAsia" w:ascii="宋体" w:hAnsi="宋体"/>
          <w:b/>
          <w:color w:val="auto"/>
          <w:sz w:val="32"/>
          <w:szCs w:val="32"/>
          <w:highlight w:val="none"/>
        </w:rPr>
      </w:pPr>
    </w:p>
    <w:p w14:paraId="11AD2E53">
      <w:pPr>
        <w:spacing w:line="240" w:lineRule="atLeast"/>
        <w:rPr>
          <w:rFonts w:hint="eastAsia" w:ascii="宋体" w:hAnsi="宋体"/>
          <w:b/>
          <w:color w:val="auto"/>
          <w:sz w:val="32"/>
          <w:szCs w:val="32"/>
          <w:highlight w:val="none"/>
        </w:rPr>
      </w:pPr>
    </w:p>
    <w:p w14:paraId="46B188A1">
      <w:pPr>
        <w:spacing w:line="240" w:lineRule="atLeast"/>
        <w:rPr>
          <w:rFonts w:hint="eastAsia" w:ascii="宋体" w:hAnsi="宋体"/>
          <w:b/>
          <w:color w:val="auto"/>
          <w:sz w:val="32"/>
          <w:szCs w:val="32"/>
          <w:highlight w:val="none"/>
        </w:rPr>
      </w:pPr>
    </w:p>
    <w:p w14:paraId="7D0275F2">
      <w:pPr>
        <w:spacing w:line="240" w:lineRule="atLeast"/>
        <w:rPr>
          <w:rFonts w:hint="eastAsia" w:ascii="宋体" w:hAnsi="宋体"/>
          <w:b/>
          <w:color w:val="auto"/>
          <w:sz w:val="32"/>
          <w:szCs w:val="32"/>
          <w:highlight w:val="none"/>
        </w:rPr>
      </w:pPr>
    </w:p>
    <w:p w14:paraId="74E5D1AF">
      <w:pPr>
        <w:spacing w:line="240" w:lineRule="atLeast"/>
        <w:rPr>
          <w:rFonts w:hint="eastAsia" w:ascii="宋体" w:hAnsi="宋体"/>
          <w:b/>
          <w:color w:val="auto"/>
          <w:sz w:val="32"/>
          <w:szCs w:val="32"/>
          <w:highlight w:val="none"/>
        </w:rPr>
      </w:pPr>
    </w:p>
    <w:p w14:paraId="03D0A1D7">
      <w:pPr>
        <w:spacing w:line="240" w:lineRule="atLeast"/>
        <w:rPr>
          <w:rFonts w:hint="eastAsia" w:ascii="宋体" w:hAnsi="宋体"/>
          <w:b/>
          <w:color w:val="auto"/>
          <w:sz w:val="32"/>
          <w:szCs w:val="32"/>
          <w:highlight w:val="none"/>
        </w:rPr>
      </w:pPr>
    </w:p>
    <w:p w14:paraId="4259F93E">
      <w:pPr>
        <w:spacing w:line="240" w:lineRule="atLeast"/>
        <w:rPr>
          <w:rFonts w:hint="eastAsia" w:ascii="宋体" w:hAnsi="宋体"/>
          <w:b/>
          <w:color w:val="auto"/>
          <w:sz w:val="32"/>
          <w:szCs w:val="32"/>
          <w:highlight w:val="none"/>
        </w:rPr>
      </w:pPr>
    </w:p>
    <w:p w14:paraId="784D6D63">
      <w:pPr>
        <w:spacing w:line="240" w:lineRule="atLeast"/>
        <w:rPr>
          <w:rFonts w:hint="eastAsia" w:ascii="宋体" w:hAnsi="宋体"/>
          <w:b/>
          <w:color w:val="auto"/>
          <w:sz w:val="32"/>
          <w:szCs w:val="32"/>
          <w:highlight w:val="none"/>
        </w:rPr>
      </w:pPr>
    </w:p>
    <w:p w14:paraId="6C7482A5">
      <w:pPr>
        <w:spacing w:line="240" w:lineRule="atLeast"/>
        <w:rPr>
          <w:rFonts w:hint="eastAsia" w:ascii="宋体" w:hAnsi="宋体"/>
          <w:b/>
          <w:color w:val="auto"/>
          <w:sz w:val="32"/>
          <w:szCs w:val="32"/>
          <w:highlight w:val="none"/>
        </w:rPr>
      </w:pPr>
    </w:p>
    <w:p w14:paraId="269E05C3">
      <w:pPr>
        <w:spacing w:line="240" w:lineRule="atLeast"/>
        <w:rPr>
          <w:rFonts w:hint="eastAsia" w:ascii="宋体" w:hAnsi="宋体"/>
          <w:b/>
          <w:color w:val="auto"/>
          <w:sz w:val="32"/>
          <w:szCs w:val="32"/>
          <w:highlight w:val="none"/>
        </w:rPr>
      </w:pPr>
    </w:p>
    <w:p w14:paraId="2153B9E0">
      <w:pPr>
        <w:spacing w:line="240" w:lineRule="atLeast"/>
        <w:rPr>
          <w:rFonts w:hint="eastAsia" w:ascii="宋体" w:hAnsi="宋体"/>
          <w:b/>
          <w:color w:val="auto"/>
          <w:sz w:val="32"/>
          <w:szCs w:val="32"/>
          <w:highlight w:val="none"/>
        </w:rPr>
      </w:pPr>
    </w:p>
    <w:p w14:paraId="2FC85919">
      <w:pPr>
        <w:spacing w:line="240" w:lineRule="atLeast"/>
        <w:rPr>
          <w:rFonts w:hint="eastAsia" w:ascii="宋体" w:hAnsi="宋体"/>
          <w:b/>
          <w:color w:val="auto"/>
          <w:sz w:val="32"/>
          <w:szCs w:val="32"/>
          <w:highlight w:val="none"/>
        </w:rPr>
      </w:pPr>
    </w:p>
    <w:p w14:paraId="28BEEA12">
      <w:pPr>
        <w:spacing w:line="240" w:lineRule="atLeast"/>
        <w:rPr>
          <w:rFonts w:hint="eastAsia" w:ascii="宋体" w:hAnsi="宋体"/>
          <w:b/>
          <w:color w:val="auto"/>
          <w:sz w:val="32"/>
          <w:szCs w:val="32"/>
          <w:highlight w:val="none"/>
        </w:rPr>
      </w:pPr>
    </w:p>
    <w:p w14:paraId="6165D667">
      <w:pPr>
        <w:spacing w:line="240" w:lineRule="atLeast"/>
        <w:rPr>
          <w:rFonts w:hint="eastAsia" w:ascii="宋体" w:hAnsi="宋体"/>
          <w:b/>
          <w:color w:val="auto"/>
          <w:sz w:val="32"/>
          <w:szCs w:val="32"/>
          <w:highlight w:val="none"/>
        </w:rPr>
      </w:pPr>
    </w:p>
    <w:p w14:paraId="1171768A">
      <w:pPr>
        <w:spacing w:line="240" w:lineRule="atLeast"/>
        <w:rPr>
          <w:rFonts w:hint="eastAsia" w:ascii="宋体" w:hAnsi="宋体"/>
          <w:b/>
          <w:color w:val="auto"/>
          <w:sz w:val="32"/>
          <w:szCs w:val="32"/>
          <w:highlight w:val="none"/>
        </w:rPr>
      </w:pPr>
    </w:p>
    <w:p w14:paraId="603BA65B">
      <w:pPr>
        <w:rPr>
          <w:rFonts w:hint="eastAsia"/>
          <w:b/>
          <w:color w:val="auto"/>
          <w:sz w:val="32"/>
          <w:szCs w:val="32"/>
          <w:highlight w:val="none"/>
        </w:rPr>
      </w:pPr>
      <w:r>
        <w:rPr>
          <w:rFonts w:hint="eastAsia"/>
          <w:b/>
          <w:color w:val="auto"/>
          <w:sz w:val="32"/>
          <w:szCs w:val="32"/>
          <w:highlight w:val="none"/>
        </w:rPr>
        <w:t>一、资格证明文件格式</w:t>
      </w:r>
    </w:p>
    <w:p w14:paraId="0F315F75">
      <w:pPr>
        <w:spacing w:before="120" w:after="50" w:line="360" w:lineRule="auto"/>
        <w:jc w:val="left"/>
        <w:rPr>
          <w:rFonts w:hint="eastAsia" w:ascii="宋体" w:hAnsi="宋体"/>
          <w:b/>
          <w:color w:val="auto"/>
          <w:sz w:val="24"/>
          <w:highlight w:val="none"/>
        </w:rPr>
      </w:pPr>
      <w:r>
        <w:rPr>
          <w:rFonts w:hint="eastAsia" w:ascii="宋体" w:hAnsi="宋体"/>
          <w:b/>
          <w:color w:val="auto"/>
          <w:sz w:val="32"/>
          <w:szCs w:val="32"/>
          <w:highlight w:val="none"/>
        </w:rPr>
        <w:t>1.资格证明文件封面格式：</w:t>
      </w:r>
      <w:r>
        <w:rPr>
          <w:rFonts w:hint="eastAsia" w:ascii="宋体" w:hAnsi="宋体"/>
          <w:b/>
          <w:color w:val="auto"/>
          <w:sz w:val="24"/>
          <w:highlight w:val="none"/>
        </w:rPr>
        <w:t xml:space="preserve"> </w:t>
      </w:r>
    </w:p>
    <w:p w14:paraId="1BE6F01A">
      <w:pPr>
        <w:spacing w:before="120" w:after="50"/>
        <w:jc w:val="center"/>
        <w:rPr>
          <w:rFonts w:ascii="宋体" w:hAnsi="宋体"/>
          <w:color w:val="auto"/>
          <w:sz w:val="44"/>
          <w:szCs w:val="44"/>
          <w:highlight w:val="none"/>
        </w:rPr>
      </w:pPr>
    </w:p>
    <w:p w14:paraId="1CB25FF2">
      <w:pPr>
        <w:spacing w:before="120" w:after="50"/>
        <w:jc w:val="center"/>
        <w:rPr>
          <w:rFonts w:ascii="宋体" w:hAnsi="宋体"/>
          <w:color w:val="auto"/>
          <w:sz w:val="44"/>
          <w:szCs w:val="44"/>
          <w:highlight w:val="none"/>
        </w:rPr>
      </w:pPr>
      <w:r>
        <w:rPr>
          <w:rFonts w:hint="eastAsia" w:ascii="宋体" w:hAnsi="宋体"/>
          <w:color w:val="auto"/>
          <w:sz w:val="44"/>
          <w:szCs w:val="44"/>
          <w:highlight w:val="none"/>
        </w:rPr>
        <w:t>电 子 响 应 文 件</w:t>
      </w:r>
    </w:p>
    <w:p w14:paraId="6000572E">
      <w:pPr>
        <w:spacing w:before="120" w:after="50"/>
        <w:rPr>
          <w:rFonts w:hint="eastAsia" w:ascii="宋体" w:hAnsi="宋体"/>
          <w:color w:val="auto"/>
          <w:sz w:val="24"/>
          <w:szCs w:val="20"/>
          <w:highlight w:val="none"/>
        </w:rPr>
      </w:pPr>
    </w:p>
    <w:p w14:paraId="69E674EE">
      <w:pPr>
        <w:spacing w:before="12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资  格  证  明  文  件</w:t>
      </w:r>
    </w:p>
    <w:p w14:paraId="66565C61">
      <w:pPr>
        <w:spacing w:before="120" w:after="50"/>
        <w:rPr>
          <w:rFonts w:hint="eastAsia" w:ascii="宋体" w:hAnsi="宋体"/>
          <w:bCs/>
          <w:color w:val="auto"/>
          <w:sz w:val="24"/>
          <w:szCs w:val="20"/>
          <w:highlight w:val="none"/>
        </w:rPr>
      </w:pPr>
    </w:p>
    <w:p w14:paraId="17A07156">
      <w:pPr>
        <w:spacing w:before="120" w:after="50"/>
        <w:rPr>
          <w:rFonts w:hint="eastAsia" w:ascii="宋体" w:hAnsi="宋体"/>
          <w:bCs/>
          <w:color w:val="auto"/>
          <w:sz w:val="24"/>
          <w:szCs w:val="20"/>
          <w:highlight w:val="none"/>
        </w:rPr>
      </w:pPr>
    </w:p>
    <w:p w14:paraId="01193DB8">
      <w:pPr>
        <w:spacing w:before="120" w:after="50"/>
        <w:rPr>
          <w:rFonts w:hint="eastAsia" w:ascii="宋体" w:hAnsi="宋体"/>
          <w:bCs/>
          <w:color w:val="auto"/>
          <w:sz w:val="24"/>
          <w:szCs w:val="20"/>
          <w:highlight w:val="none"/>
        </w:rPr>
      </w:pPr>
    </w:p>
    <w:p w14:paraId="3BB4CB54">
      <w:pPr>
        <w:spacing w:before="120" w:after="50"/>
        <w:rPr>
          <w:rFonts w:hint="eastAsia" w:ascii="宋体" w:hAnsi="宋体"/>
          <w:bCs/>
          <w:color w:val="auto"/>
          <w:sz w:val="24"/>
          <w:szCs w:val="20"/>
          <w:highlight w:val="none"/>
        </w:rPr>
      </w:pPr>
    </w:p>
    <w:p w14:paraId="2A50EA24">
      <w:pPr>
        <w:spacing w:before="120" w:after="50"/>
        <w:rPr>
          <w:rFonts w:hint="eastAsia" w:ascii="宋体" w:hAnsi="宋体"/>
          <w:bCs/>
          <w:color w:val="auto"/>
          <w:sz w:val="24"/>
          <w:szCs w:val="20"/>
          <w:highlight w:val="none"/>
        </w:rPr>
      </w:pPr>
    </w:p>
    <w:p w14:paraId="61980B8E">
      <w:pPr>
        <w:spacing w:before="12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36327E6B">
      <w:pPr>
        <w:spacing w:before="120" w:after="50"/>
        <w:ind w:firstLine="720" w:firstLineChars="225"/>
        <w:rPr>
          <w:rFonts w:hint="eastAsia" w:ascii="宋体" w:hAnsi="宋体" w:cs="仿宋_GB2312"/>
          <w:bCs/>
          <w:color w:val="auto"/>
          <w:sz w:val="32"/>
          <w:szCs w:val="32"/>
          <w:highlight w:val="none"/>
        </w:rPr>
      </w:pPr>
    </w:p>
    <w:p w14:paraId="3C020B60">
      <w:pPr>
        <w:spacing w:before="12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5BA5B3EB">
      <w:pPr>
        <w:spacing w:before="12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0243EF59">
      <w:pPr>
        <w:spacing w:before="12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72FF51E0">
      <w:pPr>
        <w:spacing w:before="120" w:after="50"/>
        <w:ind w:firstLine="720" w:firstLineChars="225"/>
        <w:rPr>
          <w:rFonts w:hint="eastAsia" w:ascii="宋体" w:hAnsi="宋体" w:cs="仿宋_GB2312"/>
          <w:bCs/>
          <w:color w:val="auto"/>
          <w:sz w:val="32"/>
          <w:szCs w:val="32"/>
          <w:highlight w:val="none"/>
        </w:rPr>
      </w:pPr>
    </w:p>
    <w:p w14:paraId="4B1B2918">
      <w:pPr>
        <w:pStyle w:val="26"/>
        <w:spacing w:before="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36FB6364">
      <w:pPr>
        <w:pStyle w:val="26"/>
        <w:spacing w:before="50" w:after="50"/>
        <w:ind w:left="0" w:leftChars="0" w:firstLine="0" w:firstLineChars="0"/>
        <w:rPr>
          <w:rFonts w:hint="eastAsia" w:ascii="宋体" w:hAnsi="宋体" w:cs="仿宋_GB2312"/>
          <w:bCs/>
          <w:color w:val="auto"/>
          <w:sz w:val="32"/>
          <w:szCs w:val="32"/>
          <w:highlight w:val="none"/>
        </w:rPr>
      </w:pPr>
    </w:p>
    <w:p w14:paraId="238EDC65">
      <w:pPr>
        <w:pStyle w:val="26"/>
        <w:spacing w:before="50" w:after="50"/>
        <w:ind w:firstLine="720" w:firstLineChars="225"/>
        <w:rPr>
          <w:rFonts w:hint="eastAsia" w:ascii="宋体" w:hAnsi="宋体" w:cs="仿宋_GB2312"/>
          <w:bCs/>
          <w:color w:val="auto"/>
          <w:sz w:val="32"/>
          <w:szCs w:val="32"/>
          <w:highlight w:val="none"/>
        </w:rPr>
      </w:pPr>
    </w:p>
    <w:p w14:paraId="37F6DECE">
      <w:pPr>
        <w:pStyle w:val="26"/>
        <w:spacing w:before="50" w:after="50"/>
        <w:ind w:firstLine="1280" w:firstLineChars="400"/>
        <w:rPr>
          <w:rFonts w:hint="eastAsia" w:ascii="宋体" w:hAnsi="宋体" w:cs="仿宋_GB2312"/>
          <w:bCs/>
          <w:color w:val="auto"/>
          <w:sz w:val="32"/>
          <w:szCs w:val="32"/>
          <w:highlight w:val="none"/>
        </w:rPr>
      </w:pPr>
    </w:p>
    <w:p w14:paraId="52C635AF">
      <w:pPr>
        <w:spacing w:before="12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5874A342">
      <w:pPr>
        <w:spacing w:before="120" w:after="50" w:line="360" w:lineRule="auto"/>
        <w:ind w:left="142"/>
        <w:jc w:val="left"/>
        <w:rPr>
          <w:rFonts w:hint="eastAsia" w:ascii="宋体" w:hAnsi="宋体"/>
          <w:b/>
          <w:bCs/>
          <w:color w:val="auto"/>
          <w:sz w:val="32"/>
          <w:szCs w:val="32"/>
          <w:highlight w:val="none"/>
        </w:rPr>
      </w:pPr>
      <w:r>
        <w:rPr>
          <w:rFonts w:ascii="宋体" w:hAnsi="宋体"/>
          <w:color w:val="auto"/>
          <w:sz w:val="24"/>
          <w:highlight w:val="none"/>
        </w:rPr>
        <w:br w:type="page"/>
      </w:r>
      <w:r>
        <w:rPr>
          <w:rFonts w:hint="eastAsia" w:ascii="宋体" w:hAnsi="宋体"/>
          <w:b/>
          <w:bCs/>
          <w:color w:val="auto"/>
          <w:sz w:val="32"/>
          <w:szCs w:val="32"/>
          <w:highlight w:val="none"/>
        </w:rPr>
        <w:t>2.资格证明文件目录</w:t>
      </w:r>
    </w:p>
    <w:p w14:paraId="1429CA27">
      <w:pPr>
        <w:spacing w:before="120" w:after="50" w:line="360" w:lineRule="auto"/>
        <w:ind w:firstLine="645"/>
        <w:rPr>
          <w:rFonts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3AB0A155">
      <w:pPr>
        <w:spacing w:before="120" w:after="50"/>
        <w:rPr>
          <w:rFonts w:ascii="宋体" w:hAnsi="宋体"/>
          <w:color w:val="auto"/>
          <w:sz w:val="24"/>
          <w:szCs w:val="20"/>
          <w:highlight w:val="none"/>
        </w:rPr>
      </w:pPr>
      <w:r>
        <w:rPr>
          <w:rFonts w:ascii="宋体" w:hAnsi="宋体"/>
          <w:color w:val="auto"/>
          <w:sz w:val="24"/>
          <w:szCs w:val="20"/>
          <w:highlight w:val="none"/>
        </w:rPr>
        <w:t xml:space="preserve"> </w:t>
      </w:r>
    </w:p>
    <w:p w14:paraId="52062027">
      <w:pPr>
        <w:spacing w:line="300" w:lineRule="auto"/>
        <w:rPr>
          <w:rFonts w:hint="eastAsia" w:ascii="宋体" w:hAnsi="宋体"/>
          <w:color w:val="auto"/>
          <w:szCs w:val="21"/>
          <w:highlight w:val="none"/>
        </w:rPr>
      </w:pPr>
    </w:p>
    <w:p w14:paraId="2B500CF5">
      <w:pPr>
        <w:spacing w:line="300" w:lineRule="auto"/>
        <w:rPr>
          <w:rFonts w:hint="eastAsia" w:ascii="宋体" w:hAnsi="宋体"/>
          <w:color w:val="auto"/>
          <w:szCs w:val="21"/>
          <w:highlight w:val="none"/>
        </w:rPr>
      </w:pPr>
    </w:p>
    <w:p w14:paraId="7D12DD7E">
      <w:pPr>
        <w:spacing w:line="300" w:lineRule="auto"/>
        <w:rPr>
          <w:rFonts w:hint="eastAsia" w:ascii="宋体" w:hAnsi="宋体"/>
          <w:color w:val="auto"/>
          <w:szCs w:val="21"/>
          <w:highlight w:val="none"/>
        </w:rPr>
      </w:pPr>
    </w:p>
    <w:p w14:paraId="406BF2C3">
      <w:pPr>
        <w:spacing w:line="300" w:lineRule="auto"/>
        <w:rPr>
          <w:rFonts w:hint="eastAsia" w:ascii="宋体" w:hAnsi="宋体"/>
          <w:color w:val="auto"/>
          <w:szCs w:val="21"/>
          <w:highlight w:val="none"/>
        </w:rPr>
      </w:pPr>
    </w:p>
    <w:p w14:paraId="4CF0ADB1">
      <w:pPr>
        <w:spacing w:line="300" w:lineRule="auto"/>
        <w:rPr>
          <w:rFonts w:hint="eastAsia" w:ascii="宋体" w:hAnsi="宋体"/>
          <w:color w:val="auto"/>
          <w:szCs w:val="21"/>
          <w:highlight w:val="none"/>
        </w:rPr>
      </w:pPr>
    </w:p>
    <w:p w14:paraId="7D49CBD6">
      <w:pPr>
        <w:spacing w:line="300" w:lineRule="auto"/>
        <w:rPr>
          <w:rFonts w:hint="eastAsia" w:ascii="宋体" w:hAnsi="宋体"/>
          <w:color w:val="auto"/>
          <w:szCs w:val="21"/>
          <w:highlight w:val="none"/>
        </w:rPr>
      </w:pPr>
    </w:p>
    <w:p w14:paraId="53A938B3">
      <w:pPr>
        <w:spacing w:line="300" w:lineRule="auto"/>
        <w:rPr>
          <w:rFonts w:hint="eastAsia" w:ascii="宋体" w:hAnsi="宋体"/>
          <w:color w:val="auto"/>
          <w:szCs w:val="21"/>
          <w:highlight w:val="none"/>
        </w:rPr>
      </w:pPr>
    </w:p>
    <w:p w14:paraId="3185AC2E">
      <w:pPr>
        <w:spacing w:line="300" w:lineRule="auto"/>
        <w:rPr>
          <w:rFonts w:hint="eastAsia" w:ascii="宋体" w:hAnsi="宋体"/>
          <w:color w:val="auto"/>
          <w:szCs w:val="21"/>
          <w:highlight w:val="none"/>
        </w:rPr>
      </w:pPr>
    </w:p>
    <w:p w14:paraId="7206DE20">
      <w:pPr>
        <w:spacing w:line="300" w:lineRule="auto"/>
        <w:rPr>
          <w:rFonts w:hint="eastAsia" w:ascii="宋体" w:hAnsi="宋体"/>
          <w:color w:val="auto"/>
          <w:szCs w:val="21"/>
          <w:highlight w:val="none"/>
        </w:rPr>
      </w:pPr>
    </w:p>
    <w:p w14:paraId="1492C24C">
      <w:pPr>
        <w:spacing w:line="300" w:lineRule="auto"/>
        <w:rPr>
          <w:rFonts w:hint="eastAsia" w:ascii="宋体" w:hAnsi="宋体"/>
          <w:color w:val="auto"/>
          <w:szCs w:val="21"/>
          <w:highlight w:val="none"/>
        </w:rPr>
      </w:pPr>
    </w:p>
    <w:p w14:paraId="46E90346">
      <w:pPr>
        <w:spacing w:line="300" w:lineRule="auto"/>
        <w:rPr>
          <w:rFonts w:hint="eastAsia" w:ascii="宋体" w:hAnsi="宋体"/>
          <w:color w:val="auto"/>
          <w:szCs w:val="21"/>
          <w:highlight w:val="none"/>
        </w:rPr>
      </w:pPr>
    </w:p>
    <w:p w14:paraId="7068C2FF">
      <w:pPr>
        <w:spacing w:line="300" w:lineRule="auto"/>
        <w:rPr>
          <w:rFonts w:hint="eastAsia" w:ascii="宋体" w:hAnsi="宋体"/>
          <w:color w:val="auto"/>
          <w:szCs w:val="21"/>
          <w:highlight w:val="none"/>
        </w:rPr>
      </w:pPr>
    </w:p>
    <w:p w14:paraId="0BF0D9A4">
      <w:pPr>
        <w:spacing w:line="300" w:lineRule="auto"/>
        <w:rPr>
          <w:rFonts w:hint="eastAsia" w:ascii="宋体" w:hAnsi="宋体"/>
          <w:color w:val="auto"/>
          <w:szCs w:val="21"/>
          <w:highlight w:val="none"/>
        </w:rPr>
      </w:pPr>
    </w:p>
    <w:p w14:paraId="1A06AEBC">
      <w:pPr>
        <w:spacing w:line="300" w:lineRule="auto"/>
        <w:rPr>
          <w:rFonts w:hint="eastAsia" w:ascii="宋体" w:hAnsi="宋体"/>
          <w:color w:val="auto"/>
          <w:szCs w:val="21"/>
          <w:highlight w:val="none"/>
        </w:rPr>
      </w:pPr>
    </w:p>
    <w:p w14:paraId="117ACD11">
      <w:pPr>
        <w:spacing w:line="300" w:lineRule="auto"/>
        <w:rPr>
          <w:rFonts w:hint="eastAsia" w:ascii="宋体" w:hAnsi="宋体"/>
          <w:color w:val="auto"/>
          <w:szCs w:val="21"/>
          <w:highlight w:val="none"/>
        </w:rPr>
      </w:pPr>
    </w:p>
    <w:p w14:paraId="0C63A67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b/>
          <w:color w:val="auto"/>
          <w:sz w:val="32"/>
          <w:szCs w:val="32"/>
          <w:highlight w:val="none"/>
        </w:rPr>
      </w:pPr>
      <w:r>
        <w:rPr>
          <w:rFonts w:ascii="宋体" w:hAnsi="宋体"/>
          <w:color w:val="auto"/>
          <w:szCs w:val="21"/>
          <w:highlight w:val="none"/>
        </w:rPr>
        <w:br w:type="page"/>
      </w:r>
      <w:r>
        <w:rPr>
          <w:rFonts w:hint="eastAsia" w:ascii="宋体" w:hAnsi="宋体"/>
          <w:color w:val="auto"/>
          <w:szCs w:val="21"/>
          <w:highlight w:val="none"/>
        </w:rPr>
        <w:t xml:space="preserve"> </w:t>
      </w:r>
      <w:r>
        <w:rPr>
          <w:rFonts w:hint="eastAsia" w:ascii="宋体" w:hAnsi="宋体"/>
          <w:b/>
          <w:color w:val="auto"/>
          <w:sz w:val="32"/>
          <w:szCs w:val="32"/>
          <w:highlight w:val="none"/>
        </w:rPr>
        <w:t>防城港市政府采购供应商信用承诺函（格式）</w:t>
      </w:r>
    </w:p>
    <w:p w14:paraId="653AC30A">
      <w:pPr>
        <w:spacing w:line="320" w:lineRule="exact"/>
        <w:jc w:val="left"/>
        <w:rPr>
          <w:rFonts w:hint="eastAsia" w:ascii="宋体" w:hAnsi="宋体"/>
          <w:color w:val="auto"/>
          <w:szCs w:val="21"/>
          <w:highlight w:val="none"/>
        </w:rPr>
      </w:pPr>
    </w:p>
    <w:p w14:paraId="31BA354C">
      <w:pPr>
        <w:spacing w:line="360" w:lineRule="auto"/>
        <w:jc w:val="left"/>
        <w:rPr>
          <w:rFonts w:hint="eastAsia" w:ascii="宋体" w:hAnsi="宋体"/>
          <w:color w:val="auto"/>
          <w:sz w:val="24"/>
          <w:highlight w:val="none"/>
        </w:rPr>
      </w:pPr>
      <w:r>
        <w:rPr>
          <w:rFonts w:hint="eastAsia" w:ascii="宋体" w:hAnsi="宋体"/>
          <w:color w:val="auto"/>
          <w:sz w:val="24"/>
          <w:highlight w:val="none"/>
        </w:rPr>
        <w:t>致（采购人或采购代理机构） ：</w:t>
      </w:r>
    </w:p>
    <w:p w14:paraId="150C139E">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我方自愿参加</w:t>
      </w:r>
      <w:r>
        <w:rPr>
          <w:rFonts w:hint="eastAsia" w:ascii="宋体" w:hAnsi="宋体"/>
          <w:color w:val="auto"/>
          <w:sz w:val="24"/>
          <w:highlight w:val="none"/>
          <w:u w:val="single"/>
        </w:rPr>
        <w:t xml:space="preserve"> （项目名称） </w:t>
      </w:r>
      <w:r>
        <w:rPr>
          <w:rFonts w:hint="eastAsia" w:ascii="宋体" w:hAnsi="宋体"/>
          <w:color w:val="auto"/>
          <w:sz w:val="24"/>
          <w:highlight w:val="none"/>
        </w:rPr>
        <w:t>项目（</w:t>
      </w:r>
      <w:r>
        <w:rPr>
          <w:rFonts w:hint="eastAsia" w:ascii="宋体" w:hAnsi="宋体"/>
          <w:color w:val="auto"/>
          <w:sz w:val="24"/>
          <w:highlight w:val="none"/>
          <w:u w:val="single"/>
        </w:rPr>
        <w:t xml:space="preserve">项目编号：         </w:t>
      </w:r>
      <w:r>
        <w:rPr>
          <w:rFonts w:hint="eastAsia" w:ascii="宋体" w:hAnsi="宋体"/>
          <w:color w:val="auto"/>
          <w:sz w:val="24"/>
          <w:highlight w:val="none"/>
        </w:rPr>
        <w:t xml:space="preserve">）的政府采购活动，严格遵守《中华人民共和国政府采购法》及相关法律法规，依法诚信经营，无条件遵守本次政府采购活动的各项规定，并郑重承诺： </w:t>
      </w:r>
    </w:p>
    <w:p w14:paraId="522EFA31">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 xml:space="preserve">1.我方具有符合采购文件资格要求的财务状况报告。 </w:t>
      </w:r>
    </w:p>
    <w:p w14:paraId="73762507">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 xml:space="preserve">2.我方具有符合采购文件资格要求的依法缴纳税收和社会保障资金的良好记录。 </w:t>
      </w:r>
    </w:p>
    <w:p w14:paraId="57447097">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 xml:space="preserve">3.我方参加政府采购活动前三年内在经营活动中没有重大违法记录。 </w:t>
      </w:r>
    </w:p>
    <w:p w14:paraId="6D881BD3">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我方对以上承诺内容的真实性负责。如有虚假，将依法承担相应责任。</w:t>
      </w:r>
    </w:p>
    <w:p w14:paraId="12500C28">
      <w:pPr>
        <w:spacing w:line="360" w:lineRule="auto"/>
        <w:jc w:val="left"/>
        <w:rPr>
          <w:rFonts w:hint="eastAsia" w:ascii="宋体" w:hAnsi="宋体"/>
          <w:color w:val="auto"/>
          <w:sz w:val="24"/>
          <w:highlight w:val="none"/>
        </w:rPr>
      </w:pPr>
    </w:p>
    <w:p w14:paraId="78223089">
      <w:pPr>
        <w:spacing w:line="360" w:lineRule="auto"/>
        <w:jc w:val="left"/>
        <w:rPr>
          <w:rFonts w:hint="eastAsia" w:ascii="宋体" w:hAnsi="宋体"/>
          <w:color w:val="auto"/>
          <w:sz w:val="24"/>
          <w:highlight w:val="none"/>
        </w:rPr>
      </w:pPr>
    </w:p>
    <w:p w14:paraId="3C72A93F">
      <w:pPr>
        <w:spacing w:line="360" w:lineRule="auto"/>
        <w:jc w:val="left"/>
        <w:rPr>
          <w:rFonts w:hint="eastAsia" w:ascii="宋体" w:hAnsi="宋体"/>
          <w:color w:val="auto"/>
          <w:sz w:val="24"/>
          <w:highlight w:val="none"/>
        </w:rPr>
      </w:pPr>
      <w:r>
        <w:rPr>
          <w:rFonts w:hint="eastAsia" w:ascii="宋体" w:hAnsi="宋体"/>
          <w:color w:val="auto"/>
          <w:sz w:val="24"/>
          <w:highlight w:val="none"/>
        </w:rPr>
        <w:t>供应商名称（电子签章）：</w:t>
      </w:r>
    </w:p>
    <w:p w14:paraId="7CE5F268">
      <w:pPr>
        <w:spacing w:line="360" w:lineRule="auto"/>
        <w:jc w:val="left"/>
        <w:rPr>
          <w:rFonts w:hint="eastAsia" w:ascii="宋体" w:hAnsi="宋体"/>
          <w:color w:val="auto"/>
          <w:sz w:val="24"/>
          <w:highlight w:val="none"/>
        </w:rPr>
      </w:pPr>
      <w:r>
        <w:rPr>
          <w:rFonts w:hint="eastAsia" w:ascii="宋体" w:hAnsi="宋体"/>
          <w:color w:val="auto"/>
          <w:sz w:val="24"/>
          <w:highlight w:val="none"/>
        </w:rPr>
        <w:t>统一社会信用代码：</w:t>
      </w:r>
    </w:p>
    <w:p w14:paraId="2865C3CC">
      <w:pPr>
        <w:spacing w:line="360" w:lineRule="auto"/>
        <w:jc w:val="left"/>
        <w:rPr>
          <w:rFonts w:hint="eastAsia" w:ascii="宋体" w:hAnsi="宋体"/>
          <w:color w:val="auto"/>
          <w:sz w:val="24"/>
          <w:highlight w:val="none"/>
        </w:rPr>
      </w:pPr>
      <w:r>
        <w:rPr>
          <w:rFonts w:hint="eastAsia" w:ascii="宋体" w:hAnsi="宋体"/>
          <w:color w:val="auto"/>
          <w:sz w:val="24"/>
          <w:highlight w:val="none"/>
        </w:rPr>
        <w:t>法定代表人或授权代表(签字或者电子签名)：</w:t>
      </w:r>
    </w:p>
    <w:p w14:paraId="6A35058B">
      <w:pPr>
        <w:spacing w:line="360" w:lineRule="auto"/>
        <w:jc w:val="left"/>
        <w:rPr>
          <w:rFonts w:hint="eastAsia" w:ascii="宋体" w:hAnsi="宋体"/>
          <w:color w:val="auto"/>
          <w:sz w:val="24"/>
          <w:highlight w:val="none"/>
        </w:rPr>
      </w:pPr>
      <w:r>
        <w:rPr>
          <w:rFonts w:hint="eastAsia" w:ascii="宋体" w:hAnsi="宋体"/>
          <w:color w:val="auto"/>
          <w:sz w:val="24"/>
          <w:highlight w:val="none"/>
        </w:rPr>
        <w:t>日期： 年 月 日</w:t>
      </w:r>
    </w:p>
    <w:p w14:paraId="1FA690EF">
      <w:pPr>
        <w:spacing w:line="360" w:lineRule="auto"/>
        <w:jc w:val="left"/>
        <w:rPr>
          <w:rFonts w:hint="eastAsia" w:ascii="宋体" w:hAnsi="宋体"/>
          <w:color w:val="auto"/>
          <w:sz w:val="24"/>
          <w:highlight w:val="none"/>
        </w:rPr>
      </w:pPr>
    </w:p>
    <w:p w14:paraId="718C3821">
      <w:pPr>
        <w:spacing w:line="360" w:lineRule="auto"/>
        <w:jc w:val="left"/>
        <w:rPr>
          <w:rFonts w:hint="eastAsia" w:ascii="宋体" w:hAnsi="宋体"/>
          <w:b/>
          <w:bCs/>
          <w:color w:val="auto"/>
          <w:sz w:val="24"/>
          <w:highlight w:val="none"/>
        </w:rPr>
      </w:pPr>
      <w:r>
        <w:rPr>
          <w:rFonts w:hint="eastAsia" w:ascii="宋体" w:hAnsi="宋体"/>
          <w:b/>
          <w:bCs/>
          <w:color w:val="auto"/>
          <w:sz w:val="24"/>
          <w:highlight w:val="none"/>
        </w:rPr>
        <w:t>注：1.供应商须在响应文件中按此模板提供承诺函，未提供视为未实质性响应采购文件要求，按无效响应处理。</w:t>
      </w:r>
    </w:p>
    <w:p w14:paraId="6F099E93">
      <w:pPr>
        <w:spacing w:line="360" w:lineRule="auto"/>
        <w:jc w:val="left"/>
        <w:rPr>
          <w:rFonts w:hint="eastAsia" w:ascii="宋体" w:hAnsi="宋体"/>
          <w:color w:val="auto"/>
          <w:sz w:val="24"/>
          <w:highlight w:val="none"/>
        </w:rPr>
      </w:pPr>
      <w:r>
        <w:rPr>
          <w:rFonts w:hint="eastAsia" w:ascii="宋体" w:hAnsi="宋体"/>
          <w:color w:val="auto"/>
          <w:sz w:val="24"/>
          <w:highlight w:val="none"/>
        </w:rPr>
        <w:t>2.供应商的法定代表人（其他组织的为负责人）或者授权代表的签名或盖章应真实、有效，如由授权代表签名或盖章的，应提供“法定代表人授权书”。</w:t>
      </w:r>
    </w:p>
    <w:p w14:paraId="2418A0FD">
      <w:pPr>
        <w:spacing w:line="320" w:lineRule="exact"/>
        <w:jc w:val="left"/>
        <w:rPr>
          <w:rFonts w:ascii="宋体" w:hAnsi="宋体"/>
          <w:color w:val="auto"/>
          <w:szCs w:val="21"/>
          <w:highlight w:val="none"/>
        </w:rPr>
      </w:pPr>
    </w:p>
    <w:p w14:paraId="45B0BB0D">
      <w:pPr>
        <w:pStyle w:val="26"/>
        <w:rPr>
          <w:color w:val="auto"/>
          <w:highlight w:val="none"/>
        </w:rPr>
      </w:pPr>
    </w:p>
    <w:p w14:paraId="36ECEE35">
      <w:pPr>
        <w:pStyle w:val="26"/>
        <w:rPr>
          <w:color w:val="auto"/>
          <w:highlight w:val="none"/>
        </w:rPr>
      </w:pPr>
    </w:p>
    <w:p w14:paraId="51DA3081">
      <w:pPr>
        <w:pStyle w:val="26"/>
        <w:rPr>
          <w:color w:val="auto"/>
          <w:highlight w:val="none"/>
        </w:rPr>
      </w:pPr>
    </w:p>
    <w:p w14:paraId="7CE9CC93">
      <w:pPr>
        <w:pStyle w:val="26"/>
        <w:rPr>
          <w:color w:val="auto"/>
          <w:highlight w:val="none"/>
        </w:rPr>
      </w:pPr>
    </w:p>
    <w:p w14:paraId="35D720C7">
      <w:pPr>
        <w:pStyle w:val="26"/>
        <w:rPr>
          <w:color w:val="auto"/>
          <w:highlight w:val="none"/>
        </w:rPr>
      </w:pPr>
    </w:p>
    <w:p w14:paraId="3D3F45C9">
      <w:pPr>
        <w:pStyle w:val="26"/>
        <w:rPr>
          <w:color w:val="auto"/>
          <w:highlight w:val="none"/>
        </w:rPr>
      </w:pPr>
    </w:p>
    <w:p w14:paraId="395884F1">
      <w:pPr>
        <w:pStyle w:val="26"/>
        <w:rPr>
          <w:color w:val="auto"/>
          <w:highlight w:val="none"/>
        </w:rPr>
      </w:pPr>
    </w:p>
    <w:p w14:paraId="2F4FBD94">
      <w:pPr>
        <w:pStyle w:val="26"/>
        <w:rPr>
          <w:color w:val="auto"/>
          <w:highlight w:val="none"/>
        </w:rPr>
      </w:pPr>
    </w:p>
    <w:p w14:paraId="68E8792D">
      <w:pPr>
        <w:pStyle w:val="26"/>
        <w:rPr>
          <w:color w:val="auto"/>
          <w:highlight w:val="none"/>
        </w:rPr>
      </w:pPr>
    </w:p>
    <w:p w14:paraId="5ECC1B50">
      <w:pPr>
        <w:keepNext w:val="0"/>
        <w:keepLines w:val="0"/>
        <w:pageBreakBefore w:val="0"/>
        <w:widowControl w:val="0"/>
        <w:kinsoku/>
        <w:wordWrap w:val="0"/>
        <w:overflowPunct/>
        <w:topLinePunct w:val="0"/>
        <w:autoSpaceDE/>
        <w:autoSpaceDN/>
        <w:bidi w:val="0"/>
        <w:adjustRightInd/>
        <w:snapToGrid/>
        <w:spacing w:before="120" w:after="50" w:line="560" w:lineRule="exact"/>
        <w:ind w:right="482" w:firstLine="210" w:firstLineChars="100"/>
        <w:contextualSpacing/>
        <w:jc w:val="center"/>
        <w:textAlignment w:val="auto"/>
        <w:rPr>
          <w:rFonts w:hint="eastAsia" w:ascii="宋体" w:hAnsi="宋体"/>
          <w:color w:val="auto"/>
          <w:szCs w:val="21"/>
          <w:highlight w:val="none"/>
        </w:rPr>
      </w:pPr>
    </w:p>
    <w:p w14:paraId="173ED39C">
      <w:pPr>
        <w:keepNext w:val="0"/>
        <w:keepLines w:val="0"/>
        <w:pageBreakBefore w:val="0"/>
        <w:widowControl w:val="0"/>
        <w:kinsoku/>
        <w:wordWrap w:val="0"/>
        <w:overflowPunct/>
        <w:topLinePunct w:val="0"/>
        <w:autoSpaceDE/>
        <w:autoSpaceDN/>
        <w:bidi w:val="0"/>
        <w:adjustRightInd/>
        <w:snapToGrid/>
        <w:spacing w:before="120" w:after="50" w:line="560" w:lineRule="exact"/>
        <w:ind w:right="482" w:firstLine="210" w:firstLineChars="100"/>
        <w:contextualSpacing/>
        <w:jc w:val="center"/>
        <w:textAlignment w:val="auto"/>
        <w:rPr>
          <w:rFonts w:hint="eastAsia" w:ascii="宋体" w:hAnsi="宋体"/>
          <w:color w:val="auto"/>
          <w:szCs w:val="21"/>
          <w:highlight w:val="none"/>
        </w:rPr>
      </w:pPr>
    </w:p>
    <w:p w14:paraId="6D1AAB64">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宋体" w:hAnsi="宋体"/>
          <w:b/>
          <w:color w:val="auto"/>
          <w:sz w:val="32"/>
          <w:szCs w:val="32"/>
          <w:highlight w:val="none"/>
        </w:rPr>
      </w:pPr>
      <w:r>
        <w:rPr>
          <w:rFonts w:hint="eastAsia" w:ascii="宋体" w:hAnsi="宋体"/>
          <w:b/>
          <w:color w:val="auto"/>
          <w:sz w:val="32"/>
          <w:szCs w:val="32"/>
          <w:highlight w:val="none"/>
        </w:rPr>
        <w:t>供应商直接控股、管理关系信息表</w:t>
      </w:r>
    </w:p>
    <w:p w14:paraId="37261BA9">
      <w:pPr>
        <w:spacing w:before="120" w:after="50" w:line="360" w:lineRule="auto"/>
        <w:jc w:val="center"/>
        <w:rPr>
          <w:rFonts w:hint="eastAsia" w:ascii="宋体" w:hAnsi="宋体"/>
          <w:b/>
          <w:color w:val="auto"/>
          <w:sz w:val="24"/>
          <w:highlight w:val="none"/>
        </w:rPr>
      </w:pPr>
    </w:p>
    <w:p w14:paraId="3B1D7F82">
      <w:pPr>
        <w:spacing w:line="360" w:lineRule="auto"/>
        <w:contextualSpacing/>
        <w:jc w:val="center"/>
        <w:rPr>
          <w:rFonts w:hint="eastAsia" w:ascii="宋体" w:hAnsi="宋体"/>
          <w:b/>
          <w:color w:val="auto"/>
          <w:sz w:val="32"/>
          <w:szCs w:val="32"/>
          <w:highlight w:val="none"/>
        </w:rPr>
      </w:pPr>
      <w:r>
        <w:rPr>
          <w:rFonts w:hint="eastAsia" w:ascii="宋体" w:hAnsi="宋体"/>
          <w:b/>
          <w:color w:val="auto"/>
          <w:sz w:val="32"/>
          <w:szCs w:val="32"/>
          <w:highlight w:val="none"/>
        </w:rPr>
        <w:t>供应商直接控股股东信息表</w:t>
      </w:r>
    </w:p>
    <w:p w14:paraId="46C28632">
      <w:pPr>
        <w:spacing w:line="360" w:lineRule="auto"/>
        <w:contextualSpacing/>
        <w:jc w:val="center"/>
        <w:rPr>
          <w:rFonts w:hint="eastAsia" w:ascii="宋体" w:hAnsi="宋体"/>
          <w:b/>
          <w:color w:val="auto"/>
          <w:sz w:val="24"/>
          <w:highlight w:val="none"/>
        </w:rPr>
      </w:pPr>
    </w:p>
    <w:tbl>
      <w:tblPr>
        <w:tblStyle w:val="12"/>
        <w:tblW w:w="0" w:type="auto"/>
        <w:jc w:val="center"/>
        <w:shd w:val="clear" w:color="auto" w:fill="FBFBFB"/>
        <w:tblLayout w:type="fixed"/>
        <w:tblCellMar>
          <w:top w:w="120" w:type="dxa"/>
          <w:left w:w="120" w:type="dxa"/>
          <w:bottom w:w="120" w:type="dxa"/>
          <w:right w:w="120" w:type="dxa"/>
        </w:tblCellMar>
      </w:tblPr>
      <w:tblGrid>
        <w:gridCol w:w="880"/>
        <w:gridCol w:w="2655"/>
        <w:gridCol w:w="1455"/>
        <w:gridCol w:w="4287"/>
        <w:gridCol w:w="870"/>
      </w:tblGrid>
      <w:tr w14:paraId="6D0A819C">
        <w:tblPrEx>
          <w:shd w:val="clear" w:color="auto" w:fill="FBFBFB"/>
          <w:tblCellMar>
            <w:top w:w="120" w:type="dxa"/>
            <w:left w:w="120" w:type="dxa"/>
            <w:bottom w:w="120" w:type="dxa"/>
            <w:right w:w="12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7942BA60">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7E61ED14">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C51512F">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5D6D9A4">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459AADB">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3EE29FF9">
        <w:tblPrEx>
          <w:tblCellMar>
            <w:top w:w="120" w:type="dxa"/>
            <w:left w:w="120" w:type="dxa"/>
            <w:bottom w:w="120" w:type="dxa"/>
            <w:right w:w="12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EF58C6B">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D043B04">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78A62C9A">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E1D18AA">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B60639C">
            <w:pPr>
              <w:widowControl/>
              <w:spacing w:line="360" w:lineRule="auto"/>
              <w:contextualSpacing/>
              <w:jc w:val="center"/>
              <w:rPr>
                <w:rFonts w:hint="eastAsia" w:ascii="宋体" w:hAnsi="宋体" w:cs="宋体"/>
                <w:color w:val="auto"/>
                <w:kern w:val="0"/>
                <w:sz w:val="24"/>
                <w:highlight w:val="none"/>
              </w:rPr>
            </w:pPr>
          </w:p>
        </w:tc>
      </w:tr>
      <w:tr w14:paraId="1440B808">
        <w:tblPrEx>
          <w:tblCellMar>
            <w:top w:w="120" w:type="dxa"/>
            <w:left w:w="120" w:type="dxa"/>
            <w:bottom w:w="120" w:type="dxa"/>
            <w:right w:w="12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77ED92E3">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C97F02C">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9D72A3D">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7BCB3E15">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77C0871">
            <w:pPr>
              <w:widowControl/>
              <w:spacing w:line="360" w:lineRule="auto"/>
              <w:contextualSpacing/>
              <w:jc w:val="center"/>
              <w:rPr>
                <w:rFonts w:hint="eastAsia" w:ascii="宋体" w:hAnsi="宋体" w:cs="宋体"/>
                <w:color w:val="auto"/>
                <w:kern w:val="0"/>
                <w:sz w:val="24"/>
                <w:highlight w:val="none"/>
              </w:rPr>
            </w:pPr>
          </w:p>
        </w:tc>
      </w:tr>
      <w:tr w14:paraId="4A45C0E4">
        <w:tblPrEx>
          <w:tblCellMar>
            <w:top w:w="120" w:type="dxa"/>
            <w:left w:w="120" w:type="dxa"/>
            <w:bottom w:w="120" w:type="dxa"/>
            <w:right w:w="12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F73AF2D">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D1E45AE">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13E3662">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C02FB75">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0B3FA12">
            <w:pPr>
              <w:widowControl/>
              <w:spacing w:line="360" w:lineRule="auto"/>
              <w:contextualSpacing/>
              <w:jc w:val="center"/>
              <w:rPr>
                <w:rFonts w:hint="eastAsia" w:ascii="宋体" w:hAnsi="宋体" w:cs="宋体"/>
                <w:color w:val="auto"/>
                <w:kern w:val="0"/>
                <w:sz w:val="24"/>
                <w:highlight w:val="none"/>
              </w:rPr>
            </w:pPr>
          </w:p>
        </w:tc>
      </w:tr>
      <w:tr w14:paraId="589BE960">
        <w:tblPrEx>
          <w:tblCellMar>
            <w:top w:w="120" w:type="dxa"/>
            <w:left w:w="120" w:type="dxa"/>
            <w:bottom w:w="120" w:type="dxa"/>
            <w:right w:w="12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FD07D39">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87168EB">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7219C150">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D7E068B">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645E17F">
            <w:pPr>
              <w:widowControl/>
              <w:spacing w:line="360" w:lineRule="auto"/>
              <w:contextualSpacing/>
              <w:jc w:val="center"/>
              <w:rPr>
                <w:rFonts w:hint="eastAsia" w:ascii="宋体" w:hAnsi="宋体" w:cs="宋体"/>
                <w:color w:val="auto"/>
                <w:kern w:val="0"/>
                <w:sz w:val="24"/>
                <w:highlight w:val="none"/>
              </w:rPr>
            </w:pPr>
          </w:p>
        </w:tc>
      </w:tr>
    </w:tbl>
    <w:p w14:paraId="668D4F7F">
      <w:pPr>
        <w:spacing w:line="360" w:lineRule="auto"/>
        <w:contextualSpacing/>
        <w:jc w:val="left"/>
        <w:rPr>
          <w:rFonts w:hint="eastAsia" w:ascii="宋体" w:hAnsi="宋体" w:cs="宋体"/>
          <w:color w:val="auto"/>
          <w:sz w:val="24"/>
          <w:highlight w:val="none"/>
        </w:rPr>
      </w:pPr>
      <w:r>
        <w:rPr>
          <w:rFonts w:hint="eastAsia" w:ascii="宋体" w:hAnsi="宋体" w:cs="宋体"/>
          <w:color w:val="auto"/>
          <w:sz w:val="24"/>
          <w:highlight w:val="none"/>
        </w:rPr>
        <w:t>注：</w:t>
      </w:r>
    </w:p>
    <w:p w14:paraId="7B03FA8E">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F806532">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1DB9992A">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3.供应商不存在直接控股股东的，</w:t>
      </w:r>
      <w:r>
        <w:rPr>
          <w:rFonts w:hint="eastAsia" w:ascii="宋体" w:hAnsi="宋体"/>
          <w:color w:val="auto"/>
          <w:sz w:val="24"/>
          <w:highlight w:val="none"/>
        </w:rPr>
        <w:t>则在“直接控股股东名称”填“无”</w:t>
      </w:r>
      <w:r>
        <w:rPr>
          <w:rFonts w:hint="eastAsia" w:ascii="宋体" w:hAnsi="宋体" w:cs="宋体"/>
          <w:color w:val="auto"/>
          <w:sz w:val="24"/>
          <w:highlight w:val="none"/>
        </w:rPr>
        <w:t>。</w:t>
      </w:r>
    </w:p>
    <w:p w14:paraId="5571A194">
      <w:pPr>
        <w:spacing w:line="360" w:lineRule="auto"/>
        <w:ind w:firstLine="420" w:firstLineChars="200"/>
        <w:contextualSpacing/>
        <w:jc w:val="left"/>
        <w:rPr>
          <w:rFonts w:ascii="宋体" w:hAnsi="宋体" w:cs="宋体"/>
          <w:color w:val="auto"/>
          <w:szCs w:val="21"/>
          <w:highlight w:val="none"/>
        </w:rPr>
      </w:pPr>
    </w:p>
    <w:p w14:paraId="6F9775C1">
      <w:pPr>
        <w:spacing w:line="360" w:lineRule="auto"/>
        <w:ind w:firstLine="560" w:firstLineChars="200"/>
        <w:contextualSpacing/>
        <w:jc w:val="left"/>
        <w:rPr>
          <w:rFonts w:hint="eastAsia" w:ascii="宋体" w:hAnsi="宋体" w:cs="宋体"/>
          <w:color w:val="auto"/>
          <w:sz w:val="28"/>
          <w:szCs w:val="28"/>
          <w:highlight w:val="none"/>
        </w:rPr>
      </w:pPr>
    </w:p>
    <w:p w14:paraId="1AE2D9AE">
      <w:pPr>
        <w:spacing w:line="360" w:lineRule="auto"/>
        <w:ind w:right="480"/>
        <w:contextualSpacing/>
        <w:jc w:val="center"/>
        <w:rPr>
          <w:rFonts w:hint="eastAsia" w:ascii="宋体" w:hAnsi="宋体" w:cs="宋体"/>
          <w:color w:val="auto"/>
          <w:sz w:val="24"/>
          <w:highlight w:val="none"/>
          <w:u w:val="single"/>
        </w:rPr>
      </w:pPr>
      <w:r>
        <w:rPr>
          <w:rFonts w:hint="eastAsia" w:ascii="宋体" w:hAnsi="宋体" w:cs="宋体"/>
          <w:color w:val="auto"/>
          <w:sz w:val="24"/>
          <w:highlight w:val="non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法定代表人或者委托代理人</w:t>
      </w:r>
      <w:r>
        <w:rPr>
          <w:rFonts w:hint="eastAsia" w:ascii="宋体" w:hAnsi="宋体"/>
          <w:color w:val="auto"/>
          <w:sz w:val="24"/>
          <w:highlight w:val="none"/>
        </w:rPr>
        <w:t>（签字或者电子签名）</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0A5021FC">
      <w:pPr>
        <w:spacing w:line="360" w:lineRule="auto"/>
        <w:ind w:right="480" w:firstLine="3000" w:firstLineChars="1250"/>
        <w:contextualSpacing/>
        <w:rPr>
          <w:rFonts w:hint="eastAsia" w:ascii="宋体" w:hAnsi="宋体" w:cs="宋体"/>
          <w:color w:val="auto"/>
          <w:sz w:val="24"/>
          <w:highlight w:val="none"/>
          <w:u w:val="single"/>
        </w:rPr>
      </w:pPr>
      <w:r>
        <w:rPr>
          <w:rFonts w:hint="eastAsia" w:ascii="宋体" w:hAnsi="宋体" w:cs="宋体"/>
          <w:color w:val="auto"/>
          <w:sz w:val="24"/>
          <w:highlight w:val="none"/>
        </w:rPr>
        <w:t>供应商</w:t>
      </w:r>
      <w:r>
        <w:rPr>
          <w:rFonts w:hint="eastAsia" w:ascii="宋体" w:hAnsi="宋体"/>
          <w:color w:val="auto"/>
          <w:sz w:val="24"/>
          <w:highlight w:val="none"/>
        </w:rPr>
        <w:t>（电子签章）</w:t>
      </w: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p>
    <w:p w14:paraId="01F45E65">
      <w:pPr>
        <w:spacing w:line="360" w:lineRule="auto"/>
        <w:ind w:firstLine="480" w:firstLineChars="200"/>
        <w:contextualSpacing/>
        <w:jc w:val="right"/>
        <w:rPr>
          <w:rFonts w:hint="eastAsia" w:ascii="宋体" w:hAnsi="宋体" w:cs="宋体"/>
          <w:color w:val="auto"/>
          <w:sz w:val="28"/>
          <w:szCs w:val="28"/>
          <w:highlight w:val="none"/>
        </w:rPr>
      </w:pPr>
      <w:r>
        <w:rPr>
          <w:rFonts w:hint="eastAsia" w:ascii="宋体" w:hAnsi="宋体" w:cs="宋体"/>
          <w:color w:val="auto"/>
          <w:sz w:val="24"/>
          <w:highlight w:val="none"/>
        </w:rPr>
        <w:t>年    月    日</w:t>
      </w:r>
    </w:p>
    <w:p w14:paraId="1C6DDD3B">
      <w:pPr>
        <w:jc w:val="center"/>
        <w:rPr>
          <w:rFonts w:hint="eastAsia" w:ascii="宋体" w:hAnsi="宋体"/>
          <w:b/>
          <w:color w:val="auto"/>
          <w:sz w:val="28"/>
          <w:szCs w:val="28"/>
          <w:highlight w:val="none"/>
        </w:rPr>
      </w:pPr>
      <w:r>
        <w:rPr>
          <w:rFonts w:ascii="宋体" w:hAnsi="宋体"/>
          <w:b/>
          <w:color w:val="auto"/>
          <w:sz w:val="28"/>
          <w:szCs w:val="28"/>
          <w:highlight w:val="none"/>
        </w:rPr>
        <w:br w:type="page"/>
      </w:r>
    </w:p>
    <w:p w14:paraId="4C0A12F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b/>
          <w:color w:val="auto"/>
          <w:sz w:val="32"/>
          <w:szCs w:val="32"/>
          <w:highlight w:val="none"/>
        </w:rPr>
      </w:pPr>
      <w:r>
        <w:rPr>
          <w:rFonts w:hint="eastAsia" w:ascii="宋体" w:hAnsi="宋体"/>
          <w:b/>
          <w:color w:val="auto"/>
          <w:sz w:val="32"/>
          <w:szCs w:val="32"/>
          <w:highlight w:val="none"/>
        </w:rPr>
        <w:t>供应商直接管理关系信息表</w:t>
      </w:r>
    </w:p>
    <w:p w14:paraId="7B275D06">
      <w:pPr>
        <w:spacing w:line="360" w:lineRule="auto"/>
        <w:jc w:val="center"/>
        <w:rPr>
          <w:rFonts w:hint="eastAsia" w:ascii="宋体" w:hAnsi="宋体"/>
          <w:b/>
          <w:color w:val="auto"/>
          <w:sz w:val="24"/>
          <w:highlight w:val="none"/>
        </w:rPr>
      </w:pPr>
    </w:p>
    <w:tbl>
      <w:tblPr>
        <w:tblStyle w:val="12"/>
        <w:tblW w:w="0" w:type="auto"/>
        <w:jc w:val="center"/>
        <w:shd w:val="clear" w:color="auto" w:fill="FBFBFB"/>
        <w:tblLayout w:type="fixed"/>
        <w:tblCellMar>
          <w:top w:w="120" w:type="dxa"/>
          <w:left w:w="120" w:type="dxa"/>
          <w:bottom w:w="120" w:type="dxa"/>
          <w:right w:w="120" w:type="dxa"/>
        </w:tblCellMar>
      </w:tblPr>
      <w:tblGrid>
        <w:gridCol w:w="808"/>
        <w:gridCol w:w="3600"/>
        <w:gridCol w:w="3555"/>
        <w:gridCol w:w="1689"/>
      </w:tblGrid>
      <w:tr w14:paraId="73331783">
        <w:tblPrEx>
          <w:shd w:val="clear" w:color="auto" w:fill="FBFBFB"/>
          <w:tblCellMar>
            <w:top w:w="120" w:type="dxa"/>
            <w:left w:w="120" w:type="dxa"/>
            <w:bottom w:w="120" w:type="dxa"/>
            <w:right w:w="12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56C93C0">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734765B">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8E22CA1">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303BFF4">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09B3D64E">
        <w:tblPrEx>
          <w:tblCellMar>
            <w:top w:w="120" w:type="dxa"/>
            <w:left w:w="120" w:type="dxa"/>
            <w:bottom w:w="120" w:type="dxa"/>
            <w:right w:w="12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D5B7451">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CE14993">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22F38DF">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FC85955">
            <w:pPr>
              <w:widowControl/>
              <w:spacing w:line="360" w:lineRule="auto"/>
              <w:contextualSpacing/>
              <w:jc w:val="center"/>
              <w:rPr>
                <w:rFonts w:ascii="宋体" w:hAnsi="宋体" w:cs="宋体"/>
                <w:color w:val="auto"/>
                <w:kern w:val="0"/>
                <w:sz w:val="24"/>
                <w:highlight w:val="none"/>
              </w:rPr>
            </w:pPr>
          </w:p>
        </w:tc>
      </w:tr>
      <w:tr w14:paraId="5C39B0BB">
        <w:tblPrEx>
          <w:tblCellMar>
            <w:top w:w="120" w:type="dxa"/>
            <w:left w:w="120" w:type="dxa"/>
            <w:bottom w:w="120" w:type="dxa"/>
            <w:right w:w="12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FFBDE13">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7BE19AD">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F60864F">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B332629">
            <w:pPr>
              <w:widowControl/>
              <w:spacing w:line="360" w:lineRule="auto"/>
              <w:contextualSpacing/>
              <w:jc w:val="center"/>
              <w:rPr>
                <w:rFonts w:ascii="宋体" w:hAnsi="宋体" w:cs="宋体"/>
                <w:color w:val="auto"/>
                <w:kern w:val="0"/>
                <w:sz w:val="24"/>
                <w:highlight w:val="none"/>
              </w:rPr>
            </w:pPr>
          </w:p>
        </w:tc>
      </w:tr>
      <w:tr w14:paraId="2B4CC289">
        <w:tblPrEx>
          <w:tblCellMar>
            <w:top w:w="120" w:type="dxa"/>
            <w:left w:w="120" w:type="dxa"/>
            <w:bottom w:w="120" w:type="dxa"/>
            <w:right w:w="12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3C8C426">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DF764F1">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F569F66">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77974AC">
            <w:pPr>
              <w:widowControl/>
              <w:spacing w:line="360" w:lineRule="auto"/>
              <w:contextualSpacing/>
              <w:jc w:val="center"/>
              <w:rPr>
                <w:rFonts w:ascii="宋体" w:hAnsi="宋体" w:cs="宋体"/>
                <w:color w:val="auto"/>
                <w:kern w:val="0"/>
                <w:sz w:val="24"/>
                <w:highlight w:val="none"/>
              </w:rPr>
            </w:pPr>
          </w:p>
        </w:tc>
      </w:tr>
      <w:tr w14:paraId="55EEC9A7">
        <w:tblPrEx>
          <w:tblCellMar>
            <w:top w:w="120" w:type="dxa"/>
            <w:left w:w="120" w:type="dxa"/>
            <w:bottom w:w="120" w:type="dxa"/>
            <w:right w:w="12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8AA79AA">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A95E502">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62F21BF">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607E9EA">
            <w:pPr>
              <w:widowControl/>
              <w:spacing w:line="360" w:lineRule="auto"/>
              <w:contextualSpacing/>
              <w:jc w:val="center"/>
              <w:rPr>
                <w:rFonts w:ascii="宋体" w:hAnsi="宋体" w:cs="宋体"/>
                <w:color w:val="auto"/>
                <w:kern w:val="0"/>
                <w:sz w:val="24"/>
                <w:highlight w:val="none"/>
              </w:rPr>
            </w:pPr>
          </w:p>
        </w:tc>
      </w:tr>
    </w:tbl>
    <w:p w14:paraId="46DEC90E">
      <w:pPr>
        <w:spacing w:line="360" w:lineRule="auto"/>
        <w:contextualSpacing/>
        <w:jc w:val="left"/>
        <w:rPr>
          <w:rFonts w:hint="eastAsia" w:ascii="宋体" w:hAnsi="宋体"/>
          <w:color w:val="auto"/>
          <w:sz w:val="24"/>
          <w:highlight w:val="none"/>
        </w:rPr>
      </w:pPr>
      <w:r>
        <w:rPr>
          <w:rFonts w:hint="eastAsia" w:ascii="宋体" w:hAnsi="宋体"/>
          <w:color w:val="auto"/>
          <w:sz w:val="24"/>
          <w:highlight w:val="none"/>
        </w:rPr>
        <w:t>注：</w:t>
      </w:r>
    </w:p>
    <w:p w14:paraId="2E89E494">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60BC905C">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1487F8E0">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3.供应商不存在直接管理关系的，则在“直接管理关系单位名称”填“无”。</w:t>
      </w:r>
    </w:p>
    <w:p w14:paraId="23C36677">
      <w:pPr>
        <w:spacing w:line="360" w:lineRule="auto"/>
        <w:contextualSpacing/>
        <w:jc w:val="left"/>
        <w:rPr>
          <w:rFonts w:hint="eastAsia" w:ascii="宋体" w:hAnsi="宋体"/>
          <w:color w:val="auto"/>
          <w:sz w:val="28"/>
          <w:szCs w:val="28"/>
          <w:highlight w:val="none"/>
        </w:rPr>
      </w:pPr>
    </w:p>
    <w:p w14:paraId="2E4F2C1A">
      <w:pPr>
        <w:spacing w:line="360" w:lineRule="auto"/>
        <w:contextualSpacing/>
        <w:jc w:val="left"/>
        <w:rPr>
          <w:rFonts w:hint="eastAsia" w:ascii="宋体" w:hAnsi="宋体"/>
          <w:color w:val="auto"/>
          <w:sz w:val="28"/>
          <w:szCs w:val="28"/>
          <w:highlight w:val="none"/>
        </w:rPr>
      </w:pPr>
    </w:p>
    <w:p w14:paraId="454EF411">
      <w:pPr>
        <w:spacing w:line="360" w:lineRule="auto"/>
        <w:contextualSpacing/>
        <w:jc w:val="left"/>
        <w:rPr>
          <w:rFonts w:hint="eastAsia"/>
          <w:color w:val="auto"/>
          <w:sz w:val="28"/>
          <w:szCs w:val="28"/>
          <w:highlight w:val="none"/>
        </w:rPr>
      </w:pPr>
    </w:p>
    <w:p w14:paraId="4336AB2C">
      <w:pPr>
        <w:spacing w:line="360" w:lineRule="auto"/>
        <w:contextualSpacing/>
        <w:jc w:val="left"/>
        <w:rPr>
          <w:rFonts w:hint="eastAsia"/>
          <w:color w:val="auto"/>
          <w:sz w:val="28"/>
          <w:szCs w:val="28"/>
          <w:highlight w:val="none"/>
        </w:rPr>
      </w:pPr>
    </w:p>
    <w:p w14:paraId="077DA2A0">
      <w:pPr>
        <w:spacing w:line="360" w:lineRule="auto"/>
        <w:contextualSpacing/>
        <w:jc w:val="left"/>
        <w:rPr>
          <w:rFonts w:hint="eastAsia"/>
          <w:color w:val="auto"/>
          <w:sz w:val="28"/>
          <w:szCs w:val="28"/>
          <w:highlight w:val="none"/>
        </w:rPr>
      </w:pPr>
    </w:p>
    <w:p w14:paraId="7EBEC5C4">
      <w:pPr>
        <w:spacing w:line="360" w:lineRule="auto"/>
        <w:contextualSpacing/>
        <w:jc w:val="left"/>
        <w:rPr>
          <w:rFonts w:hint="eastAsia" w:ascii="宋体" w:hAnsi="宋体"/>
          <w:color w:val="auto"/>
          <w:sz w:val="28"/>
          <w:szCs w:val="28"/>
          <w:highlight w:val="none"/>
        </w:rPr>
      </w:pPr>
    </w:p>
    <w:p w14:paraId="5428FE3C">
      <w:pPr>
        <w:spacing w:line="360" w:lineRule="auto"/>
        <w:ind w:right="480"/>
        <w:contextualSpacing/>
        <w:jc w:val="center"/>
        <w:rPr>
          <w:rFonts w:hint="eastAsia" w:ascii="宋体" w:hAnsi="宋体"/>
          <w:color w:val="auto"/>
          <w:sz w:val="24"/>
          <w:highlight w:val="none"/>
          <w:u w:val="single"/>
        </w:rPr>
      </w:pP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法定代表人或者委托代理人（签字或者电子签名）：</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471AC135">
      <w:pPr>
        <w:spacing w:line="360" w:lineRule="auto"/>
        <w:ind w:right="480" w:firstLine="3360" w:firstLineChars="1400"/>
        <w:contextualSpacing/>
        <w:rPr>
          <w:rFonts w:hint="eastAsia" w:ascii="宋体" w:hAnsi="宋体"/>
          <w:color w:val="auto"/>
          <w:sz w:val="24"/>
          <w:highlight w:val="none"/>
        </w:rPr>
      </w:pPr>
      <w:r>
        <w:rPr>
          <w:rFonts w:hint="eastAsia" w:ascii="宋体" w:hAnsi="宋体"/>
          <w:color w:val="auto"/>
          <w:sz w:val="24"/>
          <w:highlight w:val="none"/>
        </w:rPr>
        <w:t>供应商（电子签章）：</w:t>
      </w:r>
      <w:r>
        <w:rPr>
          <w:rFonts w:hint="eastAsia" w:ascii="宋体" w:hAnsi="宋体"/>
          <w:color w:val="auto"/>
          <w:sz w:val="24"/>
          <w:highlight w:val="none"/>
          <w:u w:val="single"/>
        </w:rPr>
        <w:t xml:space="preserve">                </w:t>
      </w:r>
    </w:p>
    <w:p w14:paraId="735D5F08">
      <w:pPr>
        <w:spacing w:line="360" w:lineRule="auto"/>
        <w:ind w:firstLine="480" w:firstLineChars="200"/>
        <w:contextualSpacing/>
        <w:jc w:val="left"/>
        <w:rPr>
          <w:rFonts w:ascii="宋体" w:hAnsi="宋体"/>
          <w:color w:val="auto"/>
          <w:sz w:val="28"/>
          <w:szCs w:val="28"/>
          <w:highlight w:val="none"/>
        </w:rPr>
      </w:pPr>
      <w:r>
        <w:rPr>
          <w:rFonts w:hint="eastAsia" w:ascii="宋体" w:hAnsi="宋体"/>
          <w:color w:val="auto"/>
          <w:sz w:val="24"/>
          <w:highlight w:val="none"/>
        </w:rPr>
        <w:t xml:space="preserve">                                        年    月    日</w:t>
      </w:r>
    </w:p>
    <w:p w14:paraId="79342D9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b/>
          <w:color w:val="auto"/>
          <w:sz w:val="32"/>
          <w:szCs w:val="32"/>
          <w:highlight w:val="none"/>
        </w:rPr>
      </w:pPr>
      <w:r>
        <w:rPr>
          <w:rFonts w:ascii="宋体" w:hAnsi="宋体"/>
          <w:color w:val="auto"/>
          <w:sz w:val="28"/>
          <w:szCs w:val="28"/>
          <w:highlight w:val="none"/>
        </w:rPr>
        <w:br w:type="page"/>
      </w:r>
      <w:r>
        <w:rPr>
          <w:rFonts w:hint="eastAsia" w:ascii="宋体" w:hAnsi="宋体"/>
          <w:b/>
          <w:color w:val="auto"/>
          <w:sz w:val="32"/>
          <w:szCs w:val="32"/>
          <w:highlight w:val="none"/>
        </w:rPr>
        <w:t>竞标声明</w:t>
      </w:r>
    </w:p>
    <w:p w14:paraId="47BB8186">
      <w:pPr>
        <w:spacing w:line="320" w:lineRule="exact"/>
        <w:jc w:val="center"/>
        <w:rPr>
          <w:rFonts w:hint="eastAsia" w:ascii="宋体" w:hAnsi="宋体"/>
          <w:color w:val="auto"/>
          <w:sz w:val="24"/>
          <w:szCs w:val="20"/>
          <w:highlight w:val="none"/>
        </w:rPr>
      </w:pPr>
    </w:p>
    <w:p w14:paraId="7772D92B">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0C5870B2">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62A0DC9">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项目的竞标，为便于贵方公正、择优地确定成交供应商及其竞标产品和服务，我方就本次竞标有关事项郑重声明如下：</w:t>
      </w:r>
    </w:p>
    <w:p w14:paraId="73194F89">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021C8CCA">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olor w:val="auto"/>
          <w:sz w:val="24"/>
          <w:highlight w:val="none"/>
        </w:rPr>
        <w:t>我方不是为本次采购项目提供整体设计、规范编制或者项目管理、监理、检测等服务的供应商</w:t>
      </w:r>
      <w:r>
        <w:rPr>
          <w:rFonts w:hint="eastAsia" w:ascii="宋体" w:hAnsi="宋体" w:cs="宋体"/>
          <w:color w:val="auto"/>
          <w:sz w:val="24"/>
          <w:highlight w:val="none"/>
        </w:rPr>
        <w:t>。</w:t>
      </w:r>
    </w:p>
    <w:p w14:paraId="2D7E4D04">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3.在此，我方宣布同意如下：</w:t>
      </w:r>
    </w:p>
    <w:p w14:paraId="2F398245">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（1）将按磋商文件的约定履行合同责任和义务；</w:t>
      </w:r>
    </w:p>
    <w:p w14:paraId="7C9DD9F7">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（2）已详细审查全部磋商文件，包括澄清或者更正公告（如有）；</w:t>
      </w:r>
    </w:p>
    <w:p w14:paraId="4B010C2F">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（3）同意提供按照贵方可能要求的与磋商有关的一切数据或者资料；</w:t>
      </w:r>
    </w:p>
    <w:p w14:paraId="14312286">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（4）响应磋商文件规定的竞标有效期。</w:t>
      </w:r>
    </w:p>
    <w:p w14:paraId="37ACE8C0">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14E54C0A">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（1）具有独立承担民事责任的能力；</w:t>
      </w:r>
    </w:p>
    <w:p w14:paraId="2C21E335">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00B75C1A">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33E46779">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46D45EF3">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694ED422">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（6）法律、行政法规规定的其他条件。</w:t>
      </w:r>
    </w:p>
    <w:p w14:paraId="3480E067">
      <w:pPr>
        <w:pStyle w:val="26"/>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5.我方承诺具有满足本项目的承保资格、经营能力、</w:t>
      </w:r>
      <w:r>
        <w:rPr>
          <w:rFonts w:hint="eastAsia" w:ascii="宋体" w:hAnsi="宋体" w:cs="宋体"/>
          <w:color w:val="auto"/>
          <w:sz w:val="24"/>
          <w:szCs w:val="24"/>
          <w:highlight w:val="none"/>
          <w:lang w:eastAsia="zh-CN"/>
        </w:rPr>
        <w:t>后续</w:t>
      </w:r>
      <w:r>
        <w:rPr>
          <w:rFonts w:hint="eastAsia" w:ascii="宋体" w:hAnsi="宋体" w:cs="宋体"/>
          <w:color w:val="auto"/>
          <w:sz w:val="24"/>
          <w:szCs w:val="24"/>
          <w:highlight w:val="none"/>
        </w:rPr>
        <w:t>服务和偿付能力；承诺</w:t>
      </w:r>
      <w:r>
        <w:rPr>
          <w:rFonts w:ascii="宋体" w:hAnsi="宋体" w:cs="宋体"/>
          <w:color w:val="auto"/>
          <w:sz w:val="24"/>
          <w:szCs w:val="24"/>
          <w:highlight w:val="none"/>
        </w:rPr>
        <w:t>同一保险机构只</w:t>
      </w:r>
      <w:r>
        <w:rPr>
          <w:rFonts w:hint="eastAsia" w:ascii="宋体" w:hAnsi="宋体" w:cs="宋体"/>
          <w:color w:val="auto"/>
          <w:sz w:val="24"/>
          <w:szCs w:val="24"/>
          <w:highlight w:val="none"/>
        </w:rPr>
        <w:t>有</w:t>
      </w:r>
      <w:r>
        <w:rPr>
          <w:rFonts w:ascii="宋体" w:hAnsi="宋体" w:cs="宋体"/>
          <w:color w:val="auto"/>
          <w:sz w:val="24"/>
          <w:szCs w:val="24"/>
          <w:highlight w:val="none"/>
        </w:rPr>
        <w:t>一家公司</w:t>
      </w:r>
      <w:r>
        <w:rPr>
          <w:rFonts w:hint="eastAsia" w:ascii="宋体" w:hAnsi="宋体" w:cs="宋体"/>
          <w:color w:val="auto"/>
          <w:sz w:val="24"/>
          <w:szCs w:val="24"/>
          <w:highlight w:val="none"/>
        </w:rPr>
        <w:t>（包括其总公司、省级分公司的下属分公司、分支机构）</w:t>
      </w:r>
      <w:r>
        <w:rPr>
          <w:rFonts w:ascii="宋体" w:hAnsi="宋体" w:cs="宋体"/>
          <w:color w:val="auto"/>
          <w:sz w:val="24"/>
          <w:szCs w:val="24"/>
          <w:highlight w:val="none"/>
        </w:rPr>
        <w:t>参与本次</w:t>
      </w:r>
      <w:r>
        <w:rPr>
          <w:rFonts w:hint="eastAsia" w:ascii="宋体" w:hAnsi="宋体" w:cs="宋体"/>
          <w:color w:val="auto"/>
          <w:sz w:val="24"/>
          <w:szCs w:val="24"/>
          <w:highlight w:val="none"/>
        </w:rPr>
        <w:t>竞标，如有2家及以上属于本单位同系统的供应商（包括其总公司、省级分公司的下属分公司、分支机构）参与竞标的，则只认可最先获取竞争性磋商文件的供应商。</w:t>
      </w:r>
    </w:p>
    <w:p w14:paraId="6D0B2CBA">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23CBC6B3">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7.根据《中华人民共和国政府采购法实施条例》第五十条要求对政府采购合同进行公告，但政府采购合同中涉及国家秘密、商业秘密的内容除外。我方就对本次响应文件进行注明如下：（两项内容中必须选择一项）</w:t>
      </w:r>
    </w:p>
    <w:p w14:paraId="4EE226BD">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672F978C">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3405C4ED">
      <w:pPr>
        <w:pStyle w:val="42"/>
        <w:spacing w:line="360" w:lineRule="auto"/>
        <w:ind w:firstLine="480" w:firstLineChars="200"/>
        <w:contextualSpacing/>
        <w:rPr>
          <w:rFonts w:hint="eastAsia" w:hAnsi="宋体" w:cs="宋体"/>
          <w:color w:val="auto"/>
          <w:sz w:val="24"/>
          <w:szCs w:val="24"/>
          <w:highlight w:val="none"/>
          <w:u w:val="single"/>
        </w:rPr>
      </w:pPr>
      <w:r>
        <w:rPr>
          <w:rFonts w:hint="eastAsia" w:hAnsi="宋体" w:cs="宋体"/>
          <w:color w:val="auto"/>
          <w:sz w:val="24"/>
          <w:szCs w:val="24"/>
          <w:highlight w:val="none"/>
          <w:lang w:eastAsia="zh-CN"/>
        </w:rPr>
        <w:t>8</w:t>
      </w:r>
      <w:r>
        <w:rPr>
          <w:rFonts w:hint="eastAsia" w:hAnsi="宋体" w:cs="宋体"/>
          <w:color w:val="auto"/>
          <w:sz w:val="24"/>
          <w:szCs w:val="24"/>
          <w:highlight w:val="none"/>
        </w:rPr>
        <w:t>.与本磋商有关的一切正式往来信函请寄：</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邮政编号：</w:t>
      </w:r>
      <w:r>
        <w:rPr>
          <w:rFonts w:hint="eastAsia" w:hAnsi="宋体" w:cs="宋体"/>
          <w:color w:val="auto"/>
          <w:sz w:val="24"/>
          <w:szCs w:val="24"/>
          <w:highlight w:val="none"/>
          <w:u w:val="single"/>
        </w:rPr>
        <w:t xml:space="preserve">        </w:t>
      </w:r>
    </w:p>
    <w:p w14:paraId="0C21277C">
      <w:pPr>
        <w:pStyle w:val="42"/>
        <w:spacing w:line="360" w:lineRule="auto"/>
        <w:ind w:firstLine="480" w:firstLineChars="200"/>
        <w:contextualSpacing/>
        <w:rPr>
          <w:rFonts w:hint="eastAsia" w:hAnsi="宋体" w:cs="宋体"/>
          <w:color w:val="auto"/>
          <w:sz w:val="24"/>
          <w:szCs w:val="24"/>
          <w:highlight w:val="none"/>
        </w:rPr>
      </w:pPr>
      <w:r>
        <w:rPr>
          <w:rFonts w:hint="eastAsia" w:hAnsi="宋体" w:cs="宋体"/>
          <w:color w:val="auto"/>
          <w:sz w:val="24"/>
          <w:szCs w:val="24"/>
          <w:highlight w:val="none"/>
        </w:rPr>
        <w:t>电话/传真：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电子邮箱：</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1BFF1ABA">
      <w:pPr>
        <w:pStyle w:val="41"/>
        <w:tabs>
          <w:tab w:val="left" w:pos="939"/>
        </w:tabs>
        <w:spacing w:line="360" w:lineRule="auto"/>
        <w:ind w:left="141"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账号：</w:t>
      </w:r>
      <w:r>
        <w:rPr>
          <w:rFonts w:hint="eastAsia" w:ascii="宋体" w:hAnsi="宋体" w:cs="宋体"/>
          <w:color w:val="auto"/>
          <w:sz w:val="24"/>
          <w:highlight w:val="none"/>
          <w:u w:val="single"/>
        </w:rPr>
        <w:t xml:space="preserve">                               </w:t>
      </w:r>
    </w:p>
    <w:p w14:paraId="29A6C139">
      <w:pPr>
        <w:pStyle w:val="41"/>
        <w:tabs>
          <w:tab w:val="left" w:pos="939"/>
        </w:tabs>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9.以上事项如有虚假或者隐瞒，我方愿意承担一切后果，并不再寻求任何旨在减轻或者免除法律责任的辩解。</w:t>
      </w:r>
    </w:p>
    <w:p w14:paraId="689338BB">
      <w:pPr>
        <w:pStyle w:val="41"/>
        <w:tabs>
          <w:tab w:val="left" w:pos="939"/>
        </w:tabs>
        <w:spacing w:line="360" w:lineRule="auto"/>
        <w:ind w:left="141"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特此承诺。</w:t>
      </w:r>
    </w:p>
    <w:p w14:paraId="1E8F3C8D">
      <w:pPr>
        <w:spacing w:line="360" w:lineRule="auto"/>
        <w:contextualSpacing/>
        <w:jc w:val="left"/>
        <w:rPr>
          <w:rFonts w:hint="eastAsia" w:ascii="宋体" w:hAnsi="宋体" w:cs="宋体"/>
          <w:b/>
          <w:color w:val="auto"/>
          <w:sz w:val="24"/>
          <w:highlight w:val="none"/>
        </w:rPr>
      </w:pPr>
    </w:p>
    <w:p w14:paraId="4E36249E">
      <w:pPr>
        <w:spacing w:line="360" w:lineRule="auto"/>
        <w:contextualSpacing/>
        <w:jc w:val="left"/>
        <w:rPr>
          <w:rFonts w:hint="eastAsia" w:ascii="宋体" w:hAnsi="宋体" w:cs="宋体"/>
          <w:color w:val="auto"/>
          <w:szCs w:val="21"/>
          <w:highlight w:val="none"/>
        </w:rPr>
      </w:pPr>
    </w:p>
    <w:p w14:paraId="3D863DF2">
      <w:pPr>
        <w:spacing w:line="360" w:lineRule="auto"/>
        <w:ind w:firstLine="1575" w:firstLineChars="750"/>
        <w:contextualSpacing/>
        <w:rPr>
          <w:rFonts w:hint="eastAsia"/>
          <w:color w:val="auto"/>
          <w:highlight w:val="none"/>
        </w:rPr>
      </w:pPr>
      <w:r>
        <w:rPr>
          <w:rFonts w:hint="eastAsia"/>
          <w:color w:val="auto"/>
          <w:highlight w:val="none"/>
        </w:rPr>
        <w:t>法定代表人（</w:t>
      </w:r>
      <w:r>
        <w:rPr>
          <w:rFonts w:hint="eastAsia" w:ascii="宋体" w:hAnsi="宋体"/>
          <w:color w:val="auto"/>
          <w:sz w:val="24"/>
          <w:highlight w:val="none"/>
        </w:rPr>
        <w:t>签字或者盖章或者电子签名</w:t>
      </w:r>
      <w:r>
        <w:rPr>
          <w:rFonts w:hint="eastAsia"/>
          <w:color w:val="auto"/>
          <w:highlight w:val="none"/>
        </w:rPr>
        <w:t>）：</w:t>
      </w:r>
      <w:r>
        <w:rPr>
          <w:rFonts w:hint="eastAsia"/>
          <w:color w:val="auto"/>
          <w:highlight w:val="none"/>
          <w:u w:val="single"/>
        </w:rPr>
        <w:t xml:space="preserve">           </w:t>
      </w:r>
      <w:r>
        <w:rPr>
          <w:rFonts w:hint="eastAsia"/>
          <w:color w:val="auto"/>
          <w:highlight w:val="none"/>
        </w:rPr>
        <w:t xml:space="preserve">                                     </w:t>
      </w:r>
    </w:p>
    <w:p w14:paraId="5F7804D1">
      <w:pPr>
        <w:spacing w:line="360" w:lineRule="auto"/>
        <w:ind w:firstLine="3780" w:firstLineChars="1800"/>
        <w:contextualSpacing/>
        <w:rPr>
          <w:rFonts w:hint="eastAsia" w:ascii="宋体" w:hAnsi="宋体" w:cs="宋体"/>
          <w:color w:val="auto"/>
          <w:szCs w:val="21"/>
          <w:highlight w:val="none"/>
          <w:u w:val="single"/>
        </w:rPr>
      </w:pPr>
      <w:r>
        <w:rPr>
          <w:rFonts w:hint="eastAsia"/>
          <w:color w:val="auto"/>
          <w:highlight w:val="none"/>
        </w:rPr>
        <w:t>供应商（电子签章）：</w:t>
      </w:r>
      <w:r>
        <w:rPr>
          <w:rFonts w:hint="eastAsia"/>
          <w:color w:val="auto"/>
          <w:highlight w:val="none"/>
          <w:u w:val="single"/>
        </w:rPr>
        <w:t xml:space="preserve">                               </w:t>
      </w:r>
      <w:r>
        <w:rPr>
          <w:rFonts w:hint="eastAsia"/>
          <w:color w:val="auto"/>
          <w:highlight w:val="none"/>
        </w:rPr>
        <w:t xml:space="preserve">       </w:t>
      </w:r>
      <w:r>
        <w:rPr>
          <w:rFonts w:hint="eastAsia" w:ascii="宋体" w:hAnsi="宋体" w:cs="宋体"/>
          <w:color w:val="auto"/>
          <w:szCs w:val="21"/>
          <w:highlight w:val="none"/>
        </w:rPr>
        <w:t xml:space="preserve">    </w:t>
      </w:r>
    </w:p>
    <w:p w14:paraId="7CF95E88">
      <w:pPr>
        <w:pStyle w:val="41"/>
        <w:tabs>
          <w:tab w:val="left" w:pos="939"/>
        </w:tabs>
        <w:spacing w:line="360" w:lineRule="auto"/>
        <w:ind w:left="0" w:leftChars="0" w:firstLine="420" w:firstLineChars="200"/>
        <w:rPr>
          <w:rFonts w:hint="eastAsia"/>
          <w:color w:val="auto"/>
          <w:sz w:val="24"/>
          <w:highlight w:val="none"/>
        </w:rPr>
      </w:pPr>
      <w:r>
        <w:rPr>
          <w:rFonts w:hint="eastAsia" w:ascii="宋体" w:hAnsi="宋体" w:cs="宋体"/>
          <w:color w:val="auto"/>
          <w:szCs w:val="21"/>
          <w:highlight w:val="none"/>
        </w:rPr>
        <w:t xml:space="preserve">                                                        </w:t>
      </w:r>
      <w:r>
        <w:rPr>
          <w:rFonts w:hint="eastAsia"/>
          <w:color w:val="auto"/>
          <w:highlight w:val="none"/>
        </w:rPr>
        <w:t xml:space="preserve"> 年    月    日</w:t>
      </w:r>
    </w:p>
    <w:p w14:paraId="219E0638">
      <w:pPr>
        <w:pStyle w:val="26"/>
        <w:overflowPunct w:val="0"/>
        <w:spacing w:line="520" w:lineRule="exact"/>
        <w:ind w:firstLine="0"/>
        <w:jc w:val="center"/>
        <w:rPr>
          <w:rFonts w:hint="eastAsia"/>
          <w:color w:val="auto"/>
          <w:sz w:val="24"/>
          <w:highlight w:val="none"/>
        </w:rPr>
      </w:pPr>
    </w:p>
    <w:p w14:paraId="29338AF4">
      <w:pPr>
        <w:pStyle w:val="26"/>
        <w:overflowPunct w:val="0"/>
        <w:spacing w:line="520" w:lineRule="exact"/>
        <w:ind w:firstLine="0"/>
        <w:jc w:val="center"/>
        <w:rPr>
          <w:rFonts w:hint="eastAsia"/>
          <w:color w:val="auto"/>
          <w:sz w:val="24"/>
          <w:highlight w:val="none"/>
        </w:rPr>
      </w:pPr>
    </w:p>
    <w:p w14:paraId="0883F9F8">
      <w:pPr>
        <w:pStyle w:val="26"/>
        <w:overflowPunct w:val="0"/>
        <w:spacing w:line="520" w:lineRule="exact"/>
        <w:ind w:firstLine="0"/>
        <w:jc w:val="center"/>
        <w:rPr>
          <w:rFonts w:hint="eastAsia"/>
          <w:color w:val="auto"/>
          <w:sz w:val="24"/>
          <w:highlight w:val="none"/>
        </w:rPr>
      </w:pPr>
    </w:p>
    <w:p w14:paraId="2D96B867">
      <w:pPr>
        <w:pStyle w:val="26"/>
        <w:overflowPunct w:val="0"/>
        <w:spacing w:line="520" w:lineRule="exact"/>
        <w:ind w:firstLine="0"/>
        <w:jc w:val="center"/>
        <w:rPr>
          <w:rFonts w:hint="eastAsia"/>
          <w:color w:val="auto"/>
          <w:sz w:val="24"/>
          <w:highlight w:val="none"/>
        </w:rPr>
      </w:pPr>
    </w:p>
    <w:p w14:paraId="71D7AE0C">
      <w:pPr>
        <w:pStyle w:val="26"/>
        <w:overflowPunct w:val="0"/>
        <w:spacing w:line="520" w:lineRule="exact"/>
        <w:ind w:firstLine="0"/>
        <w:jc w:val="center"/>
        <w:rPr>
          <w:rFonts w:hint="eastAsia"/>
          <w:color w:val="auto"/>
          <w:sz w:val="24"/>
          <w:highlight w:val="none"/>
        </w:rPr>
      </w:pPr>
    </w:p>
    <w:p w14:paraId="3655B705">
      <w:pPr>
        <w:pStyle w:val="26"/>
        <w:overflowPunct w:val="0"/>
        <w:spacing w:line="520" w:lineRule="exact"/>
        <w:ind w:firstLine="0"/>
        <w:jc w:val="both"/>
        <w:rPr>
          <w:rFonts w:hint="eastAsia"/>
          <w:color w:val="auto"/>
          <w:sz w:val="24"/>
          <w:highlight w:val="none"/>
        </w:rPr>
      </w:pPr>
    </w:p>
    <w:p w14:paraId="738AE952">
      <w:pPr>
        <w:pStyle w:val="26"/>
        <w:overflowPunct w:val="0"/>
        <w:spacing w:line="520" w:lineRule="exact"/>
        <w:ind w:firstLine="0"/>
        <w:jc w:val="center"/>
        <w:rPr>
          <w:rFonts w:hint="eastAsia"/>
          <w:color w:val="auto"/>
          <w:sz w:val="24"/>
          <w:highlight w:val="none"/>
        </w:rPr>
      </w:pPr>
    </w:p>
    <w:p w14:paraId="2C0DBC15">
      <w:pPr>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中小企业声明函（服务）</w:t>
      </w:r>
    </w:p>
    <w:p w14:paraId="4DF92348">
      <w:pPr>
        <w:spacing w:before="2" w:line="500" w:lineRule="exact"/>
        <w:ind w:firstLine="708" w:firstLineChars="294"/>
        <w:rPr>
          <w:rFonts w:ascii="宋体" w:hAnsi="宋体" w:cs="宋体"/>
          <w:b/>
          <w:bCs/>
          <w:color w:val="auto"/>
          <w:sz w:val="24"/>
          <w:highlight w:val="none"/>
        </w:rPr>
      </w:pPr>
    </w:p>
    <w:p w14:paraId="3C8DE32C">
      <w:pPr>
        <w:pStyle w:val="36"/>
        <w:spacing w:line="500" w:lineRule="exact"/>
        <w:ind w:right="142" w:firstLine="705" w:firstLineChars="294"/>
        <w:rPr>
          <w:rFonts w:ascii="宋体" w:hAnsi="宋体"/>
          <w:color w:val="auto"/>
          <w:sz w:val="24"/>
          <w:highlight w:val="none"/>
        </w:rPr>
      </w:pPr>
      <w:r>
        <w:rPr>
          <w:rFonts w:ascii="宋体" w:hAnsi="宋体"/>
          <w:color w:val="auto"/>
          <w:sz w:val="24"/>
          <w:highlight w:val="none"/>
        </w:rPr>
        <w:t>本公司郑重声明，根据《政府采购促进中小企业发展管理办法》（财库﹝2020﹞46号）的规定，本公司参加</w:t>
      </w:r>
      <w:r>
        <w:rPr>
          <w:rFonts w:ascii="宋体" w:hAnsi="宋体"/>
          <w:color w:val="auto"/>
          <w:sz w:val="24"/>
          <w:highlight w:val="none"/>
          <w:u w:val="single"/>
        </w:rPr>
        <w:t>（单位名称）</w:t>
      </w:r>
      <w:r>
        <w:rPr>
          <w:rFonts w:ascii="宋体" w:hAnsi="宋体"/>
          <w:color w:val="auto"/>
          <w:sz w:val="24"/>
          <w:highlight w:val="none"/>
        </w:rPr>
        <w:t>的</w:t>
      </w:r>
      <w:r>
        <w:rPr>
          <w:rFonts w:ascii="宋体" w:hAnsi="宋体"/>
          <w:color w:val="auto"/>
          <w:sz w:val="24"/>
          <w:highlight w:val="none"/>
          <w:u w:val="single"/>
        </w:rPr>
        <w:t>（项目名称）</w:t>
      </w:r>
      <w:r>
        <w:rPr>
          <w:rFonts w:ascii="宋体" w:hAnsi="宋体"/>
          <w:color w:val="auto"/>
          <w:sz w:val="24"/>
          <w:highlight w:val="none"/>
        </w:rPr>
        <w:t>采购活动，</w:t>
      </w:r>
      <w:r>
        <w:rPr>
          <w:rFonts w:hint="eastAsia" w:ascii="宋体" w:hAnsi="宋体"/>
          <w:color w:val="auto"/>
          <w:sz w:val="24"/>
          <w:highlight w:val="none"/>
        </w:rPr>
        <w:t>服务全部由符合政策要求的中小企业承接。相关企业的具体情况如下：</w:t>
      </w:r>
    </w:p>
    <w:p w14:paraId="7159F1D0">
      <w:pPr>
        <w:tabs>
          <w:tab w:val="left" w:pos="1384"/>
          <w:tab w:val="left" w:pos="4562"/>
          <w:tab w:val="left" w:pos="6803"/>
        </w:tabs>
        <w:spacing w:before="13" w:line="500" w:lineRule="exact"/>
        <w:ind w:right="142" w:firstLine="772" w:firstLineChars="322"/>
        <w:rPr>
          <w:rFonts w:ascii="宋体" w:hAnsi="宋体"/>
          <w:color w:val="auto"/>
          <w:sz w:val="24"/>
          <w:highlight w:val="none"/>
        </w:rPr>
      </w:pPr>
      <w:r>
        <w:rPr>
          <w:rFonts w:ascii="宋体" w:hAnsi="宋体"/>
          <w:color w:val="auto"/>
          <w:sz w:val="24"/>
          <w:highlight w:val="none"/>
        </w:rPr>
        <w:t>1.</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w:t>
      </w:r>
      <w:r>
        <w:rPr>
          <w:rFonts w:ascii="宋体" w:hAnsi="宋体"/>
          <w:color w:val="auto"/>
          <w:sz w:val="24"/>
          <w:highlight w:val="none"/>
          <w:u w:val="single"/>
        </w:rPr>
        <w:t>业）</w:t>
      </w:r>
      <w:r>
        <w:rPr>
          <w:rFonts w:ascii="宋体" w:hAnsi="宋体"/>
          <w:color w:val="auto"/>
          <w:sz w:val="24"/>
          <w:highlight w:val="none"/>
        </w:rPr>
        <w:t>；</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68A66723">
      <w:pPr>
        <w:tabs>
          <w:tab w:val="left" w:pos="1065"/>
          <w:tab w:val="left" w:pos="4262"/>
          <w:tab w:val="left" w:pos="6477"/>
        </w:tabs>
        <w:spacing w:before="20" w:line="500" w:lineRule="exact"/>
        <w:ind w:right="84" w:firstLine="772" w:firstLineChars="322"/>
        <w:rPr>
          <w:rFonts w:ascii="宋体" w:hAnsi="宋体"/>
          <w:color w:val="auto"/>
          <w:sz w:val="24"/>
          <w:highlight w:val="none"/>
          <w:u w:val="single"/>
        </w:rPr>
      </w:pPr>
      <w:r>
        <w:rPr>
          <w:rFonts w:ascii="宋体" w:hAnsi="宋体"/>
          <w:color w:val="auto"/>
          <w:sz w:val="24"/>
          <w:highlight w:val="none"/>
        </w:rPr>
        <w:t>2.</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行业</w:t>
      </w:r>
      <w:r>
        <w:rPr>
          <w:rFonts w:ascii="宋体" w:hAnsi="宋体"/>
          <w:color w:val="auto"/>
          <w:sz w:val="24"/>
          <w:highlight w:val="none"/>
          <w:u w:val="single"/>
        </w:rPr>
        <w:t>）</w:t>
      </w:r>
      <w:r>
        <w:rPr>
          <w:rFonts w:ascii="宋体" w:hAnsi="宋体"/>
          <w:color w:val="auto"/>
          <w:sz w:val="24"/>
          <w:highlight w:val="none"/>
        </w:rPr>
        <w:t>；</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10F34736">
      <w:pPr>
        <w:pStyle w:val="36"/>
        <w:spacing w:before="34" w:line="500" w:lineRule="exact"/>
        <w:ind w:right="142" w:firstLine="705" w:firstLineChars="294"/>
        <w:rPr>
          <w:rFonts w:ascii="宋体" w:hAnsi="宋体"/>
          <w:color w:val="auto"/>
          <w:sz w:val="24"/>
          <w:highlight w:val="none"/>
        </w:rPr>
      </w:pPr>
      <w:r>
        <w:rPr>
          <w:rFonts w:ascii="宋体" w:hAnsi="宋体"/>
          <w:color w:val="auto"/>
          <w:sz w:val="24"/>
          <w:highlight w:val="none"/>
        </w:rPr>
        <w:t xml:space="preserve">…… </w:t>
      </w:r>
    </w:p>
    <w:p w14:paraId="13EB7377">
      <w:pPr>
        <w:pStyle w:val="36"/>
        <w:spacing w:before="34" w:line="500" w:lineRule="exact"/>
        <w:ind w:right="142" w:firstLine="705" w:firstLineChars="294"/>
        <w:rPr>
          <w:rFonts w:ascii="宋体" w:hAnsi="宋体"/>
          <w:color w:val="auto"/>
          <w:sz w:val="24"/>
          <w:highlight w:val="none"/>
        </w:rPr>
      </w:pPr>
      <w:r>
        <w:rPr>
          <w:rFonts w:ascii="宋体" w:hAnsi="宋体"/>
          <w:color w:val="auto"/>
          <w:sz w:val="24"/>
          <w:highlight w:val="none"/>
        </w:rPr>
        <w:t>以上企业，不属于大企业的分支机构，不存在控股股东为大企业的情形，也不存在与大企业的负责人为同一人的情形。</w:t>
      </w:r>
    </w:p>
    <w:p w14:paraId="3822C27C">
      <w:pPr>
        <w:pStyle w:val="36"/>
        <w:spacing w:before="25" w:line="500" w:lineRule="exact"/>
        <w:ind w:right="142" w:firstLine="705" w:firstLineChars="294"/>
        <w:rPr>
          <w:rFonts w:ascii="宋体" w:hAnsi="宋体"/>
          <w:color w:val="auto"/>
          <w:sz w:val="24"/>
          <w:highlight w:val="none"/>
        </w:rPr>
      </w:pPr>
      <w:r>
        <w:rPr>
          <w:rFonts w:ascii="宋体" w:hAnsi="宋体"/>
          <w:color w:val="auto"/>
          <w:sz w:val="24"/>
          <w:highlight w:val="none"/>
        </w:rPr>
        <w:t>本企业对上述声明内容的真实性负责。如有虚假，将依法承担相应责任。</w:t>
      </w:r>
    </w:p>
    <w:p w14:paraId="5F6EC18A">
      <w:pPr>
        <w:pStyle w:val="36"/>
        <w:spacing w:before="56" w:line="500" w:lineRule="exact"/>
        <w:ind w:right="1808" w:firstLine="705" w:firstLineChars="294"/>
        <w:rPr>
          <w:rFonts w:hint="eastAsia" w:ascii="宋体" w:hAnsi="宋体"/>
          <w:color w:val="auto"/>
          <w:sz w:val="24"/>
          <w:highlight w:val="none"/>
        </w:rPr>
      </w:pPr>
    </w:p>
    <w:p w14:paraId="2449569E">
      <w:pPr>
        <w:pStyle w:val="36"/>
        <w:spacing w:before="56" w:line="500" w:lineRule="exact"/>
        <w:ind w:right="650"/>
        <w:jc w:val="right"/>
        <w:rPr>
          <w:rFonts w:ascii="宋体" w:hAnsi="宋体"/>
          <w:color w:val="auto"/>
          <w:sz w:val="24"/>
          <w:highlight w:val="none"/>
        </w:rPr>
      </w:pPr>
      <w:r>
        <w:rPr>
          <w:rFonts w:ascii="宋体" w:hAnsi="宋体"/>
          <w:color w:val="auto"/>
          <w:sz w:val="24"/>
          <w:highlight w:val="none"/>
        </w:rPr>
        <w:t>企业名称（</w:t>
      </w:r>
      <w:r>
        <w:rPr>
          <w:rFonts w:hint="eastAsia" w:ascii="宋体" w:hAnsi="宋体"/>
          <w:color w:val="auto"/>
          <w:sz w:val="24"/>
          <w:highlight w:val="none"/>
        </w:rPr>
        <w:t>电子签章</w:t>
      </w:r>
      <w:r>
        <w:rPr>
          <w:rFonts w:ascii="宋体" w:hAnsi="宋体"/>
          <w:color w:val="auto"/>
          <w:sz w:val="24"/>
          <w:highlight w:val="none"/>
        </w:rPr>
        <w:t xml:space="preserve">）： </w:t>
      </w:r>
    </w:p>
    <w:p w14:paraId="04C04C24">
      <w:pPr>
        <w:pStyle w:val="36"/>
        <w:spacing w:before="56" w:line="500" w:lineRule="exact"/>
        <w:ind w:right="1808" w:firstLine="5625" w:firstLineChars="2344"/>
        <w:rPr>
          <w:rFonts w:ascii="宋体" w:hAnsi="宋体"/>
          <w:color w:val="auto"/>
          <w:sz w:val="24"/>
          <w:highlight w:val="none"/>
        </w:rPr>
      </w:pPr>
      <w:r>
        <w:rPr>
          <w:rFonts w:ascii="宋体" w:hAnsi="宋体"/>
          <w:color w:val="auto"/>
          <w:sz w:val="24"/>
          <w:highlight w:val="none"/>
        </w:rPr>
        <w:t>日 期：</w:t>
      </w:r>
    </w:p>
    <w:p w14:paraId="464C83E5">
      <w:pPr>
        <w:spacing w:line="520" w:lineRule="exact"/>
        <w:jc w:val="left"/>
        <w:rPr>
          <w:rFonts w:hint="eastAsia" w:ascii="宋体" w:hAnsi="宋体" w:cs="仿宋_GB2312"/>
          <w:color w:val="auto"/>
          <w:sz w:val="24"/>
          <w:highlight w:val="none"/>
        </w:rPr>
      </w:pPr>
      <w:r>
        <w:rPr>
          <w:rFonts w:hint="eastAsia" w:ascii="宋体" w:hAnsi="宋体" w:cs="仿宋_GB2312"/>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70F5F020">
      <w:pPr>
        <w:spacing w:line="520" w:lineRule="exact"/>
        <w:jc w:val="center"/>
        <w:rPr>
          <w:rFonts w:hint="eastAsia" w:ascii="仿宋_GB2312" w:hAnsi="仿宋_GB2312" w:eastAsia="仿宋_GB2312" w:cs="仿宋_GB2312"/>
          <w:color w:val="auto"/>
          <w:sz w:val="32"/>
          <w:szCs w:val="32"/>
          <w:highlight w:val="none"/>
        </w:rPr>
      </w:pPr>
      <w:r>
        <w:rPr>
          <w:rFonts w:ascii="宋体" w:hAnsi="宋体"/>
          <w:color w:val="auto"/>
          <w:sz w:val="24"/>
          <w:highlight w:val="none"/>
        </w:rPr>
        <w:br w:type="page"/>
      </w:r>
      <w:r>
        <w:rPr>
          <w:rFonts w:hint="eastAsia" w:ascii="方正小标宋简体" w:hAnsi="方正小标宋简体" w:eastAsia="方正小标宋简体" w:cs="方正小标宋简体"/>
          <w:color w:val="auto"/>
          <w:sz w:val="44"/>
          <w:szCs w:val="44"/>
          <w:highlight w:val="none"/>
        </w:rPr>
        <w:t>残疾人福利性单位声明函</w:t>
      </w:r>
    </w:p>
    <w:p w14:paraId="78446125">
      <w:pPr>
        <w:spacing w:line="360" w:lineRule="auto"/>
        <w:contextualSpacing/>
        <w:rPr>
          <w:rFonts w:hint="eastAsia" w:ascii="仿宋_GB2312" w:hAnsi="仿宋_GB2312" w:eastAsia="仿宋_GB2312" w:cs="仿宋_GB2312"/>
          <w:color w:val="auto"/>
          <w:sz w:val="32"/>
          <w:szCs w:val="32"/>
          <w:highlight w:val="none"/>
        </w:rPr>
      </w:pPr>
    </w:p>
    <w:p w14:paraId="32858A1B">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单位的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77811CD5">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本单位对上述声明的真实性负责。如有虚假，将依法承担相应责任。</w:t>
      </w:r>
    </w:p>
    <w:p w14:paraId="6929808C">
      <w:pPr>
        <w:spacing w:line="360" w:lineRule="auto"/>
        <w:contextualSpacing/>
        <w:rPr>
          <w:rFonts w:hint="eastAsia" w:ascii="宋体" w:hAnsi="宋体" w:cs="仿宋_GB2312"/>
          <w:color w:val="auto"/>
          <w:sz w:val="24"/>
          <w:highlight w:val="none"/>
        </w:rPr>
      </w:pPr>
    </w:p>
    <w:p w14:paraId="152E1E34">
      <w:pPr>
        <w:spacing w:line="360" w:lineRule="auto"/>
        <w:contextualSpacing/>
        <w:rPr>
          <w:rFonts w:hint="eastAsia" w:ascii="宋体" w:hAnsi="宋体" w:cs="仿宋_GB2312"/>
          <w:color w:val="auto"/>
          <w:sz w:val="24"/>
          <w:highlight w:val="none"/>
        </w:rPr>
      </w:pPr>
    </w:p>
    <w:p w14:paraId="05C95C22">
      <w:pPr>
        <w:spacing w:line="360" w:lineRule="auto"/>
        <w:contextualSpacing/>
        <w:rPr>
          <w:rFonts w:hint="eastAsia" w:ascii="宋体" w:hAnsi="宋体" w:cs="仿宋_GB2312"/>
          <w:color w:val="auto"/>
          <w:sz w:val="24"/>
          <w:highlight w:val="none"/>
        </w:rPr>
      </w:pPr>
    </w:p>
    <w:p w14:paraId="3BCAFDC2">
      <w:pPr>
        <w:spacing w:line="360" w:lineRule="auto"/>
        <w:ind w:firstLine="2400" w:firstLineChars="1000"/>
        <w:contextualSpacing/>
        <w:rPr>
          <w:rFonts w:hint="eastAsia" w:ascii="宋体" w:hAnsi="宋体" w:cs="仿宋_GB2312"/>
          <w:color w:val="auto"/>
          <w:sz w:val="24"/>
          <w:highlight w:val="none"/>
        </w:rPr>
      </w:pPr>
      <w:r>
        <w:rPr>
          <w:rFonts w:hint="eastAsia" w:ascii="宋体" w:hAnsi="宋体" w:cs="仿宋_GB2312"/>
          <w:color w:val="auto"/>
          <w:sz w:val="24"/>
          <w:highlight w:val="none"/>
        </w:rPr>
        <w:t>单位名称（电子签章）：</w:t>
      </w:r>
    </w:p>
    <w:p w14:paraId="40D12785">
      <w:pPr>
        <w:spacing w:line="360" w:lineRule="auto"/>
        <w:ind w:firstLine="3600" w:firstLineChars="1500"/>
        <w:contextualSpacing/>
        <w:rPr>
          <w:rFonts w:hint="eastAsia" w:ascii="宋体" w:hAnsi="宋体" w:cs="仿宋_GB2312"/>
          <w:color w:val="auto"/>
          <w:sz w:val="24"/>
          <w:highlight w:val="none"/>
        </w:rPr>
      </w:pPr>
      <w:r>
        <w:rPr>
          <w:rFonts w:hint="eastAsia" w:ascii="宋体" w:hAnsi="宋体" w:cs="仿宋_GB2312"/>
          <w:color w:val="auto"/>
          <w:sz w:val="24"/>
          <w:highlight w:val="none"/>
        </w:rPr>
        <w:t>日  期：</w:t>
      </w:r>
    </w:p>
    <w:p w14:paraId="796E58D7">
      <w:pPr>
        <w:spacing w:line="360" w:lineRule="auto"/>
        <w:contextualSpacing/>
        <w:rPr>
          <w:rFonts w:hint="eastAsia" w:ascii="宋体" w:hAnsi="宋体" w:cs="仿宋_GB2312"/>
          <w:color w:val="auto"/>
          <w:sz w:val="24"/>
          <w:highlight w:val="none"/>
        </w:rPr>
      </w:pPr>
    </w:p>
    <w:p w14:paraId="21E91B0D">
      <w:pPr>
        <w:spacing w:line="360" w:lineRule="auto"/>
        <w:contextualSpacing/>
        <w:rPr>
          <w:rFonts w:hint="eastAsia" w:ascii="宋体" w:hAnsi="宋体" w:cs="仿宋_GB2312"/>
          <w:color w:val="auto"/>
          <w:sz w:val="24"/>
          <w:highlight w:val="none"/>
        </w:rPr>
      </w:pPr>
    </w:p>
    <w:p w14:paraId="5F4D3751">
      <w:pPr>
        <w:spacing w:line="360" w:lineRule="auto"/>
        <w:contextualSpacing/>
        <w:rPr>
          <w:rFonts w:hint="eastAsia" w:ascii="宋体" w:hAnsi="宋体" w:cs="仿宋_GB2312"/>
          <w:color w:val="auto"/>
          <w:sz w:val="24"/>
          <w:highlight w:val="none"/>
        </w:rPr>
      </w:pPr>
    </w:p>
    <w:p w14:paraId="29B34405">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注：请根据自己的真实情况出具《残疾人福利性单位声明函》。依法享受中小企业优惠政策的，采购人或者采购代理机构在公告成交结果时，同时公告其《残疾人福利性单位声明函》，接受社会监督。</w:t>
      </w:r>
    </w:p>
    <w:p w14:paraId="3401BFEB">
      <w:pPr>
        <w:spacing w:line="360" w:lineRule="auto"/>
        <w:jc w:val="center"/>
        <w:rPr>
          <w:rFonts w:ascii="宋体" w:hAnsi="宋体" w:cs="仿宋_GB2312"/>
          <w:color w:val="auto"/>
          <w:sz w:val="24"/>
          <w:highlight w:val="none"/>
        </w:rPr>
      </w:pPr>
    </w:p>
    <w:p w14:paraId="36F12393">
      <w:pPr>
        <w:spacing w:line="360" w:lineRule="auto"/>
        <w:jc w:val="center"/>
        <w:rPr>
          <w:rFonts w:ascii="宋体" w:hAnsi="宋体" w:cs="仿宋_GB2312"/>
          <w:color w:val="auto"/>
          <w:sz w:val="24"/>
          <w:highlight w:val="none"/>
        </w:rPr>
      </w:pPr>
    </w:p>
    <w:p w14:paraId="09CE4462">
      <w:pPr>
        <w:spacing w:line="360" w:lineRule="auto"/>
        <w:jc w:val="center"/>
        <w:rPr>
          <w:rFonts w:ascii="宋体" w:hAnsi="宋体" w:cs="仿宋_GB2312"/>
          <w:color w:val="auto"/>
          <w:sz w:val="24"/>
          <w:highlight w:val="none"/>
        </w:rPr>
      </w:pPr>
    </w:p>
    <w:p w14:paraId="57A236F7">
      <w:pPr>
        <w:spacing w:line="360" w:lineRule="auto"/>
        <w:jc w:val="center"/>
        <w:rPr>
          <w:rFonts w:ascii="宋体" w:hAnsi="宋体" w:cs="仿宋_GB2312"/>
          <w:color w:val="auto"/>
          <w:sz w:val="24"/>
          <w:highlight w:val="none"/>
        </w:rPr>
      </w:pPr>
    </w:p>
    <w:p w14:paraId="5DE2D457">
      <w:pPr>
        <w:spacing w:line="360" w:lineRule="auto"/>
        <w:jc w:val="center"/>
        <w:rPr>
          <w:rFonts w:ascii="宋体" w:hAnsi="宋体" w:cs="仿宋_GB2312"/>
          <w:color w:val="auto"/>
          <w:sz w:val="24"/>
          <w:highlight w:val="none"/>
        </w:rPr>
      </w:pPr>
    </w:p>
    <w:p w14:paraId="00F66389">
      <w:pPr>
        <w:spacing w:line="360" w:lineRule="auto"/>
        <w:jc w:val="center"/>
        <w:rPr>
          <w:rFonts w:ascii="宋体" w:hAnsi="宋体" w:cs="仿宋_GB2312"/>
          <w:color w:val="auto"/>
          <w:sz w:val="24"/>
          <w:highlight w:val="none"/>
        </w:rPr>
      </w:pPr>
    </w:p>
    <w:p w14:paraId="7000E1E9">
      <w:pPr>
        <w:spacing w:line="360" w:lineRule="auto"/>
        <w:jc w:val="center"/>
        <w:rPr>
          <w:rFonts w:ascii="宋体" w:hAnsi="宋体" w:cs="仿宋_GB2312"/>
          <w:color w:val="auto"/>
          <w:sz w:val="24"/>
          <w:highlight w:val="none"/>
        </w:rPr>
      </w:pPr>
    </w:p>
    <w:p w14:paraId="77745A6B">
      <w:pPr>
        <w:spacing w:line="360" w:lineRule="auto"/>
        <w:jc w:val="center"/>
        <w:rPr>
          <w:rFonts w:ascii="宋体" w:hAnsi="宋体" w:cs="仿宋_GB2312"/>
          <w:color w:val="auto"/>
          <w:sz w:val="24"/>
          <w:highlight w:val="none"/>
        </w:rPr>
      </w:pPr>
    </w:p>
    <w:p w14:paraId="02DF2134">
      <w:pPr>
        <w:spacing w:line="360" w:lineRule="auto"/>
        <w:jc w:val="center"/>
        <w:rPr>
          <w:rFonts w:ascii="宋体" w:hAnsi="宋体" w:cs="仿宋_GB2312"/>
          <w:color w:val="auto"/>
          <w:sz w:val="24"/>
          <w:highlight w:val="none"/>
        </w:rPr>
      </w:pPr>
    </w:p>
    <w:p w14:paraId="1A396F4C">
      <w:pPr>
        <w:spacing w:line="360" w:lineRule="auto"/>
        <w:jc w:val="center"/>
        <w:rPr>
          <w:rFonts w:ascii="宋体" w:hAnsi="宋体" w:cs="仿宋_GB2312"/>
          <w:color w:val="auto"/>
          <w:sz w:val="24"/>
          <w:highlight w:val="none"/>
        </w:rPr>
      </w:pPr>
    </w:p>
    <w:p w14:paraId="5F4AF248">
      <w:pPr>
        <w:spacing w:line="360" w:lineRule="auto"/>
        <w:ind w:right="420"/>
        <w:contextualSpacing/>
        <w:jc w:val="left"/>
        <w:rPr>
          <w:rFonts w:ascii="宋体" w:hAnsi="宋体"/>
          <w:b/>
          <w:color w:val="auto"/>
          <w:sz w:val="32"/>
          <w:szCs w:val="32"/>
          <w:highlight w:val="none"/>
        </w:rPr>
      </w:pPr>
      <w:r>
        <w:rPr>
          <w:rFonts w:hint="eastAsia" w:ascii="宋体" w:hAnsi="宋体"/>
          <w:b/>
          <w:bCs/>
          <w:color w:val="auto"/>
          <w:sz w:val="32"/>
          <w:szCs w:val="32"/>
          <w:highlight w:val="none"/>
        </w:rPr>
        <w:t>二、</w:t>
      </w:r>
      <w:r>
        <w:rPr>
          <w:rFonts w:hint="eastAsia" w:ascii="宋体" w:hAnsi="宋体"/>
          <w:b/>
          <w:color w:val="auto"/>
          <w:sz w:val="32"/>
          <w:szCs w:val="32"/>
          <w:highlight w:val="none"/>
        </w:rPr>
        <w:t xml:space="preserve">报价文件格式 </w:t>
      </w:r>
    </w:p>
    <w:p w14:paraId="27873EEC">
      <w:pPr>
        <w:spacing w:before="120" w:after="50" w:line="360" w:lineRule="auto"/>
        <w:jc w:val="left"/>
        <w:rPr>
          <w:rFonts w:hint="eastAsia" w:ascii="宋体" w:hAnsi="宋体"/>
          <w:b/>
          <w:color w:val="auto"/>
          <w:sz w:val="32"/>
          <w:szCs w:val="32"/>
          <w:highlight w:val="none"/>
        </w:rPr>
      </w:pPr>
      <w:r>
        <w:rPr>
          <w:rFonts w:hint="eastAsia" w:ascii="宋体" w:hAnsi="宋体"/>
          <w:b/>
          <w:color w:val="auto"/>
          <w:sz w:val="32"/>
          <w:szCs w:val="32"/>
          <w:highlight w:val="none"/>
        </w:rPr>
        <w:t>1.报价文件封面格式</w:t>
      </w:r>
    </w:p>
    <w:p w14:paraId="4EA5D77B">
      <w:pPr>
        <w:spacing w:before="120" w:after="50"/>
        <w:rPr>
          <w:rFonts w:hint="eastAsia" w:ascii="宋体" w:hAnsi="宋体"/>
          <w:bCs/>
          <w:color w:val="auto"/>
          <w:sz w:val="32"/>
          <w:szCs w:val="20"/>
          <w:highlight w:val="none"/>
        </w:rPr>
      </w:pPr>
      <w:r>
        <w:rPr>
          <w:rFonts w:hint="eastAsia" w:ascii="宋体" w:hAnsi="宋体"/>
          <w:color w:val="auto"/>
          <w:sz w:val="24"/>
          <w:highlight w:val="none"/>
        </w:rPr>
        <w:t xml:space="preserve">                                                    </w:t>
      </w:r>
    </w:p>
    <w:p w14:paraId="20E5C8E0">
      <w:pPr>
        <w:spacing w:before="120" w:after="50"/>
        <w:jc w:val="center"/>
        <w:rPr>
          <w:rFonts w:hint="eastAsia" w:ascii="宋体" w:hAnsi="宋体"/>
          <w:color w:val="auto"/>
          <w:sz w:val="24"/>
          <w:szCs w:val="20"/>
          <w:highlight w:val="none"/>
        </w:rPr>
      </w:pPr>
      <w:r>
        <w:rPr>
          <w:rFonts w:hint="eastAsia" w:ascii="宋体" w:hAnsi="宋体"/>
          <w:color w:val="auto"/>
          <w:sz w:val="44"/>
          <w:szCs w:val="44"/>
          <w:highlight w:val="none"/>
        </w:rPr>
        <w:t>电 子 响 应 文 件</w:t>
      </w:r>
    </w:p>
    <w:p w14:paraId="032304FD">
      <w:pPr>
        <w:spacing w:before="120" w:after="50"/>
        <w:rPr>
          <w:rFonts w:hint="eastAsia" w:ascii="宋体" w:hAnsi="宋体"/>
          <w:color w:val="auto"/>
          <w:sz w:val="24"/>
          <w:szCs w:val="20"/>
          <w:highlight w:val="none"/>
        </w:rPr>
      </w:pPr>
    </w:p>
    <w:p w14:paraId="6C37989C">
      <w:pPr>
        <w:spacing w:before="120" w:after="50"/>
        <w:rPr>
          <w:rFonts w:hint="eastAsia" w:ascii="宋体" w:hAnsi="宋体"/>
          <w:color w:val="auto"/>
          <w:sz w:val="24"/>
          <w:szCs w:val="20"/>
          <w:highlight w:val="none"/>
        </w:rPr>
      </w:pPr>
    </w:p>
    <w:p w14:paraId="4BC7B3EB">
      <w:pPr>
        <w:spacing w:before="12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报  价  文  件</w:t>
      </w:r>
    </w:p>
    <w:p w14:paraId="1B5AD069">
      <w:pPr>
        <w:spacing w:before="120" w:after="50"/>
        <w:rPr>
          <w:rFonts w:hint="eastAsia" w:ascii="宋体" w:hAnsi="宋体"/>
          <w:bCs/>
          <w:color w:val="auto"/>
          <w:sz w:val="24"/>
          <w:szCs w:val="20"/>
          <w:highlight w:val="none"/>
        </w:rPr>
      </w:pPr>
    </w:p>
    <w:p w14:paraId="23F32978">
      <w:pPr>
        <w:spacing w:before="120" w:after="50"/>
        <w:rPr>
          <w:rFonts w:hint="eastAsia" w:ascii="宋体" w:hAnsi="宋体"/>
          <w:bCs/>
          <w:color w:val="auto"/>
          <w:sz w:val="24"/>
          <w:szCs w:val="20"/>
          <w:highlight w:val="none"/>
        </w:rPr>
      </w:pPr>
    </w:p>
    <w:p w14:paraId="439BE24F">
      <w:pPr>
        <w:spacing w:before="120" w:after="50"/>
        <w:rPr>
          <w:rFonts w:hint="eastAsia" w:ascii="宋体" w:hAnsi="宋体"/>
          <w:bCs/>
          <w:color w:val="auto"/>
          <w:sz w:val="24"/>
          <w:szCs w:val="20"/>
          <w:highlight w:val="none"/>
        </w:rPr>
      </w:pPr>
    </w:p>
    <w:p w14:paraId="51E70DD4">
      <w:pPr>
        <w:spacing w:before="120" w:after="50"/>
        <w:rPr>
          <w:rFonts w:hint="eastAsia" w:ascii="宋体" w:hAnsi="宋体"/>
          <w:bCs/>
          <w:color w:val="auto"/>
          <w:sz w:val="24"/>
          <w:szCs w:val="20"/>
          <w:highlight w:val="none"/>
        </w:rPr>
      </w:pPr>
    </w:p>
    <w:p w14:paraId="594532F3">
      <w:pPr>
        <w:spacing w:before="120" w:after="50"/>
        <w:rPr>
          <w:rFonts w:hint="eastAsia" w:ascii="宋体" w:hAnsi="宋体"/>
          <w:bCs/>
          <w:color w:val="auto"/>
          <w:sz w:val="24"/>
          <w:szCs w:val="20"/>
          <w:highlight w:val="none"/>
        </w:rPr>
      </w:pPr>
    </w:p>
    <w:p w14:paraId="5FA45220">
      <w:pPr>
        <w:spacing w:before="12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1FC17705">
      <w:pPr>
        <w:spacing w:before="120" w:after="50"/>
        <w:ind w:firstLine="720" w:firstLineChars="225"/>
        <w:rPr>
          <w:rFonts w:hint="eastAsia" w:ascii="宋体" w:hAnsi="宋体" w:cs="仿宋_GB2312"/>
          <w:bCs/>
          <w:color w:val="auto"/>
          <w:sz w:val="32"/>
          <w:szCs w:val="32"/>
          <w:highlight w:val="none"/>
        </w:rPr>
      </w:pPr>
    </w:p>
    <w:p w14:paraId="3D2A9161">
      <w:pPr>
        <w:spacing w:before="12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30EA35B6">
      <w:pPr>
        <w:spacing w:before="12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7A726BE3">
      <w:pPr>
        <w:spacing w:before="12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69DD6EC0">
      <w:pPr>
        <w:spacing w:before="120" w:after="50"/>
        <w:ind w:firstLine="720" w:firstLineChars="225"/>
        <w:rPr>
          <w:rFonts w:hint="eastAsia" w:ascii="宋体" w:hAnsi="宋体" w:cs="仿宋_GB2312"/>
          <w:bCs/>
          <w:color w:val="auto"/>
          <w:sz w:val="32"/>
          <w:szCs w:val="32"/>
          <w:highlight w:val="none"/>
        </w:rPr>
      </w:pPr>
    </w:p>
    <w:p w14:paraId="6B8B0A1B">
      <w:pPr>
        <w:pStyle w:val="26"/>
        <w:spacing w:before="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78858AEB">
      <w:pPr>
        <w:pStyle w:val="26"/>
        <w:spacing w:before="50" w:after="50"/>
        <w:ind w:firstLine="0"/>
        <w:rPr>
          <w:rFonts w:hint="eastAsia" w:ascii="宋体" w:hAnsi="宋体" w:cs="仿宋_GB2312"/>
          <w:bCs/>
          <w:color w:val="auto"/>
          <w:sz w:val="32"/>
          <w:szCs w:val="32"/>
          <w:highlight w:val="none"/>
        </w:rPr>
      </w:pPr>
    </w:p>
    <w:p w14:paraId="0FEE64D7">
      <w:pPr>
        <w:pStyle w:val="26"/>
        <w:spacing w:before="50" w:after="50"/>
        <w:ind w:firstLine="1280" w:firstLineChars="400"/>
        <w:rPr>
          <w:rFonts w:hint="eastAsia" w:ascii="宋体" w:hAnsi="宋体" w:cs="仿宋_GB2312"/>
          <w:bCs/>
          <w:color w:val="auto"/>
          <w:sz w:val="32"/>
          <w:szCs w:val="32"/>
          <w:highlight w:val="none"/>
        </w:rPr>
      </w:pPr>
    </w:p>
    <w:p w14:paraId="41DBEACB">
      <w:pPr>
        <w:spacing w:before="12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40C406FC">
      <w:pPr>
        <w:spacing w:before="120" w:after="50" w:line="360" w:lineRule="auto"/>
        <w:ind w:left="142"/>
        <w:jc w:val="left"/>
        <w:rPr>
          <w:rFonts w:hint="eastAsia" w:ascii="宋体" w:hAnsi="宋体"/>
          <w:b/>
          <w:bCs/>
          <w:color w:val="auto"/>
          <w:sz w:val="24"/>
          <w:highlight w:val="none"/>
        </w:rPr>
      </w:pPr>
      <w:r>
        <w:rPr>
          <w:rFonts w:hint="eastAsia" w:ascii="宋体" w:hAnsi="宋体"/>
          <w:color w:val="auto"/>
          <w:szCs w:val="21"/>
          <w:highlight w:val="none"/>
        </w:rPr>
        <w:br w:type="page"/>
      </w:r>
      <w:r>
        <w:rPr>
          <w:rFonts w:hint="eastAsia" w:ascii="宋体" w:hAnsi="宋体"/>
          <w:b/>
          <w:bCs/>
          <w:color w:val="auto"/>
          <w:sz w:val="32"/>
          <w:szCs w:val="32"/>
          <w:highlight w:val="none"/>
        </w:rPr>
        <w:t>2.报价文件目录</w:t>
      </w:r>
    </w:p>
    <w:p w14:paraId="7D098EB0">
      <w:pPr>
        <w:spacing w:line="520" w:lineRule="exact"/>
        <w:jc w:val="center"/>
        <w:rPr>
          <w:rFonts w:hint="eastAsia" w:ascii="方正小标宋简体" w:hAnsi="方正小标宋简体" w:eastAsia="方正小标宋简体" w:cs="方正小标宋简体"/>
          <w:bCs/>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r>
        <w:rPr>
          <w:rFonts w:ascii="宋体" w:hAnsi="宋体"/>
          <w:b/>
          <w:bCs/>
          <w:color w:val="auto"/>
          <w:sz w:val="32"/>
          <w:szCs w:val="32"/>
          <w:highlight w:val="none"/>
        </w:rPr>
        <w:br w:type="page"/>
      </w:r>
      <w:r>
        <w:rPr>
          <w:rFonts w:hint="eastAsia" w:ascii="方正小标宋简体" w:hAnsi="方正小标宋简体" w:eastAsia="方正小标宋简体" w:cs="方正小标宋简体"/>
          <w:bCs/>
          <w:color w:val="auto"/>
          <w:sz w:val="44"/>
          <w:szCs w:val="44"/>
          <w:highlight w:val="none"/>
        </w:rPr>
        <w:t>竞  标  报  价  表</w:t>
      </w:r>
    </w:p>
    <w:p w14:paraId="6B453438">
      <w:pPr>
        <w:spacing w:line="440" w:lineRule="exact"/>
        <w:jc w:val="center"/>
        <w:rPr>
          <w:rFonts w:hint="eastAsia" w:ascii="方正小标宋简体" w:hAnsi="方正小标宋简体" w:eastAsia="方正小标宋简体" w:cs="方正小标宋简体"/>
          <w:bCs/>
          <w:color w:val="auto"/>
          <w:sz w:val="32"/>
          <w:szCs w:val="32"/>
          <w:highlight w:val="none"/>
        </w:rPr>
      </w:pPr>
    </w:p>
    <w:p w14:paraId="6D649EE1">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项目名称：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项目编号：</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1BD8C8CB">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29AEA2AA">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                                                单位：</w:t>
      </w:r>
      <w:r>
        <w:rPr>
          <w:rFonts w:hint="eastAsia" w:ascii="宋体" w:hAnsi="宋体" w:cs="仿宋_GB2312"/>
          <w:color w:val="auto"/>
          <w:sz w:val="24"/>
          <w:highlight w:val="none"/>
          <w:lang w:val="zh-CN"/>
        </w:rPr>
        <w:t>%</w:t>
      </w:r>
    </w:p>
    <w:tbl>
      <w:tblPr>
        <w:tblStyle w:val="12"/>
        <w:tblW w:w="90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574"/>
        <w:gridCol w:w="1179"/>
        <w:gridCol w:w="924"/>
        <w:gridCol w:w="2647"/>
        <w:gridCol w:w="1184"/>
      </w:tblGrid>
      <w:tr w14:paraId="40F31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587" w:type="dxa"/>
            <w:tcBorders>
              <w:top w:val="single" w:color="auto" w:sz="4" w:space="0"/>
              <w:left w:val="single" w:color="auto" w:sz="4" w:space="0"/>
              <w:bottom w:val="single" w:color="auto" w:sz="4" w:space="0"/>
              <w:right w:val="single" w:color="auto" w:sz="4" w:space="0"/>
            </w:tcBorders>
            <w:noWrap w:val="0"/>
            <w:vAlign w:val="center"/>
          </w:tcPr>
          <w:p w14:paraId="655D6BEA">
            <w:pPr>
              <w:spacing w:line="360" w:lineRule="auto"/>
              <w:contextualSpacing/>
              <w:jc w:val="center"/>
              <w:rPr>
                <w:rFonts w:ascii="宋体" w:hAnsi="宋体" w:cs="仿宋_GB2312"/>
                <w:color w:val="auto"/>
                <w:sz w:val="24"/>
                <w:highlight w:val="none"/>
              </w:rPr>
            </w:pPr>
            <w:r>
              <w:rPr>
                <w:rFonts w:ascii="宋体" w:hAnsi="宋体" w:cs="仿宋_GB2312"/>
                <w:color w:val="auto"/>
                <w:sz w:val="24"/>
                <w:highlight w:val="none"/>
              </w:rPr>
              <w:t>序号</w:t>
            </w:r>
          </w:p>
        </w:tc>
        <w:tc>
          <w:tcPr>
            <w:tcW w:w="2574" w:type="dxa"/>
            <w:tcBorders>
              <w:top w:val="single" w:color="auto" w:sz="4" w:space="0"/>
              <w:left w:val="single" w:color="auto" w:sz="4" w:space="0"/>
              <w:bottom w:val="single" w:color="auto" w:sz="4" w:space="0"/>
              <w:right w:val="single" w:color="auto" w:sz="4" w:space="0"/>
            </w:tcBorders>
            <w:noWrap w:val="0"/>
            <w:vAlign w:val="center"/>
          </w:tcPr>
          <w:p w14:paraId="122E64B2">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标的</w:t>
            </w:r>
            <w:r>
              <w:rPr>
                <w:rFonts w:ascii="宋体" w:hAnsi="宋体" w:cs="仿宋_GB2312"/>
                <w:color w:val="auto"/>
                <w:sz w:val="24"/>
                <w:highlight w:val="none"/>
              </w:rPr>
              <w:t>名称</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1712DA62">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数量</w:t>
            </w:r>
          </w:p>
        </w:tc>
        <w:tc>
          <w:tcPr>
            <w:tcW w:w="924" w:type="dxa"/>
            <w:tcBorders>
              <w:top w:val="single" w:color="auto" w:sz="4" w:space="0"/>
              <w:left w:val="single" w:color="auto" w:sz="4" w:space="0"/>
              <w:bottom w:val="single" w:color="auto" w:sz="4" w:space="0"/>
              <w:right w:val="single" w:color="auto" w:sz="4" w:space="0"/>
            </w:tcBorders>
            <w:noWrap w:val="0"/>
            <w:vAlign w:val="center"/>
          </w:tcPr>
          <w:p w14:paraId="23C6359F">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单位</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478404A6">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lang w:val="zh-CN"/>
              </w:rPr>
              <w:t>下浮系数</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0641F37F">
            <w:pPr>
              <w:spacing w:line="360" w:lineRule="auto"/>
              <w:contextualSpacing/>
              <w:jc w:val="center"/>
              <w:rPr>
                <w:rFonts w:ascii="宋体" w:hAnsi="宋体" w:cs="仿宋_GB2312"/>
                <w:color w:val="auto"/>
                <w:sz w:val="24"/>
                <w:highlight w:val="none"/>
              </w:rPr>
            </w:pPr>
            <w:r>
              <w:rPr>
                <w:rFonts w:ascii="宋体" w:hAnsi="宋体" w:cs="仿宋_GB2312"/>
                <w:color w:val="auto"/>
                <w:sz w:val="24"/>
                <w:highlight w:val="none"/>
              </w:rPr>
              <w:t>备注</w:t>
            </w:r>
          </w:p>
        </w:tc>
      </w:tr>
      <w:tr w14:paraId="53D2C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587" w:type="dxa"/>
            <w:tcBorders>
              <w:top w:val="single" w:color="auto" w:sz="4" w:space="0"/>
              <w:left w:val="single" w:color="auto" w:sz="4" w:space="0"/>
              <w:bottom w:val="single" w:color="auto" w:sz="4" w:space="0"/>
              <w:right w:val="single" w:color="auto" w:sz="4" w:space="0"/>
            </w:tcBorders>
            <w:noWrap w:val="0"/>
            <w:vAlign w:val="center"/>
          </w:tcPr>
          <w:p w14:paraId="5FF303B6">
            <w:pPr>
              <w:spacing w:line="360" w:lineRule="auto"/>
              <w:contextualSpacing/>
              <w:jc w:val="center"/>
              <w:rPr>
                <w:rFonts w:ascii="宋体" w:hAnsi="宋体" w:cs="仿宋_GB2312"/>
                <w:color w:val="auto"/>
                <w:sz w:val="24"/>
                <w:highlight w:val="none"/>
              </w:rPr>
            </w:pPr>
            <w:r>
              <w:rPr>
                <w:rFonts w:ascii="宋体" w:hAnsi="宋体" w:cs="仿宋_GB2312"/>
                <w:color w:val="auto"/>
                <w:sz w:val="24"/>
                <w:highlight w:val="none"/>
              </w:rPr>
              <w:t>1</w:t>
            </w:r>
          </w:p>
        </w:tc>
        <w:tc>
          <w:tcPr>
            <w:tcW w:w="2574" w:type="dxa"/>
            <w:tcBorders>
              <w:top w:val="single" w:color="auto" w:sz="4" w:space="0"/>
              <w:left w:val="single" w:color="auto" w:sz="4" w:space="0"/>
              <w:bottom w:val="single" w:color="auto" w:sz="4" w:space="0"/>
              <w:right w:val="single" w:color="auto" w:sz="4" w:space="0"/>
            </w:tcBorders>
            <w:noWrap w:val="0"/>
            <w:vAlign w:val="center"/>
          </w:tcPr>
          <w:p w14:paraId="06043B44">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防城港市财政局食堂食材配送服务</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5E9BB481">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1</w:t>
            </w:r>
          </w:p>
        </w:tc>
        <w:tc>
          <w:tcPr>
            <w:tcW w:w="924" w:type="dxa"/>
            <w:tcBorders>
              <w:top w:val="single" w:color="auto" w:sz="4" w:space="0"/>
              <w:left w:val="single" w:color="auto" w:sz="4" w:space="0"/>
              <w:bottom w:val="single" w:color="auto" w:sz="4" w:space="0"/>
              <w:right w:val="single" w:color="auto" w:sz="4" w:space="0"/>
            </w:tcBorders>
            <w:noWrap w:val="0"/>
            <w:vAlign w:val="center"/>
          </w:tcPr>
          <w:p w14:paraId="5F1709AF">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项</w:t>
            </w:r>
          </w:p>
        </w:tc>
        <w:tc>
          <w:tcPr>
            <w:tcW w:w="2647" w:type="dxa"/>
            <w:tcBorders>
              <w:top w:val="single" w:color="auto" w:sz="4" w:space="0"/>
              <w:left w:val="single" w:color="auto" w:sz="4" w:space="0"/>
              <w:bottom w:val="single" w:color="auto" w:sz="4" w:space="0"/>
              <w:right w:val="single" w:color="auto" w:sz="4" w:space="0"/>
            </w:tcBorders>
            <w:noWrap w:val="0"/>
            <w:vAlign w:val="top"/>
          </w:tcPr>
          <w:p w14:paraId="0D434108">
            <w:pPr>
              <w:spacing w:line="360" w:lineRule="auto"/>
              <w:contextualSpacing/>
              <w:rPr>
                <w:rFonts w:ascii="宋体" w:hAnsi="宋体" w:cs="仿宋_GB2312"/>
                <w:color w:val="auto"/>
                <w:sz w:val="24"/>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38687432">
            <w:pPr>
              <w:spacing w:line="360" w:lineRule="auto"/>
              <w:contextualSpacing/>
              <w:rPr>
                <w:rFonts w:ascii="宋体" w:hAnsi="宋体" w:cs="仿宋_GB2312"/>
                <w:color w:val="auto"/>
                <w:sz w:val="24"/>
                <w:highlight w:val="none"/>
              </w:rPr>
            </w:pPr>
          </w:p>
        </w:tc>
      </w:tr>
      <w:tr w14:paraId="41783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9095" w:type="dxa"/>
            <w:gridSpan w:val="6"/>
            <w:tcBorders>
              <w:top w:val="single" w:color="auto" w:sz="4" w:space="0"/>
              <w:left w:val="single" w:color="auto" w:sz="4" w:space="0"/>
              <w:bottom w:val="single" w:color="auto" w:sz="4" w:space="0"/>
              <w:right w:val="single" w:color="auto" w:sz="4" w:space="0"/>
            </w:tcBorders>
            <w:noWrap w:val="0"/>
            <w:vAlign w:val="center"/>
          </w:tcPr>
          <w:p w14:paraId="06F503A8">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lang w:val="en-US" w:eastAsia="zh-CN"/>
              </w:rPr>
            </w:pPr>
            <w:r>
              <w:rPr>
                <w:rFonts w:hint="eastAsia"/>
                <w:lang w:val="en-US" w:eastAsia="zh-CN"/>
              </w:rPr>
              <w:t>1.供应商的竞标报价包括但不限于以下内容：食材的购置、检验、粗加工、分拣、包装、仓储、运输、装卸、堆放、保险、损耗、退换、售后服务、雇员费用、管理费、全额税</w:t>
            </w:r>
            <w:r>
              <w:rPr>
                <w:rFonts w:hint="eastAsia"/>
                <w:highlight w:val="none"/>
                <w:lang w:val="en-US" w:eastAsia="zh-CN"/>
              </w:rPr>
              <w:t>费等合同履行过程中的一切费用</w:t>
            </w:r>
            <w:r>
              <w:rPr>
                <w:rFonts w:hint="eastAsia"/>
                <w:color w:val="auto"/>
                <w:sz w:val="21"/>
                <w:szCs w:val="21"/>
                <w:highlight w:val="none"/>
                <w:lang w:val="en-US" w:eastAsia="zh-CN"/>
              </w:rPr>
              <w:t>。</w:t>
            </w:r>
            <w:r>
              <w:rPr>
                <w:rFonts w:hint="eastAsia"/>
                <w:lang w:val="en-US" w:eastAsia="zh-CN"/>
              </w:rPr>
              <w:t>本项目招标代理服务费、必要的保险费用和各项税金也包含在报价中。</w:t>
            </w:r>
            <w:r>
              <w:rPr>
                <w:rFonts w:hint="eastAsia"/>
                <w:lang w:val="en-US" w:eastAsia="zh-CN"/>
              </w:rPr>
              <w:br w:type="textWrapping"/>
            </w:r>
            <w:r>
              <w:rPr>
                <w:rFonts w:hint="eastAsia"/>
                <w:lang w:val="en-US" w:eastAsia="zh-CN"/>
              </w:rPr>
              <w:t>2.确定供应商并签订合同后，按实际提供的食材费用结算。</w:t>
            </w:r>
            <w:r>
              <w:rPr>
                <w:rFonts w:hint="eastAsia"/>
                <w:lang w:val="en-US" w:eastAsia="zh-CN"/>
              </w:rPr>
              <w:br w:type="textWrapping"/>
            </w:r>
            <w:r>
              <w:rPr>
                <w:rFonts w:hint="eastAsia"/>
                <w:lang w:val="en-US" w:eastAsia="zh-CN"/>
              </w:rPr>
              <w:t>3.若供应商被选定为成交供应商，在今后的产品供应中应严格执行价格承诺。在一个定价周期内（1个月）确定好的采购价格不得随意更改，并必须按时按量供货，不得因市场价格上涨降低产品品质，否则按采购产品价值三倍扣除履约保证金；不得因市场价格上涨停止供货，否则采购人有权单方终止合同，扣除全部履约保证金，由此产生的一切经济损失由成交供应商自行承担。</w:t>
            </w:r>
          </w:p>
          <w:p w14:paraId="3F0F5D8D">
            <w:pPr>
              <w:spacing w:line="360" w:lineRule="auto"/>
              <w:contextualSpacing/>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4.本项目</w:t>
            </w:r>
            <w:r>
              <w:rPr>
                <w:rFonts w:hint="eastAsia" w:ascii="宋体" w:hAnsi="宋体" w:eastAsia="宋体" w:cs="Times New Roman"/>
                <w:color w:val="auto"/>
                <w:szCs w:val="21"/>
                <w:highlight w:val="none"/>
                <w:lang w:val="en-US" w:eastAsia="zh-CN"/>
              </w:rPr>
              <w:t>竞标报价按下浮系数报价，供应商结合采购人提供的市场调查物价、市场价格、成本及自身条件、市场风险报出综合下浮系数。有效报价范围为：下浮系数≥10%。实际采购单价=市场价格（基准单价）×（1-下浮系数）。供应商一旦中标，该结算下浮系数在合同服务期内不得改变。</w:t>
            </w:r>
          </w:p>
          <w:p w14:paraId="4E307D00">
            <w:pPr>
              <w:spacing w:line="360" w:lineRule="auto"/>
              <w:contextualSpacing/>
              <w:rPr>
                <w:rFonts w:hint="eastAsia" w:ascii="宋体" w:hAnsi="宋体" w:eastAsia="宋体" w:cs="Times New Roman"/>
                <w:color w:val="auto"/>
                <w:szCs w:val="21"/>
                <w:highlight w:val="none"/>
                <w:lang w:val="en-US" w:eastAsia="zh-CN"/>
              </w:rPr>
            </w:pPr>
          </w:p>
        </w:tc>
      </w:tr>
    </w:tbl>
    <w:p w14:paraId="6F26704A">
      <w:pPr>
        <w:spacing w:line="360" w:lineRule="auto"/>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 xml:space="preserve">注: </w:t>
      </w:r>
    </w:p>
    <w:p w14:paraId="2A108C80">
      <w:pPr>
        <w:spacing w:line="360" w:lineRule="auto"/>
        <w:ind w:firstLine="480" w:firstLineChars="200"/>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1. 供应商的报价表必须加盖供应商电子签章并由法定代表人或者委托代理人签字或者电子签名，</w:t>
      </w:r>
      <w:r>
        <w:rPr>
          <w:rFonts w:hint="eastAsia" w:ascii="宋体" w:hAnsi="宋体" w:cs="仿宋_GB2312"/>
          <w:b/>
          <w:color w:val="auto"/>
          <w:sz w:val="24"/>
          <w:highlight w:val="none"/>
        </w:rPr>
        <w:t>否则其响应文件按无效处理</w:t>
      </w:r>
      <w:r>
        <w:rPr>
          <w:rFonts w:hint="eastAsia" w:ascii="宋体" w:hAnsi="宋体" w:cs="仿宋_GB2312"/>
          <w:color w:val="auto"/>
          <w:sz w:val="24"/>
          <w:highlight w:val="none"/>
        </w:rPr>
        <w:t>。</w:t>
      </w:r>
    </w:p>
    <w:p w14:paraId="16104504">
      <w:pPr>
        <w:spacing w:line="360" w:lineRule="auto"/>
        <w:ind w:firstLine="480" w:firstLineChars="200"/>
        <w:contextualSpacing/>
        <w:jc w:val="left"/>
        <w:rPr>
          <w:rFonts w:hint="eastAsia" w:ascii="宋体" w:hAnsi="宋体" w:eastAsia="宋体" w:cs="仿宋_GB2312"/>
          <w:b/>
          <w:color w:val="auto"/>
          <w:sz w:val="24"/>
          <w:highlight w:val="none"/>
          <w:lang w:eastAsia="zh-CN"/>
        </w:rPr>
      </w:pPr>
      <w:r>
        <w:rPr>
          <w:rFonts w:hint="eastAsia" w:ascii="宋体" w:hAnsi="宋体" w:cs="仿宋_GB2312"/>
          <w:bCs/>
          <w:color w:val="auto"/>
          <w:sz w:val="24"/>
          <w:highlight w:val="none"/>
        </w:rPr>
        <w:t>2.</w:t>
      </w:r>
      <w:r>
        <w:rPr>
          <w:rFonts w:hint="eastAsia" w:ascii="宋体" w:hAnsi="宋体" w:cs="仿宋_GB2312"/>
          <w:color w:val="auto"/>
          <w:sz w:val="24"/>
          <w:highlight w:val="none"/>
        </w:rPr>
        <w:t xml:space="preserve"> 报价一经涂改，应在涂改处加盖供应商公章或者加盖电子签章或者由法定代表人或者授权委托人签字</w:t>
      </w:r>
      <w:r>
        <w:rPr>
          <w:rFonts w:hint="eastAsia" w:ascii="宋体" w:hAnsi="宋体"/>
          <w:color w:val="auto"/>
          <w:sz w:val="24"/>
          <w:highlight w:val="none"/>
        </w:rPr>
        <w:t>（或者电子签名）</w:t>
      </w:r>
      <w:r>
        <w:rPr>
          <w:rFonts w:hint="eastAsia" w:ascii="宋体" w:hAnsi="宋体" w:cs="仿宋_GB2312"/>
          <w:b/>
          <w:color w:val="auto"/>
          <w:sz w:val="24"/>
          <w:highlight w:val="none"/>
        </w:rPr>
        <w:t>，否则其响应文件按无效处理</w:t>
      </w:r>
      <w:r>
        <w:rPr>
          <w:rFonts w:hint="eastAsia" w:ascii="宋体" w:hAnsi="宋体" w:cs="仿宋_GB2312"/>
          <w:b/>
          <w:color w:val="auto"/>
          <w:sz w:val="24"/>
          <w:highlight w:val="none"/>
          <w:lang w:eastAsia="zh-CN"/>
        </w:rPr>
        <w:t>。</w:t>
      </w:r>
    </w:p>
    <w:p w14:paraId="7064BCDA">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法定代表人或者委托代理人（签字或者电子签名）：                    </w:t>
      </w:r>
    </w:p>
    <w:p w14:paraId="53460B7C">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317E261B">
      <w:pPr>
        <w:spacing w:line="360" w:lineRule="auto"/>
        <w:ind w:right="-817" w:rightChars="-389" w:firstLine="4080" w:firstLineChars="1700"/>
        <w:contextualSpacing/>
        <w:rPr>
          <w:rFonts w:hint="eastAsia" w:ascii="宋体" w:hAnsi="宋体" w:cs="仿宋_GB2312"/>
          <w:b/>
          <w:color w:val="auto"/>
          <w:sz w:val="24"/>
          <w:highlight w:val="none"/>
        </w:rPr>
      </w:pPr>
      <w:r>
        <w:rPr>
          <w:rFonts w:hint="eastAsia" w:ascii="宋体" w:hAnsi="宋体" w:cs="仿宋_GB2312"/>
          <w:color w:val="auto"/>
          <w:sz w:val="24"/>
          <w:highlight w:val="none"/>
        </w:rPr>
        <w:t>日期：   年   月   日</w:t>
      </w:r>
    </w:p>
    <w:p w14:paraId="01D9F67E">
      <w:pPr>
        <w:spacing w:line="360" w:lineRule="auto"/>
        <w:jc w:val="center"/>
        <w:rPr>
          <w:rFonts w:ascii="宋体" w:hAnsi="宋体" w:cs="仿宋_GB2312"/>
          <w:color w:val="auto"/>
          <w:sz w:val="24"/>
          <w:highlight w:val="none"/>
        </w:rPr>
      </w:pPr>
      <w:r>
        <w:rPr>
          <w:rFonts w:ascii="宋体" w:hAnsi="宋体"/>
          <w:b/>
          <w:bCs/>
          <w:color w:val="auto"/>
          <w:sz w:val="32"/>
          <w:szCs w:val="32"/>
          <w:highlight w:val="none"/>
        </w:rPr>
        <w:br w:type="page"/>
      </w:r>
    </w:p>
    <w:p w14:paraId="463A69D4">
      <w:pPr>
        <w:pStyle w:val="10"/>
        <w:shd w:val="clear" w:color="auto" w:fill="FFFFFF"/>
        <w:jc w:val="center"/>
        <w:rPr>
          <w:rFonts w:ascii="宋体" w:hAnsi="宋体" w:cs="宋体"/>
          <w:color w:val="auto"/>
          <w:sz w:val="36"/>
          <w:szCs w:val="36"/>
          <w:highlight w:val="none"/>
        </w:rPr>
      </w:pPr>
      <w:r>
        <w:rPr>
          <w:rFonts w:hint="eastAsia" w:ascii="宋体" w:hAnsi="宋体" w:cs="宋体"/>
          <w:b/>
          <w:bCs/>
          <w:color w:val="auto"/>
          <w:sz w:val="36"/>
          <w:szCs w:val="36"/>
          <w:highlight w:val="none"/>
        </w:rPr>
        <w:t>关于符合本国产品标准的声明函</w:t>
      </w:r>
    </w:p>
    <w:p w14:paraId="4677FC7D">
      <w:pPr>
        <w:widowControl/>
        <w:shd w:val="clear" w:color="auto" w:fill="FFFFFF"/>
        <w:spacing w:before="30" w:after="30"/>
        <w:ind w:firstLine="48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w:t>
      </w:r>
    </w:p>
    <w:p w14:paraId="01F7F9AF">
      <w:pPr>
        <w:keepNext w:val="0"/>
        <w:keepLines w:val="0"/>
        <w:pageBreakBefore w:val="0"/>
        <w:widowControl/>
        <w:shd w:val="clear" w:color="auto" w:fill="FFFFFF"/>
        <w:kinsoku/>
        <w:wordWrap/>
        <w:overflowPunct/>
        <w:topLinePunct w:val="0"/>
        <w:autoSpaceDE/>
        <w:autoSpaceDN/>
        <w:bidi w:val="0"/>
        <w:adjustRightInd/>
        <w:snapToGrid/>
        <w:spacing w:before="30" w:after="30" w:line="400" w:lineRule="exact"/>
        <w:ind w:firstLine="480"/>
        <w:jc w:val="left"/>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本公司（单位）郑重声明，根据《国务院办公厅关于在政府采购中实施本国产品标准及相关政策的通知》（国办发〔2025〕34号）的规定，本公司（单位）提供的以下产品属于本国产品。具体情况如下：</w:t>
      </w:r>
    </w:p>
    <w:p w14:paraId="5F965194">
      <w:pPr>
        <w:keepNext w:val="0"/>
        <w:keepLines w:val="0"/>
        <w:pageBreakBefore w:val="0"/>
        <w:widowControl/>
        <w:shd w:val="clear" w:color="auto" w:fill="FFFFFF"/>
        <w:kinsoku/>
        <w:wordWrap/>
        <w:overflowPunct/>
        <w:topLinePunct w:val="0"/>
        <w:autoSpaceDE/>
        <w:autoSpaceDN/>
        <w:bidi w:val="0"/>
        <w:adjustRightInd/>
        <w:snapToGrid/>
        <w:spacing w:before="30" w:after="30" w:line="400" w:lineRule="exact"/>
        <w:ind w:firstLine="480"/>
        <w:jc w:val="left"/>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产品名称1），生产厂为（厂名），厂址为（生产厂址）。（产品名称1）的中国境内生产的组件成本占比≥（规定比例）3。（产品名称1）的（关键组件）4在中国境内生产。（产品名称1）的（关键工序）5在中国境内完成。</w:t>
      </w:r>
    </w:p>
    <w:p w14:paraId="4F815F16">
      <w:pPr>
        <w:keepNext w:val="0"/>
        <w:keepLines w:val="0"/>
        <w:pageBreakBefore w:val="0"/>
        <w:widowControl/>
        <w:shd w:val="clear" w:color="auto" w:fill="FFFFFF"/>
        <w:kinsoku/>
        <w:wordWrap/>
        <w:overflowPunct/>
        <w:topLinePunct w:val="0"/>
        <w:autoSpaceDE/>
        <w:autoSpaceDN/>
        <w:bidi w:val="0"/>
        <w:adjustRightInd/>
        <w:snapToGrid/>
        <w:spacing w:before="30" w:after="30" w:line="400" w:lineRule="exact"/>
        <w:ind w:firstLine="480"/>
        <w:jc w:val="left"/>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产品名称2），生产厂为（厂名），厂址为（生产厂址）。（产品名称2）的中国境内生产的组件成本占比≥（规定比例）。（产品名称2）的（关键组件）在中国境内生产。（产品名称2）的（关键工序）在中国境内完成。</w:t>
      </w:r>
    </w:p>
    <w:p w14:paraId="0122C7DC">
      <w:pPr>
        <w:keepNext w:val="0"/>
        <w:keepLines w:val="0"/>
        <w:pageBreakBefore w:val="0"/>
        <w:widowControl/>
        <w:shd w:val="clear" w:color="auto" w:fill="FFFFFF"/>
        <w:kinsoku/>
        <w:wordWrap/>
        <w:overflowPunct/>
        <w:topLinePunct w:val="0"/>
        <w:autoSpaceDE/>
        <w:autoSpaceDN/>
        <w:bidi w:val="0"/>
        <w:adjustRightInd/>
        <w:snapToGrid/>
        <w:spacing w:before="30" w:after="30" w:line="400" w:lineRule="exact"/>
        <w:ind w:firstLine="480"/>
        <w:jc w:val="left"/>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w:t>
      </w:r>
    </w:p>
    <w:p w14:paraId="25EA3BDE">
      <w:pPr>
        <w:keepNext w:val="0"/>
        <w:keepLines w:val="0"/>
        <w:pageBreakBefore w:val="0"/>
        <w:widowControl/>
        <w:shd w:val="clear" w:color="auto" w:fill="FFFFFF"/>
        <w:kinsoku/>
        <w:wordWrap/>
        <w:overflowPunct/>
        <w:topLinePunct w:val="0"/>
        <w:autoSpaceDE/>
        <w:autoSpaceDN/>
        <w:bidi w:val="0"/>
        <w:adjustRightInd/>
        <w:snapToGrid/>
        <w:spacing w:before="30" w:after="30" w:line="400" w:lineRule="exact"/>
        <w:ind w:firstLine="480"/>
        <w:jc w:val="left"/>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本公司（单位）对上述声明内容的真实性负责。如有虚假，愿承担相应法律责任。</w:t>
      </w:r>
    </w:p>
    <w:p w14:paraId="27BE57EC">
      <w:pPr>
        <w:keepNext w:val="0"/>
        <w:keepLines w:val="0"/>
        <w:pageBreakBefore w:val="0"/>
        <w:widowControl/>
        <w:shd w:val="clear" w:color="auto" w:fill="FFFFFF"/>
        <w:kinsoku/>
        <w:wordWrap/>
        <w:overflowPunct/>
        <w:topLinePunct w:val="0"/>
        <w:autoSpaceDE/>
        <w:autoSpaceDN/>
        <w:bidi w:val="0"/>
        <w:adjustRightInd/>
        <w:snapToGrid/>
        <w:spacing w:before="30" w:after="30" w:line="400" w:lineRule="exact"/>
        <w:jc w:val="left"/>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 </w:t>
      </w:r>
    </w:p>
    <w:p w14:paraId="70974A67">
      <w:pPr>
        <w:keepNext w:val="0"/>
        <w:keepLines w:val="0"/>
        <w:pageBreakBefore w:val="0"/>
        <w:widowControl/>
        <w:shd w:val="clear" w:color="auto" w:fill="FFFFFF"/>
        <w:kinsoku/>
        <w:wordWrap/>
        <w:overflowPunct/>
        <w:topLinePunct w:val="0"/>
        <w:autoSpaceDE/>
        <w:autoSpaceDN/>
        <w:bidi w:val="0"/>
        <w:adjustRightInd/>
        <w:snapToGrid/>
        <w:spacing w:before="30" w:after="30" w:line="400" w:lineRule="exact"/>
        <w:jc w:val="right"/>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公司（单位）名称（盖章）：　        </w:t>
      </w:r>
    </w:p>
    <w:p w14:paraId="3D1EE912">
      <w:pPr>
        <w:keepNext w:val="0"/>
        <w:keepLines w:val="0"/>
        <w:pageBreakBefore w:val="0"/>
        <w:widowControl/>
        <w:shd w:val="clear" w:color="auto" w:fill="FFFFFF"/>
        <w:kinsoku/>
        <w:wordWrap/>
        <w:overflowPunct/>
        <w:topLinePunct w:val="0"/>
        <w:autoSpaceDE/>
        <w:autoSpaceDN/>
        <w:bidi w:val="0"/>
        <w:adjustRightInd/>
        <w:snapToGrid/>
        <w:spacing w:line="400" w:lineRule="exact"/>
        <w:jc w:val="right"/>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日期：　     年　  月　  日         </w:t>
      </w:r>
    </w:p>
    <w:p w14:paraId="15818409">
      <w:pPr>
        <w:keepNext w:val="0"/>
        <w:keepLines w:val="0"/>
        <w:pageBreakBefore w:val="0"/>
        <w:widowControl/>
        <w:shd w:val="clear" w:color="auto" w:fill="FFFFFF"/>
        <w:kinsoku/>
        <w:wordWrap/>
        <w:overflowPunct/>
        <w:topLinePunct w:val="0"/>
        <w:autoSpaceDE/>
        <w:autoSpaceDN/>
        <w:bidi w:val="0"/>
        <w:adjustRightInd/>
        <w:snapToGrid/>
        <w:spacing w:before="30" w:after="30" w:line="400" w:lineRule="exact"/>
        <w:jc w:val="left"/>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__________________</w:t>
      </w:r>
    </w:p>
    <w:p w14:paraId="2A4BCBA7">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480"/>
        <w:jc w:val="left"/>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1.产品如有型号，请在“产品名称”栏一并填写。</w:t>
      </w:r>
    </w:p>
    <w:p w14:paraId="1760D363">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480"/>
        <w:jc w:val="left"/>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2.生产厂名与厂址应与生产厂营业执照载明的相关信息保持一致。</w:t>
      </w:r>
    </w:p>
    <w:p w14:paraId="6461ADB2">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480"/>
        <w:jc w:val="left"/>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3.该产品的中国境内生产的组件成本占比相关要求实施前，“规定比例”栏可不填，下同。</w:t>
      </w:r>
    </w:p>
    <w:p w14:paraId="0092A6FB">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480"/>
        <w:jc w:val="left"/>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4.该产品的关键组件要求实施前，“关键组件”栏可不填，下同。</w:t>
      </w:r>
    </w:p>
    <w:p w14:paraId="5872B926">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480"/>
        <w:jc w:val="left"/>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5.该产品的关键工序要求实施前，“关键工序”栏可不填，下同。</w:t>
      </w:r>
    </w:p>
    <w:p w14:paraId="5D051419">
      <w:pPr>
        <w:spacing w:line="360" w:lineRule="auto"/>
        <w:contextualSpacing/>
        <w:rPr>
          <w:rFonts w:hint="eastAsia" w:ascii="宋体" w:hAnsi="宋体" w:cs="仿宋_GB2312"/>
          <w:color w:val="auto"/>
          <w:sz w:val="21"/>
          <w:szCs w:val="21"/>
          <w:highlight w:val="none"/>
        </w:rPr>
      </w:pPr>
    </w:p>
    <w:p w14:paraId="3F176CAF">
      <w:pPr>
        <w:spacing w:line="360" w:lineRule="auto"/>
        <w:jc w:val="both"/>
        <w:rPr>
          <w:rFonts w:ascii="宋体" w:hAnsi="宋体"/>
          <w:b/>
          <w:bCs/>
          <w:color w:val="auto"/>
          <w:sz w:val="32"/>
          <w:szCs w:val="32"/>
          <w:highlight w:val="none"/>
        </w:rPr>
      </w:pPr>
    </w:p>
    <w:p w14:paraId="60E966E7">
      <w:pPr>
        <w:spacing w:line="360" w:lineRule="auto"/>
        <w:jc w:val="both"/>
        <w:rPr>
          <w:rFonts w:ascii="宋体" w:hAnsi="宋体"/>
          <w:b/>
          <w:bCs/>
          <w:color w:val="auto"/>
          <w:sz w:val="32"/>
          <w:szCs w:val="32"/>
          <w:highlight w:val="none"/>
        </w:rPr>
      </w:pPr>
    </w:p>
    <w:p w14:paraId="12AB16C4">
      <w:pPr>
        <w:spacing w:line="360" w:lineRule="auto"/>
        <w:jc w:val="both"/>
        <w:rPr>
          <w:rFonts w:ascii="宋体" w:hAnsi="宋体"/>
          <w:b/>
          <w:bCs/>
          <w:color w:val="auto"/>
          <w:sz w:val="32"/>
          <w:szCs w:val="32"/>
          <w:highlight w:val="none"/>
        </w:rPr>
      </w:pPr>
    </w:p>
    <w:p w14:paraId="6F4D823C">
      <w:pPr>
        <w:spacing w:line="360" w:lineRule="auto"/>
        <w:jc w:val="both"/>
        <w:rPr>
          <w:rFonts w:ascii="宋体" w:hAnsi="宋体"/>
          <w:b/>
          <w:bCs/>
          <w:color w:val="auto"/>
          <w:sz w:val="32"/>
          <w:szCs w:val="32"/>
          <w:highlight w:val="none"/>
        </w:rPr>
      </w:pPr>
    </w:p>
    <w:p w14:paraId="6E500164">
      <w:pPr>
        <w:spacing w:line="360" w:lineRule="auto"/>
        <w:jc w:val="both"/>
        <w:rPr>
          <w:rFonts w:ascii="宋体" w:hAnsi="宋体"/>
          <w:b/>
          <w:bCs/>
          <w:color w:val="auto"/>
          <w:sz w:val="32"/>
          <w:szCs w:val="32"/>
          <w:highlight w:val="none"/>
        </w:rPr>
      </w:pPr>
    </w:p>
    <w:p w14:paraId="11F245B0">
      <w:pPr>
        <w:spacing w:line="360" w:lineRule="auto"/>
        <w:ind w:right="420"/>
        <w:contextualSpacing/>
        <w:jc w:val="left"/>
        <w:rPr>
          <w:rFonts w:hint="eastAsia" w:ascii="宋体" w:hAnsi="宋体"/>
          <w:b/>
          <w:bCs/>
          <w:color w:val="auto"/>
          <w:sz w:val="32"/>
          <w:szCs w:val="32"/>
          <w:highlight w:val="none"/>
        </w:rPr>
      </w:pPr>
    </w:p>
    <w:p w14:paraId="147F2F0D">
      <w:pPr>
        <w:spacing w:line="360" w:lineRule="auto"/>
        <w:ind w:right="420"/>
        <w:contextualSpacing/>
        <w:jc w:val="left"/>
        <w:rPr>
          <w:rFonts w:hint="eastAsia" w:ascii="宋体" w:hAnsi="宋体"/>
          <w:b/>
          <w:color w:val="auto"/>
          <w:sz w:val="32"/>
          <w:szCs w:val="32"/>
          <w:highlight w:val="none"/>
        </w:rPr>
      </w:pPr>
      <w:r>
        <w:rPr>
          <w:rFonts w:hint="eastAsia" w:ascii="宋体" w:hAnsi="宋体"/>
          <w:b/>
          <w:bCs/>
          <w:color w:val="auto"/>
          <w:sz w:val="32"/>
          <w:szCs w:val="32"/>
          <w:highlight w:val="none"/>
        </w:rPr>
        <w:t>三、</w:t>
      </w:r>
      <w:r>
        <w:rPr>
          <w:rFonts w:hint="eastAsia" w:ascii="宋体" w:hAnsi="宋体"/>
          <w:b/>
          <w:color w:val="auto"/>
          <w:sz w:val="32"/>
          <w:szCs w:val="32"/>
          <w:highlight w:val="none"/>
        </w:rPr>
        <w:t xml:space="preserve">商务技术文件格式 </w:t>
      </w:r>
    </w:p>
    <w:p w14:paraId="1456233F">
      <w:pPr>
        <w:spacing w:before="120" w:after="50" w:line="360" w:lineRule="auto"/>
        <w:jc w:val="left"/>
        <w:rPr>
          <w:rFonts w:ascii="宋体" w:hAnsi="宋体"/>
          <w:b/>
          <w:color w:val="auto"/>
          <w:sz w:val="32"/>
          <w:szCs w:val="32"/>
          <w:highlight w:val="none"/>
        </w:rPr>
      </w:pPr>
      <w:r>
        <w:rPr>
          <w:rFonts w:hint="eastAsia" w:ascii="宋体" w:hAnsi="宋体"/>
          <w:b/>
          <w:color w:val="auto"/>
          <w:sz w:val="32"/>
          <w:szCs w:val="32"/>
          <w:highlight w:val="none"/>
        </w:rPr>
        <w:t>1.商务技术文件封面格式</w:t>
      </w:r>
    </w:p>
    <w:p w14:paraId="4CC0AAC4">
      <w:pPr>
        <w:spacing w:before="120" w:after="50"/>
        <w:rPr>
          <w:rFonts w:hint="eastAsia" w:ascii="宋体" w:hAnsi="宋体"/>
          <w:bCs/>
          <w:color w:val="auto"/>
          <w:sz w:val="32"/>
          <w:szCs w:val="20"/>
          <w:highlight w:val="none"/>
        </w:rPr>
      </w:pPr>
      <w:r>
        <w:rPr>
          <w:rFonts w:hint="eastAsia" w:ascii="宋体" w:hAnsi="宋体"/>
          <w:color w:val="auto"/>
          <w:sz w:val="24"/>
          <w:highlight w:val="none"/>
        </w:rPr>
        <w:t xml:space="preserve">                                                    </w:t>
      </w:r>
    </w:p>
    <w:p w14:paraId="607AB01B">
      <w:pPr>
        <w:spacing w:before="120" w:after="50"/>
        <w:jc w:val="center"/>
        <w:rPr>
          <w:rFonts w:hint="eastAsia" w:ascii="宋体" w:hAnsi="宋体"/>
          <w:color w:val="auto"/>
          <w:sz w:val="24"/>
          <w:szCs w:val="20"/>
          <w:highlight w:val="none"/>
        </w:rPr>
      </w:pPr>
      <w:r>
        <w:rPr>
          <w:rFonts w:hint="eastAsia" w:ascii="宋体" w:hAnsi="宋体"/>
          <w:color w:val="auto"/>
          <w:sz w:val="44"/>
          <w:szCs w:val="44"/>
          <w:highlight w:val="none"/>
        </w:rPr>
        <w:t>电 子 响 应 文 件</w:t>
      </w:r>
    </w:p>
    <w:p w14:paraId="22189825">
      <w:pPr>
        <w:spacing w:before="120" w:after="50"/>
        <w:rPr>
          <w:rFonts w:hint="eastAsia" w:ascii="宋体" w:hAnsi="宋体"/>
          <w:color w:val="auto"/>
          <w:sz w:val="24"/>
          <w:szCs w:val="20"/>
          <w:highlight w:val="none"/>
        </w:rPr>
      </w:pPr>
    </w:p>
    <w:p w14:paraId="590C30EF">
      <w:pPr>
        <w:spacing w:before="120" w:after="50"/>
        <w:rPr>
          <w:rFonts w:hint="eastAsia" w:ascii="宋体" w:hAnsi="宋体"/>
          <w:color w:val="auto"/>
          <w:sz w:val="24"/>
          <w:szCs w:val="20"/>
          <w:highlight w:val="none"/>
        </w:rPr>
      </w:pPr>
    </w:p>
    <w:p w14:paraId="7EC54138">
      <w:pPr>
        <w:spacing w:before="12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  务  技  术  文  件</w:t>
      </w:r>
    </w:p>
    <w:p w14:paraId="448539AC">
      <w:pPr>
        <w:spacing w:before="120" w:after="50"/>
        <w:rPr>
          <w:rFonts w:hint="eastAsia" w:ascii="宋体" w:hAnsi="宋体"/>
          <w:bCs/>
          <w:color w:val="auto"/>
          <w:sz w:val="24"/>
          <w:szCs w:val="20"/>
          <w:highlight w:val="none"/>
        </w:rPr>
      </w:pPr>
    </w:p>
    <w:p w14:paraId="15F950E9">
      <w:pPr>
        <w:spacing w:before="120" w:after="50"/>
        <w:rPr>
          <w:rFonts w:hint="eastAsia" w:ascii="宋体" w:hAnsi="宋体"/>
          <w:bCs/>
          <w:color w:val="auto"/>
          <w:sz w:val="24"/>
          <w:szCs w:val="20"/>
          <w:highlight w:val="none"/>
        </w:rPr>
      </w:pPr>
    </w:p>
    <w:p w14:paraId="5EC8F1E0">
      <w:pPr>
        <w:spacing w:before="120" w:after="50"/>
        <w:rPr>
          <w:rFonts w:hint="eastAsia" w:ascii="宋体" w:hAnsi="宋体"/>
          <w:bCs/>
          <w:color w:val="auto"/>
          <w:sz w:val="24"/>
          <w:szCs w:val="20"/>
          <w:highlight w:val="none"/>
        </w:rPr>
      </w:pPr>
    </w:p>
    <w:p w14:paraId="2E0BE710">
      <w:pPr>
        <w:spacing w:before="120" w:after="50"/>
        <w:rPr>
          <w:rFonts w:hint="eastAsia" w:ascii="宋体" w:hAnsi="宋体"/>
          <w:bCs/>
          <w:color w:val="auto"/>
          <w:sz w:val="24"/>
          <w:szCs w:val="20"/>
          <w:highlight w:val="none"/>
        </w:rPr>
      </w:pPr>
    </w:p>
    <w:p w14:paraId="159FFBC4">
      <w:pPr>
        <w:spacing w:before="120" w:after="50"/>
        <w:rPr>
          <w:rFonts w:hint="eastAsia" w:ascii="宋体" w:hAnsi="宋体"/>
          <w:bCs/>
          <w:color w:val="auto"/>
          <w:sz w:val="24"/>
          <w:szCs w:val="20"/>
          <w:highlight w:val="none"/>
        </w:rPr>
      </w:pPr>
    </w:p>
    <w:p w14:paraId="4E9D20D5">
      <w:pPr>
        <w:spacing w:before="12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38CC29CF">
      <w:pPr>
        <w:spacing w:before="120" w:after="50"/>
        <w:ind w:firstLine="720" w:firstLineChars="225"/>
        <w:rPr>
          <w:rFonts w:hint="eastAsia" w:ascii="宋体" w:hAnsi="宋体" w:cs="仿宋_GB2312"/>
          <w:bCs/>
          <w:color w:val="auto"/>
          <w:sz w:val="32"/>
          <w:szCs w:val="32"/>
          <w:highlight w:val="none"/>
        </w:rPr>
      </w:pPr>
    </w:p>
    <w:p w14:paraId="3A9DE517">
      <w:pPr>
        <w:spacing w:before="12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37983E91">
      <w:pPr>
        <w:spacing w:before="12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6A454D8B">
      <w:pPr>
        <w:spacing w:before="12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3A2C8243">
      <w:pPr>
        <w:spacing w:before="120" w:after="50"/>
        <w:ind w:firstLine="720" w:firstLineChars="225"/>
        <w:rPr>
          <w:rFonts w:hint="eastAsia" w:ascii="宋体" w:hAnsi="宋体" w:cs="仿宋_GB2312"/>
          <w:bCs/>
          <w:color w:val="auto"/>
          <w:sz w:val="32"/>
          <w:szCs w:val="32"/>
          <w:highlight w:val="none"/>
        </w:rPr>
      </w:pPr>
    </w:p>
    <w:p w14:paraId="73862145">
      <w:pPr>
        <w:pStyle w:val="26"/>
        <w:spacing w:before="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49490946">
      <w:pPr>
        <w:pStyle w:val="26"/>
        <w:spacing w:before="50" w:after="50"/>
        <w:ind w:left="0" w:leftChars="0" w:firstLine="0" w:firstLineChars="0"/>
        <w:rPr>
          <w:rFonts w:hint="eastAsia" w:ascii="宋体" w:hAnsi="宋体" w:cs="仿宋_GB2312"/>
          <w:bCs/>
          <w:color w:val="auto"/>
          <w:sz w:val="32"/>
          <w:szCs w:val="32"/>
          <w:highlight w:val="none"/>
        </w:rPr>
      </w:pPr>
    </w:p>
    <w:p w14:paraId="45DF2E4C">
      <w:pPr>
        <w:pStyle w:val="26"/>
        <w:spacing w:before="50" w:after="50"/>
        <w:ind w:firstLine="0"/>
        <w:rPr>
          <w:rFonts w:hint="eastAsia" w:ascii="宋体" w:hAnsi="宋体" w:cs="仿宋_GB2312"/>
          <w:bCs/>
          <w:color w:val="auto"/>
          <w:sz w:val="32"/>
          <w:szCs w:val="32"/>
          <w:highlight w:val="none"/>
        </w:rPr>
      </w:pPr>
    </w:p>
    <w:p w14:paraId="02EEAF65">
      <w:pPr>
        <w:pStyle w:val="26"/>
        <w:spacing w:before="50" w:after="50"/>
        <w:ind w:firstLine="1280" w:firstLineChars="400"/>
        <w:rPr>
          <w:rFonts w:hint="eastAsia" w:ascii="宋体" w:hAnsi="宋体" w:cs="仿宋_GB2312"/>
          <w:bCs/>
          <w:color w:val="auto"/>
          <w:sz w:val="32"/>
          <w:szCs w:val="32"/>
          <w:highlight w:val="none"/>
        </w:rPr>
      </w:pPr>
    </w:p>
    <w:p w14:paraId="052E3A05">
      <w:pPr>
        <w:spacing w:before="12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472684E2">
      <w:pPr>
        <w:spacing w:before="120" w:after="50" w:line="360" w:lineRule="auto"/>
        <w:ind w:right="480" w:firstLine="240" w:firstLineChars="100"/>
        <w:jc w:val="left"/>
        <w:rPr>
          <w:rFonts w:hint="eastAsia" w:ascii="宋体" w:hAnsi="宋体"/>
          <w:b/>
          <w:bCs/>
          <w:color w:val="auto"/>
          <w:sz w:val="24"/>
          <w:highlight w:val="none"/>
        </w:rPr>
      </w:pPr>
      <w:r>
        <w:rPr>
          <w:rFonts w:ascii="宋体" w:hAnsi="宋体"/>
          <w:color w:val="auto"/>
          <w:sz w:val="24"/>
          <w:highlight w:val="none"/>
        </w:rPr>
        <w:br w:type="page"/>
      </w:r>
      <w:r>
        <w:rPr>
          <w:rFonts w:hint="eastAsia" w:ascii="宋体" w:hAnsi="宋体"/>
          <w:b/>
          <w:bCs/>
          <w:color w:val="auto"/>
          <w:sz w:val="32"/>
          <w:szCs w:val="32"/>
          <w:highlight w:val="none"/>
        </w:rPr>
        <w:t>2.商务技术文件目录</w:t>
      </w:r>
    </w:p>
    <w:p w14:paraId="5BFEEBD1">
      <w:pPr>
        <w:spacing w:before="120" w:after="50" w:line="360" w:lineRule="auto"/>
        <w:ind w:firstLine="640" w:firstLineChars="200"/>
        <w:rPr>
          <w:rFonts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191E59BF">
      <w:pPr>
        <w:spacing w:line="400" w:lineRule="exact"/>
        <w:rPr>
          <w:rFonts w:hint="eastAsia" w:ascii="仿宋_GB2312" w:hAnsi="仿宋_GB2312" w:eastAsia="仿宋_GB2312" w:cs="仿宋_GB2312"/>
          <w:color w:val="auto"/>
          <w:sz w:val="32"/>
          <w:szCs w:val="32"/>
          <w:highlight w:val="none"/>
        </w:rPr>
      </w:pPr>
    </w:p>
    <w:p w14:paraId="6ECE3CF5">
      <w:pPr>
        <w:spacing w:line="520" w:lineRule="exact"/>
        <w:jc w:val="center"/>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方正小标宋简体" w:hAnsi="方正小标宋简体" w:eastAsia="方正小标宋简体" w:cs="方正小标宋简体"/>
          <w:color w:val="auto"/>
          <w:sz w:val="44"/>
          <w:szCs w:val="44"/>
          <w:highlight w:val="none"/>
        </w:rPr>
        <w:t>无串通竞标行为的承诺函</w:t>
      </w:r>
    </w:p>
    <w:p w14:paraId="52A70211">
      <w:pPr>
        <w:spacing w:line="360" w:lineRule="auto"/>
        <w:ind w:firstLine="640" w:firstLineChars="200"/>
        <w:contextualSpacing/>
        <w:rPr>
          <w:rFonts w:hint="eastAsia" w:ascii="仿宋_GB2312" w:hAnsi="仿宋_GB2312" w:eastAsia="仿宋_GB2312" w:cs="仿宋_GB2312"/>
          <w:color w:val="auto"/>
          <w:sz w:val="32"/>
          <w:szCs w:val="32"/>
          <w:highlight w:val="none"/>
        </w:rPr>
      </w:pPr>
    </w:p>
    <w:p w14:paraId="5C035BFD">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一、我方承诺无下列相互串通竞标的情形：</w:t>
      </w:r>
    </w:p>
    <w:p w14:paraId="13B54011">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1.不同供应商的响应文件由同一单位或者个人编制</w:t>
      </w:r>
      <w:r>
        <w:rPr>
          <w:rFonts w:hint="eastAsia" w:ascii="宋体" w:hAnsi="宋体" w:cs="仿宋_GB2312"/>
          <w:color w:val="auto"/>
          <w:sz w:val="24"/>
          <w:highlight w:val="none"/>
          <w:lang w:eastAsia="zh-CN"/>
        </w:rPr>
        <w:t>，或不同竞标</w:t>
      </w:r>
      <w:r>
        <w:rPr>
          <w:rFonts w:hint="eastAsia" w:ascii="宋体" w:hAnsi="宋体" w:cs="仿宋_GB2312"/>
          <w:color w:val="auto"/>
          <w:sz w:val="24"/>
          <w:highlight w:val="none"/>
          <w:lang w:eastAsia="zh-CN"/>
        </w:rPr>
        <w:t>人报名的IP地址一致的；</w:t>
      </w:r>
    </w:p>
    <w:p w14:paraId="75146338">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2.不同供应商委托同一单位或者个人办理竞标事宜；</w:t>
      </w:r>
    </w:p>
    <w:p w14:paraId="54C89CC5">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3.不同供应商的响应文件载明的项目管理员为同一个人；</w:t>
      </w:r>
    </w:p>
    <w:p w14:paraId="3126B8F1">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4.不</w:t>
      </w:r>
      <w:r>
        <w:rPr>
          <w:rFonts w:hint="eastAsia" w:ascii="宋体" w:hAnsi="宋体" w:cs="仿宋_GB2312"/>
          <w:color w:val="auto"/>
          <w:spacing w:val="-6"/>
          <w:sz w:val="24"/>
          <w:highlight w:val="none"/>
        </w:rPr>
        <w:t>同供应商的响应文件异常一致或者竞标报价呈规律性差异；</w:t>
      </w:r>
    </w:p>
    <w:p w14:paraId="2FA48839">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5.不同供应商的响应文件相互混装；</w:t>
      </w:r>
    </w:p>
    <w:p w14:paraId="6043F68E">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二、我方承诺无下列恶意串通的情形：</w:t>
      </w:r>
    </w:p>
    <w:p w14:paraId="76B9F9B7">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1.供应商直接或者间接从采购人或者采购代理机构处获得其他供应商的相关信息并修改其响应文件；</w:t>
      </w:r>
    </w:p>
    <w:p w14:paraId="045CF79B">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2.供应商按照采购人或者采购代理机构的授意撤换、修改响应文件；</w:t>
      </w:r>
    </w:p>
    <w:p w14:paraId="56E086BC">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3.供</w:t>
      </w:r>
      <w:r>
        <w:rPr>
          <w:rFonts w:hint="eastAsia" w:ascii="宋体" w:hAnsi="宋体" w:cs="仿宋_GB2312"/>
          <w:color w:val="auto"/>
          <w:spacing w:val="-6"/>
          <w:sz w:val="24"/>
          <w:highlight w:val="none"/>
        </w:rPr>
        <w:t>应商之间协商报价、技术方案等响应文件的实质性内容；</w:t>
      </w:r>
    </w:p>
    <w:p w14:paraId="14072FBC">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4.属于同一集团、协会、商会等组织成员的供应商按照该组织要求协同参加政府采购活动；</w:t>
      </w:r>
    </w:p>
    <w:p w14:paraId="72C4BFC6">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5.供应商之间事先约定一致抬高或者压低竞标报价，或者在竞争性磋商项目中事先约定轮流以高价位或者低价位成交，或者事先约定由某一特定供应商成交，然后再参加竞标；</w:t>
      </w:r>
    </w:p>
    <w:p w14:paraId="39FBB076">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6.供应商之间商定部分供应商放弃参加政府采购活动或者放弃成交；</w:t>
      </w:r>
    </w:p>
    <w:p w14:paraId="6C9177B6">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7.供应商与采购人或者采购代理机构之间、供应商相互之间，为</w:t>
      </w:r>
      <w:r>
        <w:rPr>
          <w:rFonts w:hint="eastAsia" w:ascii="宋体" w:hAnsi="宋体" w:cs="仿宋_GB2312"/>
          <w:color w:val="auto"/>
          <w:spacing w:val="-6"/>
          <w:sz w:val="24"/>
          <w:highlight w:val="none"/>
        </w:rPr>
        <w:t>谋求特定供应商成交或者排斥其他供应商的其他串通行为。</w:t>
      </w:r>
    </w:p>
    <w:p w14:paraId="0F11D644">
      <w:pPr>
        <w:spacing w:line="360" w:lineRule="auto"/>
        <w:ind w:firstLine="480" w:firstLineChars="200"/>
        <w:contextualSpacing/>
        <w:rPr>
          <w:rFonts w:hint="eastAsia" w:ascii="宋体" w:hAnsi="宋体" w:cs="仿宋_GB2312"/>
          <w:color w:val="auto"/>
          <w:sz w:val="24"/>
          <w:highlight w:val="none"/>
        </w:rPr>
      </w:pPr>
    </w:p>
    <w:p w14:paraId="6131CD4A">
      <w:pPr>
        <w:spacing w:line="360" w:lineRule="auto"/>
        <w:ind w:firstLine="482" w:firstLineChars="200"/>
        <w:contextualSpacing/>
        <w:rPr>
          <w:rFonts w:hint="eastAsia" w:ascii="宋体" w:hAnsi="宋体" w:cs="仿宋_GB2312"/>
          <w:color w:val="auto"/>
          <w:sz w:val="24"/>
          <w:highlight w:val="none"/>
        </w:rPr>
      </w:pPr>
      <w:r>
        <w:rPr>
          <w:rFonts w:hint="eastAsia" w:ascii="宋体" w:hAnsi="宋体" w:cs="仿宋_GB2312"/>
          <w:b/>
          <w:bCs/>
          <w:color w:val="auto"/>
          <w:sz w:val="24"/>
          <w:highlight w:val="none"/>
        </w:rPr>
        <w:t>以上情形一经核查属实，我方愿意承担一切后果，并不再寻求任何旨在减轻或者免除法律责任的辩解。</w:t>
      </w:r>
    </w:p>
    <w:p w14:paraId="5BB08F3E">
      <w:pPr>
        <w:spacing w:line="360" w:lineRule="auto"/>
        <w:ind w:firstLine="3600" w:firstLineChars="150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供应商（电子签章）：</w:t>
      </w:r>
    </w:p>
    <w:p w14:paraId="670F3AEE">
      <w:pPr>
        <w:spacing w:line="360" w:lineRule="auto"/>
        <w:ind w:firstLine="480" w:firstLineChars="200"/>
        <w:contextualSpacing/>
        <w:jc w:val="center"/>
        <w:rPr>
          <w:rFonts w:hint="eastAsia" w:ascii="仿宋_GB2312" w:hAnsi="仿宋_GB2312" w:eastAsia="仿宋_GB2312" w:cs="仿宋_GB2312"/>
          <w:color w:val="auto"/>
          <w:sz w:val="32"/>
          <w:szCs w:val="32"/>
          <w:highlight w:val="none"/>
        </w:rPr>
      </w:pPr>
      <w:r>
        <w:rPr>
          <w:rFonts w:hint="eastAsia" w:ascii="宋体" w:hAnsi="宋体" w:cs="仿宋_GB2312"/>
          <w:color w:val="auto"/>
          <w:sz w:val="24"/>
          <w:highlight w:val="none"/>
        </w:rPr>
        <w:t xml:space="preserve">                               年   月   日</w:t>
      </w:r>
    </w:p>
    <w:p w14:paraId="01ED3CF9">
      <w:pPr>
        <w:spacing w:line="520" w:lineRule="exact"/>
        <w:jc w:val="center"/>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br w:type="page"/>
      </w:r>
      <w:r>
        <w:rPr>
          <w:rFonts w:hint="eastAsia" w:ascii="方正小标宋简体" w:hAnsi="方正小标宋简体" w:eastAsia="方正小标宋简体" w:cs="方正小标宋简体"/>
          <w:bCs/>
          <w:color w:val="auto"/>
          <w:sz w:val="44"/>
          <w:szCs w:val="44"/>
          <w:highlight w:val="none"/>
        </w:rPr>
        <w:t>法定代表人证明书</w:t>
      </w:r>
    </w:p>
    <w:p w14:paraId="2604DAD4">
      <w:pPr>
        <w:spacing w:line="360" w:lineRule="auto"/>
        <w:ind w:left="540"/>
        <w:contextualSpacing/>
        <w:rPr>
          <w:rFonts w:hint="eastAsia" w:ascii="仿宋_GB2312" w:hAnsi="仿宋_GB2312" w:eastAsia="仿宋_GB2312" w:cs="仿宋_GB2312"/>
          <w:color w:val="auto"/>
          <w:sz w:val="32"/>
          <w:szCs w:val="32"/>
          <w:highlight w:val="none"/>
        </w:rPr>
      </w:pPr>
    </w:p>
    <w:p w14:paraId="79F8BA19">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p>
    <w:p w14:paraId="7AE99419">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地    址：</w:t>
      </w:r>
      <w:r>
        <w:rPr>
          <w:rFonts w:hint="eastAsia" w:ascii="宋体" w:hAnsi="宋体" w:cs="仿宋_GB2312"/>
          <w:color w:val="auto"/>
          <w:sz w:val="24"/>
          <w:highlight w:val="none"/>
          <w:u w:val="single"/>
        </w:rPr>
        <w:t xml:space="preserve">                                                        </w:t>
      </w:r>
    </w:p>
    <w:p w14:paraId="5CB1EAA4">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姓    名：</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性     别：</w:t>
      </w:r>
      <w:r>
        <w:rPr>
          <w:rFonts w:hint="eastAsia" w:ascii="宋体" w:hAnsi="宋体" w:cs="仿宋_GB2312"/>
          <w:color w:val="auto"/>
          <w:sz w:val="24"/>
          <w:highlight w:val="none"/>
          <w:u w:val="single"/>
        </w:rPr>
        <w:t xml:space="preserve">                </w:t>
      </w:r>
    </w:p>
    <w:p w14:paraId="05755E12">
      <w:pPr>
        <w:spacing w:line="360" w:lineRule="auto"/>
        <w:ind w:left="540"/>
        <w:contextualSpacing/>
        <w:rPr>
          <w:rFonts w:hint="eastAsia" w:ascii="宋体" w:hAnsi="宋体" w:cs="仿宋_GB2312"/>
          <w:color w:val="auto"/>
          <w:sz w:val="24"/>
          <w:highlight w:val="none"/>
          <w:u w:val="single"/>
        </w:rPr>
      </w:pPr>
      <w:r>
        <w:rPr>
          <w:rFonts w:hint="eastAsia" w:ascii="宋体" w:hAnsi="宋体" w:cs="仿宋_GB2312"/>
          <w:color w:val="auto"/>
          <w:sz w:val="24"/>
          <w:highlight w:val="none"/>
        </w:rPr>
        <w:t>年    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职     务：</w:t>
      </w:r>
      <w:r>
        <w:rPr>
          <w:rFonts w:hint="eastAsia" w:ascii="宋体" w:hAnsi="宋体" w:cs="仿宋_GB2312"/>
          <w:color w:val="auto"/>
          <w:sz w:val="24"/>
          <w:highlight w:val="none"/>
          <w:u w:val="single"/>
        </w:rPr>
        <w:t xml:space="preserve">                </w:t>
      </w:r>
    </w:p>
    <w:p w14:paraId="371B6F56">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身份证号码：</w:t>
      </w:r>
      <w:r>
        <w:rPr>
          <w:rFonts w:hint="eastAsia" w:ascii="宋体" w:hAnsi="宋体" w:cs="仿宋_GB2312"/>
          <w:color w:val="auto"/>
          <w:sz w:val="24"/>
          <w:highlight w:val="none"/>
          <w:u w:val="single"/>
        </w:rPr>
        <w:t xml:space="preserve">                                        </w:t>
      </w:r>
    </w:p>
    <w:p w14:paraId="558FB31F">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系</w:t>
      </w:r>
      <w:r>
        <w:rPr>
          <w:rFonts w:hint="eastAsia" w:ascii="宋体" w:hAnsi="宋体" w:cs="仿宋_GB2312"/>
          <w:color w:val="auto"/>
          <w:sz w:val="24"/>
          <w:highlight w:val="none"/>
          <w:u w:val="single"/>
        </w:rPr>
        <w:t>（供应商名称）</w:t>
      </w:r>
      <w:r>
        <w:rPr>
          <w:rFonts w:hint="eastAsia" w:ascii="宋体" w:hAnsi="宋体" w:cs="仿宋_GB2312"/>
          <w:color w:val="auto"/>
          <w:sz w:val="24"/>
          <w:highlight w:val="none"/>
        </w:rPr>
        <w:t>的法定代表人。</w:t>
      </w:r>
    </w:p>
    <w:p w14:paraId="5D21FB89">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特此证明。</w:t>
      </w:r>
    </w:p>
    <w:p w14:paraId="7ACD60B3">
      <w:pPr>
        <w:spacing w:line="360" w:lineRule="auto"/>
        <w:ind w:left="540"/>
        <w:contextualSpacing/>
        <w:rPr>
          <w:rFonts w:hint="eastAsia" w:ascii="宋体" w:hAnsi="宋体" w:cs="仿宋_GB2312"/>
          <w:color w:val="auto"/>
          <w:sz w:val="24"/>
          <w:highlight w:val="none"/>
        </w:rPr>
      </w:pPr>
    </w:p>
    <w:p w14:paraId="4B0F713B">
      <w:pPr>
        <w:spacing w:line="360" w:lineRule="auto"/>
        <w:ind w:left="540"/>
        <w:contextualSpacing/>
        <w:rPr>
          <w:rFonts w:hint="eastAsia" w:ascii="宋体" w:hAnsi="宋体" w:cs="仿宋_GB2312"/>
          <w:color w:val="auto"/>
          <w:sz w:val="24"/>
          <w:highlight w:val="none"/>
        </w:rPr>
      </w:pPr>
    </w:p>
    <w:p w14:paraId="18F00E8D">
      <w:pPr>
        <w:spacing w:line="360" w:lineRule="auto"/>
        <w:ind w:left="540"/>
        <w:contextualSpacing/>
        <w:rPr>
          <w:rFonts w:hint="eastAsia" w:ascii="宋体" w:hAnsi="宋体" w:cs="仿宋_GB2312"/>
          <w:color w:val="auto"/>
          <w:sz w:val="24"/>
          <w:highlight w:val="none"/>
        </w:rPr>
      </w:pPr>
    </w:p>
    <w:p w14:paraId="1C573A25">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附件：法定代表人有效身份证正反面复印件</w:t>
      </w:r>
      <w:r>
        <w:rPr>
          <w:rFonts w:hint="eastAsia" w:ascii="宋体" w:hAnsi="宋体" w:cs="仿宋_GB2312"/>
          <w:color w:val="auto"/>
          <w:sz w:val="24"/>
          <w:highlight w:val="none"/>
          <w:lang w:eastAsia="zh-CN"/>
        </w:rPr>
        <w:t>或扫描件。</w:t>
      </w:r>
    </w:p>
    <w:p w14:paraId="6F57D1A2">
      <w:pPr>
        <w:spacing w:line="360" w:lineRule="auto"/>
        <w:ind w:left="540"/>
        <w:contextualSpacing/>
        <w:rPr>
          <w:rFonts w:hint="eastAsia" w:ascii="宋体" w:hAnsi="宋体" w:cs="仿宋_GB2312"/>
          <w:color w:val="auto"/>
          <w:sz w:val="24"/>
          <w:highlight w:val="none"/>
        </w:rPr>
      </w:pPr>
    </w:p>
    <w:p w14:paraId="77EA72DC">
      <w:pPr>
        <w:spacing w:line="360" w:lineRule="auto"/>
        <w:ind w:left="540"/>
        <w:contextualSpacing/>
        <w:jc w:val="right"/>
        <w:rPr>
          <w:rFonts w:hint="eastAsia" w:ascii="宋体" w:hAnsi="宋体" w:cs="仿宋_GB2312"/>
          <w:color w:val="auto"/>
          <w:sz w:val="24"/>
          <w:highlight w:val="none"/>
        </w:rPr>
      </w:pPr>
      <w:r>
        <w:rPr>
          <w:rFonts w:hint="eastAsia" w:ascii="宋体" w:hAnsi="宋体" w:cs="仿宋_GB2312"/>
          <w:color w:val="auto"/>
          <w:sz w:val="24"/>
          <w:highlight w:val="none"/>
        </w:rPr>
        <w:t>供应商（电子签章）：</w:t>
      </w:r>
      <w:r>
        <w:rPr>
          <w:rFonts w:hint="eastAsia" w:ascii="宋体" w:hAnsi="宋体" w:cs="仿宋_GB2312"/>
          <w:color w:val="auto"/>
          <w:sz w:val="24"/>
          <w:highlight w:val="none"/>
          <w:u w:val="single"/>
        </w:rPr>
        <w:t xml:space="preserve">               </w:t>
      </w:r>
    </w:p>
    <w:p w14:paraId="1A6918F4">
      <w:pPr>
        <w:spacing w:line="360" w:lineRule="auto"/>
        <w:contextualSpacing/>
        <w:jc w:val="right"/>
        <w:rPr>
          <w:rFonts w:hint="eastAsia" w:ascii="宋体" w:hAnsi="宋体" w:cs="仿宋_GB2312"/>
          <w:color w:val="auto"/>
          <w:sz w:val="24"/>
          <w:highlight w:val="none"/>
        </w:rPr>
      </w:pP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年</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月</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日</w:t>
      </w:r>
    </w:p>
    <w:p w14:paraId="733375B3">
      <w:pPr>
        <w:spacing w:line="360" w:lineRule="auto"/>
        <w:contextualSpacing/>
        <w:jc w:val="center"/>
        <w:rPr>
          <w:rFonts w:hint="eastAsia" w:ascii="宋体" w:hAnsi="宋体" w:cs="仿宋_GB2312"/>
          <w:b/>
          <w:color w:val="auto"/>
          <w:sz w:val="24"/>
          <w:highlight w:val="none"/>
        </w:rPr>
      </w:pPr>
    </w:p>
    <w:p w14:paraId="69D8A335">
      <w:pPr>
        <w:spacing w:line="360" w:lineRule="auto"/>
        <w:contextualSpacing/>
        <w:jc w:val="left"/>
        <w:rPr>
          <w:rFonts w:hint="eastAsia" w:ascii="宋体" w:hAnsi="宋体" w:cs="仿宋_GB2312"/>
          <w:color w:val="auto"/>
          <w:sz w:val="24"/>
          <w:highlight w:val="none"/>
        </w:rPr>
      </w:pPr>
    </w:p>
    <w:p w14:paraId="5B342B49">
      <w:pPr>
        <w:spacing w:line="300" w:lineRule="auto"/>
        <w:jc w:val="left"/>
        <w:rPr>
          <w:rFonts w:hint="eastAsia" w:ascii="宋体" w:hAnsi="宋体"/>
          <w:b/>
          <w:color w:val="auto"/>
          <w:szCs w:val="21"/>
          <w:highlight w:val="none"/>
        </w:rPr>
      </w:pPr>
    </w:p>
    <w:p w14:paraId="6A1F3B00">
      <w:pPr>
        <w:spacing w:line="50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r>
      <w:r>
        <w:rPr>
          <w:rFonts w:ascii="方正小标宋简体" w:hAnsi="方正小标宋简体" w:eastAsia="方正小标宋简体" w:cs="方正小标宋简体"/>
          <w:color w:val="auto"/>
          <w:sz w:val="44"/>
          <w:szCs w:val="44"/>
          <w:highlight w:val="none"/>
        </w:rPr>
        <w:t xml:space="preserve"> </w:t>
      </w:r>
    </w:p>
    <w:p w14:paraId="3054EB4F">
      <w:pPr>
        <w:spacing w:line="52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授权委托书</w:t>
      </w:r>
    </w:p>
    <w:p w14:paraId="5EC3DD94">
      <w:pPr>
        <w:spacing w:line="52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32"/>
          <w:szCs w:val="32"/>
          <w:highlight w:val="none"/>
        </w:rPr>
        <w:t>（如有委托时）</w:t>
      </w:r>
    </w:p>
    <w:p w14:paraId="606E16B5">
      <w:pPr>
        <w:spacing w:line="520" w:lineRule="exact"/>
        <w:rPr>
          <w:rFonts w:hint="eastAsia" w:ascii="仿宋_GB2312" w:hAnsi="仿宋_GB2312" w:eastAsia="仿宋_GB2312" w:cs="仿宋_GB2312"/>
          <w:color w:val="auto"/>
          <w:sz w:val="32"/>
          <w:szCs w:val="32"/>
          <w:highlight w:val="none"/>
        </w:rPr>
      </w:pPr>
    </w:p>
    <w:p w14:paraId="13EFC63E">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致：</w:t>
      </w:r>
      <w:r>
        <w:rPr>
          <w:rFonts w:hint="eastAsia" w:ascii="宋体" w:hAnsi="宋体" w:cs="仿宋_GB2312"/>
          <w:color w:val="auto"/>
          <w:sz w:val="24"/>
          <w:highlight w:val="none"/>
          <w:u w:val="single"/>
        </w:rPr>
        <w:t>（采购人名称）</w:t>
      </w:r>
      <w:r>
        <w:rPr>
          <w:rFonts w:hint="eastAsia" w:ascii="宋体" w:hAnsi="宋体" w:cs="仿宋_GB2312"/>
          <w:color w:val="auto"/>
          <w:sz w:val="24"/>
          <w:highlight w:val="none"/>
        </w:rPr>
        <w:t>：</w:t>
      </w:r>
    </w:p>
    <w:p w14:paraId="7F87EA9D">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我</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系</w:t>
      </w:r>
      <w:r>
        <w:rPr>
          <w:rFonts w:hint="eastAsia" w:ascii="宋体" w:hAnsi="宋体" w:cs="仿宋_GB2312"/>
          <w:color w:val="auto"/>
          <w:sz w:val="24"/>
          <w:highlight w:val="none"/>
          <w:u w:val="single"/>
        </w:rPr>
        <w:t xml:space="preserve">  （供应商名称）  </w:t>
      </w:r>
      <w:r>
        <w:rPr>
          <w:rFonts w:hint="eastAsia" w:ascii="宋体" w:hAnsi="宋体" w:cs="仿宋_GB2312"/>
          <w:color w:val="auto"/>
          <w:sz w:val="24"/>
          <w:highlight w:val="none"/>
        </w:rPr>
        <w:t>的（</w:t>
      </w:r>
      <w:r>
        <w:rPr>
          <w:rFonts w:hint="eastAsia" w:ascii="宋体" w:hAnsi="宋体" w:cs="仿宋_GB2312"/>
          <w:color w:val="auto"/>
          <w:sz w:val="24"/>
          <w:highlight w:val="none"/>
          <w:u w:val="single"/>
        </w:rPr>
        <w:sym w:font="Wingdings 2" w:char="00A3"/>
      </w:r>
      <w:r>
        <w:rPr>
          <w:rFonts w:hint="eastAsia" w:ascii="宋体" w:hAnsi="宋体" w:cs="仿宋_GB2312"/>
          <w:color w:val="auto"/>
          <w:sz w:val="24"/>
          <w:highlight w:val="none"/>
          <w:u w:val="single"/>
        </w:rPr>
        <w:t>法定代表人/□负责人</w:t>
      </w:r>
      <w:r>
        <w:rPr>
          <w:rFonts w:hint="eastAsia" w:ascii="宋体" w:hAnsi="宋体" w:cs="仿宋_GB2312"/>
          <w:color w:val="auto"/>
          <w:sz w:val="24"/>
          <w:highlight w:val="none"/>
        </w:rPr>
        <w:t>），现授权</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以我方的名义参加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项目的竞标活动，并代表我方全权办理针对上述项目的所有采购程序和环节的具体事务和签署相关文件。</w:t>
      </w:r>
    </w:p>
    <w:p w14:paraId="09C61973">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我方对委托代理人的签字</w:t>
      </w:r>
      <w:r>
        <w:rPr>
          <w:rFonts w:hint="eastAsia" w:ascii="宋体" w:hAnsi="宋体"/>
          <w:color w:val="auto"/>
          <w:sz w:val="24"/>
          <w:highlight w:val="none"/>
        </w:rPr>
        <w:t>或者电子签名</w:t>
      </w:r>
      <w:r>
        <w:rPr>
          <w:rFonts w:hint="eastAsia" w:ascii="宋体" w:hAnsi="宋体" w:cs="仿宋_GB2312"/>
          <w:color w:val="auto"/>
          <w:sz w:val="24"/>
          <w:highlight w:val="none"/>
        </w:rPr>
        <w:t>事项负全部责任。</w:t>
      </w:r>
    </w:p>
    <w:p w14:paraId="4D28D34A">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14:paraId="483BB67D">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14:paraId="50CB84A1">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附：法定代表人身份证明书及委托代理人有效身份证正反面复印件</w:t>
      </w:r>
      <w:r>
        <w:rPr>
          <w:rFonts w:hint="eastAsia" w:ascii="宋体" w:hAnsi="宋体" w:cs="仿宋_GB2312"/>
          <w:color w:val="auto"/>
          <w:sz w:val="24"/>
          <w:highlight w:val="none"/>
          <w:lang w:eastAsia="zh-CN"/>
        </w:rPr>
        <w:t>或扫描件。</w:t>
      </w:r>
    </w:p>
    <w:p w14:paraId="41084D50">
      <w:pPr>
        <w:spacing w:line="360" w:lineRule="auto"/>
        <w:rPr>
          <w:rFonts w:hint="eastAsia" w:ascii="宋体" w:hAnsi="宋体" w:cs="仿宋_GB2312"/>
          <w:color w:val="auto"/>
          <w:sz w:val="24"/>
          <w:highlight w:val="none"/>
        </w:rPr>
      </w:pPr>
    </w:p>
    <w:p w14:paraId="3F864375">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委托代理人（</w:t>
      </w:r>
      <w:r>
        <w:rPr>
          <w:rFonts w:hint="eastAsia" w:ascii="宋体" w:hAnsi="宋体"/>
          <w:color w:val="auto"/>
          <w:sz w:val="24"/>
          <w:highlight w:val="none"/>
        </w:rPr>
        <w:t>签字或者电子签名</w:t>
      </w:r>
      <w:r>
        <w:rPr>
          <w:rFonts w:hint="eastAsia" w:ascii="宋体" w:hAnsi="宋体" w:cs="仿宋_GB2312"/>
          <w:color w:val="auto"/>
          <w:sz w:val="24"/>
          <w:highlight w:val="none"/>
        </w:rPr>
        <w:t xml:space="preserve">）：     法定代表人（签字或者盖章或者电子签名）：                    </w:t>
      </w:r>
    </w:p>
    <w:p w14:paraId="61B636F9">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委托代理人身份证号码：                              </w:t>
      </w:r>
    </w:p>
    <w:p w14:paraId="00878C27">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                                </w:t>
      </w:r>
    </w:p>
    <w:p w14:paraId="1EB607A8">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供应商（电子签章）：                      </w:t>
      </w:r>
    </w:p>
    <w:p w14:paraId="32E56072">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年    月    日</w:t>
      </w:r>
    </w:p>
    <w:p w14:paraId="418C230A">
      <w:pPr>
        <w:spacing w:line="360" w:lineRule="auto"/>
        <w:rPr>
          <w:rFonts w:hint="eastAsia" w:ascii="宋体" w:hAnsi="宋体" w:cs="仿宋_GB2312"/>
          <w:color w:val="auto"/>
          <w:sz w:val="24"/>
          <w:highlight w:val="none"/>
        </w:rPr>
      </w:pPr>
    </w:p>
    <w:p w14:paraId="1D51166C">
      <w:pPr>
        <w:spacing w:line="360" w:lineRule="auto"/>
        <w:rPr>
          <w:rFonts w:ascii="宋体" w:hAnsi="宋体" w:cs="仿宋_GB2312"/>
          <w:color w:val="auto"/>
          <w:sz w:val="24"/>
          <w:highlight w:val="none"/>
        </w:rPr>
      </w:pPr>
      <w:r>
        <w:rPr>
          <w:rFonts w:hint="eastAsia" w:ascii="宋体" w:hAnsi="宋体" w:cs="仿宋_GB2312"/>
          <w:color w:val="auto"/>
          <w:sz w:val="24"/>
          <w:highlight w:val="none"/>
        </w:rPr>
        <w:t>注：1. 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，委托代理人必须在授权委托书上签字或者电子签名，</w:t>
      </w:r>
      <w:r>
        <w:rPr>
          <w:rFonts w:hint="eastAsia" w:ascii="宋体" w:hAnsi="宋体" w:cs="仿宋_GB2312"/>
          <w:b/>
          <w:color w:val="auto"/>
          <w:sz w:val="24"/>
          <w:highlight w:val="none"/>
        </w:rPr>
        <w:t>否则其响应文件按无效响应处理。</w:t>
      </w:r>
    </w:p>
    <w:p w14:paraId="2D478D5A">
      <w:pPr>
        <w:spacing w:line="360" w:lineRule="auto"/>
        <w:ind w:firstLine="480" w:firstLineChars="200"/>
        <w:jc w:val="left"/>
        <w:rPr>
          <w:rFonts w:hint="eastAsia" w:ascii="宋体" w:hAnsi="宋体" w:cs="仿宋_GB2312"/>
          <w:color w:val="auto"/>
          <w:sz w:val="24"/>
          <w:highlight w:val="none"/>
        </w:rPr>
      </w:pPr>
      <w:r>
        <w:rPr>
          <w:rFonts w:ascii="宋体" w:hAnsi="宋体" w:cs="仿宋_GB2312"/>
          <w:color w:val="auto"/>
          <w:sz w:val="24"/>
          <w:highlight w:val="none"/>
        </w:rPr>
        <w:t>2.</w:t>
      </w:r>
      <w:r>
        <w:rPr>
          <w:rFonts w:hint="eastAsia" w:ascii="宋体" w:hAnsi="宋体" w:cs="仿宋_GB2312"/>
          <w:color w:val="auto"/>
          <w:sz w:val="24"/>
          <w:highlight w:val="none"/>
        </w:rPr>
        <w:t>法人、其他组织竞标时“我方”是指“我单位”。</w:t>
      </w:r>
    </w:p>
    <w:p w14:paraId="23DDB922">
      <w:pPr>
        <w:spacing w:line="360" w:lineRule="auto"/>
        <w:ind w:firstLine="420" w:firstLineChars="200"/>
        <w:jc w:val="left"/>
        <w:rPr>
          <w:rFonts w:hint="eastAsia" w:ascii="仿宋_GB2312" w:hAnsi="仿宋_GB2312" w:eastAsia="仿宋_GB2312" w:cs="仿宋_GB2312"/>
          <w:color w:val="auto"/>
          <w:szCs w:val="21"/>
          <w:highlight w:val="none"/>
        </w:rPr>
      </w:pPr>
    </w:p>
    <w:p w14:paraId="674FC065">
      <w:pPr>
        <w:spacing w:line="500" w:lineRule="exact"/>
        <w:jc w:val="center"/>
        <w:rPr>
          <w:rFonts w:hint="eastAsia" w:ascii="方正小标宋简体" w:hAnsi="方正小标宋简体" w:eastAsia="方正小标宋简体" w:cs="方正小标宋简体"/>
          <w:bCs/>
          <w:color w:val="auto"/>
          <w:sz w:val="44"/>
          <w:szCs w:val="44"/>
          <w:highlight w:val="none"/>
        </w:rPr>
      </w:pPr>
      <w:r>
        <w:rPr>
          <w:rFonts w:ascii="仿宋_GB2312" w:hAnsi="仿宋_GB2312" w:eastAsia="仿宋_GB2312" w:cs="仿宋_GB2312"/>
          <w:color w:val="auto"/>
          <w:szCs w:val="21"/>
          <w:highlight w:val="none"/>
        </w:rPr>
        <w:br w:type="page"/>
      </w:r>
      <w:r>
        <w:rPr>
          <w:rFonts w:hint="eastAsia" w:ascii="方正小标宋简体" w:hAnsi="方正小标宋简体" w:eastAsia="方正小标宋简体" w:cs="方正小标宋简体"/>
          <w:bCs/>
          <w:color w:val="auto"/>
          <w:sz w:val="44"/>
          <w:szCs w:val="44"/>
          <w:highlight w:val="none"/>
        </w:rPr>
        <w:t>商务要求偏离表</w:t>
      </w:r>
    </w:p>
    <w:p w14:paraId="177DDAA2">
      <w:pPr>
        <w:spacing w:line="520" w:lineRule="exact"/>
        <w:rPr>
          <w:rFonts w:hint="eastAsia" w:ascii="仿宋_GB2312" w:hAnsi="仿宋_GB2312" w:eastAsia="仿宋_GB2312" w:cs="仿宋_GB2312"/>
          <w:color w:val="auto"/>
          <w:sz w:val="32"/>
          <w:szCs w:val="32"/>
          <w:highlight w:val="none"/>
        </w:rPr>
      </w:pPr>
    </w:p>
    <w:p w14:paraId="20396DB4">
      <w:pPr>
        <w:spacing w:line="360" w:lineRule="auto"/>
        <w:contextualSpacing/>
        <w:rPr>
          <w:rFonts w:hint="eastAsia" w:ascii="宋体" w:hAnsi="宋体" w:cs="仿宋_GB2312"/>
          <w:color w:val="auto"/>
          <w:sz w:val="24"/>
          <w:highlight w:val="none"/>
          <w:u w:val="single"/>
        </w:rPr>
      </w:pPr>
      <w:r>
        <w:rPr>
          <w:rFonts w:hint="eastAsia" w:ascii="宋体" w:hAnsi="宋体" w:cs="仿宋_GB2312"/>
          <w:color w:val="auto"/>
          <w:sz w:val="24"/>
          <w:highlight w:val="none"/>
        </w:rPr>
        <w:t>采购项目编号：</w:t>
      </w:r>
      <w:r>
        <w:rPr>
          <w:rFonts w:hint="eastAsia" w:ascii="宋体" w:hAnsi="宋体" w:cs="仿宋_GB2312"/>
          <w:color w:val="auto"/>
          <w:sz w:val="24"/>
          <w:highlight w:val="none"/>
          <w:u w:val="single"/>
        </w:rPr>
        <w:t xml:space="preserve">                 </w:t>
      </w:r>
    </w:p>
    <w:p w14:paraId="3516053D">
      <w:pPr>
        <w:spacing w:line="360" w:lineRule="auto"/>
        <w:contextualSpacing/>
        <w:rPr>
          <w:rFonts w:hint="eastAsia"/>
        </w:rPr>
      </w:pPr>
      <w:r>
        <w:rPr>
          <w:rFonts w:hint="eastAsia" w:ascii="宋体" w:hAnsi="宋体" w:cs="仿宋_GB2312"/>
          <w:color w:val="auto"/>
          <w:sz w:val="24"/>
          <w:highlight w:val="none"/>
        </w:rPr>
        <w:t>采购项目名称：</w:t>
      </w:r>
      <w:r>
        <w:rPr>
          <w:rFonts w:hint="eastAsia" w:ascii="宋体" w:hAnsi="宋体" w:cs="仿宋_GB2312"/>
          <w:color w:val="auto"/>
          <w:sz w:val="24"/>
          <w:highlight w:val="none"/>
          <w:u w:val="single"/>
        </w:rPr>
        <w:t xml:space="preserve">                 </w:t>
      </w:r>
    </w:p>
    <w:tbl>
      <w:tblPr>
        <w:tblStyle w:val="12"/>
        <w:tblW w:w="864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91"/>
        <w:gridCol w:w="3155"/>
        <w:gridCol w:w="1760"/>
        <w:gridCol w:w="2035"/>
      </w:tblGrid>
      <w:tr w14:paraId="0967E6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1691" w:type="dxa"/>
            <w:tcBorders>
              <w:top w:val="single" w:color="auto" w:sz="4" w:space="0"/>
              <w:left w:val="single" w:color="auto" w:sz="4" w:space="0"/>
              <w:bottom w:val="single" w:color="auto" w:sz="4" w:space="0"/>
              <w:right w:val="single" w:color="auto" w:sz="4" w:space="0"/>
            </w:tcBorders>
            <w:noWrap w:val="0"/>
            <w:vAlign w:val="top"/>
          </w:tcPr>
          <w:p w14:paraId="2CA40285">
            <w:pPr>
              <w:spacing w:before="120"/>
              <w:jc w:val="center"/>
              <w:rPr>
                <w:rFonts w:ascii="宋体" w:hAnsi="宋体"/>
                <w:color w:val="auto"/>
                <w:sz w:val="24"/>
                <w:highlight w:val="none"/>
              </w:rPr>
            </w:pPr>
            <w:r>
              <w:rPr>
                <w:rFonts w:hint="eastAsia" w:ascii="宋体" w:hAnsi="宋体"/>
                <w:color w:val="auto"/>
                <w:sz w:val="24"/>
                <w:highlight w:val="none"/>
              </w:rPr>
              <w:t>项目</w:t>
            </w:r>
          </w:p>
        </w:tc>
        <w:tc>
          <w:tcPr>
            <w:tcW w:w="3155" w:type="dxa"/>
            <w:tcBorders>
              <w:top w:val="single" w:color="auto" w:sz="4" w:space="0"/>
              <w:left w:val="single" w:color="auto" w:sz="4" w:space="0"/>
              <w:bottom w:val="single" w:color="auto" w:sz="4" w:space="0"/>
              <w:right w:val="single" w:color="auto" w:sz="4" w:space="0"/>
            </w:tcBorders>
            <w:noWrap w:val="0"/>
            <w:vAlign w:val="top"/>
          </w:tcPr>
          <w:p w14:paraId="325B01D9">
            <w:pPr>
              <w:spacing w:before="120"/>
              <w:jc w:val="center"/>
              <w:rPr>
                <w:rFonts w:ascii="宋体" w:hAnsi="宋体"/>
                <w:color w:val="auto"/>
                <w:sz w:val="24"/>
                <w:highlight w:val="none"/>
              </w:rPr>
            </w:pPr>
            <w:r>
              <w:rPr>
                <w:rFonts w:hint="eastAsia" w:ascii="宋体" w:hAnsi="宋体"/>
                <w:color w:val="auto"/>
                <w:sz w:val="24"/>
                <w:highlight w:val="none"/>
              </w:rPr>
              <w:t>竞争性磋商文件商务要求</w:t>
            </w:r>
          </w:p>
        </w:tc>
        <w:tc>
          <w:tcPr>
            <w:tcW w:w="1760" w:type="dxa"/>
            <w:tcBorders>
              <w:top w:val="single" w:color="auto" w:sz="4" w:space="0"/>
              <w:left w:val="single" w:color="auto" w:sz="4" w:space="0"/>
              <w:bottom w:val="single" w:color="auto" w:sz="4" w:space="0"/>
              <w:right w:val="single" w:color="auto" w:sz="4" w:space="0"/>
            </w:tcBorders>
            <w:noWrap w:val="0"/>
            <w:vAlign w:val="top"/>
          </w:tcPr>
          <w:p w14:paraId="6817C23E">
            <w:pPr>
              <w:spacing w:before="120"/>
              <w:jc w:val="center"/>
              <w:rPr>
                <w:rFonts w:ascii="宋体" w:hAnsi="宋体"/>
                <w:color w:val="auto"/>
                <w:sz w:val="24"/>
                <w:highlight w:val="none"/>
              </w:rPr>
            </w:pPr>
            <w:r>
              <w:rPr>
                <w:rFonts w:hint="eastAsia" w:ascii="宋体" w:hAnsi="宋体"/>
                <w:color w:val="auto"/>
                <w:sz w:val="24"/>
                <w:highlight w:val="none"/>
              </w:rPr>
              <w:t>供应商的承诺</w:t>
            </w:r>
          </w:p>
        </w:tc>
        <w:tc>
          <w:tcPr>
            <w:tcW w:w="2035" w:type="dxa"/>
            <w:tcBorders>
              <w:top w:val="single" w:color="auto" w:sz="4" w:space="0"/>
              <w:left w:val="single" w:color="auto" w:sz="4" w:space="0"/>
              <w:bottom w:val="single" w:color="auto" w:sz="4" w:space="0"/>
              <w:right w:val="single" w:color="auto" w:sz="4" w:space="0"/>
            </w:tcBorders>
            <w:noWrap w:val="0"/>
            <w:vAlign w:val="top"/>
          </w:tcPr>
          <w:p w14:paraId="0BBDC71A">
            <w:pPr>
              <w:spacing w:before="120"/>
              <w:jc w:val="center"/>
              <w:rPr>
                <w:rFonts w:ascii="宋体" w:hAnsi="宋体"/>
                <w:color w:val="auto"/>
                <w:sz w:val="24"/>
                <w:highlight w:val="none"/>
              </w:rPr>
            </w:pPr>
            <w:r>
              <w:rPr>
                <w:rFonts w:hint="eastAsia" w:ascii="宋体" w:hAnsi="宋体"/>
                <w:color w:val="auto"/>
                <w:sz w:val="24"/>
                <w:highlight w:val="none"/>
              </w:rPr>
              <w:t>偏离说明</w:t>
            </w:r>
          </w:p>
        </w:tc>
      </w:tr>
      <w:tr w14:paraId="774F13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1691" w:type="dxa"/>
            <w:tcBorders>
              <w:top w:val="single" w:color="auto" w:sz="4" w:space="0"/>
              <w:left w:val="single" w:color="auto" w:sz="4" w:space="0"/>
              <w:bottom w:val="single" w:color="auto" w:sz="4" w:space="0"/>
              <w:right w:val="single" w:color="auto" w:sz="4" w:space="0"/>
            </w:tcBorders>
            <w:noWrap w:val="0"/>
            <w:vAlign w:val="center"/>
          </w:tcPr>
          <w:p w14:paraId="0DD16AA4">
            <w:pPr>
              <w:spacing w:line="360" w:lineRule="exact"/>
              <w:ind w:firstLine="210" w:firstLineChars="100"/>
              <w:jc w:val="center"/>
              <w:rPr>
                <w:rFonts w:hint="eastAsia" w:ascii="宋体" w:hAnsi="宋体" w:eastAsia="宋体" w:cs="Times New Roman"/>
                <w:color w:val="auto"/>
                <w:kern w:val="2"/>
                <w:sz w:val="24"/>
                <w:szCs w:val="24"/>
                <w:highlight w:val="none"/>
                <w:lang w:val="en-US" w:eastAsia="zh-CN" w:bidi="ar-SA"/>
              </w:rPr>
            </w:pPr>
            <w:r>
              <w:rPr>
                <w:rFonts w:hint="eastAsia" w:ascii="宋体" w:hAnsi="宋体" w:cs="宋体"/>
                <w:color w:val="auto"/>
                <w:szCs w:val="21"/>
                <w:highlight w:val="none"/>
              </w:rPr>
              <w:t>服务时间及</w:t>
            </w:r>
            <w:r>
              <w:rPr>
                <w:rFonts w:hint="eastAsia"/>
                <w:color w:val="auto"/>
                <w:highlight w:val="none"/>
                <w:lang w:eastAsia="zh-CN"/>
              </w:rPr>
              <w:t>服务</w:t>
            </w:r>
            <w:r>
              <w:rPr>
                <w:rFonts w:hint="eastAsia" w:ascii="宋体" w:hAnsi="宋体" w:cs="宋体"/>
                <w:color w:val="auto"/>
                <w:szCs w:val="21"/>
                <w:highlight w:val="none"/>
              </w:rPr>
              <w:t>地点</w:t>
            </w:r>
          </w:p>
        </w:tc>
        <w:tc>
          <w:tcPr>
            <w:tcW w:w="3155" w:type="dxa"/>
            <w:tcBorders>
              <w:top w:val="single" w:color="auto" w:sz="4" w:space="0"/>
              <w:left w:val="single" w:color="auto" w:sz="4" w:space="0"/>
              <w:bottom w:val="single" w:color="auto" w:sz="4" w:space="0"/>
              <w:right w:val="single" w:color="auto" w:sz="4" w:space="0"/>
            </w:tcBorders>
            <w:noWrap w:val="0"/>
            <w:vAlign w:val="center"/>
          </w:tcPr>
          <w:p w14:paraId="41B281DB">
            <w:pPr>
              <w:jc w:val="left"/>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401B9DE2">
            <w:pPr>
              <w:spacing w:before="120"/>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6C374D18">
            <w:pPr>
              <w:spacing w:before="120"/>
              <w:jc w:val="center"/>
              <w:rPr>
                <w:rFonts w:ascii="宋体" w:hAnsi="宋体"/>
                <w:color w:val="auto"/>
                <w:sz w:val="24"/>
                <w:highlight w:val="none"/>
              </w:rPr>
            </w:pPr>
          </w:p>
        </w:tc>
      </w:tr>
      <w:tr w14:paraId="6D8B39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3" w:hRule="atLeast"/>
          <w:jc w:val="center"/>
        </w:trPr>
        <w:tc>
          <w:tcPr>
            <w:tcW w:w="1691" w:type="dxa"/>
            <w:tcBorders>
              <w:top w:val="single" w:color="auto" w:sz="4" w:space="0"/>
              <w:left w:val="single" w:color="auto" w:sz="4" w:space="0"/>
              <w:bottom w:val="single" w:color="auto" w:sz="4" w:space="0"/>
              <w:right w:val="single" w:color="auto" w:sz="4" w:space="0"/>
            </w:tcBorders>
            <w:noWrap w:val="0"/>
            <w:vAlign w:val="center"/>
          </w:tcPr>
          <w:p w14:paraId="1458E416">
            <w:pPr>
              <w:spacing w:line="360" w:lineRule="auto"/>
              <w:jc w:val="center"/>
              <w:rPr>
                <w:rFonts w:hint="eastAsia" w:ascii="宋体" w:hAnsi="宋体" w:eastAsia="宋体" w:cs="Times New Roman"/>
                <w:color w:val="auto"/>
                <w:kern w:val="2"/>
                <w:sz w:val="24"/>
                <w:szCs w:val="24"/>
                <w:highlight w:val="none"/>
                <w:lang w:val="en-US" w:eastAsia="zh-CN" w:bidi="ar-SA"/>
              </w:rPr>
            </w:pPr>
            <w:r>
              <w:rPr>
                <w:rFonts w:hint="eastAsia" w:ascii="宋体" w:hAnsi="宋体" w:cs="宋体"/>
                <w:color w:val="auto"/>
                <w:szCs w:val="21"/>
                <w:highlight w:val="none"/>
              </w:rPr>
              <w:t>合同签订期</w:t>
            </w:r>
          </w:p>
        </w:tc>
        <w:tc>
          <w:tcPr>
            <w:tcW w:w="3155" w:type="dxa"/>
            <w:tcBorders>
              <w:top w:val="single" w:color="auto" w:sz="4" w:space="0"/>
              <w:left w:val="single" w:color="auto" w:sz="4" w:space="0"/>
              <w:bottom w:val="single" w:color="auto" w:sz="4" w:space="0"/>
              <w:right w:val="single" w:color="auto" w:sz="4" w:space="0"/>
            </w:tcBorders>
            <w:noWrap w:val="0"/>
            <w:vAlign w:val="center"/>
          </w:tcPr>
          <w:p w14:paraId="5031B87E">
            <w:pPr>
              <w:jc w:val="left"/>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589FDCB3">
            <w:pPr>
              <w:spacing w:before="120"/>
              <w:ind w:left="43"/>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155B0F8A">
            <w:pPr>
              <w:spacing w:before="120"/>
              <w:ind w:left="43"/>
              <w:jc w:val="center"/>
              <w:rPr>
                <w:rFonts w:ascii="宋体" w:hAnsi="宋体"/>
                <w:color w:val="auto"/>
                <w:sz w:val="24"/>
                <w:highlight w:val="none"/>
              </w:rPr>
            </w:pPr>
          </w:p>
        </w:tc>
      </w:tr>
      <w:tr w14:paraId="309152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1" w:hRule="atLeast"/>
          <w:jc w:val="center"/>
        </w:trPr>
        <w:tc>
          <w:tcPr>
            <w:tcW w:w="1691" w:type="dxa"/>
            <w:tcBorders>
              <w:top w:val="single" w:color="auto" w:sz="4" w:space="0"/>
              <w:left w:val="single" w:color="auto" w:sz="4" w:space="0"/>
              <w:bottom w:val="single" w:color="auto" w:sz="4" w:space="0"/>
              <w:right w:val="single" w:color="auto" w:sz="4" w:space="0"/>
            </w:tcBorders>
            <w:noWrap w:val="0"/>
            <w:vAlign w:val="center"/>
          </w:tcPr>
          <w:p w14:paraId="2C407D74">
            <w:pPr>
              <w:spacing w:line="360" w:lineRule="exact"/>
              <w:jc w:val="center"/>
              <w:rPr>
                <w:rFonts w:hint="eastAsia" w:ascii="宋体" w:hAnsi="宋体" w:eastAsia="宋体" w:cs="Times New Roman"/>
                <w:color w:val="auto"/>
                <w:kern w:val="2"/>
                <w:sz w:val="24"/>
                <w:szCs w:val="24"/>
                <w:highlight w:val="none"/>
                <w:lang w:val="en-US" w:eastAsia="zh-CN" w:bidi="ar-SA"/>
              </w:rPr>
            </w:pPr>
            <w:r>
              <w:rPr>
                <w:rFonts w:hint="eastAsia" w:ascii="宋体" w:hAnsi="宋体" w:cs="宋体"/>
                <w:color w:val="auto"/>
                <w:szCs w:val="21"/>
                <w:highlight w:val="none"/>
              </w:rPr>
              <w:t>竞标报价要求</w:t>
            </w:r>
          </w:p>
        </w:tc>
        <w:tc>
          <w:tcPr>
            <w:tcW w:w="3155" w:type="dxa"/>
            <w:tcBorders>
              <w:top w:val="single" w:color="auto" w:sz="4" w:space="0"/>
              <w:left w:val="single" w:color="auto" w:sz="4" w:space="0"/>
              <w:bottom w:val="single" w:color="auto" w:sz="4" w:space="0"/>
              <w:right w:val="single" w:color="auto" w:sz="4" w:space="0"/>
            </w:tcBorders>
            <w:noWrap w:val="0"/>
            <w:vAlign w:val="center"/>
          </w:tcPr>
          <w:p w14:paraId="6BD932DA">
            <w:pPr>
              <w:jc w:val="left"/>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39C38FD1">
            <w:pPr>
              <w:spacing w:before="120"/>
              <w:ind w:left="43"/>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012797C2">
            <w:pPr>
              <w:spacing w:before="120"/>
              <w:ind w:left="43"/>
              <w:jc w:val="center"/>
              <w:rPr>
                <w:rFonts w:ascii="宋体" w:hAnsi="宋体"/>
                <w:color w:val="auto"/>
                <w:sz w:val="24"/>
                <w:highlight w:val="none"/>
              </w:rPr>
            </w:pPr>
          </w:p>
        </w:tc>
      </w:tr>
      <w:tr w14:paraId="1DACE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jc w:val="center"/>
        </w:trPr>
        <w:tc>
          <w:tcPr>
            <w:tcW w:w="1691" w:type="dxa"/>
            <w:tcBorders>
              <w:top w:val="single" w:color="auto" w:sz="4" w:space="0"/>
              <w:left w:val="single" w:color="auto" w:sz="4" w:space="0"/>
              <w:bottom w:val="single" w:color="auto" w:sz="4" w:space="0"/>
              <w:right w:val="single" w:color="auto" w:sz="4" w:space="0"/>
            </w:tcBorders>
            <w:noWrap w:val="0"/>
            <w:vAlign w:val="center"/>
          </w:tcPr>
          <w:p w14:paraId="28DC8D60">
            <w:pPr>
              <w:pStyle w:val="42"/>
              <w:spacing w:line="400" w:lineRule="exact"/>
              <w:jc w:val="center"/>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宋体"/>
                <w:color w:val="auto"/>
                <w:sz w:val="21"/>
                <w:highlight w:val="none"/>
                <w:lang w:val="en-US" w:eastAsia="zh-CN"/>
              </w:rPr>
              <w:t>付款条件</w:t>
            </w:r>
          </w:p>
        </w:tc>
        <w:tc>
          <w:tcPr>
            <w:tcW w:w="3155" w:type="dxa"/>
            <w:tcBorders>
              <w:top w:val="single" w:color="auto" w:sz="4" w:space="0"/>
              <w:left w:val="single" w:color="auto" w:sz="4" w:space="0"/>
              <w:bottom w:val="single" w:color="auto" w:sz="4" w:space="0"/>
              <w:right w:val="single" w:color="auto" w:sz="4" w:space="0"/>
            </w:tcBorders>
            <w:noWrap w:val="0"/>
            <w:vAlign w:val="center"/>
          </w:tcPr>
          <w:p w14:paraId="1960AF86">
            <w:pPr>
              <w:jc w:val="left"/>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0B7D8E26">
            <w:pPr>
              <w:spacing w:before="120"/>
              <w:ind w:left="43"/>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5F1F1152">
            <w:pPr>
              <w:spacing w:before="120"/>
              <w:ind w:left="43"/>
              <w:jc w:val="center"/>
              <w:rPr>
                <w:rFonts w:ascii="宋体" w:hAnsi="宋体"/>
                <w:color w:val="auto"/>
                <w:sz w:val="24"/>
                <w:highlight w:val="none"/>
              </w:rPr>
            </w:pPr>
          </w:p>
        </w:tc>
      </w:tr>
      <w:tr w14:paraId="2B8916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jc w:val="center"/>
        </w:trPr>
        <w:tc>
          <w:tcPr>
            <w:tcW w:w="1691" w:type="dxa"/>
            <w:tcBorders>
              <w:top w:val="single" w:color="auto" w:sz="4" w:space="0"/>
              <w:left w:val="single" w:color="auto" w:sz="4" w:space="0"/>
              <w:bottom w:val="single" w:color="auto" w:sz="4" w:space="0"/>
              <w:right w:val="single" w:color="auto" w:sz="4" w:space="0"/>
            </w:tcBorders>
            <w:noWrap w:val="0"/>
            <w:vAlign w:val="center"/>
          </w:tcPr>
          <w:p w14:paraId="1C1145AB">
            <w:pPr>
              <w:pStyle w:val="42"/>
              <w:spacing w:line="400" w:lineRule="exact"/>
              <w:jc w:val="center"/>
              <w:rPr>
                <w:rFonts w:hint="eastAsia" w:ascii="宋体" w:hAnsi="宋体" w:eastAsia="宋体" w:cs="宋体"/>
                <w:color w:val="auto"/>
                <w:sz w:val="21"/>
                <w:highlight w:val="none"/>
                <w:lang w:val="en-US" w:eastAsia="zh-CN"/>
              </w:rPr>
            </w:pPr>
            <w:r>
              <w:rPr>
                <w:rFonts w:hint="eastAsia" w:ascii="宋体" w:hAnsi="宋体" w:eastAsia="宋体" w:cs="Times New Roman"/>
                <w:color w:val="auto"/>
                <w:kern w:val="2"/>
                <w:sz w:val="21"/>
                <w:szCs w:val="21"/>
                <w:highlight w:val="none"/>
                <w:lang w:val="en-US" w:eastAsia="zh-CN" w:bidi="ar-SA"/>
              </w:rPr>
              <w:t>违约责任</w:t>
            </w:r>
          </w:p>
        </w:tc>
        <w:tc>
          <w:tcPr>
            <w:tcW w:w="3155" w:type="dxa"/>
            <w:tcBorders>
              <w:top w:val="single" w:color="auto" w:sz="4" w:space="0"/>
              <w:left w:val="single" w:color="auto" w:sz="4" w:space="0"/>
              <w:bottom w:val="single" w:color="auto" w:sz="4" w:space="0"/>
              <w:right w:val="single" w:color="auto" w:sz="4" w:space="0"/>
            </w:tcBorders>
            <w:noWrap w:val="0"/>
            <w:vAlign w:val="center"/>
          </w:tcPr>
          <w:p w14:paraId="15D786EB">
            <w:pPr>
              <w:jc w:val="left"/>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235430CB">
            <w:pPr>
              <w:spacing w:before="120"/>
              <w:ind w:left="43"/>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624FF753">
            <w:pPr>
              <w:spacing w:before="120"/>
              <w:ind w:left="43"/>
              <w:jc w:val="center"/>
              <w:rPr>
                <w:rFonts w:ascii="宋体" w:hAnsi="宋体"/>
                <w:color w:val="auto"/>
                <w:sz w:val="24"/>
                <w:highlight w:val="none"/>
              </w:rPr>
            </w:pPr>
          </w:p>
        </w:tc>
      </w:tr>
      <w:tr w14:paraId="0B558E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jc w:val="center"/>
        </w:trPr>
        <w:tc>
          <w:tcPr>
            <w:tcW w:w="1691" w:type="dxa"/>
            <w:tcBorders>
              <w:top w:val="single" w:color="auto" w:sz="4" w:space="0"/>
              <w:left w:val="single" w:color="auto" w:sz="4" w:space="0"/>
              <w:bottom w:val="single" w:color="auto" w:sz="4" w:space="0"/>
              <w:right w:val="single" w:color="auto" w:sz="4" w:space="0"/>
            </w:tcBorders>
            <w:noWrap w:val="0"/>
            <w:vAlign w:val="center"/>
          </w:tcPr>
          <w:p w14:paraId="37C18BB7">
            <w:pPr>
              <w:pStyle w:val="42"/>
              <w:spacing w:line="400" w:lineRule="exact"/>
              <w:jc w:val="center"/>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其他要求</w:t>
            </w:r>
          </w:p>
        </w:tc>
        <w:tc>
          <w:tcPr>
            <w:tcW w:w="3155" w:type="dxa"/>
            <w:tcBorders>
              <w:top w:val="single" w:color="auto" w:sz="4" w:space="0"/>
              <w:left w:val="single" w:color="auto" w:sz="4" w:space="0"/>
              <w:bottom w:val="single" w:color="auto" w:sz="4" w:space="0"/>
              <w:right w:val="single" w:color="auto" w:sz="4" w:space="0"/>
            </w:tcBorders>
            <w:noWrap w:val="0"/>
            <w:vAlign w:val="center"/>
          </w:tcPr>
          <w:p w14:paraId="135E01EB">
            <w:pPr>
              <w:jc w:val="left"/>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00DE28B9">
            <w:pPr>
              <w:spacing w:before="120"/>
              <w:ind w:left="43"/>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6082FA4C">
            <w:pPr>
              <w:spacing w:before="120"/>
              <w:ind w:left="43"/>
              <w:jc w:val="center"/>
              <w:rPr>
                <w:rFonts w:ascii="宋体" w:hAnsi="宋体"/>
                <w:color w:val="auto"/>
                <w:sz w:val="24"/>
                <w:highlight w:val="none"/>
              </w:rPr>
            </w:pPr>
          </w:p>
        </w:tc>
      </w:tr>
      <w:tr w14:paraId="28FA6B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91" w:type="dxa"/>
            <w:tcBorders>
              <w:top w:val="single" w:color="auto" w:sz="4" w:space="0"/>
              <w:left w:val="single" w:color="auto" w:sz="4" w:space="0"/>
              <w:bottom w:val="single" w:color="auto" w:sz="4" w:space="0"/>
              <w:right w:val="single" w:color="auto" w:sz="4" w:space="0"/>
            </w:tcBorders>
            <w:noWrap w:val="0"/>
            <w:vAlign w:val="top"/>
          </w:tcPr>
          <w:p w14:paraId="07D4ABC2">
            <w:pPr>
              <w:spacing w:before="120"/>
              <w:jc w:val="center"/>
              <w:rPr>
                <w:rFonts w:ascii="宋体" w:hAnsi="宋体"/>
                <w:color w:val="auto"/>
                <w:sz w:val="24"/>
                <w:highlight w:val="none"/>
              </w:rPr>
            </w:pPr>
            <w:r>
              <w:rPr>
                <w:rFonts w:hint="eastAsia" w:ascii="宋体" w:hAnsi="宋体"/>
                <w:color w:val="auto"/>
                <w:sz w:val="24"/>
                <w:highlight w:val="none"/>
              </w:rPr>
              <w:t>…</w:t>
            </w:r>
          </w:p>
        </w:tc>
        <w:tc>
          <w:tcPr>
            <w:tcW w:w="3155" w:type="dxa"/>
            <w:tcBorders>
              <w:top w:val="single" w:color="auto" w:sz="4" w:space="0"/>
              <w:left w:val="single" w:color="auto" w:sz="4" w:space="0"/>
              <w:bottom w:val="single" w:color="auto" w:sz="4" w:space="0"/>
              <w:right w:val="single" w:color="auto" w:sz="4" w:space="0"/>
            </w:tcBorders>
            <w:noWrap w:val="0"/>
            <w:vAlign w:val="top"/>
          </w:tcPr>
          <w:p w14:paraId="0286ED7A">
            <w:pPr>
              <w:spacing w:before="120"/>
              <w:jc w:val="center"/>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51747A9F">
            <w:pPr>
              <w:spacing w:before="120"/>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56233EE9">
            <w:pPr>
              <w:spacing w:before="120"/>
              <w:jc w:val="center"/>
              <w:rPr>
                <w:rFonts w:ascii="宋体" w:hAnsi="宋体"/>
                <w:color w:val="auto"/>
                <w:sz w:val="24"/>
                <w:highlight w:val="none"/>
              </w:rPr>
            </w:pPr>
          </w:p>
        </w:tc>
      </w:tr>
    </w:tbl>
    <w:p w14:paraId="651F2C18">
      <w:pPr>
        <w:spacing w:line="360" w:lineRule="auto"/>
        <w:contextualSpacing/>
        <w:rPr>
          <w:rFonts w:hint="eastAsia" w:ascii="宋体" w:hAnsi="宋体" w:cs="仿宋_GB2312"/>
          <w:color w:val="auto"/>
          <w:sz w:val="24"/>
          <w:highlight w:val="none"/>
        </w:rPr>
      </w:pPr>
    </w:p>
    <w:p w14:paraId="5533C6DB">
      <w:pPr>
        <w:pStyle w:val="38"/>
        <w:spacing w:line="360" w:lineRule="auto"/>
        <w:ind w:firstLine="0" w:firstLineChars="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注：</w:t>
      </w:r>
    </w:p>
    <w:p w14:paraId="23950707">
      <w:pPr>
        <w:pStyle w:val="38"/>
        <w:spacing w:line="360" w:lineRule="auto"/>
        <w:ind w:firstLine="0" w:firstLineChars="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1. 说明：应对照磋商文件“第三章 采购需求”中的商务要求逐条作出明确响应，并作出偏离说明。</w:t>
      </w:r>
    </w:p>
    <w:p w14:paraId="4D1082B4">
      <w:pPr>
        <w:pStyle w:val="38"/>
        <w:spacing w:line="360" w:lineRule="auto"/>
        <w:ind w:firstLine="0" w:firstLineChars="0"/>
        <w:contextualSpacing/>
        <w:rPr>
          <w:rFonts w:hint="eastAsia" w:ascii="宋体" w:hAnsi="宋体" w:cs="仿宋_GB2312"/>
          <w:color w:val="auto"/>
          <w:sz w:val="24"/>
          <w:highlight w:val="none"/>
        </w:rPr>
      </w:pPr>
      <w:r>
        <w:rPr>
          <w:rFonts w:hint="eastAsia" w:ascii="宋体" w:hAnsi="宋体" w:eastAsia="宋体" w:cs="仿宋_GB2312"/>
          <w:color w:val="auto"/>
          <w:sz w:val="24"/>
          <w:szCs w:val="24"/>
          <w:highlight w:val="none"/>
        </w:rPr>
        <w:t>2.供应商应根据自身的承诺，对照磋商文件要求，在“偏离说明”中注明“正偏离”、“负偏离”或者“无偏离”。既不属于“正偏离”也不属于“负偏离”即为“无偏离”。</w:t>
      </w:r>
    </w:p>
    <w:p w14:paraId="0AFB64E7">
      <w:pPr>
        <w:spacing w:line="360" w:lineRule="auto"/>
        <w:ind w:right="-817" w:rightChars="-389"/>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lang w:val="en-US" w:eastAsia="zh-CN"/>
        </w:rPr>
        <w:t xml:space="preserve">         </w:t>
      </w:r>
      <w:r>
        <w:rPr>
          <w:rFonts w:hint="eastAsia" w:ascii="宋体" w:hAnsi="宋体" w:cs="仿宋_GB2312"/>
          <w:color w:val="auto"/>
          <w:sz w:val="24"/>
          <w:highlight w:val="none"/>
        </w:rPr>
        <w:t>法定代表人或者委托代理人（签字或者电子签名）：</w:t>
      </w:r>
    </w:p>
    <w:p w14:paraId="2D973D85">
      <w:pPr>
        <w:spacing w:line="360" w:lineRule="auto"/>
        <w:ind w:right="-817" w:rightChars="-389" w:firstLine="4080" w:firstLineChars="17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0E2E07A1">
      <w:pPr>
        <w:spacing w:line="360" w:lineRule="auto"/>
        <w:ind w:right="-817" w:rightChars="-389" w:firstLine="4080" w:firstLineChars="1700"/>
        <w:contextualSpacing/>
        <w:rPr>
          <w:rFonts w:hint="eastAsia" w:ascii="宋体" w:hAnsi="宋体"/>
          <w:b/>
          <w:color w:val="auto"/>
          <w:sz w:val="24"/>
          <w:highlight w:val="none"/>
        </w:rPr>
      </w:pPr>
      <w:r>
        <w:rPr>
          <w:rFonts w:hint="eastAsia" w:ascii="宋体" w:hAnsi="宋体" w:cs="仿宋_GB2312"/>
          <w:color w:val="auto"/>
          <w:sz w:val="24"/>
          <w:highlight w:val="none"/>
        </w:rPr>
        <w:t>日期：   年   月   日</w:t>
      </w:r>
      <w:r>
        <w:rPr>
          <w:rFonts w:ascii="宋体" w:hAnsi="宋体" w:cs="仿宋_GB2312"/>
          <w:color w:val="auto"/>
          <w:sz w:val="24"/>
          <w:highlight w:val="none"/>
        </w:rPr>
        <w:br w:type="page"/>
      </w:r>
      <w:r>
        <w:rPr>
          <w:rFonts w:hint="eastAsia" w:ascii="宋体" w:hAnsi="宋体"/>
          <w:b/>
          <w:color w:val="auto"/>
          <w:sz w:val="24"/>
          <w:highlight w:val="none"/>
        </w:rPr>
        <w:t>项目实施人员一览表格式</w:t>
      </w:r>
    </w:p>
    <w:p w14:paraId="3091E2E2">
      <w:pPr>
        <w:spacing w:before="120" w:after="50"/>
        <w:ind w:left="142"/>
        <w:jc w:val="left"/>
        <w:rPr>
          <w:rFonts w:hint="eastAsia" w:ascii="宋体" w:hAnsi="宋体"/>
          <w:b/>
          <w:color w:val="auto"/>
          <w:sz w:val="24"/>
          <w:highlight w:val="none"/>
        </w:rPr>
      </w:pPr>
    </w:p>
    <w:p w14:paraId="6D9B3A82">
      <w:pPr>
        <w:spacing w:line="360" w:lineRule="auto"/>
        <w:ind w:left="142"/>
        <w:contextualSpacing/>
        <w:jc w:val="center"/>
        <w:rPr>
          <w:rFonts w:hint="eastAsia" w:ascii="宋体" w:hAnsi="宋体"/>
          <w:b/>
          <w:color w:val="auto"/>
          <w:sz w:val="32"/>
          <w:szCs w:val="32"/>
          <w:highlight w:val="none"/>
        </w:rPr>
      </w:pPr>
      <w:r>
        <w:rPr>
          <w:rFonts w:hint="eastAsia" w:ascii="宋体" w:hAnsi="宋体"/>
          <w:b/>
          <w:color w:val="auto"/>
          <w:sz w:val="32"/>
          <w:szCs w:val="32"/>
          <w:highlight w:val="none"/>
        </w:rPr>
        <w:t>项目实施人员一览表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79C29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59FA8802">
            <w:pPr>
              <w:spacing w:line="360" w:lineRule="auto"/>
              <w:contextualSpacing/>
              <w:jc w:val="center"/>
              <w:rPr>
                <w:rFonts w:hint="eastAsia" w:ascii="宋体" w:hAnsi="宋体"/>
                <w:color w:val="auto"/>
                <w:sz w:val="24"/>
                <w:szCs w:val="20"/>
                <w:highlight w:val="none"/>
              </w:rPr>
            </w:pPr>
          </w:p>
          <w:p w14:paraId="03FD92E7">
            <w:pPr>
              <w:spacing w:line="360" w:lineRule="auto"/>
              <w:contextualSpacing/>
              <w:jc w:val="center"/>
              <w:rPr>
                <w:rFonts w:hint="eastAsia" w:ascii="宋体" w:hAnsi="宋体"/>
                <w:color w:val="auto"/>
                <w:sz w:val="24"/>
                <w:szCs w:val="20"/>
                <w:highlight w:val="none"/>
              </w:rPr>
            </w:pPr>
            <w:r>
              <w:rPr>
                <w:rFonts w:hint="eastAsia" w:ascii="宋体" w:hAnsi="宋体"/>
                <w:color w:val="auto"/>
                <w:sz w:val="24"/>
                <w:szCs w:val="20"/>
                <w:highlight w:val="none"/>
              </w:rPr>
              <w:t>姓名</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0338A9A2">
            <w:pPr>
              <w:spacing w:line="360" w:lineRule="auto"/>
              <w:contextualSpacing/>
              <w:jc w:val="center"/>
              <w:rPr>
                <w:rFonts w:hint="eastAsia" w:ascii="宋体" w:hAnsi="宋体"/>
                <w:color w:val="auto"/>
                <w:sz w:val="24"/>
                <w:szCs w:val="20"/>
                <w:highlight w:val="none"/>
              </w:rPr>
            </w:pPr>
            <w:r>
              <w:rPr>
                <w:rFonts w:hint="eastAsia" w:ascii="宋体" w:hAnsi="宋体"/>
                <w:color w:val="auto"/>
                <w:sz w:val="24"/>
                <w:szCs w:val="20"/>
                <w:highlight w:val="none"/>
              </w:rPr>
              <w:t>职务</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FC8D579">
            <w:pPr>
              <w:spacing w:line="360" w:lineRule="auto"/>
              <w:contextualSpacing/>
              <w:jc w:val="center"/>
              <w:rPr>
                <w:rFonts w:hint="eastAsia" w:ascii="宋体" w:hAnsi="宋体"/>
                <w:color w:val="auto"/>
                <w:sz w:val="24"/>
                <w:szCs w:val="20"/>
                <w:highlight w:val="none"/>
              </w:rPr>
            </w:pPr>
            <w:r>
              <w:rPr>
                <w:rFonts w:hint="eastAsia" w:ascii="宋体" w:hAnsi="宋体"/>
                <w:color w:val="auto"/>
                <w:sz w:val="24"/>
                <w:szCs w:val="20"/>
                <w:highlight w:val="none"/>
              </w:rPr>
              <w:t>专业技术资格（职称）或者职业资格或者执业资格证或者其他证书</w:t>
            </w:r>
          </w:p>
        </w:tc>
        <w:tc>
          <w:tcPr>
            <w:tcW w:w="1420" w:type="dxa"/>
            <w:tcBorders>
              <w:top w:val="single" w:color="auto" w:sz="4" w:space="0"/>
              <w:left w:val="single" w:color="auto" w:sz="4" w:space="0"/>
              <w:bottom w:val="single" w:color="auto" w:sz="4" w:space="0"/>
              <w:right w:val="single" w:color="auto" w:sz="4" w:space="0"/>
            </w:tcBorders>
            <w:noWrap w:val="0"/>
            <w:vAlign w:val="center"/>
          </w:tcPr>
          <w:p w14:paraId="5C5673D6">
            <w:pPr>
              <w:spacing w:line="360" w:lineRule="auto"/>
              <w:contextualSpacing/>
              <w:jc w:val="center"/>
              <w:rPr>
                <w:rFonts w:hint="eastAsia" w:ascii="宋体" w:hAnsi="宋体"/>
                <w:color w:val="auto"/>
                <w:sz w:val="24"/>
                <w:szCs w:val="20"/>
                <w:highlight w:val="none"/>
              </w:rPr>
            </w:pPr>
            <w:r>
              <w:rPr>
                <w:rFonts w:hint="eastAsia" w:ascii="宋体" w:hAnsi="宋体"/>
                <w:color w:val="auto"/>
                <w:sz w:val="24"/>
                <w:szCs w:val="20"/>
                <w:highlight w:val="none"/>
              </w:rPr>
              <w:t>证书编号</w:t>
            </w:r>
          </w:p>
        </w:tc>
        <w:tc>
          <w:tcPr>
            <w:tcW w:w="1698" w:type="dxa"/>
            <w:tcBorders>
              <w:top w:val="single" w:color="auto" w:sz="4" w:space="0"/>
              <w:left w:val="single" w:color="auto" w:sz="4" w:space="0"/>
              <w:bottom w:val="single" w:color="auto" w:sz="4" w:space="0"/>
              <w:right w:val="single" w:color="auto" w:sz="4" w:space="0"/>
            </w:tcBorders>
            <w:noWrap w:val="0"/>
            <w:vAlign w:val="center"/>
          </w:tcPr>
          <w:p w14:paraId="690B6986">
            <w:pPr>
              <w:spacing w:line="360" w:lineRule="auto"/>
              <w:contextualSpacing/>
              <w:jc w:val="center"/>
              <w:rPr>
                <w:rFonts w:hint="eastAsia" w:ascii="宋体" w:hAnsi="宋体"/>
                <w:color w:val="auto"/>
                <w:sz w:val="24"/>
                <w:szCs w:val="20"/>
                <w:highlight w:val="none"/>
              </w:rPr>
            </w:pPr>
            <w:r>
              <w:rPr>
                <w:rFonts w:hint="eastAsia" w:ascii="宋体" w:hAnsi="宋体"/>
                <w:color w:val="auto"/>
                <w:sz w:val="24"/>
                <w:szCs w:val="20"/>
                <w:highlight w:val="none"/>
              </w:rPr>
              <w:t>参加本单位</w:t>
            </w:r>
          </w:p>
          <w:p w14:paraId="775A5EF3">
            <w:pPr>
              <w:spacing w:line="360" w:lineRule="auto"/>
              <w:contextualSpacing/>
              <w:jc w:val="center"/>
              <w:rPr>
                <w:rFonts w:hint="eastAsia" w:ascii="宋体" w:hAnsi="宋体"/>
                <w:color w:val="auto"/>
                <w:sz w:val="24"/>
                <w:szCs w:val="20"/>
                <w:highlight w:val="none"/>
              </w:rPr>
            </w:pPr>
            <w:r>
              <w:rPr>
                <w:rFonts w:hint="eastAsia" w:ascii="宋体" w:hAnsi="宋体"/>
                <w:color w:val="auto"/>
                <w:sz w:val="24"/>
                <w:szCs w:val="20"/>
                <w:highlight w:val="none"/>
              </w:rPr>
              <w:t>工作时间</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A1E9170">
            <w:pPr>
              <w:spacing w:line="360" w:lineRule="auto"/>
              <w:contextualSpacing/>
              <w:jc w:val="center"/>
              <w:rPr>
                <w:rFonts w:hint="eastAsia" w:ascii="宋体" w:hAnsi="宋体"/>
                <w:color w:val="auto"/>
                <w:sz w:val="24"/>
                <w:szCs w:val="20"/>
                <w:highlight w:val="none"/>
              </w:rPr>
            </w:pPr>
            <w:r>
              <w:rPr>
                <w:rFonts w:hint="eastAsia" w:ascii="宋体" w:hAnsi="宋体"/>
                <w:color w:val="auto"/>
                <w:sz w:val="24"/>
                <w:szCs w:val="20"/>
                <w:highlight w:val="none"/>
              </w:rPr>
              <w:t>劳动合同编号</w:t>
            </w:r>
          </w:p>
        </w:tc>
      </w:tr>
      <w:tr w14:paraId="58C65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0EBE9971">
            <w:pPr>
              <w:spacing w:line="360" w:lineRule="auto"/>
              <w:contextualSpacing/>
              <w:jc w:val="center"/>
              <w:rPr>
                <w:rFonts w:hint="eastAsia" w:ascii="宋体" w:hAnsi="宋体"/>
                <w:color w:val="auto"/>
                <w:sz w:val="24"/>
                <w:szCs w:val="20"/>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1CC2D562">
            <w:pPr>
              <w:spacing w:line="360" w:lineRule="auto"/>
              <w:contextualSpacing/>
              <w:jc w:val="center"/>
              <w:rPr>
                <w:rFonts w:hint="eastAsia" w:ascii="宋体" w:hAnsi="宋体"/>
                <w:color w:val="auto"/>
                <w:sz w:val="24"/>
                <w:szCs w:val="20"/>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58A96EA">
            <w:pPr>
              <w:spacing w:line="360" w:lineRule="auto"/>
              <w:contextualSpacing/>
              <w:jc w:val="center"/>
              <w:rPr>
                <w:rFonts w:hint="eastAsia" w:ascii="宋体" w:hAnsi="宋体"/>
                <w:color w:val="auto"/>
                <w:sz w:val="24"/>
                <w:szCs w:val="20"/>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14:paraId="632873A5">
            <w:pPr>
              <w:spacing w:line="360" w:lineRule="auto"/>
              <w:contextualSpacing/>
              <w:jc w:val="center"/>
              <w:rPr>
                <w:rFonts w:hint="eastAsia" w:ascii="宋体" w:hAnsi="宋体"/>
                <w:color w:val="auto"/>
                <w:sz w:val="24"/>
                <w:szCs w:val="20"/>
                <w:highlight w:val="none"/>
              </w:rPr>
            </w:pPr>
          </w:p>
        </w:tc>
        <w:tc>
          <w:tcPr>
            <w:tcW w:w="1698" w:type="dxa"/>
            <w:tcBorders>
              <w:top w:val="single" w:color="auto" w:sz="4" w:space="0"/>
              <w:left w:val="single" w:color="auto" w:sz="4" w:space="0"/>
              <w:bottom w:val="single" w:color="auto" w:sz="4" w:space="0"/>
              <w:right w:val="single" w:color="auto" w:sz="4" w:space="0"/>
            </w:tcBorders>
            <w:noWrap w:val="0"/>
            <w:vAlign w:val="center"/>
          </w:tcPr>
          <w:p w14:paraId="2FBF7D0F">
            <w:pPr>
              <w:spacing w:line="360" w:lineRule="auto"/>
              <w:contextualSpacing/>
              <w:jc w:val="center"/>
              <w:rPr>
                <w:rFonts w:hint="eastAsia" w:ascii="宋体" w:hAnsi="宋体"/>
                <w:color w:val="auto"/>
                <w:sz w:val="24"/>
                <w:szCs w:val="20"/>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FCC9151">
            <w:pPr>
              <w:spacing w:line="360" w:lineRule="auto"/>
              <w:contextualSpacing/>
              <w:jc w:val="center"/>
              <w:rPr>
                <w:rFonts w:hint="eastAsia" w:ascii="宋体" w:hAnsi="宋体"/>
                <w:color w:val="auto"/>
                <w:sz w:val="24"/>
                <w:szCs w:val="20"/>
                <w:highlight w:val="none"/>
              </w:rPr>
            </w:pPr>
          </w:p>
        </w:tc>
      </w:tr>
      <w:tr w14:paraId="0C55B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12570EE3">
            <w:pPr>
              <w:spacing w:line="360" w:lineRule="auto"/>
              <w:contextualSpacing/>
              <w:jc w:val="center"/>
              <w:rPr>
                <w:rFonts w:hint="eastAsia" w:ascii="宋体" w:hAnsi="宋体"/>
                <w:color w:val="auto"/>
                <w:sz w:val="24"/>
                <w:szCs w:val="20"/>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50D1F10D">
            <w:pPr>
              <w:spacing w:line="360" w:lineRule="auto"/>
              <w:contextualSpacing/>
              <w:jc w:val="center"/>
              <w:rPr>
                <w:rFonts w:hint="eastAsia" w:ascii="宋体" w:hAnsi="宋体"/>
                <w:color w:val="auto"/>
                <w:sz w:val="24"/>
                <w:szCs w:val="20"/>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B2B823E">
            <w:pPr>
              <w:spacing w:line="360" w:lineRule="auto"/>
              <w:contextualSpacing/>
              <w:jc w:val="center"/>
              <w:rPr>
                <w:rFonts w:hint="eastAsia" w:ascii="宋体" w:hAnsi="宋体"/>
                <w:color w:val="auto"/>
                <w:sz w:val="24"/>
                <w:szCs w:val="20"/>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14:paraId="51DACD76">
            <w:pPr>
              <w:spacing w:line="360" w:lineRule="auto"/>
              <w:contextualSpacing/>
              <w:jc w:val="center"/>
              <w:rPr>
                <w:rFonts w:hint="eastAsia" w:ascii="宋体" w:hAnsi="宋体"/>
                <w:color w:val="auto"/>
                <w:sz w:val="24"/>
                <w:szCs w:val="20"/>
                <w:highlight w:val="none"/>
              </w:rPr>
            </w:pPr>
          </w:p>
        </w:tc>
        <w:tc>
          <w:tcPr>
            <w:tcW w:w="1698" w:type="dxa"/>
            <w:tcBorders>
              <w:top w:val="single" w:color="auto" w:sz="4" w:space="0"/>
              <w:left w:val="single" w:color="auto" w:sz="4" w:space="0"/>
              <w:bottom w:val="single" w:color="auto" w:sz="4" w:space="0"/>
              <w:right w:val="single" w:color="auto" w:sz="4" w:space="0"/>
            </w:tcBorders>
            <w:noWrap w:val="0"/>
            <w:vAlign w:val="center"/>
          </w:tcPr>
          <w:p w14:paraId="21EF556D">
            <w:pPr>
              <w:spacing w:line="360" w:lineRule="auto"/>
              <w:contextualSpacing/>
              <w:jc w:val="center"/>
              <w:rPr>
                <w:rFonts w:hint="eastAsia" w:ascii="宋体" w:hAnsi="宋体"/>
                <w:color w:val="auto"/>
                <w:sz w:val="24"/>
                <w:szCs w:val="20"/>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2FC437B">
            <w:pPr>
              <w:spacing w:line="360" w:lineRule="auto"/>
              <w:contextualSpacing/>
              <w:jc w:val="center"/>
              <w:rPr>
                <w:rFonts w:hint="eastAsia" w:ascii="宋体" w:hAnsi="宋体"/>
                <w:color w:val="auto"/>
                <w:sz w:val="24"/>
                <w:szCs w:val="20"/>
                <w:highlight w:val="none"/>
              </w:rPr>
            </w:pPr>
          </w:p>
        </w:tc>
      </w:tr>
      <w:tr w14:paraId="7B7D6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3595B8C2">
            <w:pPr>
              <w:spacing w:line="360" w:lineRule="auto"/>
              <w:contextualSpacing/>
              <w:jc w:val="center"/>
              <w:rPr>
                <w:rFonts w:hint="eastAsia" w:ascii="宋体" w:hAnsi="宋体"/>
                <w:color w:val="auto"/>
                <w:sz w:val="24"/>
                <w:szCs w:val="20"/>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6BBAA112">
            <w:pPr>
              <w:spacing w:line="360" w:lineRule="auto"/>
              <w:contextualSpacing/>
              <w:jc w:val="center"/>
              <w:rPr>
                <w:rFonts w:hint="eastAsia" w:ascii="宋体" w:hAnsi="宋体"/>
                <w:color w:val="auto"/>
                <w:sz w:val="24"/>
                <w:szCs w:val="20"/>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9B69692">
            <w:pPr>
              <w:spacing w:line="360" w:lineRule="auto"/>
              <w:contextualSpacing/>
              <w:jc w:val="center"/>
              <w:rPr>
                <w:rFonts w:hint="eastAsia" w:ascii="宋体" w:hAnsi="宋体"/>
                <w:color w:val="auto"/>
                <w:sz w:val="24"/>
                <w:szCs w:val="20"/>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14:paraId="785F3549">
            <w:pPr>
              <w:spacing w:line="360" w:lineRule="auto"/>
              <w:contextualSpacing/>
              <w:jc w:val="center"/>
              <w:rPr>
                <w:rFonts w:hint="eastAsia" w:ascii="宋体" w:hAnsi="宋体"/>
                <w:color w:val="auto"/>
                <w:sz w:val="24"/>
                <w:szCs w:val="20"/>
                <w:highlight w:val="none"/>
              </w:rPr>
            </w:pPr>
          </w:p>
        </w:tc>
        <w:tc>
          <w:tcPr>
            <w:tcW w:w="1698" w:type="dxa"/>
            <w:tcBorders>
              <w:top w:val="single" w:color="auto" w:sz="4" w:space="0"/>
              <w:left w:val="single" w:color="auto" w:sz="4" w:space="0"/>
              <w:bottom w:val="single" w:color="auto" w:sz="4" w:space="0"/>
              <w:right w:val="single" w:color="auto" w:sz="4" w:space="0"/>
            </w:tcBorders>
            <w:noWrap w:val="0"/>
            <w:vAlign w:val="center"/>
          </w:tcPr>
          <w:p w14:paraId="2620C5D8">
            <w:pPr>
              <w:spacing w:line="360" w:lineRule="auto"/>
              <w:contextualSpacing/>
              <w:jc w:val="center"/>
              <w:rPr>
                <w:rFonts w:hint="eastAsia" w:ascii="宋体" w:hAnsi="宋体"/>
                <w:color w:val="auto"/>
                <w:sz w:val="24"/>
                <w:szCs w:val="20"/>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CA36D3A">
            <w:pPr>
              <w:spacing w:line="360" w:lineRule="auto"/>
              <w:contextualSpacing/>
              <w:jc w:val="center"/>
              <w:rPr>
                <w:rFonts w:hint="eastAsia" w:ascii="宋体" w:hAnsi="宋体"/>
                <w:color w:val="auto"/>
                <w:sz w:val="24"/>
                <w:szCs w:val="20"/>
                <w:highlight w:val="none"/>
              </w:rPr>
            </w:pPr>
          </w:p>
        </w:tc>
      </w:tr>
    </w:tbl>
    <w:p w14:paraId="160233D3">
      <w:pPr>
        <w:spacing w:line="360" w:lineRule="auto"/>
        <w:contextualSpacing/>
        <w:jc w:val="left"/>
        <w:rPr>
          <w:rFonts w:ascii="宋体" w:hAnsi="宋体"/>
          <w:color w:val="auto"/>
          <w:sz w:val="24"/>
          <w:szCs w:val="20"/>
          <w:highlight w:val="none"/>
        </w:rPr>
      </w:pPr>
      <w:r>
        <w:rPr>
          <w:rFonts w:hint="eastAsia" w:ascii="宋体" w:hAnsi="宋体"/>
          <w:color w:val="auto"/>
          <w:sz w:val="24"/>
          <w:szCs w:val="20"/>
          <w:highlight w:val="none"/>
        </w:rPr>
        <w:t>注：</w:t>
      </w:r>
    </w:p>
    <w:p w14:paraId="306DE13C">
      <w:pPr>
        <w:spacing w:line="360" w:lineRule="auto"/>
        <w:contextualSpacing/>
        <w:jc w:val="left"/>
        <w:rPr>
          <w:rFonts w:ascii="宋体" w:hAnsi="宋体"/>
          <w:color w:val="auto"/>
          <w:sz w:val="24"/>
          <w:szCs w:val="20"/>
          <w:highlight w:val="none"/>
        </w:rPr>
      </w:pPr>
      <w:r>
        <w:rPr>
          <w:rFonts w:hint="eastAsia" w:ascii="宋体" w:hAnsi="宋体"/>
          <w:color w:val="auto"/>
          <w:sz w:val="24"/>
          <w:szCs w:val="20"/>
          <w:highlight w:val="none"/>
        </w:rPr>
        <w:t>1</w:t>
      </w:r>
      <w:r>
        <w:rPr>
          <w:rFonts w:ascii="宋体" w:hAnsi="宋体"/>
          <w:color w:val="auto"/>
          <w:sz w:val="24"/>
          <w:szCs w:val="20"/>
          <w:highlight w:val="none"/>
        </w:rPr>
        <w:t>.</w:t>
      </w:r>
      <w:r>
        <w:rPr>
          <w:rFonts w:hint="eastAsia" w:ascii="宋体" w:hAnsi="宋体"/>
          <w:color w:val="auto"/>
          <w:sz w:val="24"/>
          <w:szCs w:val="20"/>
          <w:highlight w:val="none"/>
        </w:rPr>
        <w:t>在填写时，如本表格不适合供应商的实际情况，可根据本表格式自行制表填写。</w:t>
      </w:r>
    </w:p>
    <w:p w14:paraId="16A7C775">
      <w:pPr>
        <w:spacing w:line="360" w:lineRule="auto"/>
        <w:contextualSpacing/>
        <w:jc w:val="left"/>
        <w:rPr>
          <w:rFonts w:hint="eastAsia" w:ascii="宋体" w:hAnsi="宋体"/>
          <w:color w:val="auto"/>
          <w:sz w:val="24"/>
          <w:szCs w:val="20"/>
          <w:highlight w:val="none"/>
        </w:rPr>
      </w:pPr>
      <w:r>
        <w:rPr>
          <w:rFonts w:ascii="宋体" w:hAnsi="宋体"/>
          <w:color w:val="auto"/>
          <w:sz w:val="24"/>
          <w:szCs w:val="20"/>
          <w:highlight w:val="none"/>
        </w:rPr>
        <w:t>2.</w:t>
      </w:r>
      <w:r>
        <w:rPr>
          <w:rFonts w:hint="eastAsia" w:ascii="宋体" w:hAnsi="宋体"/>
          <w:color w:val="auto"/>
          <w:sz w:val="24"/>
          <w:szCs w:val="20"/>
          <w:highlight w:val="none"/>
        </w:rPr>
        <w:t>供应商应当附本表所列证书的复印件</w:t>
      </w:r>
      <w:r>
        <w:rPr>
          <w:rFonts w:hint="eastAsia" w:ascii="宋体" w:hAnsi="宋体"/>
          <w:color w:val="auto"/>
          <w:sz w:val="24"/>
          <w:szCs w:val="20"/>
          <w:highlight w:val="none"/>
          <w:lang w:eastAsia="zh-CN"/>
        </w:rPr>
        <w:t>或扫描件</w:t>
      </w:r>
      <w:r>
        <w:rPr>
          <w:rFonts w:hint="eastAsia" w:ascii="宋体" w:hAnsi="宋体"/>
          <w:color w:val="auto"/>
          <w:sz w:val="24"/>
          <w:szCs w:val="20"/>
          <w:highlight w:val="none"/>
        </w:rPr>
        <w:t>并加盖供应商电子签章。</w:t>
      </w:r>
    </w:p>
    <w:p w14:paraId="3F61C254">
      <w:pPr>
        <w:spacing w:line="360" w:lineRule="auto"/>
        <w:contextualSpacing/>
        <w:rPr>
          <w:rFonts w:hint="eastAsia" w:ascii="宋体" w:hAnsi="宋体"/>
          <w:color w:val="auto"/>
          <w:spacing w:val="20"/>
          <w:sz w:val="24"/>
          <w:szCs w:val="20"/>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w:t>
      </w:r>
      <w:r>
        <w:rPr>
          <w:rFonts w:hint="eastAsia" w:ascii="宋体" w:hAnsi="宋体"/>
          <w:color w:val="auto"/>
          <w:spacing w:val="20"/>
          <w:sz w:val="24"/>
          <w:highlight w:val="none"/>
          <w:u w:val="single"/>
        </w:rPr>
        <w:t xml:space="preserve">        </w:t>
      </w:r>
    </w:p>
    <w:p w14:paraId="6A8B643D">
      <w:pPr>
        <w:spacing w:line="360" w:lineRule="auto"/>
        <w:contextualSpacing/>
        <w:jc w:val="left"/>
        <w:rPr>
          <w:rFonts w:hint="eastAsia" w:ascii="宋体" w:hAnsi="宋体"/>
          <w:color w:val="auto"/>
          <w:sz w:val="24"/>
          <w:szCs w:val="20"/>
          <w:highlight w:val="none"/>
        </w:rPr>
      </w:pPr>
      <w:r>
        <w:rPr>
          <w:rFonts w:hint="eastAsia" w:ascii="宋体" w:hAnsi="宋体"/>
          <w:color w:val="auto"/>
          <w:spacing w:val="20"/>
          <w:sz w:val="24"/>
          <w:highlight w:val="none"/>
        </w:rPr>
        <w:t>供应商（电子签章）：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日 期：</w:t>
      </w:r>
      <w:r>
        <w:rPr>
          <w:rFonts w:hint="eastAsia" w:ascii="宋体" w:hAnsi="宋体"/>
          <w:color w:val="auto"/>
          <w:spacing w:val="20"/>
          <w:sz w:val="24"/>
          <w:highlight w:val="none"/>
          <w:u w:val="single"/>
        </w:rPr>
        <w:t xml:space="preserve">         </w:t>
      </w:r>
    </w:p>
    <w:p w14:paraId="1DD8F65A">
      <w:pPr>
        <w:spacing w:before="50" w:after="120"/>
        <w:jc w:val="left"/>
        <w:rPr>
          <w:rFonts w:hint="eastAsia" w:ascii="宋体" w:hAnsi="宋体"/>
          <w:color w:val="auto"/>
          <w:sz w:val="24"/>
          <w:szCs w:val="20"/>
          <w:highlight w:val="none"/>
        </w:rPr>
      </w:pPr>
    </w:p>
    <w:p w14:paraId="05673EB8">
      <w:pPr>
        <w:spacing w:before="50" w:after="50" w:line="360" w:lineRule="auto"/>
        <w:ind w:right="-817" w:rightChars="-389" w:firstLine="5461" w:firstLineChars="1700"/>
        <w:rPr>
          <w:rFonts w:hint="eastAsia" w:ascii="仿宋_GB2312" w:hAnsi="仿宋_GB2312" w:eastAsia="仿宋_GB2312" w:cs="仿宋_GB2312"/>
          <w:b/>
          <w:color w:val="auto"/>
          <w:sz w:val="32"/>
          <w:szCs w:val="32"/>
          <w:highlight w:val="none"/>
        </w:rPr>
      </w:pPr>
    </w:p>
    <w:p w14:paraId="3974AE56">
      <w:pPr>
        <w:spacing w:before="120" w:after="50"/>
        <w:jc w:val="left"/>
        <w:rPr>
          <w:rFonts w:hint="eastAsia" w:ascii="宋体" w:hAnsi="宋体"/>
          <w:b/>
          <w:bCs/>
          <w:color w:val="auto"/>
          <w:sz w:val="24"/>
          <w:highlight w:val="none"/>
        </w:rPr>
      </w:pPr>
      <w:r>
        <w:rPr>
          <w:rFonts w:ascii="宋体" w:hAnsi="宋体"/>
          <w:b/>
          <w:bCs/>
          <w:color w:val="auto"/>
          <w:sz w:val="24"/>
          <w:highlight w:val="none"/>
        </w:rPr>
        <w:br w:type="page"/>
      </w:r>
      <w:r>
        <w:rPr>
          <w:rFonts w:hint="eastAsia" w:ascii="方正小标宋简体" w:hAnsi="方正小标宋简体" w:eastAsia="方正小标宋简体" w:cs="方正小标宋简体"/>
          <w:bCs/>
          <w:color w:val="auto"/>
          <w:szCs w:val="21"/>
          <w:highlight w:val="none"/>
        </w:rPr>
        <w:t>代理服务费承诺书（如本项目为采购人支付代理服务费的，无需提供）</w:t>
      </w:r>
    </w:p>
    <w:p w14:paraId="32BDBC42">
      <w:pPr>
        <w:spacing w:before="120"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代理服务费承诺书</w:t>
      </w:r>
    </w:p>
    <w:p w14:paraId="43D668A6">
      <w:pPr>
        <w:spacing w:before="120" w:after="50"/>
        <w:jc w:val="center"/>
        <w:rPr>
          <w:rFonts w:hint="eastAsia" w:ascii="宋体" w:hAnsi="宋体"/>
          <w:b/>
          <w:color w:val="auto"/>
          <w:sz w:val="24"/>
          <w:highlight w:val="none"/>
        </w:rPr>
      </w:pPr>
    </w:p>
    <w:p w14:paraId="7AF98C4D">
      <w:pPr>
        <w:spacing w:line="360" w:lineRule="auto"/>
        <w:rPr>
          <w:rFonts w:hint="eastAsia" w:ascii="宋体" w:hAnsi="宋体"/>
          <w:b/>
          <w:bCs/>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采购代理机构名称</w:t>
      </w:r>
      <w:r>
        <w:rPr>
          <w:rFonts w:hint="eastAsia" w:ascii="宋体" w:hAnsi="宋体"/>
          <w:color w:val="auto"/>
          <w:sz w:val="24"/>
          <w:highlight w:val="none"/>
        </w:rPr>
        <w:t>：</w:t>
      </w:r>
    </w:p>
    <w:p w14:paraId="1F174B2E">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本单位参加了贵方组织的</w:t>
      </w:r>
      <w:r>
        <w:rPr>
          <w:rFonts w:hint="eastAsia" w:ascii="宋体" w:hAnsi="宋体"/>
          <w:color w:val="auto"/>
          <w:sz w:val="24"/>
          <w:highlight w:val="none"/>
          <w:u w:val="single"/>
        </w:rPr>
        <w:t xml:space="preserve">  项目名称（项目编号）  </w:t>
      </w:r>
      <w:r>
        <w:rPr>
          <w:rFonts w:hint="eastAsia" w:ascii="宋体" w:hAnsi="宋体"/>
          <w:color w:val="auto"/>
          <w:sz w:val="24"/>
          <w:highlight w:val="none"/>
        </w:rPr>
        <w:t>项目， 在此说明如下：</w:t>
      </w:r>
    </w:p>
    <w:p w14:paraId="67A5881A">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1.我方承诺，若本单位成交，保证在发出成交通知书之日起25日内，按本项目磋商文件的规定标准向贵单位一次性足额支付代理服务费, 在领取成交通知书后，由于被质疑、投诉或者其他原因而导致成交结果改变，我方将放弃对已缴纳的成交服务费追还的一切权利。</w:t>
      </w:r>
    </w:p>
    <w:p w14:paraId="6486FD58">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2.本单位选择第</w:t>
      </w:r>
      <w:r>
        <w:rPr>
          <w:rFonts w:hint="eastAsia" w:ascii="宋体" w:hAnsi="宋体"/>
          <w:color w:val="auto"/>
          <w:sz w:val="24"/>
          <w:highlight w:val="none"/>
          <w:u w:val="single"/>
        </w:rPr>
        <w:t xml:space="preserve">     </w:t>
      </w:r>
      <w:r>
        <w:rPr>
          <w:rFonts w:hint="eastAsia" w:ascii="宋体" w:hAnsi="宋体"/>
          <w:color w:val="auto"/>
          <w:sz w:val="24"/>
          <w:highlight w:val="none"/>
        </w:rPr>
        <w:t>种方式作为代理服务费开票类型：</w:t>
      </w:r>
    </w:p>
    <w:p w14:paraId="339517D7">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第一种方式：开具增值税普通发票。开票信息如下：</w:t>
      </w:r>
    </w:p>
    <w:p w14:paraId="407ECB50">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（1）公司名称</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2D4D05C2">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（2）纳税人识别号</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15B14C95">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第二种方式：开具增值税专用发票，开票信息如下：</w:t>
      </w:r>
    </w:p>
    <w:p w14:paraId="56C65CA0">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（1）公司名称</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311F7BA9">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（2）纳税人识别号</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33AA4202">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（3）在</w:t>
      </w:r>
      <w:r>
        <w:rPr>
          <w:rFonts w:hint="eastAsia" w:ascii="宋体" w:hAnsi="宋体"/>
          <w:color w:val="auto"/>
          <w:sz w:val="24"/>
          <w:highlight w:val="none"/>
          <w:lang w:eastAsia="zh-CN"/>
        </w:rPr>
        <w:t>税务局</w:t>
      </w:r>
      <w:r>
        <w:rPr>
          <w:rFonts w:hint="eastAsia" w:ascii="宋体" w:hAnsi="宋体"/>
          <w:color w:val="auto"/>
          <w:sz w:val="24"/>
          <w:highlight w:val="none"/>
        </w:rPr>
        <w:t>登记的地址</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6DB23175">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（4）在</w:t>
      </w:r>
      <w:r>
        <w:rPr>
          <w:rFonts w:hint="eastAsia" w:ascii="宋体" w:hAnsi="宋体"/>
          <w:color w:val="auto"/>
          <w:sz w:val="24"/>
          <w:highlight w:val="none"/>
          <w:lang w:eastAsia="zh-CN"/>
        </w:rPr>
        <w:t>税务局</w:t>
      </w:r>
      <w:r>
        <w:rPr>
          <w:rFonts w:hint="eastAsia" w:ascii="宋体" w:hAnsi="宋体"/>
          <w:color w:val="auto"/>
          <w:sz w:val="24"/>
          <w:highlight w:val="none"/>
        </w:rPr>
        <w:t>登记的电话</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2F42800E">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（5）开户银行</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6734FFDC">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（6）银行账户</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370202D7">
      <w:pPr>
        <w:spacing w:line="440" w:lineRule="exact"/>
        <w:rPr>
          <w:rFonts w:hint="eastAsia" w:ascii="宋体" w:hAnsi="宋体"/>
          <w:color w:val="auto"/>
          <w:sz w:val="24"/>
          <w:highlight w:val="none"/>
        </w:rPr>
      </w:pPr>
    </w:p>
    <w:p w14:paraId="0FB65E95">
      <w:pPr>
        <w:spacing w:line="440" w:lineRule="exact"/>
        <w:rPr>
          <w:rFonts w:hint="eastAsia" w:ascii="宋体" w:hAnsi="宋体"/>
          <w:color w:val="auto"/>
          <w:sz w:val="24"/>
          <w:highlight w:val="none"/>
        </w:rPr>
      </w:pPr>
    </w:p>
    <w:p w14:paraId="1A9BB796">
      <w:pPr>
        <w:spacing w:line="440" w:lineRule="exact"/>
        <w:rPr>
          <w:rFonts w:hint="eastAsia" w:ascii="宋体" w:hAnsi="宋体"/>
          <w:color w:val="auto"/>
          <w:sz w:val="24"/>
          <w:highlight w:val="none"/>
        </w:rPr>
      </w:pPr>
    </w:p>
    <w:p w14:paraId="4177F118">
      <w:pPr>
        <w:spacing w:line="360" w:lineRule="auto"/>
        <w:ind w:left="-2" w:leftChars="-1" w:right="-817" w:rightChars="-389" w:firstLine="1920" w:firstLineChars="800"/>
        <w:rPr>
          <w:rFonts w:hint="eastAsia" w:ascii="宋体" w:hAnsi="宋体"/>
          <w:color w:val="auto"/>
          <w:sz w:val="24"/>
          <w:highlight w:val="none"/>
        </w:rPr>
      </w:pPr>
      <w:r>
        <w:rPr>
          <w:rFonts w:hint="eastAsia" w:ascii="宋体" w:hAnsi="宋体"/>
          <w:color w:val="auto"/>
          <w:sz w:val="24"/>
          <w:highlight w:val="none"/>
        </w:rPr>
        <w:t xml:space="preserve">法定代表人或者委托代理人（签字或者电子签名）： </w:t>
      </w:r>
    </w:p>
    <w:p w14:paraId="0AAF870B">
      <w:pPr>
        <w:spacing w:line="360" w:lineRule="auto"/>
        <w:ind w:left="-3" w:leftChars="-15" w:right="-817" w:rightChars="-389" w:hanging="28" w:hangingChars="12"/>
        <w:rPr>
          <w:rFonts w:hint="eastAsia" w:ascii="宋体" w:hAnsi="宋体"/>
          <w:color w:val="auto"/>
          <w:sz w:val="24"/>
          <w:highlight w:val="none"/>
        </w:rPr>
      </w:pPr>
      <w:r>
        <w:rPr>
          <w:rFonts w:hint="eastAsia" w:ascii="宋体" w:hAnsi="宋体"/>
          <w:color w:val="auto"/>
          <w:sz w:val="24"/>
          <w:highlight w:val="none"/>
        </w:rPr>
        <w:t xml:space="preserve">                                      供应商公章（电子签章）：</w:t>
      </w:r>
    </w:p>
    <w:p w14:paraId="2A367380">
      <w:pPr>
        <w:spacing w:line="360" w:lineRule="auto"/>
        <w:ind w:right="480" w:firstLine="240" w:firstLineChars="100"/>
        <w:jc w:val="left"/>
        <w:rPr>
          <w:rFonts w:hint="eastAsia" w:ascii="宋体" w:hAnsi="宋体"/>
          <w:color w:val="auto"/>
          <w:szCs w:val="21"/>
          <w:highlight w:val="none"/>
        </w:rPr>
      </w:pPr>
      <w:r>
        <w:rPr>
          <w:rFonts w:hint="eastAsia" w:ascii="宋体" w:hAnsi="宋体"/>
          <w:color w:val="auto"/>
          <w:sz w:val="24"/>
          <w:highlight w:val="none"/>
        </w:rPr>
        <w:t xml:space="preserve">                                    日期：    年   月   日</w:t>
      </w:r>
    </w:p>
    <w:p w14:paraId="4BEA8E7E">
      <w:pPr>
        <w:widowControl/>
        <w:spacing w:line="360" w:lineRule="auto"/>
        <w:jc w:val="left"/>
        <w:rPr>
          <w:rFonts w:ascii="宋体" w:hAnsi="宋体"/>
          <w:color w:val="auto"/>
          <w:szCs w:val="21"/>
          <w:highlight w:val="none"/>
        </w:rPr>
        <w:sectPr>
          <w:footerReference r:id="rId8" w:type="first"/>
          <w:footerReference r:id="rId7" w:type="default"/>
          <w:pgSz w:w="11906" w:h="16838"/>
          <w:pgMar w:top="1440" w:right="1797" w:bottom="1440" w:left="1797" w:header="851" w:footer="992" w:gutter="0"/>
          <w:cols w:space="720" w:num="1"/>
        </w:sectPr>
      </w:pPr>
    </w:p>
    <w:p w14:paraId="420995C6">
      <w:pPr>
        <w:spacing w:before="156" w:after="50"/>
        <w:ind w:left="142"/>
        <w:jc w:val="center"/>
        <w:rPr>
          <w:rFonts w:ascii="宋体" w:hAnsi="宋体"/>
          <w:b/>
          <w:color w:val="auto"/>
          <w:sz w:val="32"/>
          <w:szCs w:val="32"/>
          <w:highlight w:val="none"/>
        </w:rPr>
      </w:pPr>
      <w:r>
        <w:rPr>
          <w:rFonts w:hint="eastAsia" w:ascii="宋体" w:hAnsi="宋体"/>
          <w:b/>
          <w:color w:val="auto"/>
          <w:sz w:val="32"/>
          <w:szCs w:val="32"/>
          <w:highlight w:val="none"/>
        </w:rPr>
        <w:t>技术要求偏离表</w:t>
      </w:r>
    </w:p>
    <w:tbl>
      <w:tblPr>
        <w:tblStyle w:val="12"/>
        <w:tblW w:w="8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2"/>
        <w:gridCol w:w="1833"/>
        <w:gridCol w:w="2180"/>
        <w:gridCol w:w="1933"/>
      </w:tblGrid>
      <w:tr w14:paraId="34FC9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tcBorders>
              <w:top w:val="single" w:color="auto" w:sz="4" w:space="0"/>
              <w:left w:val="single" w:color="auto" w:sz="4" w:space="0"/>
              <w:bottom w:val="single" w:color="auto" w:sz="4" w:space="0"/>
              <w:right w:val="single" w:color="auto" w:sz="4" w:space="0"/>
            </w:tcBorders>
            <w:noWrap w:val="0"/>
            <w:vAlign w:val="center"/>
          </w:tcPr>
          <w:p w14:paraId="6B0259DE">
            <w:pPr>
              <w:pStyle w:val="42"/>
              <w:spacing w:line="400" w:lineRule="exact"/>
              <w:jc w:val="center"/>
              <w:rPr>
                <w:rFonts w:hAnsi="宋体" w:cs="Courier New"/>
                <w:color w:val="auto"/>
                <w:kern w:val="2"/>
                <w:sz w:val="24"/>
                <w:szCs w:val="24"/>
                <w:highlight w:val="none"/>
                <w:lang w:val="en-US" w:eastAsia="zh-CN"/>
              </w:rPr>
            </w:pPr>
            <w:r>
              <w:rPr>
                <w:rFonts w:hint="eastAsia" w:hAnsi="宋体" w:cs="Courier New"/>
                <w:color w:val="auto"/>
                <w:kern w:val="2"/>
                <w:sz w:val="24"/>
                <w:szCs w:val="24"/>
                <w:highlight w:val="none"/>
                <w:lang w:val="en-US" w:eastAsia="zh-CN"/>
              </w:rPr>
              <w:t>项号</w:t>
            </w:r>
          </w:p>
        </w:tc>
        <w:tc>
          <w:tcPr>
            <w:tcW w:w="2143" w:type="dxa"/>
            <w:tcBorders>
              <w:top w:val="single" w:color="auto" w:sz="4" w:space="0"/>
              <w:left w:val="single" w:color="auto" w:sz="4" w:space="0"/>
              <w:bottom w:val="single" w:color="auto" w:sz="4" w:space="0"/>
              <w:right w:val="single" w:color="auto" w:sz="4" w:space="0"/>
            </w:tcBorders>
            <w:noWrap w:val="0"/>
            <w:vAlign w:val="center"/>
          </w:tcPr>
          <w:p w14:paraId="68311176">
            <w:pPr>
              <w:pStyle w:val="42"/>
              <w:spacing w:line="400" w:lineRule="exact"/>
              <w:jc w:val="center"/>
              <w:rPr>
                <w:rFonts w:hAnsi="宋体" w:cs="Courier New"/>
                <w:color w:val="auto"/>
                <w:kern w:val="2"/>
                <w:sz w:val="24"/>
                <w:szCs w:val="24"/>
                <w:highlight w:val="none"/>
                <w:lang w:val="en-US" w:eastAsia="zh-CN"/>
              </w:rPr>
            </w:pPr>
            <w:r>
              <w:rPr>
                <w:rFonts w:hint="eastAsia" w:hAnsi="宋体" w:cs="Courier New"/>
                <w:color w:val="auto"/>
                <w:kern w:val="2"/>
                <w:sz w:val="24"/>
                <w:szCs w:val="24"/>
                <w:highlight w:val="none"/>
                <w:lang w:val="en-US" w:eastAsia="zh-CN"/>
              </w:rPr>
              <w:t>标的的名称</w:t>
            </w:r>
          </w:p>
        </w:tc>
        <w:tc>
          <w:tcPr>
            <w:tcW w:w="1834" w:type="dxa"/>
            <w:tcBorders>
              <w:top w:val="single" w:color="auto" w:sz="4" w:space="0"/>
              <w:left w:val="single" w:color="auto" w:sz="4" w:space="0"/>
              <w:bottom w:val="single" w:color="auto" w:sz="4" w:space="0"/>
              <w:right w:val="single" w:color="auto" w:sz="4" w:space="0"/>
            </w:tcBorders>
            <w:noWrap w:val="0"/>
            <w:vAlign w:val="center"/>
          </w:tcPr>
          <w:p w14:paraId="4582D4B3">
            <w:pPr>
              <w:pStyle w:val="42"/>
              <w:spacing w:line="400" w:lineRule="exact"/>
              <w:jc w:val="center"/>
              <w:rPr>
                <w:rFonts w:hAnsi="宋体" w:cs="Courier New"/>
                <w:color w:val="auto"/>
                <w:kern w:val="2"/>
                <w:sz w:val="24"/>
                <w:szCs w:val="24"/>
                <w:highlight w:val="none"/>
                <w:lang w:val="en-US" w:eastAsia="zh-CN"/>
              </w:rPr>
            </w:pPr>
            <w:r>
              <w:rPr>
                <w:rFonts w:hint="eastAsia" w:hAnsi="宋体" w:cs="Courier New"/>
                <w:color w:val="auto"/>
                <w:kern w:val="2"/>
                <w:sz w:val="24"/>
                <w:szCs w:val="24"/>
                <w:highlight w:val="none"/>
                <w:lang w:val="en-US" w:eastAsia="zh-CN"/>
              </w:rPr>
              <w:t>技术要求</w:t>
            </w:r>
          </w:p>
        </w:tc>
        <w:tc>
          <w:tcPr>
            <w:tcW w:w="2181" w:type="dxa"/>
            <w:tcBorders>
              <w:top w:val="single" w:color="auto" w:sz="4" w:space="0"/>
              <w:left w:val="single" w:color="auto" w:sz="4" w:space="0"/>
              <w:bottom w:val="single" w:color="auto" w:sz="4" w:space="0"/>
              <w:right w:val="single" w:color="auto" w:sz="4" w:space="0"/>
            </w:tcBorders>
            <w:noWrap w:val="0"/>
            <w:vAlign w:val="center"/>
          </w:tcPr>
          <w:p w14:paraId="29EEA63E">
            <w:pPr>
              <w:pStyle w:val="42"/>
              <w:spacing w:line="400" w:lineRule="exact"/>
              <w:jc w:val="center"/>
              <w:rPr>
                <w:rFonts w:hAnsi="宋体" w:cs="Courier New"/>
                <w:color w:val="auto"/>
                <w:kern w:val="2"/>
                <w:sz w:val="24"/>
                <w:szCs w:val="24"/>
                <w:highlight w:val="none"/>
                <w:lang w:val="en-US" w:eastAsia="zh-CN"/>
              </w:rPr>
            </w:pPr>
            <w:r>
              <w:rPr>
                <w:rFonts w:hint="eastAsia" w:hAnsi="宋体" w:cs="Courier New"/>
                <w:color w:val="auto"/>
                <w:kern w:val="2"/>
                <w:sz w:val="24"/>
                <w:szCs w:val="24"/>
                <w:highlight w:val="none"/>
                <w:lang w:val="en-US" w:eastAsia="zh-CN"/>
              </w:rPr>
              <w:t>竞标响应</w:t>
            </w:r>
          </w:p>
        </w:tc>
        <w:tc>
          <w:tcPr>
            <w:tcW w:w="1934" w:type="dxa"/>
            <w:tcBorders>
              <w:top w:val="single" w:color="auto" w:sz="4" w:space="0"/>
              <w:left w:val="single" w:color="auto" w:sz="4" w:space="0"/>
              <w:bottom w:val="single" w:color="auto" w:sz="4" w:space="0"/>
              <w:right w:val="single" w:color="auto" w:sz="4" w:space="0"/>
            </w:tcBorders>
            <w:noWrap w:val="0"/>
            <w:vAlign w:val="center"/>
          </w:tcPr>
          <w:p w14:paraId="6FA5010A">
            <w:pPr>
              <w:pStyle w:val="42"/>
              <w:spacing w:line="400" w:lineRule="exact"/>
              <w:jc w:val="center"/>
              <w:rPr>
                <w:rFonts w:hAnsi="宋体" w:cs="Courier New"/>
                <w:color w:val="auto"/>
                <w:kern w:val="2"/>
                <w:sz w:val="24"/>
                <w:szCs w:val="24"/>
                <w:highlight w:val="none"/>
                <w:lang w:val="en-US" w:eastAsia="zh-CN"/>
              </w:rPr>
            </w:pPr>
            <w:r>
              <w:rPr>
                <w:rFonts w:hint="eastAsia" w:hAnsi="宋体" w:cs="Courier New"/>
                <w:color w:val="auto"/>
                <w:kern w:val="2"/>
                <w:sz w:val="24"/>
                <w:szCs w:val="24"/>
                <w:highlight w:val="none"/>
                <w:lang w:val="en-US" w:eastAsia="zh-CN"/>
              </w:rPr>
              <w:t>偏离说明</w:t>
            </w:r>
          </w:p>
        </w:tc>
      </w:tr>
      <w:tr w14:paraId="2EA0A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noWrap w:val="0"/>
            <w:vAlign w:val="top"/>
          </w:tcPr>
          <w:p w14:paraId="142FA63E">
            <w:pPr>
              <w:pStyle w:val="42"/>
              <w:spacing w:line="600" w:lineRule="exact"/>
              <w:jc w:val="center"/>
              <w:rPr>
                <w:rFonts w:hAnsi="宋体" w:cs="Courier New"/>
                <w:color w:val="auto"/>
                <w:kern w:val="2"/>
                <w:sz w:val="24"/>
                <w:szCs w:val="24"/>
                <w:highlight w:val="none"/>
                <w:lang w:val="en-US" w:eastAsia="zh-CN"/>
              </w:rPr>
            </w:pPr>
          </w:p>
        </w:tc>
        <w:tc>
          <w:tcPr>
            <w:tcW w:w="2143" w:type="dxa"/>
            <w:tcBorders>
              <w:top w:val="single" w:color="auto" w:sz="4" w:space="0"/>
              <w:left w:val="single" w:color="auto" w:sz="4" w:space="0"/>
              <w:bottom w:val="single" w:color="auto" w:sz="4" w:space="0"/>
              <w:right w:val="single" w:color="auto" w:sz="4" w:space="0"/>
            </w:tcBorders>
            <w:noWrap w:val="0"/>
            <w:vAlign w:val="center"/>
          </w:tcPr>
          <w:p w14:paraId="3EEDDC87">
            <w:pPr>
              <w:pStyle w:val="42"/>
              <w:spacing w:line="600" w:lineRule="exact"/>
              <w:jc w:val="center"/>
              <w:rPr>
                <w:rFonts w:hAnsi="宋体" w:cs="Courier New"/>
                <w:color w:val="auto"/>
                <w:kern w:val="2"/>
                <w:sz w:val="24"/>
                <w:szCs w:val="24"/>
                <w:highlight w:val="none"/>
                <w:lang w:val="en-US" w:eastAsia="zh-CN"/>
              </w:rPr>
            </w:pPr>
          </w:p>
        </w:tc>
        <w:tc>
          <w:tcPr>
            <w:tcW w:w="1834" w:type="dxa"/>
            <w:tcBorders>
              <w:top w:val="single" w:color="auto" w:sz="4" w:space="0"/>
              <w:left w:val="single" w:color="auto" w:sz="4" w:space="0"/>
              <w:bottom w:val="single" w:color="auto" w:sz="4" w:space="0"/>
              <w:right w:val="single" w:color="auto" w:sz="4" w:space="0"/>
            </w:tcBorders>
            <w:noWrap w:val="0"/>
            <w:vAlign w:val="center"/>
          </w:tcPr>
          <w:p w14:paraId="47C72EEA">
            <w:pPr>
              <w:pStyle w:val="42"/>
              <w:spacing w:line="600" w:lineRule="exact"/>
              <w:jc w:val="center"/>
              <w:rPr>
                <w:rFonts w:hAnsi="宋体" w:cs="Courier New"/>
                <w:color w:val="auto"/>
                <w:kern w:val="2"/>
                <w:sz w:val="24"/>
                <w:szCs w:val="24"/>
                <w:highlight w:val="none"/>
                <w:lang w:val="en-US" w:eastAsia="zh-CN"/>
              </w:rPr>
            </w:pPr>
          </w:p>
        </w:tc>
        <w:tc>
          <w:tcPr>
            <w:tcW w:w="2181" w:type="dxa"/>
            <w:tcBorders>
              <w:top w:val="single" w:color="auto" w:sz="4" w:space="0"/>
              <w:left w:val="single" w:color="auto" w:sz="4" w:space="0"/>
              <w:bottom w:val="single" w:color="auto" w:sz="4" w:space="0"/>
              <w:right w:val="single" w:color="auto" w:sz="4" w:space="0"/>
            </w:tcBorders>
            <w:noWrap w:val="0"/>
            <w:vAlign w:val="center"/>
          </w:tcPr>
          <w:p w14:paraId="78E941E8">
            <w:pPr>
              <w:pStyle w:val="42"/>
              <w:spacing w:line="600" w:lineRule="exact"/>
              <w:jc w:val="center"/>
              <w:rPr>
                <w:rFonts w:hAnsi="宋体" w:cs="Courier New"/>
                <w:color w:val="auto"/>
                <w:kern w:val="2"/>
                <w:sz w:val="24"/>
                <w:szCs w:val="24"/>
                <w:highlight w:val="none"/>
                <w:lang w:val="en-US" w:eastAsia="zh-CN"/>
              </w:rPr>
            </w:pPr>
          </w:p>
        </w:tc>
        <w:tc>
          <w:tcPr>
            <w:tcW w:w="1934" w:type="dxa"/>
            <w:tcBorders>
              <w:top w:val="single" w:color="auto" w:sz="4" w:space="0"/>
              <w:left w:val="single" w:color="auto" w:sz="4" w:space="0"/>
              <w:bottom w:val="single" w:color="auto" w:sz="4" w:space="0"/>
              <w:right w:val="single" w:color="auto" w:sz="4" w:space="0"/>
            </w:tcBorders>
            <w:noWrap w:val="0"/>
            <w:vAlign w:val="center"/>
          </w:tcPr>
          <w:p w14:paraId="332837CA">
            <w:pPr>
              <w:pStyle w:val="42"/>
              <w:spacing w:line="600" w:lineRule="exact"/>
              <w:jc w:val="center"/>
              <w:rPr>
                <w:rFonts w:hAnsi="宋体" w:cs="Courier New"/>
                <w:color w:val="auto"/>
                <w:kern w:val="2"/>
                <w:sz w:val="24"/>
                <w:szCs w:val="24"/>
                <w:highlight w:val="none"/>
                <w:lang w:val="en-US" w:eastAsia="zh-CN"/>
              </w:rPr>
            </w:pPr>
          </w:p>
        </w:tc>
      </w:tr>
      <w:tr w14:paraId="1DF05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noWrap w:val="0"/>
            <w:vAlign w:val="top"/>
          </w:tcPr>
          <w:p w14:paraId="0A628E97">
            <w:pPr>
              <w:pStyle w:val="42"/>
              <w:spacing w:line="600" w:lineRule="exact"/>
              <w:rPr>
                <w:rFonts w:hAnsi="宋体" w:cs="Courier New"/>
                <w:color w:val="auto"/>
                <w:kern w:val="2"/>
                <w:sz w:val="24"/>
                <w:szCs w:val="24"/>
                <w:highlight w:val="none"/>
                <w:lang w:val="en-US" w:eastAsia="zh-CN"/>
              </w:rPr>
            </w:pPr>
          </w:p>
        </w:tc>
        <w:tc>
          <w:tcPr>
            <w:tcW w:w="2143" w:type="dxa"/>
            <w:tcBorders>
              <w:top w:val="single" w:color="auto" w:sz="4" w:space="0"/>
              <w:left w:val="single" w:color="auto" w:sz="4" w:space="0"/>
              <w:bottom w:val="single" w:color="auto" w:sz="4" w:space="0"/>
              <w:right w:val="single" w:color="auto" w:sz="4" w:space="0"/>
            </w:tcBorders>
            <w:noWrap w:val="0"/>
            <w:vAlign w:val="top"/>
          </w:tcPr>
          <w:p w14:paraId="08497FB8">
            <w:pPr>
              <w:pStyle w:val="42"/>
              <w:spacing w:line="600" w:lineRule="exact"/>
              <w:rPr>
                <w:rFonts w:hAnsi="宋体" w:cs="Courier New"/>
                <w:color w:val="auto"/>
                <w:kern w:val="2"/>
                <w:sz w:val="24"/>
                <w:szCs w:val="24"/>
                <w:highlight w:val="none"/>
                <w:lang w:val="en-US" w:eastAsia="zh-CN"/>
              </w:rPr>
            </w:pPr>
          </w:p>
        </w:tc>
        <w:tc>
          <w:tcPr>
            <w:tcW w:w="1834" w:type="dxa"/>
            <w:tcBorders>
              <w:top w:val="single" w:color="auto" w:sz="4" w:space="0"/>
              <w:left w:val="single" w:color="auto" w:sz="4" w:space="0"/>
              <w:bottom w:val="single" w:color="auto" w:sz="4" w:space="0"/>
              <w:right w:val="single" w:color="auto" w:sz="4" w:space="0"/>
            </w:tcBorders>
            <w:noWrap w:val="0"/>
            <w:vAlign w:val="top"/>
          </w:tcPr>
          <w:p w14:paraId="7BB0223E">
            <w:pPr>
              <w:pStyle w:val="42"/>
              <w:spacing w:line="600" w:lineRule="exact"/>
              <w:rPr>
                <w:rFonts w:hAnsi="宋体" w:cs="Courier New"/>
                <w:color w:val="auto"/>
                <w:kern w:val="2"/>
                <w:sz w:val="24"/>
                <w:szCs w:val="24"/>
                <w:highlight w:val="none"/>
                <w:lang w:val="en-US" w:eastAsia="zh-CN"/>
              </w:rPr>
            </w:pPr>
          </w:p>
        </w:tc>
        <w:tc>
          <w:tcPr>
            <w:tcW w:w="2181" w:type="dxa"/>
            <w:tcBorders>
              <w:top w:val="single" w:color="auto" w:sz="4" w:space="0"/>
              <w:left w:val="single" w:color="auto" w:sz="4" w:space="0"/>
              <w:bottom w:val="single" w:color="auto" w:sz="4" w:space="0"/>
              <w:right w:val="single" w:color="auto" w:sz="4" w:space="0"/>
            </w:tcBorders>
            <w:noWrap w:val="0"/>
            <w:vAlign w:val="top"/>
          </w:tcPr>
          <w:p w14:paraId="0504C7E2">
            <w:pPr>
              <w:pStyle w:val="42"/>
              <w:spacing w:line="600" w:lineRule="exact"/>
              <w:rPr>
                <w:rFonts w:hAnsi="宋体" w:cs="Courier New"/>
                <w:color w:val="auto"/>
                <w:kern w:val="2"/>
                <w:sz w:val="24"/>
                <w:szCs w:val="24"/>
                <w:highlight w:val="none"/>
                <w:lang w:val="en-US" w:eastAsia="zh-CN"/>
              </w:rPr>
            </w:pPr>
          </w:p>
        </w:tc>
        <w:tc>
          <w:tcPr>
            <w:tcW w:w="1934" w:type="dxa"/>
            <w:tcBorders>
              <w:top w:val="single" w:color="auto" w:sz="4" w:space="0"/>
              <w:left w:val="single" w:color="auto" w:sz="4" w:space="0"/>
              <w:bottom w:val="single" w:color="auto" w:sz="4" w:space="0"/>
              <w:right w:val="single" w:color="auto" w:sz="4" w:space="0"/>
            </w:tcBorders>
            <w:noWrap w:val="0"/>
            <w:vAlign w:val="top"/>
          </w:tcPr>
          <w:p w14:paraId="2F14FB6B">
            <w:pPr>
              <w:pStyle w:val="42"/>
              <w:spacing w:line="600" w:lineRule="exact"/>
              <w:rPr>
                <w:rFonts w:hAnsi="宋体" w:cs="Courier New"/>
                <w:color w:val="auto"/>
                <w:kern w:val="2"/>
                <w:sz w:val="24"/>
                <w:szCs w:val="24"/>
                <w:highlight w:val="none"/>
                <w:lang w:val="en-US" w:eastAsia="zh-CN"/>
              </w:rPr>
            </w:pPr>
          </w:p>
        </w:tc>
      </w:tr>
      <w:tr w14:paraId="11C54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noWrap w:val="0"/>
            <w:vAlign w:val="top"/>
          </w:tcPr>
          <w:p w14:paraId="0D3B7A22">
            <w:pPr>
              <w:pStyle w:val="42"/>
              <w:spacing w:line="600" w:lineRule="exact"/>
              <w:rPr>
                <w:rFonts w:hAnsi="宋体" w:cs="Courier New"/>
                <w:color w:val="auto"/>
                <w:kern w:val="2"/>
                <w:sz w:val="24"/>
                <w:szCs w:val="24"/>
                <w:highlight w:val="none"/>
                <w:lang w:val="en-US" w:eastAsia="zh-CN"/>
              </w:rPr>
            </w:pPr>
          </w:p>
        </w:tc>
        <w:tc>
          <w:tcPr>
            <w:tcW w:w="2143" w:type="dxa"/>
            <w:tcBorders>
              <w:top w:val="single" w:color="auto" w:sz="4" w:space="0"/>
              <w:left w:val="single" w:color="auto" w:sz="4" w:space="0"/>
              <w:bottom w:val="single" w:color="auto" w:sz="4" w:space="0"/>
              <w:right w:val="single" w:color="auto" w:sz="4" w:space="0"/>
            </w:tcBorders>
            <w:noWrap w:val="0"/>
            <w:vAlign w:val="top"/>
          </w:tcPr>
          <w:p w14:paraId="1FDE255E">
            <w:pPr>
              <w:pStyle w:val="42"/>
              <w:spacing w:line="600" w:lineRule="exact"/>
              <w:rPr>
                <w:rFonts w:hAnsi="宋体" w:cs="Courier New"/>
                <w:color w:val="auto"/>
                <w:kern w:val="2"/>
                <w:sz w:val="24"/>
                <w:szCs w:val="24"/>
                <w:highlight w:val="none"/>
                <w:lang w:val="en-US" w:eastAsia="zh-CN"/>
              </w:rPr>
            </w:pPr>
          </w:p>
        </w:tc>
        <w:tc>
          <w:tcPr>
            <w:tcW w:w="1834" w:type="dxa"/>
            <w:tcBorders>
              <w:top w:val="single" w:color="auto" w:sz="4" w:space="0"/>
              <w:left w:val="single" w:color="auto" w:sz="4" w:space="0"/>
              <w:bottom w:val="single" w:color="auto" w:sz="4" w:space="0"/>
              <w:right w:val="single" w:color="auto" w:sz="4" w:space="0"/>
            </w:tcBorders>
            <w:noWrap w:val="0"/>
            <w:vAlign w:val="top"/>
          </w:tcPr>
          <w:p w14:paraId="65715BEC">
            <w:pPr>
              <w:pStyle w:val="42"/>
              <w:spacing w:line="600" w:lineRule="exact"/>
              <w:rPr>
                <w:rFonts w:hAnsi="宋体" w:cs="Courier New"/>
                <w:color w:val="auto"/>
                <w:kern w:val="2"/>
                <w:sz w:val="24"/>
                <w:szCs w:val="24"/>
                <w:highlight w:val="none"/>
                <w:lang w:val="en-US" w:eastAsia="zh-CN"/>
              </w:rPr>
            </w:pPr>
          </w:p>
        </w:tc>
        <w:tc>
          <w:tcPr>
            <w:tcW w:w="2181" w:type="dxa"/>
            <w:tcBorders>
              <w:top w:val="single" w:color="auto" w:sz="4" w:space="0"/>
              <w:left w:val="single" w:color="auto" w:sz="4" w:space="0"/>
              <w:bottom w:val="single" w:color="auto" w:sz="4" w:space="0"/>
              <w:right w:val="single" w:color="auto" w:sz="4" w:space="0"/>
            </w:tcBorders>
            <w:noWrap w:val="0"/>
            <w:vAlign w:val="top"/>
          </w:tcPr>
          <w:p w14:paraId="7AA7C817">
            <w:pPr>
              <w:pStyle w:val="42"/>
              <w:spacing w:line="600" w:lineRule="exact"/>
              <w:rPr>
                <w:rFonts w:hAnsi="宋体" w:cs="Courier New"/>
                <w:color w:val="auto"/>
                <w:kern w:val="2"/>
                <w:sz w:val="24"/>
                <w:szCs w:val="24"/>
                <w:highlight w:val="none"/>
                <w:lang w:val="en-US" w:eastAsia="zh-CN"/>
              </w:rPr>
            </w:pPr>
          </w:p>
        </w:tc>
        <w:tc>
          <w:tcPr>
            <w:tcW w:w="1934" w:type="dxa"/>
            <w:tcBorders>
              <w:top w:val="single" w:color="auto" w:sz="4" w:space="0"/>
              <w:left w:val="single" w:color="auto" w:sz="4" w:space="0"/>
              <w:bottom w:val="single" w:color="auto" w:sz="4" w:space="0"/>
              <w:right w:val="single" w:color="auto" w:sz="4" w:space="0"/>
            </w:tcBorders>
            <w:noWrap w:val="0"/>
            <w:vAlign w:val="top"/>
          </w:tcPr>
          <w:p w14:paraId="1C034819">
            <w:pPr>
              <w:pStyle w:val="42"/>
              <w:spacing w:line="600" w:lineRule="exact"/>
              <w:rPr>
                <w:rFonts w:hAnsi="宋体" w:cs="Courier New"/>
                <w:color w:val="auto"/>
                <w:kern w:val="2"/>
                <w:sz w:val="24"/>
                <w:szCs w:val="24"/>
                <w:highlight w:val="none"/>
                <w:lang w:val="en-US" w:eastAsia="zh-CN"/>
              </w:rPr>
            </w:pPr>
          </w:p>
        </w:tc>
      </w:tr>
      <w:tr w14:paraId="629A7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noWrap w:val="0"/>
            <w:vAlign w:val="top"/>
          </w:tcPr>
          <w:p w14:paraId="571C7D4F">
            <w:pPr>
              <w:pStyle w:val="42"/>
              <w:spacing w:line="600" w:lineRule="exact"/>
              <w:rPr>
                <w:rFonts w:hAnsi="宋体" w:cs="Courier New"/>
                <w:color w:val="auto"/>
                <w:kern w:val="2"/>
                <w:sz w:val="24"/>
                <w:szCs w:val="24"/>
                <w:highlight w:val="none"/>
                <w:lang w:val="en-US" w:eastAsia="zh-CN"/>
              </w:rPr>
            </w:pPr>
          </w:p>
        </w:tc>
        <w:tc>
          <w:tcPr>
            <w:tcW w:w="2143" w:type="dxa"/>
            <w:tcBorders>
              <w:top w:val="single" w:color="auto" w:sz="4" w:space="0"/>
              <w:left w:val="single" w:color="auto" w:sz="4" w:space="0"/>
              <w:bottom w:val="single" w:color="auto" w:sz="4" w:space="0"/>
              <w:right w:val="single" w:color="auto" w:sz="4" w:space="0"/>
            </w:tcBorders>
            <w:noWrap w:val="0"/>
            <w:vAlign w:val="top"/>
          </w:tcPr>
          <w:p w14:paraId="7484B5E1">
            <w:pPr>
              <w:pStyle w:val="42"/>
              <w:spacing w:line="600" w:lineRule="exact"/>
              <w:rPr>
                <w:rFonts w:hAnsi="宋体" w:cs="Courier New"/>
                <w:color w:val="auto"/>
                <w:kern w:val="2"/>
                <w:sz w:val="24"/>
                <w:szCs w:val="24"/>
                <w:highlight w:val="none"/>
                <w:lang w:val="en-US" w:eastAsia="zh-CN"/>
              </w:rPr>
            </w:pPr>
          </w:p>
        </w:tc>
        <w:tc>
          <w:tcPr>
            <w:tcW w:w="1834" w:type="dxa"/>
            <w:tcBorders>
              <w:top w:val="single" w:color="auto" w:sz="4" w:space="0"/>
              <w:left w:val="single" w:color="auto" w:sz="4" w:space="0"/>
              <w:bottom w:val="single" w:color="auto" w:sz="4" w:space="0"/>
              <w:right w:val="single" w:color="auto" w:sz="4" w:space="0"/>
            </w:tcBorders>
            <w:noWrap w:val="0"/>
            <w:vAlign w:val="top"/>
          </w:tcPr>
          <w:p w14:paraId="22F83C21">
            <w:pPr>
              <w:pStyle w:val="42"/>
              <w:spacing w:line="600" w:lineRule="exact"/>
              <w:rPr>
                <w:rFonts w:hAnsi="宋体" w:cs="Courier New"/>
                <w:color w:val="auto"/>
                <w:kern w:val="2"/>
                <w:sz w:val="24"/>
                <w:szCs w:val="24"/>
                <w:highlight w:val="none"/>
                <w:lang w:val="en-US" w:eastAsia="zh-CN"/>
              </w:rPr>
            </w:pPr>
          </w:p>
        </w:tc>
        <w:tc>
          <w:tcPr>
            <w:tcW w:w="2181" w:type="dxa"/>
            <w:tcBorders>
              <w:top w:val="single" w:color="auto" w:sz="4" w:space="0"/>
              <w:left w:val="single" w:color="auto" w:sz="4" w:space="0"/>
              <w:bottom w:val="single" w:color="auto" w:sz="4" w:space="0"/>
              <w:right w:val="single" w:color="auto" w:sz="4" w:space="0"/>
            </w:tcBorders>
            <w:noWrap w:val="0"/>
            <w:vAlign w:val="top"/>
          </w:tcPr>
          <w:p w14:paraId="3068F806">
            <w:pPr>
              <w:pStyle w:val="42"/>
              <w:spacing w:line="600" w:lineRule="exact"/>
              <w:rPr>
                <w:rFonts w:hAnsi="宋体" w:cs="Courier New"/>
                <w:color w:val="auto"/>
                <w:kern w:val="2"/>
                <w:sz w:val="24"/>
                <w:szCs w:val="24"/>
                <w:highlight w:val="none"/>
                <w:lang w:val="en-US" w:eastAsia="zh-CN"/>
              </w:rPr>
            </w:pPr>
          </w:p>
        </w:tc>
        <w:tc>
          <w:tcPr>
            <w:tcW w:w="1934" w:type="dxa"/>
            <w:tcBorders>
              <w:top w:val="single" w:color="auto" w:sz="4" w:space="0"/>
              <w:left w:val="single" w:color="auto" w:sz="4" w:space="0"/>
              <w:bottom w:val="single" w:color="auto" w:sz="4" w:space="0"/>
              <w:right w:val="single" w:color="auto" w:sz="4" w:space="0"/>
            </w:tcBorders>
            <w:noWrap w:val="0"/>
            <w:vAlign w:val="top"/>
          </w:tcPr>
          <w:p w14:paraId="356B2CFC">
            <w:pPr>
              <w:pStyle w:val="42"/>
              <w:spacing w:line="600" w:lineRule="exact"/>
              <w:rPr>
                <w:rFonts w:hAnsi="宋体" w:cs="Courier New"/>
                <w:color w:val="auto"/>
                <w:kern w:val="2"/>
                <w:sz w:val="24"/>
                <w:szCs w:val="24"/>
                <w:highlight w:val="none"/>
                <w:lang w:val="en-US" w:eastAsia="zh-CN"/>
              </w:rPr>
            </w:pPr>
          </w:p>
        </w:tc>
      </w:tr>
      <w:tr w14:paraId="04BCB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noWrap w:val="0"/>
            <w:vAlign w:val="top"/>
          </w:tcPr>
          <w:p w14:paraId="1AD752DB">
            <w:pPr>
              <w:pStyle w:val="42"/>
              <w:spacing w:line="600" w:lineRule="exact"/>
              <w:rPr>
                <w:rFonts w:hAnsi="宋体" w:cs="Courier New"/>
                <w:color w:val="auto"/>
                <w:kern w:val="2"/>
                <w:sz w:val="24"/>
                <w:szCs w:val="24"/>
                <w:highlight w:val="none"/>
                <w:lang w:val="en-US" w:eastAsia="zh-CN"/>
              </w:rPr>
            </w:pPr>
          </w:p>
        </w:tc>
        <w:tc>
          <w:tcPr>
            <w:tcW w:w="2143" w:type="dxa"/>
            <w:tcBorders>
              <w:top w:val="single" w:color="auto" w:sz="4" w:space="0"/>
              <w:left w:val="single" w:color="auto" w:sz="4" w:space="0"/>
              <w:bottom w:val="single" w:color="auto" w:sz="4" w:space="0"/>
              <w:right w:val="single" w:color="auto" w:sz="4" w:space="0"/>
            </w:tcBorders>
            <w:noWrap w:val="0"/>
            <w:vAlign w:val="top"/>
          </w:tcPr>
          <w:p w14:paraId="403F359A">
            <w:pPr>
              <w:pStyle w:val="42"/>
              <w:spacing w:line="600" w:lineRule="exact"/>
              <w:rPr>
                <w:rFonts w:hAnsi="宋体" w:cs="Courier New"/>
                <w:color w:val="auto"/>
                <w:kern w:val="2"/>
                <w:sz w:val="24"/>
                <w:szCs w:val="24"/>
                <w:highlight w:val="none"/>
                <w:lang w:val="en-US" w:eastAsia="zh-CN"/>
              </w:rPr>
            </w:pPr>
          </w:p>
        </w:tc>
        <w:tc>
          <w:tcPr>
            <w:tcW w:w="1834" w:type="dxa"/>
            <w:tcBorders>
              <w:top w:val="single" w:color="auto" w:sz="4" w:space="0"/>
              <w:left w:val="single" w:color="auto" w:sz="4" w:space="0"/>
              <w:bottom w:val="single" w:color="auto" w:sz="4" w:space="0"/>
              <w:right w:val="single" w:color="auto" w:sz="4" w:space="0"/>
            </w:tcBorders>
            <w:noWrap w:val="0"/>
            <w:vAlign w:val="top"/>
          </w:tcPr>
          <w:p w14:paraId="19D666DC">
            <w:pPr>
              <w:pStyle w:val="42"/>
              <w:spacing w:line="600" w:lineRule="exact"/>
              <w:rPr>
                <w:rFonts w:hAnsi="宋体" w:cs="Courier New"/>
                <w:color w:val="auto"/>
                <w:kern w:val="2"/>
                <w:sz w:val="24"/>
                <w:szCs w:val="24"/>
                <w:highlight w:val="none"/>
                <w:lang w:val="en-US" w:eastAsia="zh-CN"/>
              </w:rPr>
            </w:pPr>
          </w:p>
        </w:tc>
        <w:tc>
          <w:tcPr>
            <w:tcW w:w="2181" w:type="dxa"/>
            <w:tcBorders>
              <w:top w:val="single" w:color="auto" w:sz="4" w:space="0"/>
              <w:left w:val="single" w:color="auto" w:sz="4" w:space="0"/>
              <w:bottom w:val="single" w:color="auto" w:sz="4" w:space="0"/>
              <w:right w:val="single" w:color="auto" w:sz="4" w:space="0"/>
            </w:tcBorders>
            <w:noWrap w:val="0"/>
            <w:vAlign w:val="top"/>
          </w:tcPr>
          <w:p w14:paraId="317318BF">
            <w:pPr>
              <w:pStyle w:val="42"/>
              <w:spacing w:line="600" w:lineRule="exact"/>
              <w:rPr>
                <w:rFonts w:hAnsi="宋体" w:cs="Courier New"/>
                <w:color w:val="auto"/>
                <w:kern w:val="2"/>
                <w:sz w:val="24"/>
                <w:szCs w:val="24"/>
                <w:highlight w:val="none"/>
                <w:lang w:val="en-US" w:eastAsia="zh-CN"/>
              </w:rPr>
            </w:pPr>
          </w:p>
        </w:tc>
        <w:tc>
          <w:tcPr>
            <w:tcW w:w="1934" w:type="dxa"/>
            <w:tcBorders>
              <w:top w:val="single" w:color="auto" w:sz="4" w:space="0"/>
              <w:left w:val="single" w:color="auto" w:sz="4" w:space="0"/>
              <w:bottom w:val="single" w:color="auto" w:sz="4" w:space="0"/>
              <w:right w:val="single" w:color="auto" w:sz="4" w:space="0"/>
            </w:tcBorders>
            <w:noWrap w:val="0"/>
            <w:vAlign w:val="top"/>
          </w:tcPr>
          <w:p w14:paraId="30F3190E">
            <w:pPr>
              <w:pStyle w:val="42"/>
              <w:spacing w:line="600" w:lineRule="exact"/>
              <w:rPr>
                <w:rFonts w:hAnsi="宋体" w:cs="Courier New"/>
                <w:color w:val="auto"/>
                <w:kern w:val="2"/>
                <w:sz w:val="24"/>
                <w:szCs w:val="24"/>
                <w:highlight w:val="none"/>
                <w:lang w:val="en-US" w:eastAsia="zh-CN"/>
              </w:rPr>
            </w:pPr>
          </w:p>
        </w:tc>
      </w:tr>
      <w:tr w14:paraId="3E55B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noWrap w:val="0"/>
            <w:vAlign w:val="top"/>
          </w:tcPr>
          <w:p w14:paraId="40BBF2C8">
            <w:pPr>
              <w:pStyle w:val="42"/>
              <w:spacing w:line="600" w:lineRule="exact"/>
              <w:rPr>
                <w:rFonts w:hAnsi="宋体" w:cs="Courier New"/>
                <w:color w:val="auto"/>
                <w:kern w:val="2"/>
                <w:sz w:val="24"/>
                <w:szCs w:val="24"/>
                <w:highlight w:val="none"/>
                <w:lang w:val="en-US" w:eastAsia="zh-CN"/>
              </w:rPr>
            </w:pPr>
          </w:p>
        </w:tc>
        <w:tc>
          <w:tcPr>
            <w:tcW w:w="2143" w:type="dxa"/>
            <w:tcBorders>
              <w:top w:val="single" w:color="auto" w:sz="4" w:space="0"/>
              <w:left w:val="single" w:color="auto" w:sz="4" w:space="0"/>
              <w:bottom w:val="single" w:color="auto" w:sz="4" w:space="0"/>
              <w:right w:val="single" w:color="auto" w:sz="4" w:space="0"/>
            </w:tcBorders>
            <w:noWrap w:val="0"/>
            <w:vAlign w:val="top"/>
          </w:tcPr>
          <w:p w14:paraId="7B2330EA">
            <w:pPr>
              <w:pStyle w:val="42"/>
              <w:spacing w:line="600" w:lineRule="exact"/>
              <w:rPr>
                <w:rFonts w:hAnsi="宋体" w:cs="Courier New"/>
                <w:color w:val="auto"/>
                <w:kern w:val="2"/>
                <w:sz w:val="24"/>
                <w:szCs w:val="24"/>
                <w:highlight w:val="none"/>
                <w:lang w:val="en-US" w:eastAsia="zh-CN"/>
              </w:rPr>
            </w:pPr>
          </w:p>
        </w:tc>
        <w:tc>
          <w:tcPr>
            <w:tcW w:w="1834" w:type="dxa"/>
            <w:tcBorders>
              <w:top w:val="single" w:color="auto" w:sz="4" w:space="0"/>
              <w:left w:val="single" w:color="auto" w:sz="4" w:space="0"/>
              <w:bottom w:val="single" w:color="auto" w:sz="4" w:space="0"/>
              <w:right w:val="single" w:color="auto" w:sz="4" w:space="0"/>
            </w:tcBorders>
            <w:noWrap w:val="0"/>
            <w:vAlign w:val="top"/>
          </w:tcPr>
          <w:p w14:paraId="31F8F76A">
            <w:pPr>
              <w:pStyle w:val="42"/>
              <w:spacing w:line="600" w:lineRule="exact"/>
              <w:rPr>
                <w:rFonts w:hAnsi="宋体" w:cs="Courier New"/>
                <w:color w:val="auto"/>
                <w:kern w:val="2"/>
                <w:sz w:val="24"/>
                <w:szCs w:val="24"/>
                <w:highlight w:val="none"/>
                <w:lang w:val="en-US" w:eastAsia="zh-CN"/>
              </w:rPr>
            </w:pPr>
          </w:p>
        </w:tc>
        <w:tc>
          <w:tcPr>
            <w:tcW w:w="2181" w:type="dxa"/>
            <w:tcBorders>
              <w:top w:val="single" w:color="auto" w:sz="4" w:space="0"/>
              <w:left w:val="single" w:color="auto" w:sz="4" w:space="0"/>
              <w:bottom w:val="single" w:color="auto" w:sz="4" w:space="0"/>
              <w:right w:val="single" w:color="auto" w:sz="4" w:space="0"/>
            </w:tcBorders>
            <w:noWrap w:val="0"/>
            <w:vAlign w:val="top"/>
          </w:tcPr>
          <w:p w14:paraId="2F5AA833">
            <w:pPr>
              <w:pStyle w:val="42"/>
              <w:spacing w:line="600" w:lineRule="exact"/>
              <w:rPr>
                <w:rFonts w:hAnsi="宋体" w:cs="Courier New"/>
                <w:color w:val="auto"/>
                <w:kern w:val="2"/>
                <w:sz w:val="24"/>
                <w:szCs w:val="24"/>
                <w:highlight w:val="none"/>
                <w:lang w:val="en-US" w:eastAsia="zh-CN"/>
              </w:rPr>
            </w:pPr>
          </w:p>
        </w:tc>
        <w:tc>
          <w:tcPr>
            <w:tcW w:w="1934" w:type="dxa"/>
            <w:tcBorders>
              <w:top w:val="single" w:color="auto" w:sz="4" w:space="0"/>
              <w:left w:val="single" w:color="auto" w:sz="4" w:space="0"/>
              <w:bottom w:val="single" w:color="auto" w:sz="4" w:space="0"/>
              <w:right w:val="single" w:color="auto" w:sz="4" w:space="0"/>
            </w:tcBorders>
            <w:noWrap w:val="0"/>
            <w:vAlign w:val="top"/>
          </w:tcPr>
          <w:p w14:paraId="4BBEF1EF">
            <w:pPr>
              <w:pStyle w:val="42"/>
              <w:spacing w:line="600" w:lineRule="exact"/>
              <w:rPr>
                <w:rFonts w:hAnsi="宋体" w:cs="Courier New"/>
                <w:color w:val="auto"/>
                <w:kern w:val="2"/>
                <w:sz w:val="24"/>
                <w:szCs w:val="24"/>
                <w:highlight w:val="none"/>
                <w:lang w:val="en-US" w:eastAsia="zh-CN"/>
              </w:rPr>
            </w:pPr>
          </w:p>
        </w:tc>
      </w:tr>
      <w:tr w14:paraId="4EFA7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noWrap w:val="0"/>
            <w:vAlign w:val="top"/>
          </w:tcPr>
          <w:p w14:paraId="5D3E3231">
            <w:pPr>
              <w:pStyle w:val="42"/>
              <w:spacing w:line="600" w:lineRule="exact"/>
              <w:rPr>
                <w:rFonts w:hAnsi="宋体" w:cs="Courier New"/>
                <w:color w:val="auto"/>
                <w:kern w:val="2"/>
                <w:sz w:val="24"/>
                <w:szCs w:val="24"/>
                <w:highlight w:val="none"/>
                <w:lang w:val="en-US" w:eastAsia="zh-CN"/>
              </w:rPr>
            </w:pPr>
          </w:p>
        </w:tc>
        <w:tc>
          <w:tcPr>
            <w:tcW w:w="2143" w:type="dxa"/>
            <w:tcBorders>
              <w:top w:val="single" w:color="auto" w:sz="4" w:space="0"/>
              <w:left w:val="single" w:color="auto" w:sz="4" w:space="0"/>
              <w:bottom w:val="single" w:color="auto" w:sz="4" w:space="0"/>
              <w:right w:val="single" w:color="auto" w:sz="4" w:space="0"/>
            </w:tcBorders>
            <w:noWrap w:val="0"/>
            <w:vAlign w:val="top"/>
          </w:tcPr>
          <w:p w14:paraId="3552784E">
            <w:pPr>
              <w:pStyle w:val="42"/>
              <w:spacing w:line="600" w:lineRule="exact"/>
              <w:rPr>
                <w:rFonts w:hAnsi="宋体" w:cs="Courier New"/>
                <w:color w:val="auto"/>
                <w:kern w:val="2"/>
                <w:sz w:val="24"/>
                <w:szCs w:val="24"/>
                <w:highlight w:val="none"/>
                <w:lang w:val="en-US" w:eastAsia="zh-CN"/>
              </w:rPr>
            </w:pPr>
          </w:p>
        </w:tc>
        <w:tc>
          <w:tcPr>
            <w:tcW w:w="1834" w:type="dxa"/>
            <w:tcBorders>
              <w:top w:val="single" w:color="auto" w:sz="4" w:space="0"/>
              <w:left w:val="single" w:color="auto" w:sz="4" w:space="0"/>
              <w:bottom w:val="single" w:color="auto" w:sz="4" w:space="0"/>
              <w:right w:val="single" w:color="auto" w:sz="4" w:space="0"/>
            </w:tcBorders>
            <w:noWrap w:val="0"/>
            <w:vAlign w:val="top"/>
          </w:tcPr>
          <w:p w14:paraId="3A2A0329">
            <w:pPr>
              <w:pStyle w:val="42"/>
              <w:spacing w:line="600" w:lineRule="exact"/>
              <w:rPr>
                <w:rFonts w:hAnsi="宋体" w:cs="Courier New"/>
                <w:color w:val="auto"/>
                <w:kern w:val="2"/>
                <w:sz w:val="24"/>
                <w:szCs w:val="24"/>
                <w:highlight w:val="none"/>
                <w:lang w:val="en-US" w:eastAsia="zh-CN"/>
              </w:rPr>
            </w:pPr>
          </w:p>
        </w:tc>
        <w:tc>
          <w:tcPr>
            <w:tcW w:w="2181" w:type="dxa"/>
            <w:tcBorders>
              <w:top w:val="single" w:color="auto" w:sz="4" w:space="0"/>
              <w:left w:val="single" w:color="auto" w:sz="4" w:space="0"/>
              <w:bottom w:val="single" w:color="auto" w:sz="4" w:space="0"/>
              <w:right w:val="single" w:color="auto" w:sz="4" w:space="0"/>
            </w:tcBorders>
            <w:noWrap w:val="0"/>
            <w:vAlign w:val="top"/>
          </w:tcPr>
          <w:p w14:paraId="2E50E2CF">
            <w:pPr>
              <w:pStyle w:val="42"/>
              <w:spacing w:line="600" w:lineRule="exact"/>
              <w:rPr>
                <w:rFonts w:hAnsi="宋体" w:cs="Courier New"/>
                <w:color w:val="auto"/>
                <w:kern w:val="2"/>
                <w:sz w:val="24"/>
                <w:szCs w:val="24"/>
                <w:highlight w:val="none"/>
                <w:lang w:val="en-US" w:eastAsia="zh-CN"/>
              </w:rPr>
            </w:pPr>
          </w:p>
        </w:tc>
        <w:tc>
          <w:tcPr>
            <w:tcW w:w="1934" w:type="dxa"/>
            <w:tcBorders>
              <w:top w:val="single" w:color="auto" w:sz="4" w:space="0"/>
              <w:left w:val="single" w:color="auto" w:sz="4" w:space="0"/>
              <w:bottom w:val="single" w:color="auto" w:sz="4" w:space="0"/>
              <w:right w:val="single" w:color="auto" w:sz="4" w:space="0"/>
            </w:tcBorders>
            <w:noWrap w:val="0"/>
            <w:vAlign w:val="top"/>
          </w:tcPr>
          <w:p w14:paraId="65138E3D">
            <w:pPr>
              <w:pStyle w:val="42"/>
              <w:spacing w:line="600" w:lineRule="exact"/>
              <w:rPr>
                <w:rFonts w:hAnsi="宋体" w:cs="Courier New"/>
                <w:color w:val="auto"/>
                <w:kern w:val="2"/>
                <w:sz w:val="24"/>
                <w:szCs w:val="24"/>
                <w:highlight w:val="none"/>
                <w:lang w:val="en-US" w:eastAsia="zh-CN"/>
              </w:rPr>
            </w:pPr>
          </w:p>
        </w:tc>
      </w:tr>
    </w:tbl>
    <w:p w14:paraId="076944D2">
      <w:pPr>
        <w:pStyle w:val="34"/>
        <w:spacing w:line="360" w:lineRule="auto"/>
        <w:rPr>
          <w:rFonts w:hint="eastAsia" w:ascii="宋体" w:hAnsi="宋体"/>
          <w:b/>
          <w:color w:val="auto"/>
          <w:kern w:val="0"/>
          <w:sz w:val="24"/>
          <w:szCs w:val="24"/>
          <w:highlight w:val="none"/>
        </w:rPr>
      </w:pPr>
      <w:r>
        <w:rPr>
          <w:rFonts w:hint="eastAsia" w:ascii="宋体" w:hAnsi="宋体"/>
          <w:color w:val="auto"/>
          <w:highlight w:val="none"/>
        </w:rPr>
        <w:t>注：</w:t>
      </w:r>
    </w:p>
    <w:p w14:paraId="1E05A0F0">
      <w:pPr>
        <w:pStyle w:val="38"/>
        <w:spacing w:line="360" w:lineRule="auto"/>
        <w:ind w:firstLine="0" w:firstLineChars="0"/>
        <w:rPr>
          <w:rFonts w:hint="eastAsia" w:hAnsi="仿宋_GB2312" w:cs="仿宋_GB2312"/>
          <w:color w:val="auto"/>
          <w:szCs w:val="32"/>
          <w:highlight w:val="none"/>
        </w:rPr>
      </w:pPr>
      <w:r>
        <w:rPr>
          <w:rFonts w:hint="eastAsia" w:ascii="宋体" w:hAnsi="宋体" w:eastAsia="宋体"/>
          <w:color w:val="auto"/>
          <w:sz w:val="24"/>
          <w:szCs w:val="24"/>
          <w:highlight w:val="none"/>
        </w:rPr>
        <w:t>1. 说明：应对照磋商文件“第二章 采购需求”中的技术要求逐条作明确的竞标响应，并作出偏离说明。</w:t>
      </w:r>
    </w:p>
    <w:p w14:paraId="415BD36A">
      <w:pPr>
        <w:pStyle w:val="34"/>
        <w:spacing w:line="360" w:lineRule="auto"/>
        <w:rPr>
          <w:rFonts w:hint="eastAsia" w:ascii="宋体" w:hAnsi="宋体"/>
          <w:color w:val="auto"/>
          <w:sz w:val="24"/>
          <w:szCs w:val="24"/>
          <w:highlight w:val="none"/>
        </w:rPr>
      </w:pPr>
      <w:r>
        <w:rPr>
          <w:rFonts w:hint="eastAsia" w:ascii="宋体" w:hAnsi="宋体"/>
          <w:b/>
          <w:bCs/>
          <w:color w:val="auto"/>
          <w:sz w:val="24"/>
          <w:szCs w:val="24"/>
          <w:highlight w:val="none"/>
        </w:rPr>
        <w:t>2.供应商应根据自身的承诺，对照竞争性磋商文件要求，在“偏离说明”中注明“</w:t>
      </w:r>
      <w:r>
        <w:rPr>
          <w:rFonts w:hint="eastAsia" w:ascii="宋体" w:hAnsi="宋体"/>
          <w:color w:val="auto"/>
          <w:sz w:val="24"/>
          <w:szCs w:val="24"/>
          <w:highlight w:val="none"/>
        </w:rPr>
        <w:t>正偏离</w:t>
      </w:r>
      <w:r>
        <w:rPr>
          <w:rFonts w:hint="eastAsia" w:ascii="宋体" w:hAnsi="宋体"/>
          <w:b/>
          <w:bCs/>
          <w:color w:val="auto"/>
          <w:sz w:val="24"/>
          <w:szCs w:val="24"/>
          <w:highlight w:val="none"/>
        </w:rPr>
        <w:t>”、“</w:t>
      </w:r>
      <w:r>
        <w:rPr>
          <w:rFonts w:hint="eastAsia" w:ascii="宋体" w:hAnsi="宋体"/>
          <w:color w:val="auto"/>
          <w:sz w:val="24"/>
          <w:szCs w:val="24"/>
          <w:highlight w:val="none"/>
        </w:rPr>
        <w:t>负偏离</w:t>
      </w:r>
      <w:r>
        <w:rPr>
          <w:rFonts w:hint="eastAsia" w:ascii="宋体" w:hAnsi="宋体"/>
          <w:b/>
          <w:bCs/>
          <w:color w:val="auto"/>
          <w:sz w:val="24"/>
          <w:szCs w:val="24"/>
          <w:highlight w:val="none"/>
        </w:rPr>
        <w:t>”或者“</w:t>
      </w:r>
      <w:r>
        <w:rPr>
          <w:rFonts w:hint="eastAsia" w:ascii="宋体" w:hAnsi="宋体"/>
          <w:color w:val="auto"/>
          <w:sz w:val="24"/>
          <w:szCs w:val="24"/>
          <w:highlight w:val="none"/>
        </w:rPr>
        <w:t>无偏离</w:t>
      </w:r>
      <w:r>
        <w:rPr>
          <w:rFonts w:hint="eastAsia" w:ascii="宋体" w:hAnsi="宋体"/>
          <w:b/>
          <w:bCs/>
          <w:color w:val="auto"/>
          <w:sz w:val="24"/>
          <w:szCs w:val="24"/>
          <w:highlight w:val="none"/>
        </w:rPr>
        <w:t>”。既不属于“</w:t>
      </w:r>
      <w:r>
        <w:rPr>
          <w:rFonts w:hint="eastAsia" w:ascii="宋体" w:hAnsi="宋体"/>
          <w:color w:val="auto"/>
          <w:sz w:val="24"/>
          <w:szCs w:val="24"/>
          <w:highlight w:val="none"/>
        </w:rPr>
        <w:t>正偏离</w:t>
      </w:r>
      <w:r>
        <w:rPr>
          <w:rFonts w:hint="eastAsia" w:ascii="宋体" w:hAnsi="宋体"/>
          <w:b/>
          <w:bCs/>
          <w:color w:val="auto"/>
          <w:sz w:val="24"/>
          <w:szCs w:val="24"/>
          <w:highlight w:val="none"/>
        </w:rPr>
        <w:t>”也不属于“</w:t>
      </w:r>
      <w:r>
        <w:rPr>
          <w:rFonts w:hint="eastAsia" w:ascii="宋体" w:hAnsi="宋体"/>
          <w:color w:val="auto"/>
          <w:sz w:val="24"/>
          <w:szCs w:val="24"/>
          <w:highlight w:val="none"/>
        </w:rPr>
        <w:t>负偏离</w:t>
      </w:r>
      <w:r>
        <w:rPr>
          <w:rFonts w:hint="eastAsia" w:ascii="宋体" w:hAnsi="宋体"/>
          <w:b/>
          <w:bCs/>
          <w:color w:val="auto"/>
          <w:sz w:val="24"/>
          <w:szCs w:val="24"/>
          <w:highlight w:val="none"/>
        </w:rPr>
        <w:t>”即为“</w:t>
      </w:r>
      <w:r>
        <w:rPr>
          <w:rFonts w:hint="eastAsia" w:ascii="宋体" w:hAnsi="宋体"/>
          <w:color w:val="auto"/>
          <w:sz w:val="24"/>
          <w:szCs w:val="24"/>
          <w:highlight w:val="none"/>
        </w:rPr>
        <w:t>无偏离</w:t>
      </w:r>
      <w:r>
        <w:rPr>
          <w:rFonts w:hint="eastAsia" w:ascii="宋体" w:hAnsi="宋体"/>
          <w:b/>
          <w:bCs/>
          <w:color w:val="auto"/>
          <w:sz w:val="24"/>
          <w:szCs w:val="24"/>
          <w:highlight w:val="none"/>
        </w:rPr>
        <w:t>”。</w:t>
      </w:r>
    </w:p>
    <w:p w14:paraId="17825F87">
      <w:pPr>
        <w:pStyle w:val="34"/>
        <w:spacing w:line="360" w:lineRule="auto"/>
        <w:rPr>
          <w:rFonts w:hint="eastAsia" w:ascii="宋体" w:hAnsi="宋体"/>
          <w:color w:val="auto"/>
          <w:spacing w:val="20"/>
          <w:highlight w:val="none"/>
        </w:rPr>
      </w:pPr>
    </w:p>
    <w:p w14:paraId="5F828B47">
      <w:pPr>
        <w:spacing w:line="360" w:lineRule="auto"/>
        <w:rPr>
          <w:rFonts w:hint="eastAsia"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259DA72B">
      <w:pPr>
        <w:spacing w:line="360" w:lineRule="auto"/>
        <w:rPr>
          <w:rFonts w:hint="eastAsia" w:ascii="宋体" w:hAnsi="宋体"/>
          <w:color w:val="auto"/>
          <w:spacing w:val="20"/>
          <w:sz w:val="24"/>
          <w:highlight w:val="none"/>
        </w:rPr>
      </w:pPr>
      <w:r>
        <w:rPr>
          <w:rFonts w:hint="eastAsia" w:ascii="宋体" w:hAnsi="宋体"/>
          <w:color w:val="auto"/>
          <w:spacing w:val="20"/>
          <w:sz w:val="24"/>
          <w:highlight w:val="none"/>
          <w:lang w:val="en-US" w:eastAsia="zh-CN"/>
        </w:rPr>
        <w:t>供应商</w:t>
      </w:r>
      <w:r>
        <w:rPr>
          <w:rFonts w:hint="eastAsia" w:ascii="宋体" w:hAnsi="宋体"/>
          <w:color w:val="auto"/>
          <w:spacing w:val="20"/>
          <w:sz w:val="24"/>
          <w:highlight w:val="none"/>
        </w:rPr>
        <w:t>名称（电子签章）：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36731629">
      <w:pPr>
        <w:spacing w:line="360" w:lineRule="auto"/>
        <w:rPr>
          <w:rFonts w:hint="eastAsia" w:ascii="宋体" w:hAnsi="宋体"/>
          <w:color w:val="auto"/>
          <w:sz w:val="24"/>
          <w:szCs w:val="20"/>
          <w:highlight w:val="non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1F0817E0">
      <w:pPr>
        <w:spacing w:line="300" w:lineRule="auto"/>
        <w:rPr>
          <w:rFonts w:hint="eastAsia" w:ascii="宋体" w:hAnsi="宋体"/>
          <w:b/>
          <w:bCs/>
          <w:color w:val="auto"/>
          <w:sz w:val="24"/>
          <w:highlight w:val="none"/>
        </w:rPr>
      </w:pPr>
    </w:p>
    <w:p w14:paraId="17A93C18">
      <w:pPr>
        <w:pStyle w:val="26"/>
        <w:rPr>
          <w:rFonts w:hint="eastAsia"/>
          <w:color w:val="auto"/>
          <w:highlight w:val="none"/>
        </w:rPr>
      </w:pPr>
    </w:p>
    <w:p w14:paraId="2E2F38E3">
      <w:pPr>
        <w:pStyle w:val="26"/>
        <w:rPr>
          <w:rFonts w:hint="eastAsia"/>
          <w:color w:val="auto"/>
          <w:highlight w:val="none"/>
        </w:rPr>
      </w:pPr>
    </w:p>
    <w:p w14:paraId="48389D58">
      <w:pPr>
        <w:pStyle w:val="26"/>
        <w:rPr>
          <w:rFonts w:hint="eastAsia"/>
          <w:color w:val="auto"/>
          <w:highlight w:val="none"/>
        </w:rPr>
      </w:pPr>
    </w:p>
    <w:p w14:paraId="68FCD1E5">
      <w:pPr>
        <w:pStyle w:val="26"/>
        <w:rPr>
          <w:rFonts w:hint="eastAsia"/>
          <w:color w:val="auto"/>
          <w:highlight w:val="none"/>
        </w:rPr>
      </w:pPr>
    </w:p>
    <w:p w14:paraId="67076E83">
      <w:pPr>
        <w:pStyle w:val="26"/>
        <w:rPr>
          <w:rFonts w:hint="eastAsia"/>
          <w:color w:val="auto"/>
          <w:highlight w:val="none"/>
        </w:rPr>
      </w:pPr>
    </w:p>
    <w:p w14:paraId="5A7C7DF8">
      <w:pPr>
        <w:pStyle w:val="26"/>
        <w:rPr>
          <w:rFonts w:hint="eastAsia"/>
          <w:color w:val="auto"/>
          <w:highlight w:val="none"/>
        </w:rPr>
      </w:pPr>
    </w:p>
    <w:p w14:paraId="672238C7">
      <w:pPr>
        <w:pStyle w:val="26"/>
        <w:rPr>
          <w:rFonts w:hint="eastAsia"/>
          <w:color w:val="auto"/>
          <w:highlight w:val="none"/>
        </w:rPr>
      </w:pPr>
    </w:p>
    <w:p w14:paraId="551924E3">
      <w:pPr>
        <w:pStyle w:val="26"/>
        <w:rPr>
          <w:rFonts w:hint="eastAsia"/>
          <w:color w:val="auto"/>
          <w:highlight w:val="none"/>
        </w:rPr>
      </w:pPr>
    </w:p>
    <w:p w14:paraId="4064B17E">
      <w:pPr>
        <w:spacing w:line="300" w:lineRule="auto"/>
        <w:rPr>
          <w:rFonts w:hint="eastAsia" w:ascii="宋体" w:hAnsi="宋体"/>
          <w:color w:val="auto"/>
          <w:szCs w:val="21"/>
          <w:highlight w:val="none"/>
        </w:rPr>
      </w:pPr>
      <w:r>
        <w:rPr>
          <w:rFonts w:hint="eastAsia" w:ascii="宋体" w:hAnsi="宋体"/>
          <w:b/>
          <w:bCs/>
          <w:color w:val="auto"/>
          <w:sz w:val="24"/>
          <w:highlight w:val="none"/>
        </w:rPr>
        <w:t>其他文书、文件格式</w:t>
      </w:r>
    </w:p>
    <w:p w14:paraId="41995BF4">
      <w:pPr>
        <w:spacing w:line="360" w:lineRule="auto"/>
        <w:jc w:val="center"/>
        <w:rPr>
          <w:rFonts w:hint="eastAsia" w:ascii="宋体" w:hAnsi="宋体"/>
          <w:b/>
          <w:bCs/>
          <w:color w:val="auto"/>
          <w:sz w:val="32"/>
          <w:szCs w:val="32"/>
          <w:highlight w:val="none"/>
        </w:rPr>
      </w:pPr>
      <w:r>
        <w:rPr>
          <w:rFonts w:hint="eastAsia" w:ascii="方正小标宋简体" w:hAnsi="方正小标宋简体" w:eastAsia="方正小标宋简体" w:cs="方正小标宋简体"/>
          <w:color w:val="auto"/>
          <w:sz w:val="44"/>
          <w:szCs w:val="44"/>
          <w:highlight w:val="none"/>
        </w:rPr>
        <w:t>质疑函（格式）</w:t>
      </w:r>
    </w:p>
    <w:p w14:paraId="37442D15">
      <w:pPr>
        <w:pStyle w:val="42"/>
        <w:spacing w:line="360" w:lineRule="auto"/>
        <w:ind w:firstLine="482" w:firstLineChars="200"/>
        <w:contextualSpacing/>
        <w:rPr>
          <w:rFonts w:hAnsi="宋体"/>
          <w:b/>
          <w:bCs/>
          <w:color w:val="auto"/>
          <w:sz w:val="24"/>
          <w:szCs w:val="24"/>
          <w:highlight w:val="none"/>
        </w:rPr>
      </w:pPr>
      <w:r>
        <w:rPr>
          <w:rFonts w:hint="eastAsia" w:hAnsi="宋体"/>
          <w:b/>
          <w:bCs/>
          <w:color w:val="auto"/>
          <w:sz w:val="24"/>
          <w:szCs w:val="24"/>
          <w:highlight w:val="none"/>
        </w:rPr>
        <w:t>一、质疑供应商基本信息：</w:t>
      </w:r>
    </w:p>
    <w:p w14:paraId="3F481AC6">
      <w:pPr>
        <w:pStyle w:val="42"/>
        <w:spacing w:line="360" w:lineRule="auto"/>
        <w:ind w:firstLine="480" w:firstLineChars="200"/>
        <w:contextualSpacing/>
        <w:rPr>
          <w:rFonts w:hint="eastAsia" w:hAnsi="宋体"/>
          <w:bCs/>
          <w:color w:val="auto"/>
          <w:sz w:val="24"/>
          <w:szCs w:val="24"/>
          <w:highlight w:val="none"/>
          <w:u w:val="single"/>
        </w:rPr>
      </w:pPr>
      <w:r>
        <w:rPr>
          <w:rFonts w:hint="eastAsia" w:hAnsi="宋体"/>
          <w:bCs/>
          <w:color w:val="auto"/>
          <w:sz w:val="24"/>
          <w:szCs w:val="24"/>
          <w:highlight w:val="none"/>
        </w:rPr>
        <w:t>质疑供应商：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06EC43DB">
      <w:pPr>
        <w:pStyle w:val="42"/>
        <w:spacing w:line="360" w:lineRule="auto"/>
        <w:ind w:firstLine="480" w:firstLineChars="200"/>
        <w:contextualSpacing/>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604A184F">
      <w:pPr>
        <w:pStyle w:val="42"/>
        <w:spacing w:line="360" w:lineRule="auto"/>
        <w:ind w:firstLine="480" w:firstLineChars="200"/>
        <w:contextualSpacing/>
        <w:rPr>
          <w:rFonts w:hint="eastAsia"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4453A826">
      <w:pPr>
        <w:pStyle w:val="42"/>
        <w:spacing w:line="360" w:lineRule="auto"/>
        <w:ind w:firstLine="480" w:firstLineChars="200"/>
        <w:contextualSpacing/>
        <w:rPr>
          <w:rFonts w:hint="eastAsia" w:hAnsi="宋体"/>
          <w:bCs/>
          <w:color w:val="auto"/>
          <w:sz w:val="24"/>
          <w:szCs w:val="24"/>
          <w:highlight w:val="non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p>
    <w:p w14:paraId="296DD0F8">
      <w:pPr>
        <w:pStyle w:val="42"/>
        <w:spacing w:line="360" w:lineRule="auto"/>
        <w:ind w:firstLine="480" w:firstLineChars="200"/>
        <w:contextualSpacing/>
        <w:rPr>
          <w:rFonts w:hint="eastAsia"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18EA9961">
      <w:pPr>
        <w:pStyle w:val="42"/>
        <w:spacing w:line="360" w:lineRule="auto"/>
        <w:ind w:firstLine="480" w:firstLineChars="200"/>
        <w:contextualSpacing/>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08264270">
      <w:pPr>
        <w:pStyle w:val="42"/>
        <w:spacing w:line="360" w:lineRule="auto"/>
        <w:ind w:firstLine="482" w:firstLineChars="200"/>
        <w:contextualSpacing/>
        <w:rPr>
          <w:rFonts w:hint="eastAsia" w:hAnsi="宋体"/>
          <w:b/>
          <w:bCs/>
          <w:color w:val="auto"/>
          <w:sz w:val="24"/>
          <w:szCs w:val="24"/>
          <w:highlight w:val="none"/>
        </w:rPr>
      </w:pPr>
      <w:r>
        <w:rPr>
          <w:rFonts w:hint="eastAsia" w:hAnsi="宋体"/>
          <w:b/>
          <w:bCs/>
          <w:color w:val="auto"/>
          <w:sz w:val="24"/>
          <w:szCs w:val="24"/>
          <w:highlight w:val="none"/>
        </w:rPr>
        <w:t>二、质疑项目基本情况：</w:t>
      </w:r>
    </w:p>
    <w:p w14:paraId="4EF2C4FC">
      <w:pPr>
        <w:pStyle w:val="42"/>
        <w:spacing w:line="360" w:lineRule="auto"/>
        <w:ind w:left="25" w:leftChars="12" w:firstLine="472" w:firstLineChars="197"/>
        <w:contextualSpacing/>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5D5DBCFC">
      <w:pPr>
        <w:pStyle w:val="42"/>
        <w:spacing w:line="360" w:lineRule="auto"/>
        <w:ind w:left="25" w:leftChars="12" w:firstLine="472" w:firstLineChars="197"/>
        <w:contextualSpacing/>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50BD22B7">
      <w:pPr>
        <w:pStyle w:val="42"/>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2CF58EB2">
      <w:pPr>
        <w:pStyle w:val="42"/>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质疑事项：</w:t>
      </w:r>
    </w:p>
    <w:p w14:paraId="029C6263">
      <w:pPr>
        <w:pStyle w:val="42"/>
        <w:spacing w:line="360" w:lineRule="auto"/>
        <w:ind w:left="25" w:leftChars="12" w:firstLine="352" w:firstLineChars="147"/>
        <w:contextualSpacing/>
        <w:rPr>
          <w:rFonts w:hint="eastAsia" w:hAnsi="宋体"/>
          <w:color w:val="auto"/>
          <w:sz w:val="24"/>
          <w:szCs w:val="24"/>
          <w:highlight w:val="none"/>
        </w:rPr>
      </w:pPr>
      <w:r>
        <w:rPr>
          <w:rFonts w:hint="eastAsia" w:hAnsi="宋体"/>
          <w:color w:val="auto"/>
          <w:sz w:val="24"/>
          <w:szCs w:val="24"/>
          <w:highlight w:val="none"/>
        </w:rPr>
        <w:t>□采购文件   采购文件获取日期：</w:t>
      </w:r>
      <w:r>
        <w:rPr>
          <w:rFonts w:hint="eastAsia" w:hAnsi="宋体"/>
          <w:bCs/>
          <w:color w:val="auto"/>
          <w:sz w:val="24"/>
          <w:szCs w:val="24"/>
          <w:highlight w:val="none"/>
          <w:u w:val="single"/>
        </w:rPr>
        <w:t xml:space="preserve">                                   </w:t>
      </w:r>
    </w:p>
    <w:p w14:paraId="7B3A1E88">
      <w:pPr>
        <w:pStyle w:val="42"/>
        <w:spacing w:line="360" w:lineRule="auto"/>
        <w:ind w:left="25" w:leftChars="12" w:firstLine="352" w:firstLineChars="147"/>
        <w:contextualSpacing/>
        <w:rPr>
          <w:rFonts w:hint="eastAsia" w:hAnsi="宋体"/>
          <w:color w:val="auto"/>
          <w:sz w:val="24"/>
          <w:szCs w:val="24"/>
          <w:highlight w:val="none"/>
        </w:rPr>
      </w:pPr>
      <w:r>
        <w:rPr>
          <w:rFonts w:hint="eastAsia" w:hAnsi="宋体"/>
          <w:color w:val="auto"/>
          <w:sz w:val="24"/>
          <w:szCs w:val="24"/>
          <w:highlight w:val="none"/>
        </w:rPr>
        <w:t xml:space="preserve">□采购过程   </w:t>
      </w:r>
    </w:p>
    <w:p w14:paraId="26976C76">
      <w:pPr>
        <w:pStyle w:val="42"/>
        <w:spacing w:line="360" w:lineRule="auto"/>
        <w:ind w:left="25" w:leftChars="12" w:firstLine="352" w:firstLineChars="147"/>
        <w:contextualSpacing/>
        <w:rPr>
          <w:rFonts w:hint="eastAsia" w:hAnsi="宋体"/>
          <w:bCs/>
          <w:color w:val="auto"/>
          <w:sz w:val="24"/>
          <w:szCs w:val="24"/>
          <w:highlight w:val="none"/>
          <w:u w:val="single"/>
        </w:rPr>
      </w:pPr>
      <w:r>
        <w:rPr>
          <w:rFonts w:hint="eastAsia" w:hAnsi="宋体"/>
          <w:color w:val="auto"/>
          <w:sz w:val="24"/>
          <w:szCs w:val="24"/>
          <w:highlight w:val="none"/>
        </w:rPr>
        <w:t xml:space="preserve">□成交结果   </w:t>
      </w:r>
    </w:p>
    <w:p w14:paraId="6687FD17">
      <w:pPr>
        <w:pStyle w:val="42"/>
        <w:spacing w:line="360" w:lineRule="auto"/>
        <w:ind w:left="25" w:leftChars="12" w:firstLine="472" w:firstLineChars="196"/>
        <w:contextualSpacing/>
        <w:rPr>
          <w:rFonts w:hint="eastAsia" w:hAnsi="宋体"/>
          <w:b/>
          <w:color w:val="auto"/>
          <w:sz w:val="24"/>
          <w:szCs w:val="24"/>
          <w:highlight w:val="none"/>
        </w:rPr>
      </w:pPr>
      <w:r>
        <w:rPr>
          <w:rFonts w:hint="eastAsia" w:hAnsi="宋体"/>
          <w:b/>
          <w:color w:val="auto"/>
          <w:sz w:val="24"/>
          <w:szCs w:val="24"/>
          <w:highlight w:val="none"/>
        </w:rPr>
        <w:t>三、质疑事项具体内容</w:t>
      </w:r>
    </w:p>
    <w:p w14:paraId="6B160A2B">
      <w:pPr>
        <w:pStyle w:val="42"/>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质疑事项1：</w:t>
      </w:r>
      <w:r>
        <w:rPr>
          <w:rFonts w:hint="eastAsia" w:hAnsi="宋体"/>
          <w:bCs/>
          <w:color w:val="auto"/>
          <w:sz w:val="24"/>
          <w:szCs w:val="24"/>
          <w:highlight w:val="none"/>
          <w:u w:val="single"/>
        </w:rPr>
        <w:t xml:space="preserve">                                                                    </w:t>
      </w:r>
    </w:p>
    <w:p w14:paraId="6DD2E552">
      <w:pPr>
        <w:pStyle w:val="42"/>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事实依据：</w:t>
      </w:r>
      <w:r>
        <w:rPr>
          <w:rFonts w:hint="eastAsia" w:hAnsi="宋体"/>
          <w:bCs/>
          <w:color w:val="auto"/>
          <w:sz w:val="24"/>
          <w:szCs w:val="24"/>
          <w:highlight w:val="none"/>
          <w:u w:val="single"/>
        </w:rPr>
        <w:t xml:space="preserve">                                                                      </w:t>
      </w:r>
    </w:p>
    <w:p w14:paraId="1DBD9835">
      <w:pPr>
        <w:pStyle w:val="42"/>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法律依据：</w:t>
      </w:r>
      <w:r>
        <w:rPr>
          <w:rFonts w:hint="eastAsia" w:hAnsi="宋体"/>
          <w:color w:val="auto"/>
          <w:sz w:val="24"/>
          <w:szCs w:val="24"/>
          <w:highlight w:val="none"/>
          <w:u w:val="single"/>
        </w:rPr>
        <w:t xml:space="preserve">                                                        </w:t>
      </w:r>
      <w:r>
        <w:rPr>
          <w:rFonts w:hint="eastAsia" w:hAnsi="宋体"/>
          <w:bCs/>
          <w:color w:val="auto"/>
          <w:sz w:val="24"/>
          <w:szCs w:val="24"/>
          <w:highlight w:val="none"/>
          <w:u w:val="single"/>
        </w:rPr>
        <w:t xml:space="preserve">               </w:t>
      </w:r>
    </w:p>
    <w:p w14:paraId="088AA194">
      <w:pPr>
        <w:pStyle w:val="42"/>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质疑事项2</w:t>
      </w:r>
    </w:p>
    <w:p w14:paraId="48CC1348">
      <w:pPr>
        <w:pStyle w:val="42"/>
        <w:spacing w:line="360" w:lineRule="auto"/>
        <w:ind w:left="25" w:leftChars="12" w:firstLine="472" w:firstLineChars="197"/>
        <w:contextualSpacing/>
        <w:rPr>
          <w:rFonts w:hint="eastAsia" w:hAnsi="宋体"/>
          <w:color w:val="auto"/>
          <w:sz w:val="24"/>
          <w:szCs w:val="24"/>
          <w:highlight w:val="none"/>
        </w:rPr>
      </w:pPr>
      <w:r>
        <w:rPr>
          <w:rFonts w:hAnsi="宋体"/>
          <w:color w:val="auto"/>
          <w:sz w:val="24"/>
          <w:szCs w:val="24"/>
          <w:highlight w:val="none"/>
        </w:rPr>
        <w:t>……</w:t>
      </w:r>
    </w:p>
    <w:p w14:paraId="16E7363B">
      <w:pPr>
        <w:pStyle w:val="42"/>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四、与质疑事项相关的质疑请求：</w:t>
      </w:r>
    </w:p>
    <w:p w14:paraId="535DB5EA">
      <w:pPr>
        <w:pStyle w:val="42"/>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5B3FF52A">
      <w:pPr>
        <w:pStyle w:val="42"/>
        <w:spacing w:line="360" w:lineRule="auto"/>
        <w:ind w:left="25" w:leftChars="12" w:firstLine="352" w:firstLineChars="147"/>
        <w:contextualSpacing/>
        <w:rPr>
          <w:rFonts w:hint="eastAsia" w:hAnsi="宋体"/>
          <w:color w:val="auto"/>
          <w:sz w:val="24"/>
          <w:szCs w:val="24"/>
          <w:highlight w:val="none"/>
        </w:rPr>
      </w:pPr>
    </w:p>
    <w:p w14:paraId="624BD4B3">
      <w:pPr>
        <w:pStyle w:val="42"/>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签字（签章）：                                       公章：</w:t>
      </w:r>
    </w:p>
    <w:p w14:paraId="20E506E2">
      <w:pPr>
        <w:pStyle w:val="42"/>
        <w:spacing w:line="360" w:lineRule="auto"/>
        <w:ind w:firstLine="480" w:firstLineChars="200"/>
        <w:contextualSpacing/>
        <w:rPr>
          <w:rFonts w:hint="eastAsia" w:hAnsi="宋体"/>
          <w:color w:val="auto"/>
          <w:sz w:val="24"/>
          <w:szCs w:val="24"/>
          <w:highlight w:val="none"/>
        </w:rPr>
      </w:pPr>
      <w:r>
        <w:rPr>
          <w:rFonts w:hint="eastAsia" w:hAnsi="宋体"/>
          <w:color w:val="auto"/>
          <w:sz w:val="24"/>
          <w:szCs w:val="24"/>
          <w:highlight w:val="none"/>
        </w:rPr>
        <w:t>日期：</w:t>
      </w:r>
    </w:p>
    <w:p w14:paraId="7861A026">
      <w:pPr>
        <w:rPr>
          <w:rFonts w:hint="eastAsia"/>
        </w:rPr>
      </w:pPr>
    </w:p>
    <w:p w14:paraId="3C09B350">
      <w:pPr>
        <w:pStyle w:val="42"/>
        <w:spacing w:line="360" w:lineRule="auto"/>
        <w:contextualSpacing/>
        <w:rPr>
          <w:rFonts w:hint="eastAsia" w:hAnsi="宋体"/>
          <w:b/>
          <w:color w:val="auto"/>
          <w:sz w:val="24"/>
          <w:szCs w:val="24"/>
          <w:highlight w:val="none"/>
        </w:rPr>
      </w:pPr>
      <w:r>
        <w:rPr>
          <w:rFonts w:hint="eastAsia" w:hAnsi="宋体"/>
          <w:b/>
          <w:color w:val="auto"/>
          <w:sz w:val="24"/>
          <w:szCs w:val="24"/>
          <w:highlight w:val="none"/>
        </w:rPr>
        <w:t>说明：</w:t>
      </w:r>
    </w:p>
    <w:p w14:paraId="2FE058EC">
      <w:pPr>
        <w:pStyle w:val="42"/>
        <w:spacing w:line="360" w:lineRule="auto"/>
        <w:ind w:left="25" w:leftChars="12" w:firstLine="354" w:firstLineChars="147"/>
        <w:contextualSpacing/>
        <w:rPr>
          <w:rFonts w:hint="eastAsia"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14:paraId="310C9955">
      <w:pPr>
        <w:pStyle w:val="42"/>
        <w:spacing w:line="360" w:lineRule="auto"/>
        <w:ind w:left="25" w:leftChars="12" w:firstLine="354" w:firstLineChars="147"/>
        <w:contextualSpacing/>
        <w:rPr>
          <w:rFonts w:hint="eastAsia" w:hAnsi="宋体"/>
          <w:b/>
          <w:color w:val="auto"/>
          <w:sz w:val="24"/>
          <w:szCs w:val="24"/>
          <w:highlight w:val="none"/>
        </w:rPr>
      </w:pPr>
      <w:r>
        <w:rPr>
          <w:rFonts w:hint="eastAsia" w:hAnsi="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C32E75F">
      <w:pPr>
        <w:pStyle w:val="42"/>
        <w:spacing w:line="360" w:lineRule="auto"/>
        <w:ind w:left="25" w:leftChars="12" w:firstLine="354" w:firstLineChars="147"/>
        <w:contextualSpacing/>
        <w:rPr>
          <w:rFonts w:hint="eastAsia"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14:paraId="0121BEEB">
      <w:pPr>
        <w:pStyle w:val="42"/>
        <w:spacing w:line="360" w:lineRule="auto"/>
        <w:ind w:left="25" w:leftChars="12" w:firstLine="354" w:firstLineChars="147"/>
        <w:contextualSpacing/>
        <w:rPr>
          <w:rFonts w:hint="eastAsia" w:hAnsi="宋体"/>
          <w:b/>
          <w:color w:val="auto"/>
          <w:sz w:val="24"/>
          <w:szCs w:val="24"/>
          <w:highlight w:val="none"/>
        </w:rPr>
      </w:pPr>
      <w:r>
        <w:rPr>
          <w:rFonts w:hint="eastAsia" w:hAnsi="宋体"/>
          <w:b/>
          <w:color w:val="auto"/>
          <w:sz w:val="24"/>
          <w:szCs w:val="24"/>
          <w:highlight w:val="none"/>
        </w:rPr>
        <w:t>4.质疑函的质疑请求应与质疑事项相关。</w:t>
      </w:r>
    </w:p>
    <w:p w14:paraId="4EC75CA5">
      <w:pPr>
        <w:pStyle w:val="42"/>
        <w:spacing w:line="360" w:lineRule="auto"/>
        <w:ind w:left="25" w:leftChars="12" w:firstLine="354" w:firstLineChars="147"/>
        <w:contextualSpacing/>
        <w:rPr>
          <w:rFonts w:hint="eastAsia"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14:paraId="0160B4AA">
      <w:pPr>
        <w:pStyle w:val="42"/>
        <w:rPr>
          <w:rFonts w:hint="eastAsia"/>
          <w:b/>
          <w:color w:val="auto"/>
          <w:sz w:val="24"/>
          <w:szCs w:val="24"/>
          <w:highlight w:val="none"/>
        </w:rPr>
      </w:pPr>
    </w:p>
    <w:p w14:paraId="40F65054">
      <w:pPr>
        <w:rPr>
          <w:rFonts w:hint="eastAsia"/>
          <w:color w:val="auto"/>
          <w:sz w:val="32"/>
          <w:szCs w:val="40"/>
          <w:highlight w:val="none"/>
        </w:rPr>
      </w:pPr>
    </w:p>
    <w:p w14:paraId="6247C4D7">
      <w:pPr>
        <w:rPr>
          <w:rFonts w:hint="eastAsia"/>
          <w:color w:val="auto"/>
          <w:sz w:val="32"/>
          <w:szCs w:val="40"/>
          <w:highlight w:val="none"/>
        </w:rPr>
      </w:pPr>
    </w:p>
    <w:p w14:paraId="0BF9D026">
      <w:pPr>
        <w:rPr>
          <w:rFonts w:hint="eastAsia"/>
          <w:color w:val="auto"/>
          <w:sz w:val="32"/>
          <w:szCs w:val="40"/>
          <w:highlight w:val="none"/>
        </w:rPr>
      </w:pPr>
    </w:p>
    <w:p w14:paraId="0E954502">
      <w:pPr>
        <w:rPr>
          <w:rFonts w:hint="eastAsia"/>
          <w:color w:val="auto"/>
          <w:sz w:val="32"/>
          <w:szCs w:val="40"/>
          <w:highlight w:val="none"/>
        </w:rPr>
      </w:pPr>
    </w:p>
    <w:p w14:paraId="3E61B80D">
      <w:pPr>
        <w:rPr>
          <w:rFonts w:hint="eastAsia"/>
          <w:color w:val="auto"/>
          <w:sz w:val="32"/>
          <w:szCs w:val="40"/>
          <w:highlight w:val="none"/>
        </w:rPr>
      </w:pPr>
    </w:p>
    <w:p w14:paraId="73964189">
      <w:pPr>
        <w:rPr>
          <w:rFonts w:hint="eastAsia"/>
          <w:color w:val="auto"/>
          <w:sz w:val="32"/>
          <w:szCs w:val="40"/>
          <w:highlight w:val="none"/>
        </w:rPr>
      </w:pPr>
    </w:p>
    <w:p w14:paraId="61A94489">
      <w:pPr>
        <w:rPr>
          <w:rFonts w:hint="eastAsia"/>
          <w:color w:val="auto"/>
          <w:sz w:val="32"/>
          <w:szCs w:val="40"/>
          <w:highlight w:val="none"/>
        </w:rPr>
      </w:pPr>
    </w:p>
    <w:p w14:paraId="458611F6">
      <w:pPr>
        <w:rPr>
          <w:rFonts w:hint="eastAsia"/>
          <w:color w:val="auto"/>
          <w:sz w:val="32"/>
          <w:szCs w:val="40"/>
          <w:highlight w:val="none"/>
        </w:rPr>
      </w:pPr>
    </w:p>
    <w:p w14:paraId="3DBF8468">
      <w:pPr>
        <w:rPr>
          <w:rFonts w:hint="eastAsia"/>
          <w:color w:val="auto"/>
          <w:sz w:val="32"/>
          <w:szCs w:val="40"/>
          <w:highlight w:val="none"/>
        </w:rPr>
      </w:pPr>
    </w:p>
    <w:p w14:paraId="130B6B14">
      <w:pPr>
        <w:pStyle w:val="26"/>
        <w:rPr>
          <w:rFonts w:hint="eastAsia"/>
          <w:color w:val="auto"/>
          <w:highlight w:val="none"/>
        </w:rPr>
      </w:pPr>
    </w:p>
    <w:p w14:paraId="10C36F0A">
      <w:pPr>
        <w:pStyle w:val="26"/>
        <w:rPr>
          <w:rFonts w:hint="eastAsia"/>
          <w:color w:val="auto"/>
          <w:highlight w:val="none"/>
        </w:rPr>
      </w:pPr>
    </w:p>
    <w:p w14:paraId="6612F5F9">
      <w:pPr>
        <w:rPr>
          <w:rFonts w:hint="eastAsia"/>
          <w:color w:val="auto"/>
          <w:sz w:val="32"/>
          <w:szCs w:val="40"/>
          <w:highlight w:val="none"/>
        </w:rPr>
      </w:pPr>
    </w:p>
    <w:p w14:paraId="11631D22">
      <w:pPr>
        <w:rPr>
          <w:rFonts w:hint="eastAsia"/>
          <w:color w:val="auto"/>
          <w:sz w:val="32"/>
          <w:szCs w:val="40"/>
          <w:highlight w:val="none"/>
        </w:rPr>
      </w:pPr>
    </w:p>
    <w:p w14:paraId="0EB29576">
      <w:pPr>
        <w:rPr>
          <w:rFonts w:hint="eastAsia"/>
          <w:color w:val="auto"/>
          <w:sz w:val="32"/>
          <w:szCs w:val="40"/>
          <w:highlight w:val="none"/>
        </w:rPr>
      </w:pPr>
    </w:p>
    <w:p w14:paraId="4286AA1B">
      <w:pPr>
        <w:rPr>
          <w:rFonts w:hint="eastAsia"/>
          <w:color w:val="auto"/>
          <w:sz w:val="32"/>
          <w:szCs w:val="40"/>
          <w:highlight w:val="none"/>
        </w:rPr>
      </w:pPr>
    </w:p>
    <w:p w14:paraId="3B43BA78">
      <w:pPr>
        <w:spacing w:line="360" w:lineRule="auto"/>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投诉书（格式）</w:t>
      </w:r>
    </w:p>
    <w:p w14:paraId="5415213A">
      <w:pPr>
        <w:pStyle w:val="42"/>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一、投诉相关主体基本情况：</w:t>
      </w:r>
    </w:p>
    <w:p w14:paraId="7F8DBC0B">
      <w:pPr>
        <w:pStyle w:val="42"/>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7E372D79">
      <w:pPr>
        <w:pStyle w:val="42"/>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1B2FA98E">
      <w:pPr>
        <w:pStyle w:val="42"/>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法定代表人/主要负责人：</w:t>
      </w:r>
      <w:r>
        <w:rPr>
          <w:rFonts w:hint="eastAsia" w:hAnsi="宋体"/>
          <w:bCs/>
          <w:color w:val="auto"/>
          <w:sz w:val="24"/>
          <w:szCs w:val="24"/>
          <w:highlight w:val="none"/>
          <w:u w:val="single"/>
        </w:rPr>
        <w:t xml:space="preserve">                                                         </w:t>
      </w:r>
    </w:p>
    <w:p w14:paraId="0C89AB5E">
      <w:pPr>
        <w:pStyle w:val="42"/>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0E31F301">
      <w:pPr>
        <w:pStyle w:val="42"/>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6D2B437A">
      <w:pPr>
        <w:pStyle w:val="42"/>
        <w:spacing w:line="360" w:lineRule="auto"/>
        <w:ind w:firstLine="480" w:firstLineChars="200"/>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14F36FF1">
      <w:pPr>
        <w:pStyle w:val="42"/>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4C7D6296">
      <w:pPr>
        <w:pStyle w:val="42"/>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被投诉人1：</w:t>
      </w:r>
    </w:p>
    <w:p w14:paraId="0E285240">
      <w:pPr>
        <w:pStyle w:val="42"/>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p>
    <w:p w14:paraId="7C4EF656">
      <w:pPr>
        <w:pStyle w:val="42"/>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73CD20BF">
      <w:pPr>
        <w:pStyle w:val="42"/>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340A9126">
      <w:pPr>
        <w:pStyle w:val="42"/>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被投诉人2：</w:t>
      </w:r>
    </w:p>
    <w:p w14:paraId="2842ACF1">
      <w:pPr>
        <w:pStyle w:val="42"/>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w:t>
      </w:r>
    </w:p>
    <w:p w14:paraId="24D3128B">
      <w:pPr>
        <w:pStyle w:val="42"/>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相关供应商：</w:t>
      </w:r>
      <w:r>
        <w:rPr>
          <w:rFonts w:hint="eastAsia" w:hAnsi="宋体"/>
          <w:bCs/>
          <w:color w:val="auto"/>
          <w:sz w:val="24"/>
          <w:szCs w:val="24"/>
          <w:highlight w:val="none"/>
          <w:u w:val="single"/>
        </w:rPr>
        <w:t xml:space="preserve">                                                                       </w:t>
      </w:r>
    </w:p>
    <w:p w14:paraId="2A03001C">
      <w:pPr>
        <w:pStyle w:val="42"/>
        <w:spacing w:line="360" w:lineRule="auto"/>
        <w:ind w:firstLine="480" w:firstLineChars="200"/>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6EBE9E98">
      <w:pPr>
        <w:pStyle w:val="42"/>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04A67379">
      <w:pPr>
        <w:pStyle w:val="42"/>
        <w:spacing w:line="360" w:lineRule="auto"/>
        <w:ind w:firstLine="482" w:firstLineChars="200"/>
        <w:rPr>
          <w:rFonts w:hint="eastAsia" w:hAnsi="宋体"/>
          <w:b/>
          <w:bCs/>
          <w:color w:val="auto"/>
          <w:sz w:val="24"/>
          <w:szCs w:val="24"/>
          <w:highlight w:val="none"/>
        </w:rPr>
      </w:pPr>
      <w:r>
        <w:rPr>
          <w:rFonts w:hint="eastAsia" w:hAnsi="宋体"/>
          <w:b/>
          <w:bCs/>
          <w:color w:val="auto"/>
          <w:sz w:val="24"/>
          <w:szCs w:val="24"/>
          <w:highlight w:val="none"/>
        </w:rPr>
        <w:t>二、投诉项目基本情况：</w:t>
      </w:r>
    </w:p>
    <w:p w14:paraId="55377B95">
      <w:pPr>
        <w:pStyle w:val="42"/>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2AEA7D07">
      <w:pPr>
        <w:pStyle w:val="42"/>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0366653A">
      <w:pPr>
        <w:pStyle w:val="42"/>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14C3EAB4">
      <w:pPr>
        <w:pStyle w:val="42"/>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代理机构名称：</w:t>
      </w:r>
      <w:r>
        <w:rPr>
          <w:rFonts w:hint="eastAsia" w:hAnsi="宋体"/>
          <w:bCs/>
          <w:color w:val="auto"/>
          <w:sz w:val="24"/>
          <w:szCs w:val="24"/>
          <w:highlight w:val="none"/>
          <w:u w:val="single"/>
        </w:rPr>
        <w:t xml:space="preserve">                                                                      </w:t>
      </w:r>
    </w:p>
    <w:p w14:paraId="65BEF4C4">
      <w:pPr>
        <w:pStyle w:val="42"/>
        <w:spacing w:line="360" w:lineRule="auto"/>
        <w:ind w:left="25" w:leftChars="12" w:firstLine="472" w:firstLineChars="197"/>
        <w:rPr>
          <w:rFonts w:hint="eastAsia" w:hAnsi="宋体"/>
          <w:bCs/>
          <w:color w:val="auto"/>
          <w:sz w:val="24"/>
          <w:szCs w:val="24"/>
          <w:highlight w:val="none"/>
          <w:u w:val="single"/>
        </w:rPr>
      </w:pPr>
      <w:r>
        <w:rPr>
          <w:rFonts w:hint="eastAsia" w:hAnsi="宋体"/>
          <w:bCs/>
          <w:color w:val="auto"/>
          <w:sz w:val="24"/>
          <w:szCs w:val="24"/>
          <w:highlight w:val="none"/>
        </w:rPr>
        <w:t>采购文件公告：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4931BB5F">
      <w:pPr>
        <w:pStyle w:val="42"/>
        <w:spacing w:line="360" w:lineRule="auto"/>
        <w:ind w:left="25" w:leftChars="12" w:firstLine="472" w:firstLineChars="197"/>
        <w:rPr>
          <w:rFonts w:hint="eastAsia" w:hAnsi="宋体"/>
          <w:b/>
          <w:color w:val="auto"/>
          <w:sz w:val="24"/>
          <w:szCs w:val="24"/>
          <w:highlight w:val="none"/>
        </w:rPr>
      </w:pPr>
      <w:r>
        <w:rPr>
          <w:rFonts w:hint="eastAsia" w:hAnsi="宋体"/>
          <w:bCs/>
          <w:color w:val="auto"/>
          <w:sz w:val="24"/>
          <w:szCs w:val="24"/>
          <w:highlight w:val="none"/>
        </w:rPr>
        <w:t>采购结果公告：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5F36BB58">
      <w:pPr>
        <w:pStyle w:val="42"/>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三、质疑基本情况</w:t>
      </w:r>
    </w:p>
    <w:p w14:paraId="10FC1217">
      <w:pPr>
        <w:pStyle w:val="42"/>
        <w:spacing w:line="360" w:lineRule="auto"/>
        <w:ind w:firstLine="480" w:firstLineChars="200"/>
        <w:rPr>
          <w:rFonts w:hint="eastAsia" w:hAnsi="宋体"/>
          <w:color w:val="auto"/>
          <w:sz w:val="24"/>
          <w:szCs w:val="24"/>
          <w:highlight w:val="none"/>
        </w:rPr>
      </w:pPr>
      <w:r>
        <w:rPr>
          <w:rFonts w:hint="eastAsia" w:hAnsi="宋体"/>
          <w:color w:val="auto"/>
          <w:sz w:val="24"/>
          <w:szCs w:val="24"/>
          <w:highlight w:val="none"/>
        </w:rPr>
        <w:t>投诉人于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日，向</w:t>
      </w:r>
      <w:r>
        <w:rPr>
          <w:rFonts w:hint="eastAsia" w:hAnsi="宋体"/>
          <w:color w:val="auto"/>
          <w:sz w:val="24"/>
          <w:szCs w:val="24"/>
          <w:highlight w:val="none"/>
          <w:u w:val="single"/>
        </w:rPr>
        <w:t xml:space="preserve">                                </w:t>
      </w:r>
      <w:r>
        <w:rPr>
          <w:rFonts w:hint="eastAsia" w:hAnsi="宋体"/>
          <w:color w:val="auto"/>
          <w:sz w:val="24"/>
          <w:szCs w:val="24"/>
          <w:highlight w:val="none"/>
        </w:rPr>
        <w:t>提出质疑，质疑事项为：</w:t>
      </w:r>
    </w:p>
    <w:p w14:paraId="120F7B36">
      <w:pPr>
        <w:pStyle w:val="42"/>
        <w:spacing w:line="360" w:lineRule="auto"/>
        <w:ind w:firstLine="241"/>
        <w:rPr>
          <w:rFonts w:hint="eastAsia" w:hAnsi="宋体"/>
          <w:bCs/>
          <w:color w:val="auto"/>
          <w:sz w:val="24"/>
          <w:szCs w:val="24"/>
          <w:highlight w:val="none"/>
          <w:u w:val="single"/>
        </w:rPr>
      </w:pP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28F8B49D">
      <w:pPr>
        <w:pStyle w:val="42"/>
        <w:spacing w:line="360" w:lineRule="auto"/>
        <w:ind w:firstLine="241"/>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7386A5B2">
      <w:pPr>
        <w:pStyle w:val="42"/>
        <w:spacing w:line="360" w:lineRule="auto"/>
        <w:ind w:firstLine="480" w:firstLineChars="200"/>
        <w:rPr>
          <w:rFonts w:hint="eastAsia"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r>
        <w:rPr>
          <w:rFonts w:hint="eastAsia" w:hAnsi="宋体"/>
          <w:bCs/>
          <w:color w:val="auto"/>
          <w:sz w:val="24"/>
          <w:szCs w:val="24"/>
          <w:highlight w:val="none"/>
        </w:rPr>
        <w:t xml:space="preserve">就质疑事项作出了答复/没有在法定期限内作出答复。                                                                                             </w:t>
      </w:r>
    </w:p>
    <w:p w14:paraId="76B16D9F">
      <w:pPr>
        <w:pStyle w:val="42"/>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四、投诉事项具体内容</w:t>
      </w:r>
    </w:p>
    <w:p w14:paraId="175FC93D">
      <w:pPr>
        <w:pStyle w:val="42"/>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投诉事项1：</w:t>
      </w:r>
      <w:r>
        <w:rPr>
          <w:rFonts w:hint="eastAsia" w:hAnsi="宋体"/>
          <w:bCs/>
          <w:color w:val="auto"/>
          <w:sz w:val="24"/>
          <w:szCs w:val="24"/>
          <w:highlight w:val="none"/>
          <w:u w:val="single"/>
        </w:rPr>
        <w:t xml:space="preserve">                                                                           </w:t>
      </w:r>
    </w:p>
    <w:p w14:paraId="396A9BAF">
      <w:pPr>
        <w:pStyle w:val="42"/>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事实依据：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77352630">
      <w:pPr>
        <w:pStyle w:val="42"/>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u w:val="single"/>
        </w:rPr>
        <w:t xml:space="preserve">                                                                                        </w:t>
      </w:r>
    </w:p>
    <w:p w14:paraId="3B7E72FD">
      <w:pPr>
        <w:pStyle w:val="42"/>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法律依据：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1E6E8510">
      <w:pPr>
        <w:pStyle w:val="42"/>
        <w:spacing w:line="360" w:lineRule="auto"/>
        <w:ind w:left="25" w:leftChars="12" w:firstLine="352" w:firstLineChars="147"/>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0FD1ABE5">
      <w:pPr>
        <w:pStyle w:val="42"/>
        <w:spacing w:line="360" w:lineRule="auto"/>
        <w:ind w:left="25" w:leftChars="12" w:firstLine="472" w:firstLineChars="197"/>
        <w:rPr>
          <w:rFonts w:hint="eastAsia" w:hAnsi="宋体"/>
          <w:bCs/>
          <w:color w:val="auto"/>
          <w:sz w:val="24"/>
          <w:szCs w:val="24"/>
          <w:highlight w:val="none"/>
        </w:rPr>
      </w:pPr>
      <w:r>
        <w:rPr>
          <w:rFonts w:hint="eastAsia" w:hAnsi="宋体"/>
          <w:color w:val="auto"/>
          <w:sz w:val="24"/>
          <w:szCs w:val="24"/>
          <w:highlight w:val="none"/>
        </w:rPr>
        <w:t xml:space="preserve">投诉事项2  </w:t>
      </w:r>
      <w:r>
        <w:rPr>
          <w:rFonts w:hint="eastAsia" w:hAnsi="宋体"/>
          <w:bCs/>
          <w:color w:val="auto"/>
          <w:sz w:val="24"/>
          <w:szCs w:val="24"/>
          <w:highlight w:val="none"/>
        </w:rPr>
        <w:t xml:space="preserve">   </w:t>
      </w:r>
    </w:p>
    <w:p w14:paraId="50242670">
      <w:pPr>
        <w:pStyle w:val="42"/>
        <w:spacing w:line="360" w:lineRule="auto"/>
        <w:ind w:left="25" w:leftChars="12" w:firstLine="472" w:firstLineChars="197"/>
        <w:rPr>
          <w:rFonts w:hint="eastAsia" w:hAnsi="宋体"/>
          <w:bCs/>
          <w:color w:val="auto"/>
          <w:sz w:val="24"/>
          <w:szCs w:val="24"/>
          <w:highlight w:val="none"/>
        </w:rPr>
      </w:pPr>
      <w:r>
        <w:rPr>
          <w:rFonts w:hAnsi="宋体"/>
          <w:bCs/>
          <w:color w:val="auto"/>
          <w:sz w:val="24"/>
          <w:szCs w:val="24"/>
          <w:highlight w:val="none"/>
        </w:rPr>
        <w:t>……</w:t>
      </w:r>
    </w:p>
    <w:p w14:paraId="49C3C3CA">
      <w:pPr>
        <w:pStyle w:val="42"/>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五、与投诉事项相关的投诉请求：</w:t>
      </w:r>
    </w:p>
    <w:p w14:paraId="6B3F3CA7">
      <w:pPr>
        <w:pStyle w:val="42"/>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409C8A67">
      <w:pPr>
        <w:pStyle w:val="42"/>
        <w:spacing w:line="360" w:lineRule="auto"/>
        <w:ind w:left="25" w:leftChars="12" w:firstLine="352" w:firstLineChars="147"/>
        <w:rPr>
          <w:rFonts w:hint="eastAsia" w:hAnsi="宋体"/>
          <w:color w:val="auto"/>
          <w:sz w:val="24"/>
          <w:szCs w:val="24"/>
          <w:highlight w:val="none"/>
        </w:rPr>
      </w:pPr>
    </w:p>
    <w:p w14:paraId="4C2583A7">
      <w:pPr>
        <w:pStyle w:val="42"/>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签字（签章）：                                       公章：</w:t>
      </w:r>
    </w:p>
    <w:p w14:paraId="46B8FD84">
      <w:pPr>
        <w:pStyle w:val="42"/>
        <w:spacing w:line="360" w:lineRule="auto"/>
        <w:ind w:left="25" w:leftChars="12" w:firstLine="352" w:firstLineChars="147"/>
        <w:rPr>
          <w:rFonts w:hint="eastAsia" w:hAnsi="宋体"/>
          <w:color w:val="auto"/>
          <w:sz w:val="24"/>
          <w:szCs w:val="24"/>
          <w:highlight w:val="none"/>
        </w:rPr>
      </w:pPr>
    </w:p>
    <w:p w14:paraId="77ECDAD8">
      <w:pPr>
        <w:pStyle w:val="42"/>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日期：</w:t>
      </w:r>
    </w:p>
    <w:p w14:paraId="72E28655">
      <w:pPr>
        <w:pStyle w:val="42"/>
        <w:spacing w:line="360" w:lineRule="auto"/>
        <w:rPr>
          <w:rFonts w:hint="eastAsia" w:hAnsi="宋体"/>
          <w:b/>
          <w:color w:val="auto"/>
          <w:sz w:val="24"/>
          <w:szCs w:val="24"/>
          <w:highlight w:val="none"/>
        </w:rPr>
      </w:pPr>
      <w:r>
        <w:rPr>
          <w:rFonts w:hint="eastAsia" w:hAnsi="宋体"/>
          <w:b/>
          <w:color w:val="auto"/>
          <w:sz w:val="24"/>
          <w:szCs w:val="24"/>
          <w:highlight w:val="none"/>
        </w:rPr>
        <w:t>说明：</w:t>
      </w:r>
    </w:p>
    <w:p w14:paraId="482132EC">
      <w:pPr>
        <w:pStyle w:val="42"/>
        <w:spacing w:line="360" w:lineRule="auto"/>
        <w:ind w:left="25" w:leftChars="12" w:firstLine="354" w:firstLineChars="147"/>
        <w:rPr>
          <w:rFonts w:hint="eastAsia"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14:paraId="365D5026">
      <w:pPr>
        <w:pStyle w:val="42"/>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0CC959BB">
      <w:pPr>
        <w:pStyle w:val="42"/>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3A41542D">
      <w:pPr>
        <w:pStyle w:val="42"/>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14:paraId="5F2D14EA">
      <w:pPr>
        <w:pStyle w:val="42"/>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5.投诉书的投诉请求应与投诉事项相关。</w:t>
      </w:r>
    </w:p>
    <w:p w14:paraId="4AFA2EF2">
      <w:pPr>
        <w:pStyle w:val="42"/>
        <w:spacing w:line="360" w:lineRule="auto"/>
        <w:ind w:left="25" w:leftChars="12" w:firstLine="354" w:firstLineChars="147"/>
        <w:rPr>
          <w:rFonts w:hint="eastAsia" w:hAnsi="宋体"/>
          <w:b/>
          <w:color w:val="auto"/>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p>
    <w:p w14:paraId="4634CAEF">
      <w:pPr>
        <w:rPr>
          <w:rFonts w:hint="eastAsia"/>
          <w:color w:val="auto"/>
          <w:highlight w:val="none"/>
        </w:rPr>
      </w:pPr>
    </w:p>
    <w:p w14:paraId="7F648D3D">
      <w:pPr>
        <w:pStyle w:val="19"/>
        <w:numPr>
          <w:ilvl w:val="0"/>
          <w:numId w:val="0"/>
        </w:numPr>
        <w:ind w:firstLine="3092" w:firstLineChars="700"/>
        <w:rPr>
          <w:rFonts w:hint="eastAsia"/>
          <w:color w:val="auto"/>
          <w:highlight w:val="none"/>
        </w:rPr>
      </w:pPr>
      <w:r>
        <w:rPr>
          <w:rFonts w:hint="eastAsia"/>
          <w:color w:val="auto"/>
          <w:highlight w:val="none"/>
        </w:rPr>
        <w:t>第六章 合同文本</w:t>
      </w:r>
    </w:p>
    <w:p w14:paraId="5C8F963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b/>
          <w:bCs/>
          <w:color w:val="auto"/>
          <w:kern w:val="44"/>
          <w:sz w:val="36"/>
          <w:szCs w:val="36"/>
          <w:highlight w:val="none"/>
          <w:lang w:eastAsia="zh-CN"/>
        </w:rPr>
      </w:pPr>
      <w:r>
        <w:rPr>
          <w:rFonts w:hint="eastAsia" w:ascii="宋体" w:hAnsi="宋体"/>
          <w:b/>
          <w:bCs/>
          <w:color w:val="auto"/>
          <w:kern w:val="44"/>
          <w:sz w:val="36"/>
          <w:szCs w:val="36"/>
          <w:highlight w:val="none"/>
          <w:lang w:eastAsia="zh-CN"/>
        </w:rPr>
        <w:t>防城港市财政局食堂食材配送服务项目</w:t>
      </w:r>
    </w:p>
    <w:p w14:paraId="7C0E25A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color w:val="auto"/>
          <w:sz w:val="36"/>
          <w:szCs w:val="36"/>
          <w:highlight w:val="none"/>
        </w:rPr>
      </w:pPr>
      <w:r>
        <w:rPr>
          <w:rFonts w:hint="eastAsia" w:ascii="宋体" w:hAnsi="宋体"/>
          <w:b/>
          <w:bCs/>
          <w:color w:val="auto"/>
          <w:kern w:val="44"/>
          <w:sz w:val="36"/>
          <w:szCs w:val="36"/>
          <w:highlight w:val="none"/>
        </w:rPr>
        <w:t>合同文本</w:t>
      </w:r>
    </w:p>
    <w:p w14:paraId="3C3E04E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 xml:space="preserve">采购人（甲方）：   </w:t>
      </w:r>
      <w:r>
        <w:rPr>
          <w:rFonts w:hint="eastAsia" w:ascii="宋体" w:hAnsi="宋体" w:cs="宋体"/>
          <w:color w:val="auto"/>
          <w:szCs w:val="21"/>
          <w:highlight w:val="none"/>
          <w:u w:val="single"/>
        </w:rPr>
        <w:t xml:space="preserve">                       </w:t>
      </w:r>
    </w:p>
    <w:p w14:paraId="52F0426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供应商（乙方）： </w:t>
      </w:r>
      <w:r>
        <w:rPr>
          <w:rFonts w:hint="eastAsia" w:ascii="宋体" w:hAnsi="宋体" w:cs="宋体"/>
          <w:color w:val="auto"/>
          <w:szCs w:val="21"/>
          <w:highlight w:val="none"/>
          <w:u w:val="single"/>
        </w:rPr>
        <w:t xml:space="preserve">                       </w:t>
      </w:r>
    </w:p>
    <w:p w14:paraId="303069E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采 购 计 划 号：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44BAAA6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项目名称：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141C3B2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项目编号：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423BBA2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合同类型：</w:t>
      </w:r>
      <w:r>
        <w:rPr>
          <w:rFonts w:hint="eastAsia" w:ascii="宋体" w:hAnsi="宋体" w:cs="宋体"/>
          <w:color w:val="auto"/>
          <w:szCs w:val="21"/>
          <w:highlight w:val="none"/>
          <w:lang w:eastAsia="zh-CN"/>
        </w:rPr>
        <w:t>服务</w:t>
      </w:r>
      <w:r>
        <w:rPr>
          <w:rFonts w:hint="eastAsia" w:ascii="宋体" w:hAnsi="宋体" w:cs="宋体"/>
          <w:color w:val="auto"/>
          <w:szCs w:val="21"/>
          <w:highlight w:val="none"/>
        </w:rPr>
        <w:t xml:space="preserve">合同 </w:t>
      </w:r>
    </w:p>
    <w:p w14:paraId="3573073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本合同为中小企业预留合同：</w:t>
      </w:r>
    </w:p>
    <w:p w14:paraId="323B7CA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根据《中华人民共和国政府采购法》、《中华人民共和国民法典》等法律、法规规定，按照竞争性磋商文件（采购文件）规定条款和</w:t>
      </w:r>
      <w:r>
        <w:rPr>
          <w:rFonts w:hint="eastAsia" w:ascii="宋体" w:hAnsi="宋体" w:cs="宋体"/>
          <w:color w:val="auto"/>
          <w:szCs w:val="21"/>
          <w:highlight w:val="none"/>
          <w:lang w:eastAsia="zh-CN"/>
        </w:rPr>
        <w:t>乙方</w:t>
      </w:r>
      <w:r>
        <w:rPr>
          <w:rFonts w:hint="eastAsia" w:ascii="宋体" w:hAnsi="宋体" w:cs="宋体"/>
          <w:color w:val="auto"/>
          <w:szCs w:val="21"/>
          <w:highlight w:val="none"/>
        </w:rPr>
        <w:t>承诺，甲乙双方签订本合同。</w:t>
      </w:r>
    </w:p>
    <w:p w14:paraId="721CFE96">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合同标的</w:t>
      </w:r>
    </w:p>
    <w:p w14:paraId="5115824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b/>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合同标的</w:t>
      </w:r>
    </w:p>
    <w:tbl>
      <w:tblPr>
        <w:tblStyle w:val="12"/>
        <w:tblW w:w="8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41"/>
        <w:gridCol w:w="1015"/>
        <w:gridCol w:w="1108"/>
        <w:gridCol w:w="2169"/>
      </w:tblGrid>
      <w:tr w14:paraId="79C65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3841" w:type="dxa"/>
            <w:tcBorders>
              <w:top w:val="single" w:color="auto" w:sz="4" w:space="0"/>
              <w:left w:val="single" w:color="auto" w:sz="4" w:space="0"/>
              <w:bottom w:val="single" w:color="auto" w:sz="4" w:space="0"/>
              <w:right w:val="single" w:color="auto" w:sz="4" w:space="0"/>
            </w:tcBorders>
            <w:noWrap w:val="0"/>
            <w:vAlign w:val="center"/>
          </w:tcPr>
          <w:p w14:paraId="2AC4EC74">
            <w:pPr>
              <w:keepNext w:val="0"/>
              <w:keepLines w:val="0"/>
              <w:pageBreakBefore w:val="0"/>
              <w:widowControl w:val="0"/>
              <w:kinsoku/>
              <w:wordWrap/>
              <w:overflowPunct/>
              <w:topLinePunct w:val="0"/>
              <w:autoSpaceDE/>
              <w:autoSpaceDN/>
              <w:bidi w:val="0"/>
              <w:adjustRightInd/>
              <w:snapToGrid/>
              <w:spacing w:line="360" w:lineRule="exact"/>
              <w:contextualSpacing/>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1015" w:type="dxa"/>
            <w:tcBorders>
              <w:top w:val="single" w:color="auto" w:sz="4" w:space="0"/>
              <w:left w:val="single" w:color="auto" w:sz="4" w:space="0"/>
              <w:bottom w:val="single" w:color="auto" w:sz="4" w:space="0"/>
              <w:right w:val="single" w:color="auto" w:sz="4" w:space="0"/>
            </w:tcBorders>
            <w:noWrap w:val="0"/>
            <w:vAlign w:val="center"/>
          </w:tcPr>
          <w:p w14:paraId="24E1FEC7">
            <w:pPr>
              <w:keepNext w:val="0"/>
              <w:keepLines w:val="0"/>
              <w:pageBreakBefore w:val="0"/>
              <w:widowControl w:val="0"/>
              <w:kinsoku/>
              <w:wordWrap/>
              <w:overflowPunct/>
              <w:topLinePunct w:val="0"/>
              <w:autoSpaceDE/>
              <w:autoSpaceDN/>
              <w:bidi w:val="0"/>
              <w:adjustRightInd/>
              <w:snapToGrid/>
              <w:spacing w:line="360" w:lineRule="exact"/>
              <w:contextualSpacing/>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1108" w:type="dxa"/>
            <w:tcBorders>
              <w:top w:val="single" w:color="auto" w:sz="4" w:space="0"/>
              <w:left w:val="single" w:color="auto" w:sz="4" w:space="0"/>
              <w:bottom w:val="single" w:color="auto" w:sz="4" w:space="0"/>
              <w:right w:val="single" w:color="auto" w:sz="4" w:space="0"/>
            </w:tcBorders>
            <w:noWrap w:val="0"/>
            <w:vAlign w:val="center"/>
          </w:tcPr>
          <w:p w14:paraId="1F75086D">
            <w:pPr>
              <w:keepNext w:val="0"/>
              <w:keepLines w:val="0"/>
              <w:pageBreakBefore w:val="0"/>
              <w:widowControl w:val="0"/>
              <w:kinsoku/>
              <w:wordWrap/>
              <w:overflowPunct/>
              <w:topLinePunct w:val="0"/>
              <w:autoSpaceDE/>
              <w:autoSpaceDN/>
              <w:bidi w:val="0"/>
              <w:adjustRightInd/>
              <w:snapToGrid/>
              <w:spacing w:line="360" w:lineRule="exact"/>
              <w:contextualSpacing/>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2169" w:type="dxa"/>
            <w:tcBorders>
              <w:top w:val="single" w:color="auto" w:sz="4" w:space="0"/>
              <w:left w:val="single" w:color="auto" w:sz="4" w:space="0"/>
              <w:bottom w:val="single" w:color="auto" w:sz="4" w:space="0"/>
              <w:right w:val="single" w:color="auto" w:sz="4" w:space="0"/>
            </w:tcBorders>
            <w:noWrap w:val="0"/>
            <w:vAlign w:val="center"/>
          </w:tcPr>
          <w:p w14:paraId="655B7585">
            <w:pPr>
              <w:keepNext w:val="0"/>
              <w:keepLines w:val="0"/>
              <w:pageBreakBefore w:val="0"/>
              <w:widowControl w:val="0"/>
              <w:kinsoku/>
              <w:wordWrap/>
              <w:overflowPunct/>
              <w:topLinePunct w:val="0"/>
              <w:autoSpaceDE/>
              <w:autoSpaceDN/>
              <w:bidi w:val="0"/>
              <w:adjustRightInd/>
              <w:snapToGrid/>
              <w:spacing w:line="360" w:lineRule="exact"/>
              <w:contextualSpacing/>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下浮系数</w:t>
            </w:r>
          </w:p>
        </w:tc>
      </w:tr>
      <w:tr w14:paraId="3BCE8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3841" w:type="dxa"/>
            <w:tcBorders>
              <w:top w:val="single" w:color="auto" w:sz="4" w:space="0"/>
              <w:left w:val="single" w:color="auto" w:sz="4" w:space="0"/>
              <w:bottom w:val="single" w:color="auto" w:sz="4" w:space="0"/>
              <w:right w:val="single" w:color="auto" w:sz="4" w:space="0"/>
            </w:tcBorders>
            <w:noWrap w:val="0"/>
            <w:vAlign w:val="center"/>
          </w:tcPr>
          <w:p w14:paraId="5B25EC02">
            <w:pPr>
              <w:keepNext w:val="0"/>
              <w:keepLines w:val="0"/>
              <w:pageBreakBefore w:val="0"/>
              <w:widowControl w:val="0"/>
              <w:kinsoku/>
              <w:wordWrap/>
              <w:overflowPunct/>
              <w:topLinePunct w:val="0"/>
              <w:autoSpaceDE/>
              <w:autoSpaceDN/>
              <w:bidi w:val="0"/>
              <w:adjustRightInd/>
              <w:snapToGrid/>
              <w:spacing w:line="360" w:lineRule="exact"/>
              <w:contextualSpacing/>
              <w:jc w:val="center"/>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防城港市财政局食堂食材配送服务项目</w:t>
            </w:r>
          </w:p>
        </w:tc>
        <w:tc>
          <w:tcPr>
            <w:tcW w:w="1015" w:type="dxa"/>
            <w:tcBorders>
              <w:top w:val="single" w:color="auto" w:sz="4" w:space="0"/>
              <w:left w:val="single" w:color="auto" w:sz="4" w:space="0"/>
              <w:bottom w:val="single" w:color="auto" w:sz="4" w:space="0"/>
              <w:right w:val="single" w:color="auto" w:sz="4" w:space="0"/>
            </w:tcBorders>
            <w:noWrap w:val="0"/>
            <w:vAlign w:val="center"/>
          </w:tcPr>
          <w:p w14:paraId="1A210D44">
            <w:pPr>
              <w:keepNext w:val="0"/>
              <w:keepLines w:val="0"/>
              <w:pageBreakBefore w:val="0"/>
              <w:widowControl w:val="0"/>
              <w:kinsoku/>
              <w:wordWrap/>
              <w:overflowPunct/>
              <w:topLinePunct w:val="0"/>
              <w:autoSpaceDE/>
              <w:autoSpaceDN/>
              <w:bidi w:val="0"/>
              <w:adjustRightInd/>
              <w:snapToGrid/>
              <w:spacing w:line="360" w:lineRule="exact"/>
              <w:contextualSpacing/>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w:t>
            </w:r>
          </w:p>
        </w:tc>
        <w:tc>
          <w:tcPr>
            <w:tcW w:w="1108" w:type="dxa"/>
            <w:tcBorders>
              <w:top w:val="single" w:color="auto" w:sz="4" w:space="0"/>
              <w:left w:val="single" w:color="auto" w:sz="4" w:space="0"/>
              <w:bottom w:val="single" w:color="auto" w:sz="4" w:space="0"/>
              <w:right w:val="single" w:color="auto" w:sz="4" w:space="0"/>
            </w:tcBorders>
            <w:noWrap w:val="0"/>
            <w:vAlign w:val="center"/>
          </w:tcPr>
          <w:p w14:paraId="03BAF484">
            <w:pPr>
              <w:keepNext w:val="0"/>
              <w:keepLines w:val="0"/>
              <w:pageBreakBefore w:val="0"/>
              <w:widowControl w:val="0"/>
              <w:kinsoku/>
              <w:wordWrap/>
              <w:overflowPunct/>
              <w:topLinePunct w:val="0"/>
              <w:autoSpaceDE/>
              <w:autoSpaceDN/>
              <w:bidi w:val="0"/>
              <w:adjustRightInd/>
              <w:snapToGrid/>
              <w:spacing w:line="360" w:lineRule="exact"/>
              <w:contextualSpacing/>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项</w:t>
            </w:r>
          </w:p>
        </w:tc>
        <w:tc>
          <w:tcPr>
            <w:tcW w:w="2169" w:type="dxa"/>
            <w:tcBorders>
              <w:top w:val="single" w:color="auto" w:sz="4" w:space="0"/>
              <w:left w:val="single" w:color="auto" w:sz="4" w:space="0"/>
              <w:bottom w:val="single" w:color="auto" w:sz="4" w:space="0"/>
              <w:right w:val="single" w:color="auto" w:sz="4" w:space="0"/>
            </w:tcBorders>
            <w:noWrap w:val="0"/>
            <w:vAlign w:val="top"/>
          </w:tcPr>
          <w:p w14:paraId="4AFAD66A">
            <w:pPr>
              <w:keepNext w:val="0"/>
              <w:keepLines w:val="0"/>
              <w:pageBreakBefore w:val="0"/>
              <w:widowControl w:val="0"/>
              <w:kinsoku/>
              <w:wordWrap/>
              <w:overflowPunct/>
              <w:topLinePunct w:val="0"/>
              <w:autoSpaceDE/>
              <w:autoSpaceDN/>
              <w:bidi w:val="0"/>
              <w:adjustRightInd/>
              <w:snapToGrid/>
              <w:spacing w:line="360" w:lineRule="exact"/>
              <w:contextualSpacing/>
              <w:textAlignment w:val="auto"/>
              <w:rPr>
                <w:rFonts w:hint="eastAsia" w:ascii="宋体" w:hAnsi="宋体" w:cs="宋体"/>
                <w:color w:val="auto"/>
                <w:szCs w:val="21"/>
                <w:highlight w:val="none"/>
              </w:rPr>
            </w:pPr>
          </w:p>
        </w:tc>
      </w:tr>
    </w:tbl>
    <w:p w14:paraId="5323BEB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20" w:leftChars="200" w:right="51" w:rightChars="0" w:firstLine="0" w:firstLineChars="0"/>
        <w:textAlignment w:val="auto"/>
        <w:rPr>
          <w:rFonts w:hint="eastAsia"/>
          <w:highlight w:val="none"/>
          <w:lang w:val="en-US" w:eastAsia="zh-CN"/>
        </w:rPr>
      </w:pPr>
      <w:r>
        <w:rPr>
          <w:rFonts w:hint="eastAsia" w:ascii="Times New Roman" w:hAnsi="Times New Roman" w:eastAsia="宋体" w:cs="Times New Roman"/>
          <w:kern w:val="2"/>
          <w:sz w:val="21"/>
          <w:szCs w:val="24"/>
          <w:lang w:val="en-US" w:eastAsia="zh-CN" w:bidi="ar-SA"/>
        </w:rPr>
        <w:t>2.</w:t>
      </w:r>
      <w:r>
        <w:rPr>
          <w:rFonts w:hint="eastAsia" w:ascii="宋体" w:hAnsi="宋体"/>
          <w:color w:val="auto"/>
          <w:szCs w:val="21"/>
          <w:highlight w:val="none"/>
        </w:rPr>
        <w:t>合同</w:t>
      </w:r>
      <w:r>
        <w:rPr>
          <w:rFonts w:hint="eastAsia" w:ascii="宋体" w:hAnsi="宋体"/>
          <w:color w:val="auto"/>
          <w:szCs w:val="21"/>
          <w:highlight w:val="none"/>
          <w:lang w:eastAsia="zh-CN"/>
        </w:rPr>
        <w:t>合计货款</w:t>
      </w:r>
      <w:r>
        <w:rPr>
          <w:rFonts w:hint="eastAsia" w:ascii="宋体" w:hAnsi="宋体"/>
          <w:color w:val="auto"/>
          <w:szCs w:val="21"/>
          <w:highlight w:val="none"/>
        </w:rPr>
        <w:t>包含</w:t>
      </w:r>
      <w:r>
        <w:rPr>
          <w:rFonts w:hint="eastAsia" w:ascii="宋体" w:hAnsi="宋体"/>
          <w:color w:val="auto"/>
          <w:szCs w:val="21"/>
          <w:highlight w:val="none"/>
          <w:lang w:val="en-US" w:eastAsia="zh-CN"/>
        </w:rPr>
        <w:t>本次报价包含</w:t>
      </w:r>
      <w:r>
        <w:rPr>
          <w:rFonts w:hint="eastAsia"/>
          <w:highlight w:val="none"/>
          <w:lang w:val="en-US" w:eastAsia="zh-CN"/>
        </w:rPr>
        <w:t>不限于以下内容：食材的购置、检验、粗加工、分拣包</w:t>
      </w:r>
    </w:p>
    <w:p w14:paraId="6E2928C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51" w:rightChars="0"/>
        <w:textAlignment w:val="auto"/>
        <w:rPr>
          <w:rFonts w:hint="eastAsia"/>
          <w:highlight w:val="none"/>
          <w:lang w:val="en-US" w:eastAsia="zh-CN"/>
        </w:rPr>
      </w:pPr>
      <w:r>
        <w:rPr>
          <w:rFonts w:hint="eastAsia"/>
          <w:highlight w:val="none"/>
          <w:lang w:val="en-US" w:eastAsia="zh-CN"/>
        </w:rPr>
        <w:t>装、仓储、运输、装卸、堆放、保险、损耗、退换、售后服务、雇员费用、管理费、全额税费等合同履行过程中的一切费用</w:t>
      </w:r>
      <w:r>
        <w:rPr>
          <w:rFonts w:hint="eastAsia"/>
          <w:color w:val="auto"/>
          <w:sz w:val="21"/>
          <w:szCs w:val="21"/>
          <w:highlight w:val="none"/>
          <w:lang w:val="en-US" w:eastAsia="zh-CN"/>
        </w:rPr>
        <w:t>。</w:t>
      </w:r>
      <w:r>
        <w:rPr>
          <w:rFonts w:hint="eastAsia"/>
          <w:highlight w:val="none"/>
          <w:lang w:val="en-US" w:eastAsia="zh-CN"/>
        </w:rPr>
        <w:t>本项目招标代理服务费、必要的保险费用和各项税金也包含在报价中。</w:t>
      </w:r>
    </w:p>
    <w:p w14:paraId="643FBD1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52" w:rightChars="0" w:firstLine="422" w:firstLineChars="200"/>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第二条　</w:t>
      </w:r>
      <w:r>
        <w:rPr>
          <w:rFonts w:hint="eastAsia" w:ascii="宋体" w:hAnsi="宋体" w:cs="宋体"/>
          <w:b/>
          <w:color w:val="auto"/>
          <w:sz w:val="21"/>
          <w:szCs w:val="21"/>
          <w:highlight w:val="none"/>
          <w:lang w:eastAsia="zh-CN"/>
        </w:rPr>
        <w:t>服务内容</w:t>
      </w:r>
    </w:p>
    <w:p w14:paraId="688A95B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甲方委托乙方为其提供</w:t>
      </w:r>
      <w:r>
        <w:rPr>
          <w:rFonts w:hint="eastAsia" w:ascii="宋体" w:hAnsi="宋体" w:cs="宋体"/>
          <w:color w:val="auto"/>
          <w:sz w:val="21"/>
          <w:szCs w:val="21"/>
          <w:highlight w:val="none"/>
          <w:lang w:eastAsia="zh-CN"/>
        </w:rPr>
        <w:t>食堂食材配送</w:t>
      </w:r>
      <w:r>
        <w:rPr>
          <w:rFonts w:hint="eastAsia" w:ascii="宋体" w:hAnsi="宋体" w:eastAsia="宋体" w:cs="宋体"/>
          <w:color w:val="auto"/>
          <w:sz w:val="21"/>
          <w:szCs w:val="21"/>
          <w:highlight w:val="none"/>
        </w:rPr>
        <w:t>服务，并负责对服务的安全、质量、进度进行管理。</w:t>
      </w:r>
    </w:p>
    <w:p w14:paraId="0CFFC9A2">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第三条　</w:t>
      </w:r>
      <w:r>
        <w:rPr>
          <w:rFonts w:hint="eastAsia" w:ascii="宋体" w:hAnsi="宋体" w:eastAsia="宋体" w:cs="宋体"/>
          <w:b/>
          <w:color w:val="auto"/>
          <w:sz w:val="21"/>
          <w:szCs w:val="21"/>
          <w:highlight w:val="none"/>
          <w:lang w:val="en-US" w:eastAsia="zh-CN"/>
        </w:rPr>
        <w:t>采购需求</w:t>
      </w:r>
    </w:p>
    <w:p w14:paraId="3C60F274">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firstLine="420" w:firstLineChars="200"/>
        <w:jc w:val="left"/>
        <w:textAlignment w:val="auto"/>
        <w:rPr>
          <w:rFonts w:hint="eastAsia"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本项目采购内容为食堂食材配送服务，包括但不限于以下品类：</w:t>
      </w:r>
    </w:p>
    <w:p w14:paraId="6197DF52">
      <w:pPr>
        <w:keepNext w:val="0"/>
        <w:keepLines w:val="0"/>
        <w:pageBreakBefore w:val="0"/>
        <w:widowControl w:val="0"/>
        <w:kinsoku/>
        <w:wordWrap/>
        <w:overflowPunct/>
        <w:topLinePunct w:val="0"/>
        <w:autoSpaceDE/>
        <w:autoSpaceDN/>
        <w:bidi w:val="0"/>
        <w:adjustRightInd/>
        <w:snapToGrid/>
        <w:ind w:firstLine="422" w:firstLineChars="200"/>
        <w:textAlignment w:val="auto"/>
        <w:rPr>
          <w:b/>
          <w:bCs/>
          <w:highlight w:val="none"/>
        </w:rPr>
      </w:pPr>
      <w:r>
        <w:rPr>
          <w:b/>
          <w:bCs/>
          <w:highlight w:val="none"/>
        </w:rPr>
        <w:t>一、项目说明</w:t>
      </w:r>
    </w:p>
    <w:p w14:paraId="64F5E7E1">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rPr>
      </w:pPr>
      <w:r>
        <w:rPr>
          <w:rFonts w:hint="eastAsia"/>
          <w:highlight w:val="none"/>
          <w:lang w:val="en-US" w:eastAsia="zh-CN"/>
        </w:rPr>
        <w:t>乙方</w:t>
      </w:r>
      <w:r>
        <w:rPr>
          <w:highlight w:val="none"/>
          <w:lang w:val="en-US" w:eastAsia="zh-CN"/>
        </w:rPr>
        <w:t>提供的食堂食材配送服务严格遵守国家相关食品安全、卫生等法律法规及保障要求，</w:t>
      </w:r>
      <w:r>
        <w:rPr>
          <w:rFonts w:hint="eastAsia"/>
          <w:highlight w:val="none"/>
          <w:lang w:val="en-US" w:eastAsia="zh-CN"/>
        </w:rPr>
        <w:t>所供食材必须符合国家食品安全强制性标准，其质量、卫生、安全均须执行现行有效的国家标准；无国家标准的，执行现行有效的行业标准；无行业标准的，执行现行有效的地方标准。</w:t>
      </w:r>
      <w:r>
        <w:rPr>
          <w:highlight w:val="none"/>
          <w:lang w:val="en-US" w:eastAsia="zh-CN"/>
        </w:rPr>
        <w:t>保障采购人所需的食品、副食品等正常、安全供应。</w:t>
      </w:r>
    </w:p>
    <w:p w14:paraId="77646FE5">
      <w:pPr>
        <w:keepNext w:val="0"/>
        <w:keepLines w:val="0"/>
        <w:pageBreakBefore w:val="0"/>
        <w:widowControl w:val="0"/>
        <w:kinsoku/>
        <w:wordWrap/>
        <w:overflowPunct/>
        <w:topLinePunct w:val="0"/>
        <w:autoSpaceDE/>
        <w:autoSpaceDN/>
        <w:bidi w:val="0"/>
        <w:adjustRightInd/>
        <w:snapToGrid/>
        <w:ind w:firstLine="422" w:firstLineChars="200"/>
        <w:textAlignment w:val="auto"/>
        <w:rPr>
          <w:b/>
          <w:bCs/>
        </w:rPr>
      </w:pPr>
      <w:r>
        <w:rPr>
          <w:b/>
          <w:bCs/>
        </w:rPr>
        <w:t>二、采购需求</w:t>
      </w:r>
    </w:p>
    <w:p w14:paraId="40CEA97C">
      <w:pPr>
        <w:keepNext w:val="0"/>
        <w:keepLines w:val="0"/>
        <w:pageBreakBefore w:val="0"/>
        <w:widowControl w:val="0"/>
        <w:kinsoku/>
        <w:wordWrap/>
        <w:overflowPunct/>
        <w:topLinePunct w:val="0"/>
        <w:autoSpaceDE/>
        <w:autoSpaceDN/>
        <w:bidi w:val="0"/>
        <w:adjustRightInd/>
        <w:snapToGrid/>
        <w:ind w:firstLine="420" w:firstLineChars="200"/>
        <w:textAlignment w:val="auto"/>
      </w:pPr>
      <w:r>
        <w:rPr>
          <w:lang w:val="en-US" w:eastAsia="zh-CN"/>
        </w:rPr>
        <w:t>本项目采购内容为食堂食材配送服务，包括但不限于以下品类：</w:t>
      </w:r>
    </w:p>
    <w:p w14:paraId="6B8BBEF4">
      <w:pPr>
        <w:keepNext w:val="0"/>
        <w:keepLines w:val="0"/>
        <w:pageBreakBefore w:val="0"/>
        <w:widowControl w:val="0"/>
        <w:kinsoku/>
        <w:wordWrap/>
        <w:overflowPunct/>
        <w:topLinePunct w:val="0"/>
        <w:autoSpaceDE/>
        <w:autoSpaceDN/>
        <w:bidi w:val="0"/>
        <w:adjustRightInd/>
        <w:snapToGrid/>
        <w:ind w:firstLine="422" w:firstLineChars="200"/>
        <w:textAlignment w:val="auto"/>
        <w:rPr>
          <w:b/>
          <w:bCs/>
        </w:rPr>
      </w:pPr>
      <w:r>
        <w:rPr>
          <w:b/>
          <w:bCs/>
        </w:rPr>
        <w:t>（一）瓜果蔬菜类配送服务</w:t>
      </w:r>
    </w:p>
    <w:p w14:paraId="55F5A9E7">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rPr>
      </w:pPr>
      <w:r>
        <w:rPr>
          <w:highlight w:val="none"/>
        </w:rPr>
        <w:t>1. 食材种类</w:t>
      </w:r>
    </w:p>
    <w:p w14:paraId="76C13FF2">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rPr>
      </w:pPr>
      <w:r>
        <w:rPr>
          <w:highlight w:val="none"/>
        </w:rPr>
        <w:t>（1）叶菜</w:t>
      </w:r>
    </w:p>
    <w:p w14:paraId="3D019B08">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rPr>
      </w:pPr>
      <w:r>
        <w:rPr>
          <w:highlight w:val="none"/>
          <w:lang w:val="en-US" w:eastAsia="zh-CN"/>
        </w:rPr>
        <w:t>小白菜、空心菜、奶白菜、油麦菜、上海青、菜心、空心菜梗、芥菜、菠菜、枸杞叶、红薯叶、娃娃菜、白花菜、生菜、包菜、大白菜、一点红、红苋菜、白苋菜、兰豆苗、苦麦菜、佛手瓜苗、水芥菜、竹芥菜、茼蒿菜、皇帝菜、圆生菜、苦菊、芹菜、青蒜、韭菜、韭黄、香菜、葱、大蒜、紫苏、葭蒌叶、薄荷叶、紫甘蓝、芽菜、有机菜花、西蓝花等。</w:t>
      </w:r>
    </w:p>
    <w:p w14:paraId="12F5D3AE">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rPr>
      </w:pPr>
      <w:r>
        <w:rPr>
          <w:highlight w:val="none"/>
        </w:rPr>
        <w:t>（2）根茎类</w:t>
      </w:r>
    </w:p>
    <w:p w14:paraId="499727F2">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lang w:val="en-US" w:eastAsia="zh-CN"/>
        </w:rPr>
      </w:pPr>
      <w:r>
        <w:rPr>
          <w:highlight w:val="none"/>
          <w:lang w:val="en-US" w:eastAsia="zh-CN"/>
        </w:rPr>
        <w:t>① 肉质根类：红萝卜、白萝卜等</w:t>
      </w:r>
      <w:r>
        <w:rPr>
          <w:rFonts w:hint="eastAsia"/>
          <w:highlight w:val="none"/>
          <w:lang w:val="en-US" w:eastAsia="zh-CN"/>
        </w:rPr>
        <w:t>。</w:t>
      </w:r>
    </w:p>
    <w:p w14:paraId="0AB79FE4">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lang w:val="en-US" w:eastAsia="zh-CN"/>
        </w:rPr>
      </w:pPr>
      <w:r>
        <w:rPr>
          <w:highlight w:val="none"/>
          <w:lang w:val="en-US" w:eastAsia="zh-CN"/>
        </w:rPr>
        <w:t>② 块根类：山药、淮山、葛根、沙葛（凉薯）等</w:t>
      </w:r>
      <w:r>
        <w:rPr>
          <w:rFonts w:hint="eastAsia"/>
          <w:highlight w:val="none"/>
          <w:lang w:val="en-US" w:eastAsia="zh-CN"/>
        </w:rPr>
        <w:t>。</w:t>
      </w:r>
    </w:p>
    <w:p w14:paraId="32401FA6">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lang w:val="en-US" w:eastAsia="zh-CN"/>
        </w:rPr>
      </w:pPr>
      <w:r>
        <w:rPr>
          <w:highlight w:val="none"/>
          <w:lang w:val="en-US" w:eastAsia="zh-CN"/>
        </w:rPr>
        <w:t>③ 地下茎：红薯、紫薯、莲藕、芋头、土豆、马蹄、茨菇、生姜、子姜、小黄姜、鲜沙姜、鲜百合、蒜头、葱头、洋葱、白洋葱等</w:t>
      </w:r>
      <w:r>
        <w:rPr>
          <w:rFonts w:hint="eastAsia"/>
          <w:highlight w:val="none"/>
          <w:lang w:val="en-US" w:eastAsia="zh-CN"/>
        </w:rPr>
        <w:t>。</w:t>
      </w:r>
    </w:p>
    <w:p w14:paraId="2F288224">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lang w:val="en-US" w:eastAsia="zh-CN"/>
        </w:rPr>
      </w:pPr>
      <w:r>
        <w:rPr>
          <w:highlight w:val="none"/>
          <w:lang w:val="en-US" w:eastAsia="zh-CN"/>
        </w:rPr>
        <w:t>④ 地上茎：莴笋、芦笋、茭白、西芹等</w:t>
      </w:r>
      <w:r>
        <w:rPr>
          <w:rFonts w:hint="eastAsia"/>
          <w:highlight w:val="none"/>
          <w:lang w:val="en-US" w:eastAsia="zh-CN"/>
        </w:rPr>
        <w:t>。</w:t>
      </w:r>
    </w:p>
    <w:p w14:paraId="13E2C880">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rPr>
      </w:pPr>
      <w:r>
        <w:rPr>
          <w:highlight w:val="none"/>
          <w:lang w:val="en-US" w:eastAsia="zh-CN"/>
        </w:rPr>
        <w:t>⑤ 其他：鲜玉米粒、鲜玉米棒、糯玉米棒等。</w:t>
      </w:r>
    </w:p>
    <w:p w14:paraId="33AD1F76">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rPr>
      </w:pPr>
      <w:r>
        <w:rPr>
          <w:highlight w:val="none"/>
        </w:rPr>
        <w:t>（3）瓜茄类</w:t>
      </w:r>
    </w:p>
    <w:p w14:paraId="4B277C0B">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rPr>
      </w:pPr>
      <w:r>
        <w:rPr>
          <w:highlight w:val="none"/>
        </w:rPr>
        <w:t>瓜类：冬瓜、老南瓜、苦瓜、丝瓜、青瓜、西葫芦、毛节瓜、青瓜、小青瓜、金南瓜、贝贝南瓜等。</w:t>
      </w:r>
    </w:p>
    <w:p w14:paraId="3C14E87F">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rPr>
      </w:pPr>
      <w:r>
        <w:rPr>
          <w:highlight w:val="none"/>
        </w:rPr>
        <w:t>茄类：茄子、西红柿、秋葵、青圆椒、红圆椒、黄圆椒、青尖椒、红尖椒、青线椒、红美人、指天椒等。</w:t>
      </w:r>
    </w:p>
    <w:p w14:paraId="5A3F02B0">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rPr>
      </w:pPr>
      <w:r>
        <w:rPr>
          <w:highlight w:val="none"/>
        </w:rPr>
        <w:t>（4）豆荚类</w:t>
      </w:r>
    </w:p>
    <w:p w14:paraId="4D750434">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rPr>
      </w:pPr>
      <w:r>
        <w:rPr>
          <w:highlight w:val="none"/>
          <w:lang w:val="en-US" w:eastAsia="zh-CN"/>
        </w:rPr>
        <w:t>青豆角、甜豆角、兰豆、甜豆、青豆、毛豆等。</w:t>
      </w:r>
    </w:p>
    <w:p w14:paraId="1B8C2229">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rPr>
      </w:pPr>
      <w:r>
        <w:rPr>
          <w:highlight w:val="none"/>
        </w:rPr>
        <w:t>（5）菌藻类</w:t>
      </w:r>
    </w:p>
    <w:p w14:paraId="283A8B2C">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rPr>
      </w:pPr>
      <w:r>
        <w:rPr>
          <w:highlight w:val="none"/>
        </w:rPr>
        <w:t>菌类：鲜香菇、杏鲍菇、茶树菇、金针菇、海鲜菇、凤尾菇、白蘑菇、花菇、鲜虫草花等。</w:t>
      </w:r>
    </w:p>
    <w:p w14:paraId="273953E0">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rPr>
      </w:pPr>
      <w:r>
        <w:rPr>
          <w:highlight w:val="none"/>
        </w:rPr>
        <w:t>藻类：海带丝、海带结等。</w:t>
      </w:r>
    </w:p>
    <w:p w14:paraId="270CB13A">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rPr>
      </w:pPr>
      <w:r>
        <w:rPr>
          <w:highlight w:val="none"/>
        </w:rPr>
        <w:t>（6）其他</w:t>
      </w:r>
    </w:p>
    <w:p w14:paraId="5B51628F">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rPr>
      </w:pPr>
      <w:r>
        <w:rPr>
          <w:highlight w:val="none"/>
          <w:lang w:val="en-US" w:eastAsia="zh-CN"/>
        </w:rPr>
        <w:t>番茜、兰花、摆盘花、芭蕉叶、人参、板栗等。</w:t>
      </w:r>
    </w:p>
    <w:p w14:paraId="08749A11">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rPr>
      </w:pPr>
      <w:r>
        <w:rPr>
          <w:highlight w:val="none"/>
        </w:rPr>
        <w:t>2. 基本要求</w:t>
      </w:r>
    </w:p>
    <w:p w14:paraId="7C373453">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rPr>
      </w:pPr>
      <w:r>
        <w:rPr>
          <w:highlight w:val="none"/>
        </w:rPr>
        <w:t>（1）叶菜</w:t>
      </w:r>
    </w:p>
    <w:p w14:paraId="584AED59">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lang w:val="en-US" w:eastAsia="zh-CN"/>
        </w:rPr>
      </w:pPr>
      <w:r>
        <w:rPr>
          <w:highlight w:val="none"/>
          <w:lang w:val="en-US" w:eastAsia="zh-CN"/>
        </w:rPr>
        <w:t>① 农药残留检测合格。</w:t>
      </w:r>
    </w:p>
    <w:p w14:paraId="79045C07">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lang w:val="en-US" w:eastAsia="zh-CN"/>
        </w:rPr>
      </w:pPr>
      <w:r>
        <w:rPr>
          <w:highlight w:val="none"/>
          <w:lang w:val="en-US" w:eastAsia="zh-CN"/>
        </w:rPr>
        <w:t>② 叶菜类：具有各种蔬菜本品种固有的颜色，新鲜有光泽，切口不变色，叶片挺而不干枯、无蔫萎、无损伤腐烂、无变色、无病变、无虫害侵蚀等。</w:t>
      </w:r>
    </w:p>
    <w:p w14:paraId="3573E287">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lang w:val="en-US" w:eastAsia="zh-CN"/>
        </w:rPr>
      </w:pPr>
      <w:r>
        <w:rPr>
          <w:highlight w:val="none"/>
          <w:lang w:val="en-US" w:eastAsia="zh-CN"/>
        </w:rPr>
        <w:t>③ 油麦菜、苦麦菜、生菜等柄干长度应小于 5cm。</w:t>
      </w:r>
    </w:p>
    <w:p w14:paraId="52EE7985">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lang w:val="en-US" w:eastAsia="zh-CN"/>
        </w:rPr>
      </w:pPr>
      <w:r>
        <w:rPr>
          <w:highlight w:val="none"/>
          <w:lang w:val="en-US" w:eastAsia="zh-CN"/>
        </w:rPr>
        <w:t>④ 大白菜 / 娃娃菜 / 圆生菜 / 包菜：新鲜有光泽、表面无黑色斑点、无发黄、无腐叶、外叶不老邦；里面无烂心、无开花、无烂叶。</w:t>
      </w:r>
    </w:p>
    <w:p w14:paraId="099F7180">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rPr>
      </w:pPr>
      <w:r>
        <w:rPr>
          <w:highlight w:val="none"/>
          <w:lang w:val="en-US" w:eastAsia="zh-CN"/>
        </w:rPr>
        <w:t>⑤ 花叶菜：花蕾细密紧实不散、球形完整、表面湿润、外叶少、主茎短、柄干无空心。</w:t>
      </w:r>
    </w:p>
    <w:p w14:paraId="702AEE1C">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rPr>
      </w:pPr>
      <w:r>
        <w:rPr>
          <w:highlight w:val="none"/>
        </w:rPr>
        <w:t>（2）根茎类</w:t>
      </w:r>
    </w:p>
    <w:p w14:paraId="0E00F5D4">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lang w:val="en-US" w:eastAsia="zh-CN"/>
        </w:rPr>
      </w:pPr>
      <w:r>
        <w:rPr>
          <w:highlight w:val="none"/>
          <w:lang w:val="en-US" w:eastAsia="zh-CN"/>
        </w:rPr>
        <w:t>① 农药残留检测合格。</w:t>
      </w:r>
    </w:p>
    <w:p w14:paraId="2FE7FB0D">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lang w:val="en-US" w:eastAsia="zh-CN"/>
        </w:rPr>
      </w:pPr>
      <w:r>
        <w:rPr>
          <w:highlight w:val="none"/>
          <w:lang w:val="en-US" w:eastAsia="zh-CN"/>
        </w:rPr>
        <w:t>② 色泽：颜色自然、均匀，无异常变色（如发黑、发黄）现象。</w:t>
      </w:r>
    </w:p>
    <w:p w14:paraId="5750A252">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lang w:val="en-US" w:eastAsia="zh-CN"/>
        </w:rPr>
      </w:pPr>
      <w:r>
        <w:rPr>
          <w:highlight w:val="none"/>
          <w:lang w:val="en-US" w:eastAsia="zh-CN"/>
        </w:rPr>
        <w:t>③ 形状：形态规整、个体均匀、无明显畸形或损伤。</w:t>
      </w:r>
    </w:p>
    <w:p w14:paraId="4D2C3C84">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lang w:val="en-US" w:eastAsia="zh-CN"/>
        </w:rPr>
      </w:pPr>
      <w:r>
        <w:rPr>
          <w:highlight w:val="none"/>
          <w:lang w:val="en-US" w:eastAsia="zh-CN"/>
        </w:rPr>
        <w:t>④ 表皮：表皮应光滑或符合品种特性，无破损、无裂痕、无划痕、无表面发干失水皱皮、无老皮层、无变软变形、表皮无损伤出水，无腐烂，无黑点等现象。</w:t>
      </w:r>
    </w:p>
    <w:p w14:paraId="49F7FA38">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lang w:val="en-US" w:eastAsia="zh-CN"/>
        </w:rPr>
      </w:pPr>
      <w:r>
        <w:rPr>
          <w:highlight w:val="none"/>
          <w:lang w:val="en-US" w:eastAsia="zh-CN"/>
        </w:rPr>
        <w:t>⑤ 肉质不老化、无异常变色、无腐烂、无异味。</w:t>
      </w:r>
    </w:p>
    <w:p w14:paraId="31DE93C5">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lang w:val="en-US" w:eastAsia="zh-CN"/>
        </w:rPr>
      </w:pPr>
      <w:r>
        <w:rPr>
          <w:highlight w:val="none"/>
          <w:lang w:val="en-US" w:eastAsia="zh-CN"/>
        </w:rPr>
        <w:t>⑥ 清洁度：表面应相对干净，无明显泥土、杂质附着。</w:t>
      </w:r>
    </w:p>
    <w:p w14:paraId="2F8A5DDC">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lang w:val="en-US" w:eastAsia="zh-CN"/>
        </w:rPr>
      </w:pPr>
      <w:r>
        <w:rPr>
          <w:highlight w:val="none"/>
          <w:lang w:val="en-US" w:eastAsia="zh-CN"/>
        </w:rPr>
        <w:t>⑦ 补充要求：</w:t>
      </w:r>
    </w:p>
    <w:p w14:paraId="2620C9EF">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lang w:val="en-US" w:eastAsia="zh-CN"/>
        </w:rPr>
      </w:pPr>
      <w:r>
        <w:rPr>
          <w:rFonts w:hint="eastAsia"/>
          <w:highlight w:val="none"/>
          <w:lang w:val="en-US" w:eastAsia="zh-CN"/>
        </w:rPr>
        <w:t>a、</w:t>
      </w:r>
      <w:r>
        <w:rPr>
          <w:highlight w:val="none"/>
          <w:lang w:val="en-US" w:eastAsia="zh-CN"/>
        </w:rPr>
        <w:t>莲藕：蒂结少、用刀切开后腹部无泥、无异味。</w:t>
      </w:r>
    </w:p>
    <w:p w14:paraId="2AFADCA6">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lang w:val="en-US" w:eastAsia="zh-CN"/>
        </w:rPr>
      </w:pPr>
      <w:r>
        <w:rPr>
          <w:rFonts w:hint="eastAsia"/>
          <w:highlight w:val="none"/>
          <w:lang w:val="en-US" w:eastAsia="zh-CN"/>
        </w:rPr>
        <w:t>b、</w:t>
      </w:r>
      <w:r>
        <w:rPr>
          <w:highlight w:val="none"/>
          <w:lang w:val="en-US" w:eastAsia="zh-CN"/>
        </w:rPr>
        <w:t>白萝卜：无黑心、无空心、无爆裂、皮面无根须；单体重 0.4kg 以上。</w:t>
      </w:r>
    </w:p>
    <w:p w14:paraId="59FD3AD3">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lang w:val="en-US" w:eastAsia="zh-CN"/>
        </w:rPr>
      </w:pPr>
      <w:r>
        <w:rPr>
          <w:rFonts w:hint="eastAsia"/>
          <w:highlight w:val="none"/>
          <w:lang w:val="en-US" w:eastAsia="zh-CN"/>
        </w:rPr>
        <w:t>c、</w:t>
      </w:r>
      <w:r>
        <w:rPr>
          <w:highlight w:val="none"/>
          <w:lang w:val="en-US" w:eastAsia="zh-CN"/>
        </w:rPr>
        <w:t>芋头：切开后肉质密实，无虫害，无腐烂；口感粉糯，单体重 1kg-1.8kg。</w:t>
      </w:r>
    </w:p>
    <w:p w14:paraId="146B2A8E">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lang w:val="en-US" w:eastAsia="zh-CN"/>
        </w:rPr>
      </w:pPr>
      <w:r>
        <w:rPr>
          <w:rFonts w:hint="eastAsia"/>
          <w:highlight w:val="none"/>
          <w:lang w:val="en-US" w:eastAsia="zh-CN"/>
        </w:rPr>
        <w:t>d、</w:t>
      </w:r>
      <w:r>
        <w:rPr>
          <w:highlight w:val="none"/>
          <w:lang w:val="en-US" w:eastAsia="zh-CN"/>
        </w:rPr>
        <w:t>红薯 / 紫薯：切开后肉质密实，无虫害，无腐烂、皮面无根须。</w:t>
      </w:r>
    </w:p>
    <w:p w14:paraId="40BF4F07">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lang w:val="en-US" w:eastAsia="zh-CN"/>
        </w:rPr>
      </w:pPr>
      <w:r>
        <w:rPr>
          <w:rFonts w:hint="eastAsia"/>
          <w:highlight w:val="none"/>
          <w:lang w:val="en-US" w:eastAsia="zh-CN"/>
        </w:rPr>
        <w:t>e、</w:t>
      </w:r>
      <w:r>
        <w:rPr>
          <w:highlight w:val="none"/>
          <w:lang w:val="en-US" w:eastAsia="zh-CN"/>
        </w:rPr>
        <w:t>土豆：无发绿、无发芽，皮面无明显凹凸、无腐烂、肉质里面无黑点和伤痕现象、单体重 0.25-0.4kg。</w:t>
      </w:r>
    </w:p>
    <w:p w14:paraId="1713D62C">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lang w:val="en-US" w:eastAsia="zh-CN"/>
        </w:rPr>
      </w:pPr>
      <w:r>
        <w:rPr>
          <w:rFonts w:hint="eastAsia"/>
          <w:highlight w:val="none"/>
          <w:lang w:val="en-US" w:eastAsia="zh-CN"/>
        </w:rPr>
        <w:t>f、</w:t>
      </w:r>
      <w:r>
        <w:rPr>
          <w:highlight w:val="none"/>
          <w:lang w:val="en-US" w:eastAsia="zh-CN"/>
        </w:rPr>
        <w:t>莴笋：中间应为实心绿心，空心发黄为不良品质。</w:t>
      </w:r>
    </w:p>
    <w:p w14:paraId="68E69A26">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lang w:val="en-US" w:eastAsia="zh-CN"/>
        </w:rPr>
      </w:pPr>
      <w:r>
        <w:rPr>
          <w:rFonts w:hint="eastAsia"/>
          <w:highlight w:val="none"/>
          <w:lang w:val="en-US" w:eastAsia="zh-CN"/>
        </w:rPr>
        <w:t>g、</w:t>
      </w:r>
      <w:r>
        <w:rPr>
          <w:highlight w:val="none"/>
          <w:lang w:val="en-US" w:eastAsia="zh-CN"/>
        </w:rPr>
        <w:t>玉米：颗粒饱满、无塌米、无老米、无虫孔、无烂尾。</w:t>
      </w:r>
    </w:p>
    <w:p w14:paraId="5EC27D68">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rPr>
      </w:pPr>
      <w:r>
        <w:rPr>
          <w:rFonts w:hint="eastAsia"/>
          <w:highlight w:val="none"/>
          <w:lang w:val="en-US" w:eastAsia="zh-CN"/>
        </w:rPr>
        <w:t>h、</w:t>
      </w:r>
      <w:r>
        <w:rPr>
          <w:highlight w:val="none"/>
          <w:lang w:val="en-US" w:eastAsia="zh-CN"/>
        </w:rPr>
        <w:t>百合：真空包装袋无漏气、质地鲜亮。</w:t>
      </w:r>
    </w:p>
    <w:p w14:paraId="2262F731">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rPr>
      </w:pPr>
      <w:r>
        <w:rPr>
          <w:highlight w:val="none"/>
        </w:rPr>
        <w:t>（3）瓜茄类</w:t>
      </w:r>
    </w:p>
    <w:p w14:paraId="10F6877F">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lang w:val="en-US" w:eastAsia="zh-CN"/>
        </w:rPr>
      </w:pPr>
      <w:r>
        <w:rPr>
          <w:highlight w:val="none"/>
          <w:lang w:val="en-US" w:eastAsia="zh-CN"/>
        </w:rPr>
        <w:t>① 农药残留检测合格。</w:t>
      </w:r>
    </w:p>
    <w:p w14:paraId="2D4C011D">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lang w:val="en-US" w:eastAsia="zh-CN"/>
        </w:rPr>
      </w:pPr>
      <w:r>
        <w:rPr>
          <w:highlight w:val="none"/>
          <w:lang w:val="en-US" w:eastAsia="zh-CN"/>
        </w:rPr>
        <w:t>② 色泽：颜色自然、均匀，无异常变色（如发黑、发黄）现象。</w:t>
      </w:r>
    </w:p>
    <w:p w14:paraId="268BEAF0">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lang w:val="en-US" w:eastAsia="zh-CN"/>
        </w:rPr>
      </w:pPr>
      <w:r>
        <w:rPr>
          <w:highlight w:val="none"/>
          <w:lang w:val="en-US" w:eastAsia="zh-CN"/>
        </w:rPr>
        <w:t>③ 形状：形态规整、个体均匀、无明显畸形或损伤。</w:t>
      </w:r>
    </w:p>
    <w:p w14:paraId="153872DC">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lang w:val="en-US" w:eastAsia="zh-CN"/>
        </w:rPr>
      </w:pPr>
      <w:r>
        <w:rPr>
          <w:highlight w:val="none"/>
          <w:lang w:val="en-US" w:eastAsia="zh-CN"/>
        </w:rPr>
        <w:t>④ 表皮：表皮应光滑或符合品种特性，无破损、无裂痕、无划痕、无表面发干失水皱皮、无老皮层、无变软变形、表皮无损伤出水，无腐烂，无黑点等现象。</w:t>
      </w:r>
    </w:p>
    <w:p w14:paraId="0CAC2E39">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rPr>
      </w:pPr>
      <w:r>
        <w:rPr>
          <w:highlight w:val="none"/>
          <w:lang w:val="en-US" w:eastAsia="zh-CN"/>
        </w:rPr>
        <w:t>⑤ 肉质不老化、无异常变色、无腐烂、无异味。⑥ 清洁度：表面应相对干净，无明显泥土、杂质附着。</w:t>
      </w:r>
    </w:p>
    <w:p w14:paraId="431FF4C4">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rPr>
      </w:pPr>
      <w:r>
        <w:rPr>
          <w:highlight w:val="none"/>
        </w:rPr>
        <w:t>（4）豆荚类</w:t>
      </w:r>
    </w:p>
    <w:p w14:paraId="75B6CF48">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lang w:val="en-US" w:eastAsia="zh-CN"/>
        </w:rPr>
      </w:pPr>
      <w:r>
        <w:rPr>
          <w:highlight w:val="none"/>
          <w:lang w:val="en-US" w:eastAsia="zh-CN"/>
        </w:rPr>
        <w:t>① 农药残留检测合格。</w:t>
      </w:r>
    </w:p>
    <w:p w14:paraId="2961202B">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lang w:val="en-US" w:eastAsia="zh-CN"/>
        </w:rPr>
      </w:pPr>
      <w:r>
        <w:rPr>
          <w:highlight w:val="none"/>
          <w:lang w:val="en-US" w:eastAsia="zh-CN"/>
        </w:rPr>
        <w:t>② 青豆角 / 甜豆角：质地脆嫩，折易断、无虫蛀，手捏无干枯空洞，无黑点，无发黄发黑腐烂，质地鲜嫩，折易断。</w:t>
      </w:r>
    </w:p>
    <w:p w14:paraId="23552821">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lang w:val="en-US" w:eastAsia="zh-CN"/>
        </w:rPr>
      </w:pPr>
      <w:r>
        <w:rPr>
          <w:highlight w:val="none"/>
          <w:lang w:val="en-US" w:eastAsia="zh-CN"/>
        </w:rPr>
        <w:t>③ 兰豆 / 甜豆：质地脆嫩、折易断、无虫蛀、无发黄发黑、无断裂、两侧筋丝细。</w:t>
      </w:r>
    </w:p>
    <w:p w14:paraId="6F786273">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rPr>
      </w:pPr>
      <w:r>
        <w:rPr>
          <w:highlight w:val="none"/>
          <w:lang w:val="en-US" w:eastAsia="zh-CN"/>
        </w:rPr>
        <w:t>④ 青豆：颗粒饱满、颜色鲜绿、无黑点、无黑斑、无虫蛀。⑤ 毛豆：颗粒饱满、颜色鲜绿、无黑点、无黑斑、无发黄、无虫蛀。</w:t>
      </w:r>
    </w:p>
    <w:p w14:paraId="3EF7F89A">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rPr>
      </w:pPr>
      <w:r>
        <w:rPr>
          <w:highlight w:val="none"/>
        </w:rPr>
        <w:t>（5）菌藻类</w:t>
      </w:r>
    </w:p>
    <w:p w14:paraId="134FAFC6">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lang w:val="en-US" w:eastAsia="zh-CN"/>
        </w:rPr>
      </w:pPr>
      <w:r>
        <w:rPr>
          <w:highlight w:val="none"/>
          <w:lang w:val="en-US" w:eastAsia="zh-CN"/>
        </w:rPr>
        <w:t>① 菌类：个体均匀，新鲜饱满，无异味，不发霉、不变黑、不发黄、不腐烂，手捏不出水。</w:t>
      </w:r>
    </w:p>
    <w:p w14:paraId="3C79450B">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rPr>
      </w:pPr>
      <w:r>
        <w:rPr>
          <w:highlight w:val="none"/>
          <w:lang w:val="en-US" w:eastAsia="zh-CN"/>
        </w:rPr>
        <w:t>② 藻类：海带应呈深绿色，要脆口、卷曲状，宽度均匀，无黄白边，具有海带食品固有气味，无异味，无腐烂，且不含杂质及泥沙；水分含量不超过 13%；氯化钠含量不超过 15%；无机砷含量不超过 2.0mg/kg。</w:t>
      </w:r>
    </w:p>
    <w:p w14:paraId="5552C5A8">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rPr>
      </w:pPr>
      <w:r>
        <w:rPr>
          <w:highlight w:val="none"/>
        </w:rPr>
        <w:t>（6）其他类</w:t>
      </w:r>
    </w:p>
    <w:p w14:paraId="71F7C556">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rPr>
      </w:pPr>
      <w:r>
        <w:rPr>
          <w:highlight w:val="none"/>
          <w:lang w:val="en-US" w:eastAsia="zh-CN"/>
        </w:rPr>
        <w:t>色泽清亮，无发黑、无发黄、无异味、无腐烂。</w:t>
      </w:r>
    </w:p>
    <w:p w14:paraId="163958F0">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rPr>
      </w:pPr>
      <w:r>
        <w:rPr>
          <w:highlight w:val="none"/>
        </w:rPr>
        <w:t>（7）水果类</w:t>
      </w:r>
    </w:p>
    <w:p w14:paraId="77AAA9F9">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lang w:val="en-US" w:eastAsia="zh-CN"/>
        </w:rPr>
      </w:pPr>
      <w:r>
        <w:rPr>
          <w:highlight w:val="none"/>
          <w:lang w:val="en-US" w:eastAsia="zh-CN"/>
        </w:rPr>
        <w:t>① 柑橘类：果实新鲜结实、有弹性，手掂有重量感，果形完整、果肉酸甜清香，有色泽、无疤痕、不萎缩、不变色、不挤压变形，柚类无褐斑、黑点；单果重 100-150 克。</w:t>
      </w:r>
    </w:p>
    <w:p w14:paraId="0DD8B6CF">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lang w:val="en-US" w:eastAsia="zh-CN"/>
        </w:rPr>
      </w:pPr>
      <w:r>
        <w:rPr>
          <w:highlight w:val="none"/>
          <w:lang w:val="en-US" w:eastAsia="zh-CN"/>
        </w:rPr>
        <w:t>② 橘子 / 沃柑：果实新鲜形偏圆，果皮松软易剥、色泽浅黄、金黄至金红色；果肉酸甜清香，单果重 100-150 克，有色泽、无疤痕、不萎缩、不变色、不挤压变形，无褐斑、黑点。</w:t>
      </w:r>
    </w:p>
    <w:p w14:paraId="71CE6000">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lang w:val="en-US" w:eastAsia="zh-CN"/>
        </w:rPr>
      </w:pPr>
      <w:r>
        <w:rPr>
          <w:highlight w:val="none"/>
          <w:lang w:val="en-US" w:eastAsia="zh-CN"/>
        </w:rPr>
        <w:t>③ 金橘：果实小呈椭圆，果皮细薄，果肉多汁，香气浓郁。有色泽、不萎缩、无挤压开裂，无果皮干皱。</w:t>
      </w:r>
    </w:p>
    <w:p w14:paraId="3E922197">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lang w:val="en-US" w:eastAsia="zh-CN"/>
        </w:rPr>
      </w:pPr>
      <w:r>
        <w:rPr>
          <w:highlight w:val="none"/>
          <w:lang w:val="en-US" w:eastAsia="zh-CN"/>
        </w:rPr>
        <w:t>④ 苹果类（蛇果、青苹果、红富士、黄金帅等）：新鲜结实多汁、有光泽，表面光滑，无压伤、疤痕，不干皱、腐烂；单果重 175-200 克。</w:t>
      </w:r>
    </w:p>
    <w:p w14:paraId="491E737E">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lang w:val="en-US" w:eastAsia="zh-CN"/>
        </w:rPr>
      </w:pPr>
      <w:r>
        <w:rPr>
          <w:highlight w:val="none"/>
          <w:lang w:val="en-US" w:eastAsia="zh-CN"/>
        </w:rPr>
        <w:t>⑤ 梨类（鸭梨、啤梨、水晶梨、雪梨、贡梨、香梨等）：新鲜结实、甜而多汁，个体均匀、不变色、不干皱，无压伤；单果重 175-200 克。</w:t>
      </w:r>
    </w:p>
    <w:p w14:paraId="111B6860">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lang w:val="en-US" w:eastAsia="zh-CN"/>
        </w:rPr>
      </w:pPr>
      <w:r>
        <w:rPr>
          <w:highlight w:val="none"/>
          <w:lang w:val="en-US" w:eastAsia="zh-CN"/>
        </w:rPr>
        <w:t>⑥ 桃类：果皮粉红带绒毛，不过熟略硬，果肉香甜爽滑多汁；油桃呈红带深红色表皮光滑无绒毛。果实带桃香，无压伤腐烂，变软过熟。</w:t>
      </w:r>
    </w:p>
    <w:p w14:paraId="64111062">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lang w:val="en-US" w:eastAsia="zh-CN"/>
        </w:rPr>
      </w:pPr>
      <w:r>
        <w:rPr>
          <w:highlight w:val="none"/>
          <w:lang w:val="en-US" w:eastAsia="zh-CN"/>
        </w:rPr>
        <w:t>⑦ 浆果类（提子、草莓、葡萄、奇异果、猕猴桃）：果实新鲜饱满，多汁甘甜，大小均匀，无压伤，无失水干缩，无过熟腐烂。</w:t>
      </w:r>
    </w:p>
    <w:p w14:paraId="3D743106">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lang w:val="en-US" w:eastAsia="zh-CN"/>
        </w:rPr>
      </w:pPr>
      <w:r>
        <w:rPr>
          <w:highlight w:val="none"/>
          <w:lang w:val="en-US" w:eastAsia="zh-CN"/>
        </w:rPr>
        <w:t>⑧ 瓜类（哈密瓜、西瓜、香瓜、木瓜等）：果实完整结实无开裂、无压伤腐烂。</w:t>
      </w:r>
    </w:p>
    <w:p w14:paraId="5BE2B50E">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lang w:val="en-US" w:eastAsia="zh-CN"/>
        </w:rPr>
      </w:pPr>
      <w:r>
        <w:rPr>
          <w:rFonts w:hint="eastAsia" w:ascii="宋体" w:hAnsi="宋体" w:cs="宋体"/>
          <w:kern w:val="0"/>
          <w:sz w:val="21"/>
          <w:szCs w:val="21"/>
          <w:highlight w:val="none"/>
          <w:lang w:val="en-US" w:eastAsia="zh-CN"/>
        </w:rPr>
        <w:t>a.</w:t>
      </w:r>
      <w:r>
        <w:rPr>
          <w:highlight w:val="none"/>
          <w:lang w:val="en-US" w:eastAsia="zh-CN"/>
        </w:rPr>
        <w:t>哈密瓜 / 西瓜：熟度适中，指关节敲击脆响，表皮带纹路。</w:t>
      </w:r>
    </w:p>
    <w:p w14:paraId="6E6FFD0B">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lang w:val="en-US" w:eastAsia="zh-CN"/>
        </w:rPr>
      </w:pPr>
      <w:r>
        <w:rPr>
          <w:rFonts w:hint="eastAsia" w:ascii="宋体" w:hAnsi="宋体" w:cs="宋体"/>
          <w:kern w:val="0"/>
          <w:sz w:val="21"/>
          <w:szCs w:val="21"/>
          <w:highlight w:val="none"/>
          <w:lang w:val="en-US" w:eastAsia="zh-CN"/>
        </w:rPr>
        <w:t>b.</w:t>
      </w:r>
      <w:r>
        <w:rPr>
          <w:highlight w:val="none"/>
          <w:lang w:val="en-US" w:eastAsia="zh-CN"/>
        </w:rPr>
        <w:t>哈密瓜：果皮黄绿、绿白或金黄，厚而粗糙，带有凸起纹路，果形椭圆，果肉甜香多汁、爽滑。禁止供应劣质品：有疤痕、压伤、出现黑斑，瓜身变软（过熟）。</w:t>
      </w:r>
    </w:p>
    <w:p w14:paraId="3E41154E">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lang w:val="en-US" w:eastAsia="zh-CN"/>
        </w:rPr>
      </w:pPr>
      <w:r>
        <w:rPr>
          <w:rFonts w:hint="eastAsia" w:ascii="宋体" w:hAnsi="宋体" w:cs="宋体"/>
          <w:kern w:val="0"/>
          <w:sz w:val="21"/>
          <w:szCs w:val="21"/>
          <w:highlight w:val="none"/>
          <w:lang w:val="en-US" w:eastAsia="zh-CN"/>
        </w:rPr>
        <w:t>c.</w:t>
      </w:r>
      <w:r>
        <w:rPr>
          <w:highlight w:val="none"/>
          <w:lang w:val="en-US" w:eastAsia="zh-CN"/>
        </w:rPr>
        <w:t>西瓜：果形完整、有光泽，带暗条纹品种花纹要清晰，汁多爽甜，无开裂、发软，有疤痕、斑点；禁止供应劣质品：颜色暗红，过熟口感不好；过生肉粉红的味酸。</w:t>
      </w:r>
    </w:p>
    <w:p w14:paraId="2182E5C7">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lang w:val="en-US" w:eastAsia="zh-CN"/>
        </w:rPr>
      </w:pPr>
      <w:r>
        <w:rPr>
          <w:highlight w:val="none"/>
          <w:lang w:val="en-US" w:eastAsia="zh-CN"/>
        </w:rPr>
        <w:t>⑨ 火龙果：表皮鲜红，叶片鲜绿，结实而有弹性，果肉白、有黑色种子，口味淡甜。禁止供应劣质品：叶片发黄、干皱、颜色黯淡，表皮开裂、变软，果柄腐烂。</w:t>
      </w:r>
    </w:p>
    <w:p w14:paraId="23461681">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lang w:val="en-US" w:eastAsia="zh-CN"/>
        </w:rPr>
      </w:pPr>
      <w:r>
        <w:rPr>
          <w:highlight w:val="none"/>
          <w:lang w:val="en-US" w:eastAsia="zh-CN"/>
        </w:rPr>
        <w:t>⑩ 枇杷：果实尖圆、色橙红，结实有弹性，果肉甜香。禁止供应劣质品：腐烂、变软、疤痕。</w:t>
      </w:r>
    </w:p>
    <w:p w14:paraId="74FFDF7C">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lang w:val="en-US" w:eastAsia="zh-CN"/>
        </w:rPr>
      </w:pPr>
      <w:r>
        <w:rPr>
          <w:highlight w:val="none"/>
          <w:lang w:val="en-US" w:eastAsia="zh-CN"/>
        </w:rPr>
        <w:t>⑪ 芒果：果粒大小均匀，果皮光滑细腻，果肉幼滑甜香。禁止供应劣质品：表皮发黑或有黑斑，失水萎缩，果柄处腐烂。</w:t>
      </w:r>
    </w:p>
    <w:p w14:paraId="35C6AF49">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lang w:val="en-US" w:eastAsia="zh-CN"/>
        </w:rPr>
      </w:pPr>
      <w:r>
        <w:rPr>
          <w:highlight w:val="none"/>
          <w:lang w:val="en-US" w:eastAsia="zh-CN"/>
        </w:rPr>
        <w:t>⑫ 香蕉：果实象牙状，未成熟青绿色、成熟后鲜黄色，软糯香甜。无表皮发黑，果柄腐烂，压伤、冻伤。单果重 150-200 克。</w:t>
      </w:r>
    </w:p>
    <w:p w14:paraId="1E95B191">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lang w:val="en-US" w:eastAsia="zh-CN"/>
        </w:rPr>
      </w:pPr>
      <w:r>
        <w:rPr>
          <w:highlight w:val="none"/>
          <w:lang w:val="en-US" w:eastAsia="zh-CN"/>
        </w:rPr>
        <w:t>⑬ 龙眼：果实小而圆，果皮浅咖啡色，果肉甜、多汁；无表皮发黑，爆裂、出水。</w:t>
      </w:r>
    </w:p>
    <w:p w14:paraId="305B3A37">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lang w:val="en-US" w:eastAsia="zh-CN"/>
        </w:rPr>
      </w:pPr>
      <w:r>
        <w:rPr>
          <w:highlight w:val="none"/>
          <w:lang w:val="en-US" w:eastAsia="zh-CN"/>
        </w:rPr>
        <w:t>⑭ 荔枝：果实心形，色泽鲜红带绿，口感结实有弹性，香甜美味，脆嫩多汁，无爆裂。</w:t>
      </w:r>
    </w:p>
    <w:p w14:paraId="79C9A300">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lang w:val="en-US" w:eastAsia="zh-CN"/>
        </w:rPr>
      </w:pPr>
      <w:r>
        <w:rPr>
          <w:highlight w:val="none"/>
          <w:lang w:val="en-US" w:eastAsia="zh-CN"/>
        </w:rPr>
        <w:t>⑮ 杨桃：果实呈星形，色浅绿，成熟后金黄色，表皮有光泽，果肉晶莹，口味酸甜。单果重 0.2-0.8kg。禁止供应劣质品：表面有黑斑、疤痕、外伤、边缘变色发黑。</w:t>
      </w:r>
    </w:p>
    <w:p w14:paraId="01807F9C">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rPr>
      </w:pPr>
      <w:r>
        <w:rPr>
          <w:highlight w:val="none"/>
          <w:lang w:val="en-US" w:eastAsia="zh-CN"/>
        </w:rPr>
        <w:t>⑯ 柠檬（酸柠檬）：表皮光滑，个体均匀；手撕开果后有浆状物呈出。以上水果皆符合国家相关产品质量标准。</w:t>
      </w:r>
    </w:p>
    <w:p w14:paraId="45B1765B">
      <w:pPr>
        <w:keepNext w:val="0"/>
        <w:keepLines w:val="0"/>
        <w:pageBreakBefore w:val="0"/>
        <w:widowControl w:val="0"/>
        <w:kinsoku/>
        <w:wordWrap/>
        <w:overflowPunct/>
        <w:topLinePunct w:val="0"/>
        <w:autoSpaceDE/>
        <w:autoSpaceDN/>
        <w:bidi w:val="0"/>
        <w:adjustRightInd/>
        <w:snapToGrid/>
        <w:ind w:firstLine="422" w:firstLineChars="200"/>
        <w:textAlignment w:val="auto"/>
        <w:rPr>
          <w:b/>
          <w:bCs/>
          <w:highlight w:val="none"/>
        </w:rPr>
      </w:pPr>
      <w:r>
        <w:rPr>
          <w:b/>
          <w:bCs/>
          <w:highlight w:val="none"/>
        </w:rPr>
        <w:t>（二）猪肉牛肉类配送服务</w:t>
      </w:r>
    </w:p>
    <w:p w14:paraId="13DAC382">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rPr>
      </w:pPr>
      <w:r>
        <w:rPr>
          <w:highlight w:val="none"/>
        </w:rPr>
        <w:t>1. 食材种类</w:t>
      </w:r>
    </w:p>
    <w:p w14:paraId="796715EC">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rPr>
      </w:pPr>
      <w:r>
        <w:rPr>
          <w:highlight w:val="none"/>
        </w:rPr>
        <w:t>（1）猪肉</w:t>
      </w:r>
    </w:p>
    <w:p w14:paraId="62D304D0">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rPr>
      </w:pPr>
      <w:r>
        <w:rPr>
          <w:highlight w:val="none"/>
          <w:lang w:val="en-US" w:eastAsia="zh-CN"/>
        </w:rPr>
        <w:t>瘦肉、里脊肉、前脚肉、半肥瘦、肥肉、前排骨、五花肉、猪耳、猪舌、猪前脚、筒骨、一字排、沙骨、扇骨、猪头骨（不带肉）、猪头皮、带皮面肉、猪脑、鲜猪肚、大肠、粉肠、猪肝、猪肺、猪腰、猪板油、猪红、冻猪尾、冰鲜猪肚、冻猪蹄等。</w:t>
      </w:r>
    </w:p>
    <w:p w14:paraId="35C58EEF">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rPr>
      </w:pPr>
      <w:r>
        <w:rPr>
          <w:highlight w:val="none"/>
        </w:rPr>
        <w:t>（2）牛肉</w:t>
      </w:r>
    </w:p>
    <w:p w14:paraId="3F81F0A0">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rPr>
      </w:pPr>
      <w:r>
        <w:rPr>
          <w:highlight w:val="none"/>
          <w:lang w:val="en-US" w:eastAsia="zh-CN"/>
        </w:rPr>
        <w:t>牛肉、牛腱子肉、牛里脊、牛腩、牛腩（碎）、牛百叶、牛仔骨等。</w:t>
      </w:r>
    </w:p>
    <w:p w14:paraId="78D6B127">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rPr>
      </w:pPr>
      <w:r>
        <w:rPr>
          <w:highlight w:val="none"/>
        </w:rPr>
        <w:t>2. 基本要求</w:t>
      </w:r>
    </w:p>
    <w:p w14:paraId="1D803CBF">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rPr>
      </w:pPr>
      <w:r>
        <w:rPr>
          <w:highlight w:val="none"/>
        </w:rPr>
        <w:t>（</w:t>
      </w:r>
      <w:r>
        <w:rPr>
          <w:rFonts w:hint="eastAsia"/>
          <w:highlight w:val="none"/>
          <w:lang w:val="en-US" w:eastAsia="zh-CN"/>
        </w:rPr>
        <w:t>1</w:t>
      </w:r>
      <w:r>
        <w:rPr>
          <w:highlight w:val="none"/>
        </w:rPr>
        <w:t>）资质齐全，提供有效防疫检疫证明，符合国家相关产品质量标准。</w:t>
      </w:r>
    </w:p>
    <w:p w14:paraId="7D157A0A">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rPr>
      </w:pPr>
      <w:r>
        <w:rPr>
          <w:highlight w:val="none"/>
        </w:rPr>
        <w:t>（</w:t>
      </w:r>
      <w:r>
        <w:rPr>
          <w:rFonts w:hint="eastAsia"/>
          <w:highlight w:val="none"/>
          <w:lang w:val="en-US" w:eastAsia="zh-CN"/>
        </w:rPr>
        <w:t>2</w:t>
      </w:r>
      <w:r>
        <w:rPr>
          <w:highlight w:val="none"/>
        </w:rPr>
        <w:t>）要求新鲜无异常味道，肉质色泽略呈肉白色有弹性不黏滑、骨髓色泽呈鲜红色，变灰变绿为品质不佳，用刀切开后无明显水迹。</w:t>
      </w:r>
    </w:p>
    <w:p w14:paraId="361CED14">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rPr>
      </w:pPr>
      <w:r>
        <w:rPr>
          <w:highlight w:val="none"/>
        </w:rPr>
        <w:t>（</w:t>
      </w:r>
      <w:r>
        <w:rPr>
          <w:rFonts w:hint="eastAsia"/>
          <w:highlight w:val="none"/>
          <w:lang w:val="en-US" w:eastAsia="zh-CN"/>
        </w:rPr>
        <w:t>3</w:t>
      </w:r>
      <w:r>
        <w:rPr>
          <w:highlight w:val="none"/>
        </w:rPr>
        <w:t>）按要求加工砍切；运输要求能基础保鲜封闭式运输货车。凡局部出现肉淤血、骨折、露骨、体内异物异味及表皮组织不完整等现象拒绝收货。</w:t>
      </w:r>
    </w:p>
    <w:p w14:paraId="75DDA03F">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rPr>
      </w:pPr>
      <w:r>
        <w:rPr>
          <w:highlight w:val="none"/>
        </w:rPr>
        <w:t>（</w:t>
      </w:r>
      <w:r>
        <w:rPr>
          <w:rFonts w:hint="eastAsia"/>
          <w:highlight w:val="none"/>
          <w:lang w:val="en-US" w:eastAsia="zh-CN"/>
        </w:rPr>
        <w:t>4</w:t>
      </w:r>
      <w:r>
        <w:rPr>
          <w:highlight w:val="none"/>
        </w:rPr>
        <w:t>）白条猪重量要求不低于 90kg。</w:t>
      </w:r>
    </w:p>
    <w:p w14:paraId="7F0728ED">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rPr>
      </w:pPr>
      <w:r>
        <w:rPr>
          <w:highlight w:val="none"/>
        </w:rPr>
        <w:t>（</w:t>
      </w:r>
      <w:r>
        <w:rPr>
          <w:rFonts w:hint="eastAsia"/>
          <w:highlight w:val="none"/>
          <w:lang w:val="en-US" w:eastAsia="zh-CN"/>
        </w:rPr>
        <w:t>5</w:t>
      </w:r>
      <w:r>
        <w:rPr>
          <w:highlight w:val="none"/>
        </w:rPr>
        <w:t>）运输要求：冷链车配送。</w:t>
      </w:r>
    </w:p>
    <w:p w14:paraId="192CA24A">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rPr>
      </w:pPr>
      <w:r>
        <w:rPr>
          <w:highlight w:val="none"/>
        </w:rPr>
        <w:t>3. 食材品质要求</w:t>
      </w:r>
    </w:p>
    <w:p w14:paraId="0BC7554D">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rPr>
      </w:pPr>
      <w:r>
        <w:rPr>
          <w:highlight w:val="none"/>
        </w:rPr>
        <w:t>（1）新鲜猪肉</w:t>
      </w:r>
    </w:p>
    <w:p w14:paraId="3274D6B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highlight w:val="none"/>
          <w:lang w:val="en-US" w:eastAsia="zh-CN"/>
        </w:rPr>
      </w:pPr>
      <w:r>
        <w:rPr>
          <w:highlight w:val="none"/>
          <w:lang w:val="en-US" w:eastAsia="zh-CN"/>
        </w:rPr>
        <w:t>① 猪肉感官要求：肉质紧密，脂肪为白色或乳白色、整体色泽光滑、切面红色、微微湿润但不黏手、无瘀血、无注水、无寄生虫</w:t>
      </w:r>
      <w:r>
        <w:rPr>
          <w:rFonts w:hint="eastAsia"/>
          <w:highlight w:val="none"/>
          <w:lang w:val="en-US" w:eastAsia="zh-CN"/>
        </w:rPr>
        <w:t>。</w:t>
      </w:r>
    </w:p>
    <w:p w14:paraId="6F3AC1F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highlight w:val="none"/>
          <w:lang w:val="en-US" w:eastAsia="zh-CN"/>
        </w:rPr>
      </w:pPr>
      <w:r>
        <w:rPr>
          <w:rFonts w:hint="eastAsia"/>
          <w:highlight w:val="none"/>
          <w:lang w:val="en-US" w:eastAsia="zh-CN"/>
        </w:rPr>
        <w:t>a、</w:t>
      </w:r>
      <w:r>
        <w:rPr>
          <w:highlight w:val="none"/>
          <w:lang w:val="en-US" w:eastAsia="zh-CN"/>
        </w:rPr>
        <w:t>五花肉：外形完整，品质新鲜，有光泽，无淤伤，略有弹性，组织结实，无猪毛，无变质异味，肌肉与脂肪相间多层</w:t>
      </w:r>
      <w:r>
        <w:rPr>
          <w:rFonts w:hint="eastAsia"/>
          <w:highlight w:val="none"/>
          <w:lang w:val="en-US" w:eastAsia="zh-CN"/>
        </w:rPr>
        <w:t>。</w:t>
      </w:r>
    </w:p>
    <w:p w14:paraId="72941DB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highlight w:val="none"/>
          <w:lang w:val="en-US" w:eastAsia="zh-CN"/>
        </w:rPr>
      </w:pPr>
      <w:r>
        <w:rPr>
          <w:rFonts w:hint="eastAsia"/>
          <w:highlight w:val="none"/>
          <w:lang w:val="en-US" w:eastAsia="zh-CN"/>
        </w:rPr>
        <w:t>b、</w:t>
      </w:r>
      <w:r>
        <w:rPr>
          <w:highlight w:val="none"/>
          <w:lang w:val="en-US" w:eastAsia="zh-CN"/>
        </w:rPr>
        <w:t>隔山肉：品质新鲜，有光泽（稍红色），无淤伤，略有弹性，组织结实</w:t>
      </w:r>
      <w:r>
        <w:rPr>
          <w:rFonts w:hint="eastAsia"/>
          <w:highlight w:val="none"/>
          <w:lang w:val="en-US" w:eastAsia="zh-CN"/>
        </w:rPr>
        <w:t>。</w:t>
      </w:r>
    </w:p>
    <w:p w14:paraId="5E86835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highlight w:val="none"/>
          <w:lang w:val="en-US" w:eastAsia="zh-CN"/>
        </w:rPr>
      </w:pPr>
      <w:r>
        <w:rPr>
          <w:rFonts w:hint="eastAsia"/>
          <w:highlight w:val="none"/>
          <w:lang w:val="en-US" w:eastAsia="zh-CN"/>
        </w:rPr>
        <w:t>c、</w:t>
      </w:r>
      <w:r>
        <w:rPr>
          <w:highlight w:val="none"/>
          <w:lang w:val="en-US" w:eastAsia="zh-CN"/>
        </w:rPr>
        <w:t>猪筒骨：腿骨，圆管形、浅黄骨髓充满全部管状骨腔，带部分肌肉、干净</w:t>
      </w:r>
      <w:r>
        <w:rPr>
          <w:rFonts w:hint="eastAsia"/>
          <w:highlight w:val="none"/>
          <w:lang w:val="en-US" w:eastAsia="zh-CN"/>
        </w:rPr>
        <w:t>。</w:t>
      </w:r>
    </w:p>
    <w:p w14:paraId="59E4677B">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lang w:val="en-US" w:eastAsia="zh-CN"/>
        </w:rPr>
      </w:pPr>
      <w:r>
        <w:rPr>
          <w:rFonts w:hint="eastAsia"/>
          <w:highlight w:val="none"/>
          <w:lang w:val="en-US" w:eastAsia="zh-CN"/>
        </w:rPr>
        <w:t>d、</w:t>
      </w:r>
      <w:r>
        <w:rPr>
          <w:highlight w:val="none"/>
          <w:lang w:val="en-US" w:eastAsia="zh-CN"/>
        </w:rPr>
        <w:t>瘦肉：品质新鲜，有光泽（稍红色），无淤伤，略有弹性，组织结实，无淋巴，不能带肥肉</w:t>
      </w:r>
      <w:r>
        <w:rPr>
          <w:rFonts w:hint="eastAsia"/>
          <w:highlight w:val="none"/>
          <w:lang w:val="en-US" w:eastAsia="zh-CN"/>
        </w:rPr>
        <w:t>。</w:t>
      </w:r>
    </w:p>
    <w:p w14:paraId="433793B5">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lang w:val="en-US" w:eastAsia="zh-CN"/>
        </w:rPr>
      </w:pPr>
      <w:r>
        <w:rPr>
          <w:rFonts w:hint="eastAsia"/>
          <w:highlight w:val="none"/>
          <w:lang w:val="en-US" w:eastAsia="zh-CN"/>
        </w:rPr>
        <w:t>e、</w:t>
      </w:r>
      <w:r>
        <w:rPr>
          <w:highlight w:val="none"/>
          <w:lang w:val="en-US" w:eastAsia="zh-CN"/>
        </w:rPr>
        <w:t>猪脚尖：外形完整，无变质异味，品质新鲜，有光泽，无淤伤，略有弹性，组织结实，无猪毛</w:t>
      </w:r>
      <w:r>
        <w:rPr>
          <w:rFonts w:hint="eastAsia"/>
          <w:highlight w:val="none"/>
          <w:lang w:val="en-US" w:eastAsia="zh-CN"/>
        </w:rPr>
        <w:t>。</w:t>
      </w:r>
    </w:p>
    <w:p w14:paraId="7B5DB3E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highlight w:val="none"/>
          <w:lang w:val="en-US" w:eastAsia="zh-CN"/>
        </w:rPr>
      </w:pPr>
      <w:r>
        <w:rPr>
          <w:rFonts w:hint="eastAsia"/>
          <w:highlight w:val="none"/>
          <w:lang w:val="en-US" w:eastAsia="zh-CN"/>
        </w:rPr>
        <w:t>f、</w:t>
      </w:r>
      <w:r>
        <w:rPr>
          <w:highlight w:val="none"/>
          <w:lang w:val="en-US" w:eastAsia="zh-CN"/>
        </w:rPr>
        <w:t>猪脚：外形完整，无变质异味，品质新鲜，有光泽，无淤伤，略有弹性，组织结实，无猪毛，不带猪蹄甲，不带上节猪皮及肥肉，必带猪脚根</w:t>
      </w:r>
      <w:r>
        <w:rPr>
          <w:rFonts w:hint="eastAsia"/>
          <w:highlight w:val="none"/>
          <w:lang w:val="en-US" w:eastAsia="zh-CN"/>
        </w:rPr>
        <w:t xml:space="preserve">。     </w:t>
      </w:r>
    </w:p>
    <w:p w14:paraId="1497ACB6">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lang w:val="en-US" w:eastAsia="zh-CN"/>
        </w:rPr>
      </w:pPr>
      <w:r>
        <w:rPr>
          <w:rFonts w:hint="eastAsia"/>
          <w:highlight w:val="none"/>
          <w:lang w:val="en-US" w:eastAsia="zh-CN"/>
        </w:rPr>
        <w:t>g、</w:t>
      </w:r>
      <w:r>
        <w:rPr>
          <w:highlight w:val="none"/>
          <w:lang w:val="en-US" w:eastAsia="zh-CN"/>
        </w:rPr>
        <w:t>肉排：外形完整，无变质异味，品质新鲜，有光泽，湿润，略有弹性，组织结实，带肉的排骨，无淋巴，不带板油</w:t>
      </w:r>
      <w:r>
        <w:rPr>
          <w:rFonts w:hint="eastAsia"/>
          <w:highlight w:val="none"/>
          <w:lang w:val="en-US" w:eastAsia="zh-CN"/>
        </w:rPr>
        <w:t>。</w:t>
      </w:r>
    </w:p>
    <w:p w14:paraId="1D7B7350">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lang w:val="en-US" w:eastAsia="zh-CN"/>
        </w:rPr>
      </w:pPr>
      <w:r>
        <w:rPr>
          <w:rFonts w:hint="eastAsia"/>
          <w:highlight w:val="none"/>
          <w:lang w:val="en-US" w:eastAsia="zh-CN"/>
        </w:rPr>
        <w:t>h、</w:t>
      </w:r>
      <w:r>
        <w:rPr>
          <w:highlight w:val="none"/>
          <w:lang w:val="en-US" w:eastAsia="zh-CN"/>
        </w:rPr>
        <w:t>半肥瘦肉：外形完整，品质新鲜，有光泽，无淤伤，略有弹性，组织结实，无猪毛，无变质异味</w:t>
      </w:r>
      <w:r>
        <w:rPr>
          <w:rFonts w:hint="eastAsia"/>
          <w:highlight w:val="none"/>
          <w:lang w:val="en-US" w:eastAsia="zh-CN"/>
        </w:rPr>
        <w:t>。</w:t>
      </w:r>
    </w:p>
    <w:p w14:paraId="1020AE61">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lang w:val="en-US" w:eastAsia="zh-CN"/>
        </w:rPr>
      </w:pPr>
      <w:r>
        <w:rPr>
          <w:rFonts w:hint="eastAsia"/>
          <w:highlight w:val="none"/>
          <w:lang w:val="en-US" w:eastAsia="zh-CN"/>
        </w:rPr>
        <w:t>i、</w:t>
      </w:r>
      <w:r>
        <w:rPr>
          <w:highlight w:val="none"/>
          <w:lang w:val="en-US" w:eastAsia="zh-CN"/>
        </w:rPr>
        <w:t>猪舌：品质新鲜，外形完整，无根无附着的肌肉、舌骨、舌苔、脂肪，无异物，有弹性</w:t>
      </w:r>
      <w:r>
        <w:rPr>
          <w:rFonts w:hint="eastAsia"/>
          <w:highlight w:val="none"/>
          <w:lang w:val="en-US" w:eastAsia="zh-CN"/>
        </w:rPr>
        <w:t>。</w:t>
      </w:r>
    </w:p>
    <w:p w14:paraId="032D89C6">
      <w:pPr>
        <w:keepNext w:val="0"/>
        <w:keepLines w:val="0"/>
        <w:pageBreakBefore w:val="0"/>
        <w:widowControl w:val="0"/>
        <w:kinsoku/>
        <w:wordWrap/>
        <w:overflowPunct/>
        <w:topLinePunct w:val="0"/>
        <w:autoSpaceDE/>
        <w:autoSpaceDN/>
        <w:bidi w:val="0"/>
        <w:adjustRightInd/>
        <w:snapToGrid/>
        <w:ind w:firstLine="480" w:firstLineChars="200"/>
        <w:textAlignment w:val="auto"/>
        <w:rPr>
          <w:highlight w:val="none"/>
          <w:lang w:val="en-US" w:eastAsia="zh-CN"/>
        </w:rPr>
      </w:pPr>
      <w:r>
        <w:rPr>
          <w:rFonts w:ascii="宋体" w:hAnsi="宋体" w:eastAsia="宋体" w:cs="宋体"/>
          <w:sz w:val="24"/>
          <w:szCs w:val="24"/>
          <w:highlight w:val="none"/>
        </w:rPr>
        <w:t>j</w:t>
      </w:r>
      <w:r>
        <w:rPr>
          <w:rFonts w:hint="eastAsia"/>
          <w:highlight w:val="none"/>
          <w:lang w:val="en-US" w:eastAsia="zh-CN"/>
        </w:rPr>
        <w:t>、</w:t>
      </w:r>
      <w:r>
        <w:rPr>
          <w:highlight w:val="none"/>
          <w:lang w:val="en-US" w:eastAsia="zh-CN"/>
        </w:rPr>
        <w:t>猪耳朵：表面光滑无毛，形状完整，无异味、色泽正常</w:t>
      </w:r>
      <w:r>
        <w:rPr>
          <w:rFonts w:hint="eastAsia"/>
          <w:highlight w:val="none"/>
          <w:lang w:val="en-US" w:eastAsia="zh-CN"/>
        </w:rPr>
        <w:t>。</w:t>
      </w:r>
    </w:p>
    <w:p w14:paraId="4A9C6DF5">
      <w:pPr>
        <w:keepNext w:val="0"/>
        <w:keepLines w:val="0"/>
        <w:pageBreakBefore w:val="0"/>
        <w:widowControl w:val="0"/>
        <w:kinsoku/>
        <w:wordWrap/>
        <w:overflowPunct/>
        <w:topLinePunct w:val="0"/>
        <w:autoSpaceDE/>
        <w:autoSpaceDN/>
        <w:bidi w:val="0"/>
        <w:adjustRightInd/>
        <w:snapToGrid/>
        <w:ind w:firstLine="480" w:firstLineChars="200"/>
        <w:textAlignment w:val="auto"/>
        <w:rPr>
          <w:highlight w:val="none"/>
          <w:lang w:val="en-US" w:eastAsia="zh-CN"/>
        </w:rPr>
      </w:pPr>
      <w:r>
        <w:rPr>
          <w:rFonts w:ascii="宋体" w:hAnsi="宋体" w:eastAsia="宋体" w:cs="宋体"/>
          <w:sz w:val="24"/>
          <w:szCs w:val="24"/>
          <w:highlight w:val="none"/>
        </w:rPr>
        <w:t>k、</w:t>
      </w:r>
      <w:r>
        <w:rPr>
          <w:highlight w:val="none"/>
          <w:lang w:val="en-US" w:eastAsia="zh-CN"/>
        </w:rPr>
        <w:t>脊骨：品质新鲜，无淋巴，有光泽，湿润，无淤伤</w:t>
      </w:r>
      <w:r>
        <w:rPr>
          <w:rFonts w:hint="eastAsia"/>
          <w:highlight w:val="none"/>
          <w:lang w:val="en-US" w:eastAsia="zh-CN"/>
        </w:rPr>
        <w:t>。</w:t>
      </w:r>
    </w:p>
    <w:p w14:paraId="65373DCF">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lang w:val="en-US" w:eastAsia="zh-CN"/>
        </w:rPr>
      </w:pPr>
      <w:r>
        <w:rPr>
          <w:rFonts w:hint="eastAsia"/>
          <w:highlight w:val="none"/>
          <w:lang w:val="en-US" w:eastAsia="zh-CN"/>
        </w:rPr>
        <w:t>l、</w:t>
      </w:r>
      <w:r>
        <w:rPr>
          <w:highlight w:val="none"/>
          <w:lang w:val="en-US" w:eastAsia="zh-CN"/>
        </w:rPr>
        <w:t>排骨：外形完整，无变质异味，品质新鲜，有光泽，湿润，略有弹性，组织结实，带肉的排骨，无淋巴，不带板油</w:t>
      </w:r>
      <w:r>
        <w:rPr>
          <w:rFonts w:hint="eastAsia"/>
          <w:highlight w:val="none"/>
          <w:lang w:val="en-US" w:eastAsia="zh-CN"/>
        </w:rPr>
        <w:t>。</w:t>
      </w:r>
    </w:p>
    <w:p w14:paraId="7756F98C">
      <w:pPr>
        <w:keepNext w:val="0"/>
        <w:keepLines w:val="0"/>
        <w:pageBreakBefore w:val="0"/>
        <w:widowControl w:val="0"/>
        <w:kinsoku/>
        <w:wordWrap/>
        <w:overflowPunct/>
        <w:topLinePunct w:val="0"/>
        <w:autoSpaceDE/>
        <w:autoSpaceDN/>
        <w:bidi w:val="0"/>
        <w:adjustRightInd/>
        <w:snapToGrid/>
        <w:ind w:firstLine="480" w:firstLineChars="200"/>
        <w:textAlignment w:val="auto"/>
        <w:rPr>
          <w:highlight w:val="none"/>
          <w:lang w:val="en-US" w:eastAsia="zh-CN"/>
        </w:rPr>
      </w:pPr>
      <w:r>
        <w:rPr>
          <w:rFonts w:ascii="宋体" w:hAnsi="宋体" w:eastAsia="宋体" w:cs="宋体"/>
          <w:sz w:val="24"/>
          <w:szCs w:val="24"/>
          <w:highlight w:val="none"/>
        </w:rPr>
        <w:t>m</w:t>
      </w:r>
      <w:r>
        <w:rPr>
          <w:rFonts w:hint="eastAsia"/>
          <w:highlight w:val="none"/>
          <w:lang w:val="en-US" w:eastAsia="zh-CN"/>
        </w:rPr>
        <w:t>、</w:t>
      </w:r>
      <w:r>
        <w:rPr>
          <w:highlight w:val="none"/>
          <w:lang w:val="en-US" w:eastAsia="zh-CN"/>
        </w:rPr>
        <w:t>猪尾：表面光滑无毛，形状完整，无异味、色泽正常</w:t>
      </w:r>
      <w:r>
        <w:rPr>
          <w:rFonts w:hint="eastAsia"/>
          <w:highlight w:val="none"/>
          <w:lang w:val="en-US" w:eastAsia="zh-CN"/>
        </w:rPr>
        <w:t>。</w:t>
      </w:r>
    </w:p>
    <w:p w14:paraId="4359FEAE">
      <w:pPr>
        <w:keepNext w:val="0"/>
        <w:keepLines w:val="0"/>
        <w:pageBreakBefore w:val="0"/>
        <w:widowControl w:val="0"/>
        <w:kinsoku/>
        <w:wordWrap/>
        <w:overflowPunct/>
        <w:topLinePunct w:val="0"/>
        <w:autoSpaceDE/>
        <w:autoSpaceDN/>
        <w:bidi w:val="0"/>
        <w:adjustRightInd/>
        <w:snapToGrid/>
        <w:ind w:firstLine="480" w:firstLineChars="200"/>
        <w:textAlignment w:val="auto"/>
        <w:rPr>
          <w:highlight w:val="none"/>
          <w:lang w:val="en-US" w:eastAsia="zh-CN"/>
        </w:rPr>
      </w:pPr>
      <w:r>
        <w:rPr>
          <w:rFonts w:ascii="宋体" w:hAnsi="宋体" w:eastAsia="宋体" w:cs="宋体"/>
          <w:sz w:val="24"/>
          <w:szCs w:val="24"/>
          <w:highlight w:val="none"/>
        </w:rPr>
        <w:t>n、</w:t>
      </w:r>
      <w:r>
        <w:rPr>
          <w:highlight w:val="none"/>
          <w:lang w:val="en-US" w:eastAsia="zh-CN"/>
        </w:rPr>
        <w:t>肥肉：外形完整，品质新鲜，有光泽，无淤伤，略有弹性，组织结实，无变质异味</w:t>
      </w:r>
      <w:r>
        <w:rPr>
          <w:rFonts w:hint="eastAsia"/>
          <w:highlight w:val="none"/>
          <w:lang w:val="en-US" w:eastAsia="zh-CN"/>
        </w:rPr>
        <w:t>。</w:t>
      </w:r>
    </w:p>
    <w:p w14:paraId="153E375E">
      <w:pPr>
        <w:keepNext w:val="0"/>
        <w:keepLines w:val="0"/>
        <w:pageBreakBefore w:val="0"/>
        <w:widowControl w:val="0"/>
        <w:kinsoku/>
        <w:wordWrap/>
        <w:overflowPunct/>
        <w:topLinePunct w:val="0"/>
        <w:autoSpaceDE/>
        <w:autoSpaceDN/>
        <w:bidi w:val="0"/>
        <w:adjustRightInd/>
        <w:snapToGrid/>
        <w:ind w:firstLine="480" w:firstLineChars="200"/>
        <w:textAlignment w:val="auto"/>
        <w:rPr>
          <w:highlight w:val="none"/>
        </w:rPr>
      </w:pPr>
      <w:r>
        <w:rPr>
          <w:rFonts w:ascii="宋体" w:hAnsi="宋体" w:eastAsia="宋体" w:cs="宋体"/>
          <w:sz w:val="24"/>
          <w:szCs w:val="24"/>
          <w:highlight w:val="none"/>
        </w:rPr>
        <w:t>o、</w:t>
      </w:r>
      <w:r>
        <w:rPr>
          <w:highlight w:val="none"/>
          <w:lang w:val="en-US" w:eastAsia="zh-CN"/>
        </w:rPr>
        <w:t>沙骨感官要求：无淋巴，有光泽，无淤伤。</w:t>
      </w:r>
    </w:p>
    <w:p w14:paraId="0789E3FE">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rPr>
      </w:pPr>
      <w:r>
        <w:rPr>
          <w:highlight w:val="none"/>
          <w:lang w:val="en-US" w:eastAsia="zh-CN"/>
        </w:rPr>
        <w:t>② 香猪感观要求：脂肪为白色或乳白色、整体色泽光滑、切面红色、微微湿润但不黏手、无淤血、无注水、无寄生虫。</w:t>
      </w:r>
    </w:p>
    <w:p w14:paraId="386ACDE1">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rPr>
      </w:pPr>
      <w:r>
        <w:rPr>
          <w:highlight w:val="none"/>
        </w:rPr>
        <w:t>（2）冻鲜猪肉</w:t>
      </w:r>
    </w:p>
    <w:p w14:paraId="1769DEAC">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lang w:val="en-US" w:eastAsia="zh-CN"/>
        </w:rPr>
      </w:pPr>
      <w:r>
        <w:rPr>
          <w:highlight w:val="none"/>
          <w:lang w:val="en-US" w:eastAsia="zh-CN"/>
        </w:rPr>
        <w:t>猪肉感观要求：肉质紧密，脂肪为白色或乳白色、整体色泽光滑、切面湿润但不黏手、无淤血、无注水、无寄生虫</w:t>
      </w:r>
      <w:r>
        <w:rPr>
          <w:rFonts w:hint="eastAsia"/>
          <w:highlight w:val="none"/>
          <w:lang w:val="en-US" w:eastAsia="zh-CN"/>
        </w:rPr>
        <w:t>。</w:t>
      </w:r>
    </w:p>
    <w:p w14:paraId="14D3EA5D">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highlight w:val="none"/>
          <w:lang w:val="en-US" w:eastAsia="zh-CN"/>
        </w:rPr>
      </w:pPr>
      <w:r>
        <w:rPr>
          <w:highlight w:val="none"/>
          <w:lang w:val="en-US" w:eastAsia="zh-CN"/>
        </w:rPr>
        <w:t>① 五花肉：外形完整，品质新鲜，有光泽，无淤伤，略有弹性，组织结实，无猪毛，无变质异味，肌肉与脂肪相间多层</w:t>
      </w:r>
      <w:r>
        <w:rPr>
          <w:rFonts w:hint="eastAsia"/>
          <w:highlight w:val="none"/>
          <w:lang w:val="en-US" w:eastAsia="zh-CN"/>
        </w:rPr>
        <w:t>.</w:t>
      </w:r>
    </w:p>
    <w:p w14:paraId="4A48DFA4">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highlight w:val="none"/>
          <w:lang w:val="en-US" w:eastAsia="zh-CN"/>
        </w:rPr>
      </w:pPr>
      <w:r>
        <w:rPr>
          <w:highlight w:val="none"/>
          <w:lang w:val="en-US" w:eastAsia="zh-CN"/>
        </w:rPr>
        <w:t>②隔山肉：品质新鲜，有光泽（稍红色），无淤伤，略有弹性，组织结实</w:t>
      </w:r>
      <w:r>
        <w:rPr>
          <w:rFonts w:hint="eastAsia"/>
          <w:highlight w:val="none"/>
          <w:lang w:val="en-US" w:eastAsia="zh-CN"/>
        </w:rPr>
        <w:t>。</w:t>
      </w:r>
    </w:p>
    <w:p w14:paraId="6F03F1BB">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highlight w:val="none"/>
          <w:lang w:val="en-US" w:eastAsia="zh-CN"/>
        </w:rPr>
      </w:pPr>
      <w:r>
        <w:rPr>
          <w:highlight w:val="none"/>
          <w:lang w:val="en-US" w:eastAsia="zh-CN"/>
        </w:rPr>
        <w:t>③猪筒骨：腿骨，圆管形、浅黄骨髓充满全部管状骨腔，带部分肌肉、干净</w:t>
      </w:r>
      <w:r>
        <w:rPr>
          <w:rFonts w:hint="eastAsia"/>
          <w:highlight w:val="none"/>
          <w:lang w:val="en-US" w:eastAsia="zh-CN"/>
        </w:rPr>
        <w:t>。</w:t>
      </w:r>
    </w:p>
    <w:p w14:paraId="41CDD1CD">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highlight w:val="none"/>
          <w:lang w:val="en-US" w:eastAsia="zh-CN"/>
        </w:rPr>
      </w:pPr>
      <w:r>
        <w:rPr>
          <w:highlight w:val="none"/>
          <w:lang w:val="en-US" w:eastAsia="zh-CN"/>
        </w:rPr>
        <w:t>④ 瘦肉：品质新鲜，有光泽（稍红色），无淤伤，略有弹性，组织结实，无淋巴，不能带肥肉</w:t>
      </w:r>
      <w:r>
        <w:rPr>
          <w:rFonts w:hint="eastAsia"/>
          <w:highlight w:val="none"/>
          <w:lang w:val="en-US" w:eastAsia="zh-CN"/>
        </w:rPr>
        <w:t>。</w:t>
      </w:r>
    </w:p>
    <w:p w14:paraId="53FCC011">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highlight w:val="none"/>
          <w:lang w:val="en-US" w:eastAsia="zh-CN"/>
        </w:rPr>
      </w:pPr>
      <w:r>
        <w:rPr>
          <w:highlight w:val="none"/>
          <w:lang w:val="en-US" w:eastAsia="zh-CN"/>
        </w:rPr>
        <w:t>⑤猪脚尖：外形完整，无变质异味，品质新鲜，有光泽，无淤伤，略有弹性，组织结实，无猪毛</w:t>
      </w:r>
      <w:r>
        <w:rPr>
          <w:rFonts w:hint="eastAsia"/>
          <w:highlight w:val="none"/>
          <w:lang w:val="en-US" w:eastAsia="zh-CN"/>
        </w:rPr>
        <w:t>。</w:t>
      </w:r>
    </w:p>
    <w:p w14:paraId="5094EA8E">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highlight w:val="none"/>
          <w:lang w:val="en-US" w:eastAsia="zh-CN"/>
        </w:rPr>
      </w:pPr>
      <w:r>
        <w:rPr>
          <w:highlight w:val="none"/>
          <w:lang w:val="en-US" w:eastAsia="zh-CN"/>
        </w:rPr>
        <w:t>⑥猪脚：外形完整，无变质异味，品质新鲜，有光泽，无淤伤，略有弹性，组织结实，无猪毛，不带猪蹄甲，不带上节猪皮及肥肉，必带猪脚根</w:t>
      </w:r>
      <w:r>
        <w:rPr>
          <w:rFonts w:hint="eastAsia"/>
          <w:highlight w:val="none"/>
          <w:lang w:val="en-US" w:eastAsia="zh-CN"/>
        </w:rPr>
        <w:t>。</w:t>
      </w:r>
    </w:p>
    <w:p w14:paraId="7C8FE59F">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highlight w:val="none"/>
          <w:lang w:val="en-US" w:eastAsia="zh-CN"/>
        </w:rPr>
      </w:pPr>
      <w:r>
        <w:rPr>
          <w:highlight w:val="none"/>
          <w:lang w:val="en-US" w:eastAsia="zh-CN"/>
        </w:rPr>
        <w:t>⑦ 肉排：外形完整，无变质异味，品质新鲜，有光泽，湿润，略有弹性，组织结实，带肉的排骨，无淋巴，不带板油</w:t>
      </w:r>
      <w:r>
        <w:rPr>
          <w:rFonts w:hint="eastAsia"/>
          <w:highlight w:val="none"/>
          <w:lang w:val="en-US" w:eastAsia="zh-CN"/>
        </w:rPr>
        <w:t>。</w:t>
      </w:r>
    </w:p>
    <w:p w14:paraId="316AB57A">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highlight w:val="none"/>
          <w:lang w:val="en-US" w:eastAsia="zh-CN"/>
        </w:rPr>
      </w:pPr>
      <w:r>
        <w:rPr>
          <w:highlight w:val="none"/>
          <w:lang w:val="en-US" w:eastAsia="zh-CN"/>
        </w:rPr>
        <w:t>⑧半肥瘦肉：外形完整，品质新鲜，有光泽，无淤伤，略有弹性，组织结实，无猪毛，无变质异味</w:t>
      </w:r>
      <w:r>
        <w:rPr>
          <w:rFonts w:hint="eastAsia"/>
          <w:highlight w:val="none"/>
          <w:lang w:val="en-US" w:eastAsia="zh-CN"/>
        </w:rPr>
        <w:t>。</w:t>
      </w:r>
    </w:p>
    <w:p w14:paraId="5F94DEC4">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highlight w:val="none"/>
          <w:lang w:val="en-US" w:eastAsia="zh-CN"/>
        </w:rPr>
      </w:pPr>
      <w:r>
        <w:rPr>
          <w:highlight w:val="none"/>
          <w:lang w:val="en-US" w:eastAsia="zh-CN"/>
        </w:rPr>
        <w:t>⑨ 猪舌：品质新鲜，外形完整，无根无附着的肌肉、舌骨、舌苔、脂肪，无异物，有弹性</w:t>
      </w:r>
      <w:r>
        <w:rPr>
          <w:rFonts w:hint="eastAsia"/>
          <w:highlight w:val="none"/>
          <w:lang w:val="en-US" w:eastAsia="zh-CN"/>
        </w:rPr>
        <w:t>。</w:t>
      </w:r>
    </w:p>
    <w:p w14:paraId="1B606744">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highlight w:val="none"/>
          <w:lang w:val="en-US" w:eastAsia="zh-CN"/>
        </w:rPr>
      </w:pPr>
      <w:r>
        <w:rPr>
          <w:highlight w:val="none"/>
          <w:lang w:val="en-US" w:eastAsia="zh-CN"/>
        </w:rPr>
        <w:t>⑩ 猪耳朵：表面光滑无毛，形状完整，无异味、色泽正常</w:t>
      </w:r>
      <w:r>
        <w:rPr>
          <w:rFonts w:hint="eastAsia"/>
          <w:highlight w:val="none"/>
          <w:lang w:val="en-US" w:eastAsia="zh-CN"/>
        </w:rPr>
        <w:t>。</w:t>
      </w:r>
      <w:r>
        <w:rPr>
          <w:highlight w:val="none"/>
          <w:lang w:val="en-US" w:eastAsia="zh-CN"/>
        </w:rPr>
        <w:t>⑪脊骨：品质新鲜，无淋巴，有光泽，湿润，无淤伤</w:t>
      </w:r>
      <w:r>
        <w:rPr>
          <w:rFonts w:hint="eastAsia"/>
          <w:highlight w:val="none"/>
          <w:lang w:val="en-US" w:eastAsia="zh-CN"/>
        </w:rPr>
        <w:t>。</w:t>
      </w:r>
    </w:p>
    <w:p w14:paraId="35876437">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20" w:firstLineChars="200"/>
        <w:textAlignment w:val="auto"/>
        <w:rPr>
          <w:rFonts w:hint="eastAsia"/>
          <w:highlight w:val="none"/>
          <w:lang w:val="en-US" w:eastAsia="zh-CN"/>
        </w:rPr>
      </w:pPr>
      <w:r>
        <w:rPr>
          <w:highlight w:val="none"/>
          <w:lang w:val="en-US" w:eastAsia="zh-CN"/>
        </w:rPr>
        <w:t>⑪</w:t>
      </w:r>
      <w:r>
        <w:rPr>
          <w:highlight w:val="none"/>
          <w:lang w:val="en-US" w:eastAsia="zh-CN"/>
        </w:rPr>
        <w:t>排骨：外形完整，无变质异味，品质新鲜，有光泽，湿润，略有弹性，组织结实，带肉的排骨，无淋巴，不带板油</w:t>
      </w:r>
      <w:r>
        <w:rPr>
          <w:rFonts w:hint="eastAsia"/>
          <w:highlight w:val="none"/>
          <w:lang w:val="en-US" w:eastAsia="zh-CN"/>
        </w:rPr>
        <w:t>。</w:t>
      </w:r>
    </w:p>
    <w:p w14:paraId="0228875A">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20" w:firstLineChars="200"/>
        <w:textAlignment w:val="auto"/>
        <w:rPr>
          <w:rFonts w:hint="eastAsia"/>
          <w:highlight w:val="none"/>
          <w:lang w:val="en-US" w:eastAsia="zh-CN"/>
        </w:rPr>
      </w:pPr>
      <w:r>
        <w:rPr>
          <w:highlight w:val="none"/>
          <w:lang w:val="en-US" w:eastAsia="zh-CN"/>
        </w:rPr>
        <w:t>⑫</w:t>
      </w:r>
      <w:r>
        <w:rPr>
          <w:highlight w:val="none"/>
          <w:lang w:val="en-US" w:eastAsia="zh-CN"/>
        </w:rPr>
        <w:t>猪尾：表面光滑无毛，形状完整，无异味、色泽正常</w:t>
      </w:r>
      <w:r>
        <w:rPr>
          <w:rFonts w:hint="eastAsia"/>
          <w:highlight w:val="none"/>
          <w:lang w:val="en-US" w:eastAsia="zh-CN"/>
        </w:rPr>
        <w:t>。</w:t>
      </w:r>
    </w:p>
    <w:p w14:paraId="3BAC6948">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20" w:firstLineChars="200"/>
        <w:textAlignment w:val="auto"/>
        <w:rPr>
          <w:rFonts w:hint="eastAsia"/>
          <w:highlight w:val="none"/>
          <w:lang w:val="en-US" w:eastAsia="zh-CN"/>
        </w:rPr>
      </w:pPr>
      <w:r>
        <w:rPr>
          <w:highlight w:val="none"/>
          <w:lang w:val="en-US" w:eastAsia="zh-CN"/>
        </w:rPr>
        <w:t>⑬</w:t>
      </w:r>
      <w:r>
        <w:rPr>
          <w:highlight w:val="none"/>
          <w:lang w:val="en-US" w:eastAsia="zh-CN"/>
        </w:rPr>
        <w:t>肥肉：外形完整，品质新鲜，有光泽，无淤伤，略有弹性，组织结实，无变质异味</w:t>
      </w:r>
      <w:r>
        <w:rPr>
          <w:rFonts w:hint="eastAsia"/>
          <w:highlight w:val="none"/>
          <w:lang w:val="en-US" w:eastAsia="zh-CN"/>
        </w:rPr>
        <w:t>。</w:t>
      </w:r>
    </w:p>
    <w:p w14:paraId="7277C077">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420" w:firstLineChars="200"/>
        <w:textAlignment w:val="auto"/>
        <w:rPr>
          <w:highlight w:val="none"/>
        </w:rPr>
      </w:pPr>
      <w:r>
        <w:rPr>
          <w:highlight w:val="none"/>
          <w:lang w:val="en-US" w:eastAsia="zh-CN"/>
        </w:rPr>
        <w:t>⑭</w:t>
      </w:r>
      <w:r>
        <w:rPr>
          <w:highlight w:val="none"/>
          <w:lang w:val="en-US" w:eastAsia="zh-CN"/>
        </w:rPr>
        <w:t>沙骨感观要求：无淋巴，有光泽，无淤伤。</w:t>
      </w:r>
    </w:p>
    <w:p w14:paraId="28C504CB">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rPr>
      </w:pPr>
      <w:r>
        <w:rPr>
          <w:highlight w:val="none"/>
        </w:rPr>
        <w:t>（3）新鲜牛肉</w:t>
      </w:r>
    </w:p>
    <w:p w14:paraId="0D5ED230">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rPr>
      </w:pPr>
      <w:r>
        <w:rPr>
          <w:highlight w:val="none"/>
          <w:lang w:val="en-US" w:eastAsia="zh-CN"/>
        </w:rPr>
        <w:t>感观要求：牛肉：颜色暗红、有光泽，脂肪洁白或淡黄色。肉质纤维细腻、紧实，夹有脂肪，肉质微湿。面微干，有风干膜，不黏手。有牛肉的膻气。</w:t>
      </w:r>
    </w:p>
    <w:p w14:paraId="05FE719B">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rPr>
      </w:pPr>
      <w:r>
        <w:rPr>
          <w:highlight w:val="none"/>
        </w:rPr>
        <w:t>（4）冻鲜牛肉</w:t>
      </w:r>
    </w:p>
    <w:p w14:paraId="708F74AC">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rPr>
      </w:pPr>
      <w:r>
        <w:rPr>
          <w:highlight w:val="none"/>
          <w:lang w:val="en-US" w:eastAsia="zh-CN"/>
        </w:rPr>
        <w:t>感观要求：牛肉：颜色鲜红、有光泽，脂肪洁白或微黄色。肉质纤维细腻、紧实，夹有脂肪，肉质微湿。面微干，有风干膜，不黏手。有牛肉的膻气。</w:t>
      </w:r>
    </w:p>
    <w:p w14:paraId="42D55B4B">
      <w:pPr>
        <w:keepNext w:val="0"/>
        <w:keepLines w:val="0"/>
        <w:pageBreakBefore w:val="0"/>
        <w:widowControl w:val="0"/>
        <w:kinsoku/>
        <w:wordWrap/>
        <w:overflowPunct/>
        <w:topLinePunct w:val="0"/>
        <w:autoSpaceDE/>
        <w:autoSpaceDN/>
        <w:bidi w:val="0"/>
        <w:adjustRightInd/>
        <w:snapToGrid/>
        <w:ind w:firstLine="422" w:firstLineChars="200"/>
        <w:textAlignment w:val="auto"/>
        <w:rPr>
          <w:b/>
          <w:bCs/>
          <w:highlight w:val="none"/>
        </w:rPr>
      </w:pPr>
      <w:r>
        <w:rPr>
          <w:b/>
          <w:bCs/>
          <w:highlight w:val="none"/>
        </w:rPr>
        <w:t>（三）家禽水产冻品干杂类配送服务</w:t>
      </w:r>
    </w:p>
    <w:p w14:paraId="5120B68D">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rPr>
      </w:pPr>
      <w:r>
        <w:rPr>
          <w:highlight w:val="none"/>
        </w:rPr>
        <w:t>1. 食材种类</w:t>
      </w:r>
    </w:p>
    <w:p w14:paraId="143C08AD">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rPr>
      </w:pPr>
      <w:r>
        <w:rPr>
          <w:highlight w:val="none"/>
        </w:rPr>
        <w:t>（1）鸡肉</w:t>
      </w:r>
    </w:p>
    <w:p w14:paraId="2A42CDF6">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rPr>
      </w:pPr>
      <w:r>
        <w:rPr>
          <w:highlight w:val="none"/>
          <w:lang w:val="en-US" w:eastAsia="zh-CN"/>
        </w:rPr>
        <w:t>白切鸡、鸡胸肉、老鸡、乌鸡、肉鸡、三黄鸡、鸡腿、鸡翅、土鸡、鸡爪、鸡壳、鸡杂、冻小翅根、冻鸡尖等。</w:t>
      </w:r>
    </w:p>
    <w:p w14:paraId="27D8A400">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rPr>
      </w:pPr>
      <w:r>
        <w:rPr>
          <w:highlight w:val="none"/>
        </w:rPr>
        <w:t>（2）鸭肉</w:t>
      </w:r>
    </w:p>
    <w:p w14:paraId="3D4E3F03">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rPr>
      </w:pPr>
      <w:r>
        <w:rPr>
          <w:highlight w:val="none"/>
          <w:lang w:val="en-US" w:eastAsia="zh-CN"/>
        </w:rPr>
        <w:t>老鸭、烧鸭、炒鸭、白切鸭、鸭腿、鸭翅、带皮鸭爪、鲜鸭爪、鸭下巴、鸭肾、土鸭、醋鸭血等。</w:t>
      </w:r>
    </w:p>
    <w:p w14:paraId="546228FE">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rPr>
      </w:pPr>
      <w:r>
        <w:rPr>
          <w:highlight w:val="none"/>
        </w:rPr>
        <w:t>（3）其他禽肉</w:t>
      </w:r>
    </w:p>
    <w:p w14:paraId="5EE28C9E">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rPr>
      </w:pPr>
      <w:r>
        <w:rPr>
          <w:highlight w:val="none"/>
          <w:lang w:val="en-US" w:eastAsia="zh-CN"/>
        </w:rPr>
        <w:t>鹅、乳鸽、鹌鹑等。</w:t>
      </w:r>
    </w:p>
    <w:p w14:paraId="18F2620D">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rPr>
      </w:pPr>
      <w:r>
        <w:rPr>
          <w:highlight w:val="none"/>
        </w:rPr>
        <w:t>（4）水产类</w:t>
      </w:r>
    </w:p>
    <w:p w14:paraId="13DB33B0">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lang w:val="en-US" w:eastAsia="zh-CN"/>
        </w:rPr>
      </w:pPr>
      <w:r>
        <w:rPr>
          <w:highlight w:val="none"/>
          <w:lang w:val="en-US" w:eastAsia="zh-CN"/>
        </w:rPr>
        <w:t>① 活鱼：白鲢鱼、草鱼肉、罗非鱼、草鱼腩、禾花鱼、黄蜂鱼、鲶鱼、鲫鱼、花鱼、脆鲩、钳鱼、黄鳝（黄色品种）、泥鳅（小泥鳅）、鲟龙鱼、鲈鱼、桂花鱼、石斑鱼、多宝鱼、东星斑、鲳鱼、鱼片等。</w:t>
      </w:r>
    </w:p>
    <w:p w14:paraId="7A3C3B2B">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lang w:val="en-US" w:eastAsia="zh-CN"/>
        </w:rPr>
      </w:pPr>
      <w:r>
        <w:rPr>
          <w:highlight w:val="none"/>
          <w:lang w:val="en-US" w:eastAsia="zh-CN"/>
        </w:rPr>
        <w:t>② 虾类：明虾、斑节虾、九节虾、罗氏沼虾、冰虾、虾仁。</w:t>
      </w:r>
    </w:p>
    <w:p w14:paraId="2C9AB873">
      <w:pPr>
        <w:keepNext w:val="0"/>
        <w:keepLines w:val="0"/>
        <w:pageBreakBefore w:val="0"/>
        <w:widowControl w:val="0"/>
        <w:kinsoku/>
        <w:wordWrap/>
        <w:overflowPunct/>
        <w:topLinePunct w:val="0"/>
        <w:autoSpaceDE/>
        <w:autoSpaceDN/>
        <w:bidi w:val="0"/>
        <w:adjustRightInd/>
        <w:snapToGrid/>
        <w:ind w:left="420" w:leftChars="200" w:firstLine="0" w:firstLineChars="0"/>
        <w:textAlignment w:val="auto"/>
        <w:rPr>
          <w:highlight w:val="none"/>
          <w:lang w:val="en-US" w:eastAsia="zh-CN"/>
        </w:rPr>
      </w:pPr>
      <w:r>
        <w:rPr>
          <w:highlight w:val="none"/>
          <w:lang w:val="en-US" w:eastAsia="zh-CN"/>
        </w:rPr>
        <w:t>③ 贝类：白车螺、扇贝、生蚝、鲍鱼、花甲、圣子螺、带子螺、石螺等。④ 其他：海参、带鱼、沙丁鱼、巴沙鱼、鳕鱼、鱿鱼、鱿鱼糕、鱿鱼筒、</w:t>
      </w:r>
    </w:p>
    <w:p w14:paraId="28238D83">
      <w:pPr>
        <w:keepNext w:val="0"/>
        <w:keepLines w:val="0"/>
        <w:pageBreakBefore w:val="0"/>
        <w:widowControl w:val="0"/>
        <w:kinsoku/>
        <w:wordWrap/>
        <w:overflowPunct/>
        <w:topLinePunct w:val="0"/>
        <w:autoSpaceDE/>
        <w:autoSpaceDN/>
        <w:bidi w:val="0"/>
        <w:adjustRightInd/>
        <w:snapToGrid/>
        <w:textAlignment w:val="auto"/>
        <w:rPr>
          <w:highlight w:val="none"/>
        </w:rPr>
      </w:pPr>
      <w:r>
        <w:rPr>
          <w:highlight w:val="none"/>
          <w:lang w:val="en-US" w:eastAsia="zh-CN"/>
        </w:rPr>
        <w:t>白鳝、沙虫等。</w:t>
      </w:r>
    </w:p>
    <w:p w14:paraId="112C06F3">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rPr>
      </w:pPr>
      <w:r>
        <w:rPr>
          <w:highlight w:val="none"/>
        </w:rPr>
        <w:t>2. 家禽类基本要求</w:t>
      </w:r>
    </w:p>
    <w:p w14:paraId="173661A2">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rPr>
      </w:pPr>
      <w:r>
        <w:rPr>
          <w:highlight w:val="none"/>
        </w:rPr>
        <w:t>（1）基本要求：资质齐全，符合国家相关产品质量标准。</w:t>
      </w:r>
    </w:p>
    <w:p w14:paraId="2E0D784F">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rPr>
      </w:pPr>
      <w:r>
        <w:rPr>
          <w:highlight w:val="none"/>
        </w:rPr>
        <w:t>（2）要求新鲜无异常味道，肉质色泽呈淡黄红色有弹性不黏滑、骨髓色泽呈鲜红色，变灰变绿为品质不佳，用刀切开后无明显水迹。</w:t>
      </w:r>
    </w:p>
    <w:p w14:paraId="2E740BEC">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rPr>
      </w:pPr>
      <w:r>
        <w:rPr>
          <w:highlight w:val="none"/>
        </w:rPr>
        <w:t>（3）按要求加工砍切，去头去尾去内脏。</w:t>
      </w:r>
    </w:p>
    <w:p w14:paraId="733A41F2">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rPr>
      </w:pPr>
      <w:r>
        <w:rPr>
          <w:highlight w:val="none"/>
        </w:rPr>
        <w:t>（4）凡局部出现肉淤血、骨折、露骨、体内异物异味及表皮组织不完整等现象拒绝收货。</w:t>
      </w:r>
    </w:p>
    <w:p w14:paraId="1ECA8A0D">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rPr>
      </w:pPr>
      <w:r>
        <w:rPr>
          <w:highlight w:val="none"/>
        </w:rPr>
        <w:t>（5）鸭的饲养天数 50 天以上。</w:t>
      </w:r>
    </w:p>
    <w:p w14:paraId="6285A8D0">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rPr>
      </w:pPr>
      <w:r>
        <w:rPr>
          <w:highlight w:val="none"/>
        </w:rPr>
        <w:t>（6）三黄鸡、肉鸡等饲养天数 70 天以上。</w:t>
      </w:r>
    </w:p>
    <w:p w14:paraId="7C7F8D2E">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rPr>
      </w:pPr>
      <w:r>
        <w:rPr>
          <w:highlight w:val="none"/>
        </w:rPr>
        <w:t>（7）老鸡（老母鸡）饲养天数 100 天以上。</w:t>
      </w:r>
    </w:p>
    <w:p w14:paraId="638DBBD4">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rPr>
      </w:pPr>
      <w:r>
        <w:rPr>
          <w:highlight w:val="none"/>
        </w:rPr>
        <w:t>（8）运输要求：冷链车配送。</w:t>
      </w:r>
    </w:p>
    <w:p w14:paraId="75860377">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rPr>
      </w:pPr>
      <w:r>
        <w:rPr>
          <w:highlight w:val="none"/>
        </w:rPr>
        <w:t>3. 家禽类食材品质要求</w:t>
      </w:r>
    </w:p>
    <w:p w14:paraId="30C67C36">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rPr>
      </w:pPr>
      <w:r>
        <w:rPr>
          <w:highlight w:val="none"/>
        </w:rPr>
        <w:t>（1）光鸭产品感观要求：表皮光滑而有光泽、肉质好且丰满、表皮无毛、无破皮、无花皮、无显眼淤块；无注水、肚内无一切内脏、无异味；</w:t>
      </w:r>
    </w:p>
    <w:p w14:paraId="0F59F8B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highlight w:val="none"/>
          <w:lang w:val="en-US" w:eastAsia="zh-CN"/>
        </w:rPr>
      </w:pPr>
      <w:r>
        <w:rPr>
          <w:highlight w:val="none"/>
          <w:lang w:val="en-US" w:eastAsia="zh-CN"/>
        </w:rPr>
        <w:t>① 外观：肉色泽光润，肉的断面呈淡红色，稍湿润，但不黏手，肉的液体透明</w:t>
      </w:r>
      <w:r>
        <w:rPr>
          <w:rFonts w:hint="eastAsia"/>
          <w:highlight w:val="none"/>
          <w:lang w:val="en-US" w:eastAsia="zh-CN"/>
        </w:rPr>
        <w:t>。</w:t>
      </w:r>
    </w:p>
    <w:p w14:paraId="649B925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highlight w:val="none"/>
          <w:lang w:val="en-US" w:eastAsia="zh-CN"/>
        </w:rPr>
      </w:pPr>
      <w:r>
        <w:rPr>
          <w:highlight w:val="none"/>
          <w:lang w:val="en-US" w:eastAsia="zh-CN"/>
        </w:rPr>
        <w:t>② 硬度：肉的刀断面，肉质紧密、富有弹性</w:t>
      </w:r>
      <w:r>
        <w:rPr>
          <w:rFonts w:hint="eastAsia"/>
          <w:highlight w:val="none"/>
          <w:lang w:val="en-US" w:eastAsia="zh-CN"/>
        </w:rPr>
        <w:t>。</w:t>
      </w:r>
    </w:p>
    <w:p w14:paraId="5D177A6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highlight w:val="none"/>
          <w:lang w:val="en-US" w:eastAsia="zh-CN"/>
        </w:rPr>
      </w:pPr>
      <w:r>
        <w:rPr>
          <w:highlight w:val="none"/>
          <w:lang w:val="en-US" w:eastAsia="zh-CN"/>
        </w:rPr>
        <w:t>③ 气味：肉具有每种家禽肉的特有气味</w:t>
      </w:r>
      <w:r>
        <w:rPr>
          <w:rFonts w:hint="eastAsia"/>
          <w:highlight w:val="none"/>
          <w:lang w:val="en-US" w:eastAsia="zh-CN"/>
        </w:rPr>
        <w:t>。</w:t>
      </w:r>
    </w:p>
    <w:p w14:paraId="6055CFF5">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rPr>
      </w:pPr>
      <w:r>
        <w:rPr>
          <w:highlight w:val="none"/>
          <w:lang w:val="en-US" w:eastAsia="zh-CN"/>
        </w:rPr>
        <w:t>④ 脂肪：肉的脂肪分布均匀，没有酸败味和臭味，并保持原有色泽。</w:t>
      </w:r>
    </w:p>
    <w:p w14:paraId="305099BE">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rPr>
      </w:pPr>
      <w:r>
        <w:rPr>
          <w:highlight w:val="none"/>
        </w:rPr>
        <w:t>（2）光鸡产品感观要求：具有该品种应有的外形特征、大小符合要求、鸡肚内无一切内脏、眼球饱满、皮肤有光泽、因品种不同而呈淡黄、淡红、灰白或灰黑等色、肌肉切面发光、外表微干或微湿润、不黏手，具有鸡肉正常气味，淤血斑无或极少，无打水症状、无破皮、鸡的翼部或鸡关节，不能有骨折和因骨折破皮而使骨头外露；</w:t>
      </w:r>
    </w:p>
    <w:p w14:paraId="24B3DA1F">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lang w:val="en-US" w:eastAsia="zh-CN"/>
        </w:rPr>
      </w:pPr>
      <w:r>
        <w:rPr>
          <w:highlight w:val="none"/>
          <w:lang w:val="en-US" w:eastAsia="zh-CN"/>
        </w:rPr>
        <w:t>① 外观：肉色泽光润，肉的断面呈淡红色，稍湿润，但不黏，肉的液体透明</w:t>
      </w:r>
      <w:r>
        <w:rPr>
          <w:rFonts w:hint="eastAsia"/>
          <w:highlight w:val="none"/>
          <w:lang w:val="en-US" w:eastAsia="zh-CN"/>
        </w:rPr>
        <w:t>。</w:t>
      </w:r>
    </w:p>
    <w:p w14:paraId="0DDD8FB9">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lang w:val="en-US" w:eastAsia="zh-CN"/>
        </w:rPr>
      </w:pPr>
      <w:r>
        <w:rPr>
          <w:highlight w:val="none"/>
          <w:lang w:val="en-US" w:eastAsia="zh-CN"/>
        </w:rPr>
        <w:t>② 硬度：肉的刀断面，肉质紧密</w:t>
      </w:r>
      <w:r>
        <w:rPr>
          <w:rFonts w:hint="eastAsia"/>
          <w:highlight w:val="none"/>
          <w:lang w:val="en-US" w:eastAsia="zh-CN"/>
        </w:rPr>
        <w:t>。</w:t>
      </w:r>
    </w:p>
    <w:p w14:paraId="3CC4D3B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highlight w:val="none"/>
          <w:lang w:val="en-US" w:eastAsia="zh-CN"/>
        </w:rPr>
      </w:pPr>
      <w:r>
        <w:rPr>
          <w:highlight w:val="none"/>
          <w:lang w:val="en-US" w:eastAsia="zh-CN"/>
        </w:rPr>
        <w:t>③ 气味：肉具有每种家禽肉的特有气味</w:t>
      </w:r>
      <w:r>
        <w:rPr>
          <w:rFonts w:hint="eastAsia"/>
          <w:highlight w:val="none"/>
          <w:lang w:val="en-US" w:eastAsia="zh-CN"/>
        </w:rPr>
        <w:t>。</w:t>
      </w:r>
    </w:p>
    <w:p w14:paraId="44FF7615">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rPr>
      </w:pPr>
      <w:r>
        <w:rPr>
          <w:highlight w:val="none"/>
          <w:lang w:val="en-US" w:eastAsia="zh-CN"/>
        </w:rPr>
        <w:t>④ 脂肪：肉的脂肪分布均匀，没有酸败味和臭味，并保持原有色泽。</w:t>
      </w:r>
    </w:p>
    <w:p w14:paraId="694BD9DC">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rPr>
      </w:pPr>
      <w:r>
        <w:rPr>
          <w:highlight w:val="none"/>
        </w:rPr>
        <w:t>（3）其他禽肉产品感观要求：表皮光滑而有光泽、肉质好且丰满、表皮无毛、无破皮、无花皮、无显眼淤块；无注水、肚内无一切内脏、无异味；</w:t>
      </w:r>
    </w:p>
    <w:p w14:paraId="7C12D173">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lang w:val="en-US" w:eastAsia="zh-CN"/>
        </w:rPr>
      </w:pPr>
      <w:r>
        <w:rPr>
          <w:highlight w:val="none"/>
          <w:lang w:val="en-US" w:eastAsia="zh-CN"/>
        </w:rPr>
        <w:t>① 外观：肉色泽光润，肉的断面呈淡红色，稍湿润，但不黏，肉的液体透明</w:t>
      </w:r>
      <w:r>
        <w:rPr>
          <w:rFonts w:hint="eastAsia"/>
          <w:highlight w:val="none"/>
          <w:lang w:val="en-US" w:eastAsia="zh-CN"/>
        </w:rPr>
        <w:t>。</w:t>
      </w:r>
    </w:p>
    <w:p w14:paraId="4F2096AE">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lang w:val="en-US" w:eastAsia="zh-CN"/>
        </w:rPr>
      </w:pPr>
      <w:r>
        <w:rPr>
          <w:highlight w:val="none"/>
          <w:lang w:val="en-US" w:eastAsia="zh-CN"/>
        </w:rPr>
        <w:t>② 硬度：肉的刀断面，肉质紧密、富有弹性</w:t>
      </w:r>
      <w:r>
        <w:rPr>
          <w:rFonts w:hint="eastAsia"/>
          <w:highlight w:val="none"/>
          <w:lang w:val="en-US" w:eastAsia="zh-CN"/>
        </w:rPr>
        <w:t>。</w:t>
      </w:r>
    </w:p>
    <w:p w14:paraId="74EE5851">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lang w:val="en-US" w:eastAsia="zh-CN"/>
        </w:rPr>
      </w:pPr>
      <w:r>
        <w:rPr>
          <w:highlight w:val="none"/>
          <w:lang w:val="en-US" w:eastAsia="zh-CN"/>
        </w:rPr>
        <w:t>③ 气味：肉具有每种禽肉的特有气味</w:t>
      </w:r>
      <w:r>
        <w:rPr>
          <w:rFonts w:hint="eastAsia"/>
          <w:highlight w:val="none"/>
          <w:lang w:val="en-US" w:eastAsia="zh-CN"/>
        </w:rPr>
        <w:t>。</w:t>
      </w:r>
    </w:p>
    <w:p w14:paraId="4FF62AEF">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rPr>
      </w:pPr>
      <w:r>
        <w:rPr>
          <w:highlight w:val="none"/>
          <w:lang w:val="en-US" w:eastAsia="zh-CN"/>
        </w:rPr>
        <w:t>④ 脂肪：肉的脂肪分布均匀，没有酸败味和臭味，并保持原有色泽。</w:t>
      </w:r>
    </w:p>
    <w:p w14:paraId="400E6738">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rPr>
      </w:pPr>
      <w:r>
        <w:rPr>
          <w:highlight w:val="none"/>
        </w:rPr>
        <w:t>4. 水产类要求</w:t>
      </w:r>
    </w:p>
    <w:p w14:paraId="0CC4C38C">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rPr>
      </w:pPr>
      <w:r>
        <w:rPr>
          <w:highlight w:val="none"/>
        </w:rPr>
        <w:t>（1）基本要求：符合国家相关产品质量标准。</w:t>
      </w:r>
    </w:p>
    <w:p w14:paraId="6497584F">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rPr>
      </w:pPr>
      <w:r>
        <w:rPr>
          <w:highlight w:val="none"/>
        </w:rPr>
        <w:t>（2）鱼类：要求宰杀去鳞去内脏，体表有光泽无伤残，无畸形、无病害，鳞片完整不易脱落，黏液无浑浊，色鲜红或暗红，无异臭味；眼球饱满，无异物、无皮下出血现象及红色鱼鳞。</w:t>
      </w:r>
    </w:p>
    <w:p w14:paraId="071E8585">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rPr>
      </w:pPr>
      <w:r>
        <w:rPr>
          <w:highlight w:val="none"/>
        </w:rPr>
        <w:t>（3）活虾类：感官鉴别：个大均匀、活蹦乱跳、无黑头。</w:t>
      </w:r>
    </w:p>
    <w:p w14:paraId="22F1A8F6">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rPr>
      </w:pPr>
      <w:r>
        <w:rPr>
          <w:highlight w:val="none"/>
        </w:rPr>
        <w:t>（4）冰虾：无断头，表面无发白无发红，活虾本色，无异味；鲜虾仁：晶莹剔透的质感和湿润的弹性，无异味，应有一种清新的海洋气息。</w:t>
      </w:r>
    </w:p>
    <w:p w14:paraId="1758BD06">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rPr>
      </w:pPr>
      <w:r>
        <w:rPr>
          <w:highlight w:val="none"/>
        </w:rPr>
        <w:t>（5）贝类外壳具固有色泽、平时微张口、惊闭合，斧足与触管伸缩灵活，具固有气味。</w:t>
      </w:r>
    </w:p>
    <w:p w14:paraId="40735693">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rPr>
      </w:pPr>
      <w:r>
        <w:rPr>
          <w:highlight w:val="none"/>
        </w:rPr>
        <w:t>（6）海产品色泽清亮，肌体无残缺，鱼眼凸起，清亮且黑白分明，无腐臭气味。解冻后，产品应恢复其原有的质地和颜色，无软化、无汁液渗出等现象。</w:t>
      </w:r>
    </w:p>
    <w:p w14:paraId="7F474660">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rPr>
      </w:pPr>
      <w:r>
        <w:rPr>
          <w:highlight w:val="none"/>
        </w:rPr>
        <w:t>5. 干杂类要求</w:t>
      </w:r>
    </w:p>
    <w:p w14:paraId="63054086">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rPr>
      </w:pPr>
      <w:r>
        <w:rPr>
          <w:highlight w:val="none"/>
        </w:rPr>
        <w:t>（1）基本要求：符合国家相关产品质量标准。</w:t>
      </w:r>
    </w:p>
    <w:p w14:paraId="3624EF6C">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rPr>
      </w:pPr>
      <w:r>
        <w:rPr>
          <w:highlight w:val="none"/>
        </w:rPr>
        <w:t>（2）产品外包装上明确标注产品名称、规格、生产日期、保质期、生产厂家、生产地点等信息。</w:t>
      </w:r>
    </w:p>
    <w:p w14:paraId="07B16F06">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rPr>
      </w:pPr>
      <w:r>
        <w:rPr>
          <w:highlight w:val="none"/>
        </w:rPr>
        <w:t>（3）生产日期及保质期：要最新日期（临近生产日期）的产品，剩余保存期不少于原食品质保期的三分之二。</w:t>
      </w:r>
    </w:p>
    <w:p w14:paraId="15CD8788">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rPr>
      </w:pPr>
      <w:r>
        <w:rPr>
          <w:highlight w:val="none"/>
        </w:rPr>
        <w:t>（4）干杂调味类</w:t>
      </w:r>
    </w:p>
    <w:p w14:paraId="2CA5FEF7">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rPr>
      </w:pPr>
      <w:r>
        <w:rPr>
          <w:highlight w:val="none"/>
          <w:lang w:val="en-US" w:eastAsia="zh-CN"/>
        </w:rPr>
        <w:t>主要指香菇、木耳、腐竹、银耳等。① 干货要求色泽鲜艳、干燥有韧性，无破碎片、虫蛀、霉坏和泥土杂质，具有产品本身应具有的食品外观。② 须为正规厂商生产，品质良好，外包装上必须注明商品名称，配料表，净含量，生产企业名称，地址，生产日期，保质期，联系电话，生产许可证等内容。③ 须出具产品检验合格证明和保质期证明，保证产品质量，供应的干杂类食品无泥沙、无杂物，在保质期内无变质。</w:t>
      </w:r>
    </w:p>
    <w:p w14:paraId="17894E14">
      <w:pPr>
        <w:keepNext w:val="0"/>
        <w:keepLines w:val="0"/>
        <w:pageBreakBefore w:val="0"/>
        <w:widowControl w:val="0"/>
        <w:kinsoku/>
        <w:wordWrap/>
        <w:overflowPunct/>
        <w:topLinePunct w:val="0"/>
        <w:autoSpaceDE/>
        <w:autoSpaceDN/>
        <w:bidi w:val="0"/>
        <w:adjustRightInd/>
        <w:snapToGrid/>
        <w:ind w:firstLine="422" w:firstLineChars="200"/>
        <w:textAlignment w:val="auto"/>
        <w:rPr>
          <w:b/>
          <w:bCs/>
          <w:highlight w:val="none"/>
        </w:rPr>
      </w:pPr>
      <w:r>
        <w:rPr>
          <w:b/>
          <w:bCs/>
          <w:highlight w:val="none"/>
        </w:rPr>
        <w:t>（四）蛋类配送服务</w:t>
      </w:r>
    </w:p>
    <w:p w14:paraId="33931F40">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rPr>
      </w:pPr>
      <w:r>
        <w:rPr>
          <w:highlight w:val="none"/>
        </w:rPr>
        <w:t>1. 正常鲜蛋的蛋壳应清洁完整，无裂纹，灯光透视呈微红色，气室小，看不见蛋黄或略见阴影于中心。打开后蛋黄膜不破裂、凸起、完整并带有韧性，蛋黄蛋白分明，颜色鲜艳。</w:t>
      </w:r>
    </w:p>
    <w:p w14:paraId="6846E0F4">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rPr>
      </w:pPr>
      <w:r>
        <w:rPr>
          <w:highlight w:val="none"/>
        </w:rPr>
        <w:t>2. 如为码蛋规格要求：单个鸡蛋重 60g 以上。</w:t>
      </w:r>
    </w:p>
    <w:p w14:paraId="7C9893A0">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rPr>
      </w:pPr>
      <w:r>
        <w:rPr>
          <w:highlight w:val="none"/>
        </w:rPr>
        <w:t>3. 健康状况：鸡群健康。</w:t>
      </w:r>
    </w:p>
    <w:p w14:paraId="1E706CBC">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rPr>
      </w:pPr>
      <w:r>
        <w:rPr>
          <w:highlight w:val="none"/>
        </w:rPr>
        <w:t>4. 疫苗用药：严禁使用违禁药品，无公害、无药残、无激素。</w:t>
      </w:r>
    </w:p>
    <w:p w14:paraId="0017E889">
      <w:pPr>
        <w:keepNext w:val="0"/>
        <w:keepLines w:val="0"/>
        <w:pageBreakBefore w:val="0"/>
        <w:widowControl w:val="0"/>
        <w:kinsoku/>
        <w:wordWrap/>
        <w:overflowPunct/>
        <w:topLinePunct w:val="0"/>
        <w:autoSpaceDE/>
        <w:autoSpaceDN/>
        <w:bidi w:val="0"/>
        <w:adjustRightInd/>
        <w:snapToGrid/>
        <w:ind w:firstLine="422" w:firstLineChars="200"/>
        <w:textAlignment w:val="auto"/>
        <w:rPr>
          <w:b/>
          <w:bCs/>
          <w:highlight w:val="none"/>
        </w:rPr>
      </w:pPr>
      <w:r>
        <w:rPr>
          <w:b/>
          <w:bCs/>
          <w:highlight w:val="none"/>
        </w:rPr>
        <w:t>（五）冻品类配送服务</w:t>
      </w:r>
    </w:p>
    <w:p w14:paraId="3CCA6D46">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rPr>
      </w:pPr>
      <w:r>
        <w:rPr>
          <w:highlight w:val="none"/>
        </w:rPr>
        <w:t>1. 配送服务内容：牛肉丸、鱼丸及其他预包装半加工冷冻食品等。</w:t>
      </w:r>
    </w:p>
    <w:p w14:paraId="4BE9974E">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rPr>
      </w:pPr>
      <w:r>
        <w:rPr>
          <w:highlight w:val="none"/>
        </w:rPr>
        <w:t>2. 质量要求：必须符合国家相关食品安全卫生标准。冻品解冻后色泽正常、无霉点、肉质紧密、不黏手、无异味。预包装冷冻食品包装须完整，标注生产日期、注册商标、厂名、厂址、质量等级、净含量等信息。供货时剩余保质期不少于原食品质保期的三分之二，须在冷藏状态下配送，每批次须提供对应批次食材的原材料检测报告。</w:t>
      </w:r>
    </w:p>
    <w:p w14:paraId="675259E1">
      <w:pPr>
        <w:keepNext w:val="0"/>
        <w:keepLines w:val="0"/>
        <w:pageBreakBefore w:val="0"/>
        <w:widowControl w:val="0"/>
        <w:kinsoku/>
        <w:wordWrap/>
        <w:overflowPunct/>
        <w:topLinePunct w:val="0"/>
        <w:autoSpaceDE/>
        <w:autoSpaceDN/>
        <w:bidi w:val="0"/>
        <w:adjustRightInd/>
        <w:snapToGrid/>
        <w:ind w:firstLine="422" w:firstLineChars="200"/>
        <w:textAlignment w:val="auto"/>
        <w:rPr>
          <w:b/>
          <w:bCs/>
          <w:highlight w:val="none"/>
        </w:rPr>
      </w:pPr>
      <w:r>
        <w:rPr>
          <w:b/>
          <w:bCs/>
          <w:highlight w:val="none"/>
        </w:rPr>
        <w:t>（六）豆类、豆制品类（非转基因）配送服务</w:t>
      </w:r>
    </w:p>
    <w:p w14:paraId="5FD4A1A5">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rPr>
      </w:pPr>
      <w:r>
        <w:rPr>
          <w:highlight w:val="none"/>
        </w:rPr>
        <w:t>1. 配送服务内容：黄豆、绿豆，以及豆腐、豆腐丝、豆腐干、豆腐泡、干豆腐、豆芽、油片、油果等豆制品。</w:t>
      </w:r>
    </w:p>
    <w:p w14:paraId="4FD0FC00">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rPr>
      </w:pPr>
      <w:r>
        <w:rPr>
          <w:highlight w:val="none"/>
        </w:rPr>
        <w:t>2. 质量要求：符合国家食品安全法规定标准。豆类须颗粒饱满、无异味、无蛀虫腐烂。豆制品类须具有食品生产许可证和产品合格证，供货时剩余保质期不少于原食品质保期的三分之二，表面清爽无黏液，无酸味、霉变。</w:t>
      </w:r>
    </w:p>
    <w:p w14:paraId="354743B2">
      <w:pPr>
        <w:keepNext w:val="0"/>
        <w:keepLines w:val="0"/>
        <w:pageBreakBefore w:val="0"/>
        <w:widowControl w:val="0"/>
        <w:kinsoku/>
        <w:wordWrap/>
        <w:overflowPunct/>
        <w:topLinePunct w:val="0"/>
        <w:autoSpaceDE/>
        <w:autoSpaceDN/>
        <w:bidi w:val="0"/>
        <w:adjustRightInd/>
        <w:snapToGrid/>
        <w:ind w:firstLine="422" w:firstLineChars="200"/>
        <w:textAlignment w:val="auto"/>
        <w:rPr>
          <w:b/>
          <w:bCs/>
          <w:highlight w:val="none"/>
        </w:rPr>
      </w:pPr>
      <w:r>
        <w:rPr>
          <w:b/>
          <w:bCs/>
          <w:highlight w:val="none"/>
        </w:rPr>
        <w:t>（七）调味品配送服务</w:t>
      </w:r>
    </w:p>
    <w:p w14:paraId="100FB959">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rPr>
      </w:pPr>
      <w:r>
        <w:rPr>
          <w:highlight w:val="none"/>
        </w:rPr>
        <w:t>1. 配送服务内容：生抽、老抽、蚝油、盐、白糖、白醋、鸡精、辣椒酱、豆瓣酱、生粉、腐乳、陈醋、麻辣酱、十三香、米酒等日常调味品。</w:t>
      </w:r>
    </w:p>
    <w:p w14:paraId="3AA46733">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rPr>
      </w:pPr>
      <w:r>
        <w:rPr>
          <w:highlight w:val="none"/>
        </w:rPr>
        <w:t>2. 质量要求：必须符合现行行业、地方、企业及国家质量、卫生、安全标准。品质良好，包装完好，供货时剩余保质期不少于原食品质保期的三分之二，无发霉变质。</w:t>
      </w:r>
    </w:p>
    <w:p w14:paraId="64E60122">
      <w:pPr>
        <w:keepNext w:val="0"/>
        <w:keepLines w:val="0"/>
        <w:pageBreakBefore w:val="0"/>
        <w:widowControl w:val="0"/>
        <w:kinsoku/>
        <w:wordWrap/>
        <w:overflowPunct/>
        <w:topLinePunct w:val="0"/>
        <w:autoSpaceDE/>
        <w:autoSpaceDN/>
        <w:bidi w:val="0"/>
        <w:adjustRightInd/>
        <w:snapToGrid/>
        <w:ind w:firstLine="422" w:firstLineChars="200"/>
        <w:textAlignment w:val="auto"/>
        <w:rPr>
          <w:b/>
          <w:bCs/>
          <w:highlight w:val="none"/>
        </w:rPr>
      </w:pPr>
      <w:r>
        <w:rPr>
          <w:b/>
          <w:bCs/>
          <w:highlight w:val="none"/>
        </w:rPr>
        <w:t>（八）湿米粉配送服务</w:t>
      </w:r>
    </w:p>
    <w:p w14:paraId="73D0799A">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rPr>
      </w:pPr>
      <w:r>
        <w:rPr>
          <w:highlight w:val="none"/>
        </w:rPr>
        <w:t>1. 配送服务内容：湿米粉。</w:t>
      </w:r>
    </w:p>
    <w:p w14:paraId="73F91693">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rPr>
      </w:pPr>
      <w:r>
        <w:rPr>
          <w:highlight w:val="none"/>
        </w:rPr>
        <w:t>2. 质量要求：符合《中华人民共和国食品安全法》要求。包装须标注生产日期、生产厂家、生产地址等信息，标识符合国家法定标准。</w:t>
      </w:r>
    </w:p>
    <w:p w14:paraId="61D53280">
      <w:pPr>
        <w:keepNext w:val="0"/>
        <w:keepLines w:val="0"/>
        <w:pageBreakBefore w:val="0"/>
        <w:widowControl w:val="0"/>
        <w:kinsoku/>
        <w:wordWrap/>
        <w:overflowPunct/>
        <w:topLinePunct w:val="0"/>
        <w:autoSpaceDE/>
        <w:autoSpaceDN/>
        <w:bidi w:val="0"/>
        <w:adjustRightInd/>
        <w:snapToGrid/>
        <w:ind w:firstLine="422" w:firstLineChars="200"/>
        <w:textAlignment w:val="auto"/>
        <w:rPr>
          <w:b/>
          <w:bCs/>
          <w:highlight w:val="none"/>
        </w:rPr>
      </w:pPr>
      <w:r>
        <w:rPr>
          <w:b/>
          <w:bCs/>
          <w:highlight w:val="none"/>
        </w:rPr>
        <w:t>（九）大米配送服务</w:t>
      </w:r>
    </w:p>
    <w:p w14:paraId="4A5DFEC6">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rPr>
      </w:pPr>
      <w:r>
        <w:rPr>
          <w:highlight w:val="none"/>
        </w:rPr>
        <w:t>1. 配送服务内容：大米。</w:t>
      </w:r>
    </w:p>
    <w:p w14:paraId="2FF3587F">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rPr>
      </w:pPr>
      <w:r>
        <w:rPr>
          <w:highlight w:val="none"/>
        </w:rPr>
        <w:t>2. 质量要求</w:t>
      </w:r>
    </w:p>
    <w:p w14:paraId="3ADDDB94">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lang w:val="en-US" w:eastAsia="zh-CN"/>
        </w:rPr>
      </w:pPr>
      <w:r>
        <w:rPr>
          <w:highlight w:val="none"/>
          <w:lang w:val="en-US" w:eastAsia="zh-CN"/>
        </w:rPr>
        <w:t xml:space="preserve">① </w:t>
      </w:r>
      <w:r>
        <w:rPr>
          <w:rFonts w:hint="eastAsia"/>
          <w:highlight w:val="none"/>
          <w:lang w:val="en-US" w:eastAsia="zh-CN"/>
        </w:rPr>
        <w:t>必须符合现行行国家质量和安全标准。</w:t>
      </w:r>
    </w:p>
    <w:p w14:paraId="2B706C67">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lang w:val="en-US" w:eastAsia="zh-CN"/>
        </w:rPr>
      </w:pPr>
      <w:r>
        <w:rPr>
          <w:highlight w:val="none"/>
          <w:lang w:val="en-US" w:eastAsia="zh-CN"/>
        </w:rPr>
        <w:t>② 具有固有色泽和香味，无污染、无虫害，色泽、气味、口味正常，无异味或霉味（霉变），无虫蛀结块挂丝或杂质。</w:t>
      </w:r>
    </w:p>
    <w:p w14:paraId="66EE0831">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lang w:val="en-US" w:eastAsia="zh-CN"/>
        </w:rPr>
      </w:pPr>
      <w:r>
        <w:rPr>
          <w:highlight w:val="none"/>
          <w:lang w:val="en-US" w:eastAsia="zh-CN"/>
        </w:rPr>
        <w:t>③ 产品须标明加工厂名称、品名、生产日期、保质期或保存期，供货时剩余保质期不少于原食品质保期的三分之二。</w:t>
      </w:r>
    </w:p>
    <w:p w14:paraId="6C7BCE3E">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lang w:val="en-US" w:eastAsia="zh-CN"/>
        </w:rPr>
      </w:pPr>
      <w:r>
        <w:rPr>
          <w:highlight w:val="none"/>
          <w:lang w:val="en-US" w:eastAsia="zh-CN"/>
        </w:rPr>
        <w:t>④ 具体质量标准：</w:t>
      </w:r>
    </w:p>
    <w:p w14:paraId="11EB52E3">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lang w:val="en-US" w:eastAsia="zh-CN"/>
        </w:rPr>
      </w:pPr>
      <w:r>
        <w:rPr>
          <w:rFonts w:hint="eastAsia"/>
          <w:highlight w:val="none"/>
          <w:lang w:val="en-US" w:eastAsia="zh-CN"/>
        </w:rPr>
        <w:t>a、</w:t>
      </w:r>
      <w:r>
        <w:rPr>
          <w:highlight w:val="none"/>
          <w:lang w:val="en-US" w:eastAsia="zh-CN"/>
        </w:rPr>
        <w:t>优质籼米：</w:t>
      </w:r>
    </w:p>
    <w:p w14:paraId="15668433">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lang w:val="en-US" w:eastAsia="zh-CN"/>
        </w:rPr>
      </w:pPr>
      <w:r>
        <w:rPr>
          <w:highlight w:val="none"/>
          <w:lang w:val="en-US" w:eastAsia="zh-CN"/>
        </w:rPr>
        <w:t>一级：碎米总量≤10.0%，其中小碎米含量≤0.2%；加工精度：精碾；垩白度≤2.0，品尝评分值≥90 分，直链淀粉含量 13.0%~22.0%，水分含量≤14.5%，不完善粒含量≤3.0%；杂质限量总量≤0.25%，其中无机杂质含量≤0.02%；黄粒米含量≤0.5%；互混率≤5.0%；色泽、气味：正常。</w:t>
      </w:r>
    </w:p>
    <w:p w14:paraId="2CE2BDEA">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lang w:val="en-US" w:eastAsia="zh-CN"/>
        </w:rPr>
      </w:pPr>
      <w:r>
        <w:rPr>
          <w:highlight w:val="none"/>
          <w:lang w:val="en-US" w:eastAsia="zh-CN"/>
        </w:rPr>
        <w:t>二级：碎米总量≤12.5%，其中小碎米含量≤0.5%；加工精度：精碾；垩白度≤5.0，品尝评分值≥80 分，直链淀粉含量 13.0%~22.0%，水分含量≤14.5%，不完善粒含量≤3.0%；杂质限量总量≤0.25%，其中无机杂质含量≤0.02%；黄粒米含量≤0.5%；互混率≤5.0%；色泽、气味：正常。</w:t>
      </w:r>
    </w:p>
    <w:p w14:paraId="0ABB8F54">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lang w:val="en-US" w:eastAsia="zh-CN"/>
        </w:rPr>
      </w:pPr>
      <w:r>
        <w:rPr>
          <w:highlight w:val="none"/>
          <w:lang w:val="en-US" w:eastAsia="zh-CN"/>
        </w:rPr>
        <w:t>三级：碎米总量≤15.0%，其中小碎米含量≤1.0%；加工精度：适碾；垩白度≤8.0，品尝评分值≥70 分，直链淀粉含量 13.0%~22.0%，水分含量≤14.5%，不完善粒含量≤3.0%；杂质限量总量≤0.25%，其中无机杂质含量≤0.02%；黄粒米含量≤0.5%；互混率≤5.0%；色泽、气味：正常。</w:t>
      </w:r>
    </w:p>
    <w:p w14:paraId="41081B97">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lang w:val="en-US" w:eastAsia="zh-CN"/>
        </w:rPr>
      </w:pPr>
      <w:r>
        <w:rPr>
          <w:rFonts w:hint="eastAsia"/>
          <w:highlight w:val="none"/>
          <w:lang w:val="en-US" w:eastAsia="zh-CN"/>
        </w:rPr>
        <w:t>b、</w:t>
      </w:r>
      <w:r>
        <w:rPr>
          <w:highlight w:val="none"/>
          <w:lang w:val="en-US" w:eastAsia="zh-CN"/>
        </w:rPr>
        <w:t>优质粳米：</w:t>
      </w:r>
    </w:p>
    <w:p w14:paraId="0A9393F9">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lang w:val="en-US" w:eastAsia="zh-CN"/>
        </w:rPr>
      </w:pPr>
      <w:r>
        <w:rPr>
          <w:highlight w:val="none"/>
          <w:lang w:val="en-US" w:eastAsia="zh-CN"/>
        </w:rPr>
        <w:t>一级：碎米总量≤5.0%，其中小碎米含量≤0.1%；加工精度：精碾；垩白度≤2.0，品尝评分值≥90 分，直链淀粉含量 13.0%~20.0%，水分含量≤15.5%，不完善粒含量≤3.0%；杂质限量总量≤0.25%，其中无机杂质含量≤0.02%；黄粒米含量≤0.5%；互混率≤5.0%；色泽、气味：正常。</w:t>
      </w:r>
    </w:p>
    <w:p w14:paraId="25AF9D31">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lang w:val="en-US" w:eastAsia="zh-CN"/>
        </w:rPr>
      </w:pPr>
      <w:r>
        <w:rPr>
          <w:highlight w:val="none"/>
          <w:lang w:val="en-US" w:eastAsia="zh-CN"/>
        </w:rPr>
        <w:t>二级：碎米总量≤7.5%，其中小碎米含量≤0.3%；加工精度：精碾；垩白度≤4.0，品尝评分值≥80 分，直链淀粉含量 13.0%~20.0%，水分含量≤15.5%，不完善粒含量≤3.0%；杂质限量总量≤0.25%，其中无机杂质含量≤0.02%；黄粒米含量≤0.5%；互混率≤5.0%；色泽、气味：正常。</w:t>
      </w:r>
    </w:p>
    <w:p w14:paraId="6BF9BB50">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rPr>
      </w:pPr>
      <w:r>
        <w:rPr>
          <w:highlight w:val="none"/>
          <w:lang w:val="en-US" w:eastAsia="zh-CN"/>
        </w:rPr>
        <w:t>三级：碎米总量≤10.0%，其中小碎米含量≤0.5%；加工精度：适碾；垩白度≤6.0，品尝评分值≥70 分，直链淀粉含量 13.0%~20.0%，水分含量≤15.5%，不完善粒含量≤3.0%；杂质限量总量≤0.25%，其中无机杂质含量≤0.02%；黄粒米含量≤0.5%；互混率≤5.0%；色泽、气味：正常。</w:t>
      </w:r>
    </w:p>
    <w:p w14:paraId="00C9D9AE">
      <w:pPr>
        <w:keepNext w:val="0"/>
        <w:keepLines w:val="0"/>
        <w:pageBreakBefore w:val="0"/>
        <w:widowControl w:val="0"/>
        <w:kinsoku/>
        <w:wordWrap/>
        <w:overflowPunct/>
        <w:topLinePunct w:val="0"/>
        <w:autoSpaceDE/>
        <w:autoSpaceDN/>
        <w:bidi w:val="0"/>
        <w:adjustRightInd/>
        <w:snapToGrid/>
        <w:ind w:firstLine="422" w:firstLineChars="200"/>
        <w:textAlignment w:val="auto"/>
        <w:rPr>
          <w:b/>
          <w:bCs/>
          <w:highlight w:val="none"/>
        </w:rPr>
      </w:pPr>
      <w:r>
        <w:rPr>
          <w:b/>
          <w:bCs/>
          <w:highlight w:val="none"/>
        </w:rPr>
        <w:t>（十）食用油配送服务</w:t>
      </w:r>
    </w:p>
    <w:p w14:paraId="00C2FF4F">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rPr>
      </w:pPr>
      <w:r>
        <w:rPr>
          <w:highlight w:val="none"/>
        </w:rPr>
        <w:t>1. 配送服务内容：食用油（包括但不限于菜籽油、玉米油、大豆油等）。</w:t>
      </w:r>
    </w:p>
    <w:p w14:paraId="56E1DEEB">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rPr>
      </w:pPr>
      <w:r>
        <w:rPr>
          <w:highlight w:val="none"/>
        </w:rPr>
        <w:t>2. 质量要求：必须符合现行行业、地方、企业及国家质量、卫生、安全标准。外包装完好，标明品名、厂名、重量、生产日期、保质期或保存期、执行标准，剩余保质期不少于原食品质保期的三分之二，具有产品合格证。具有正常植物油的色泽、透明度、气味和滋味，无焦臭、酸败及其他异味。不得混有其他食用油或非食用油。食用油应符合国家食品安全标准，不得掺杂、掺假，不得混入其他食用油或非食用油；必须为非转基因食用油，来源可追溯。</w:t>
      </w:r>
    </w:p>
    <w:p w14:paraId="38ABE073">
      <w:pPr>
        <w:keepNext w:val="0"/>
        <w:keepLines w:val="0"/>
        <w:pageBreakBefore w:val="0"/>
        <w:widowControl w:val="0"/>
        <w:kinsoku/>
        <w:wordWrap/>
        <w:overflowPunct/>
        <w:topLinePunct w:val="0"/>
        <w:autoSpaceDE/>
        <w:autoSpaceDN/>
        <w:bidi w:val="0"/>
        <w:adjustRightInd/>
        <w:snapToGrid/>
        <w:ind w:firstLine="422" w:firstLineChars="200"/>
        <w:textAlignment w:val="auto"/>
        <w:rPr>
          <w:b/>
          <w:bCs/>
          <w:highlight w:val="none"/>
        </w:rPr>
      </w:pPr>
      <w:r>
        <w:rPr>
          <w:b/>
          <w:bCs/>
          <w:highlight w:val="none"/>
        </w:rPr>
        <w:t>（十一）其他食品配送服务</w:t>
      </w:r>
    </w:p>
    <w:p w14:paraId="5E11B6B8">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rPr>
      </w:pPr>
      <w:r>
        <w:rPr>
          <w:highlight w:val="none"/>
        </w:rPr>
        <w:t>1. 配送服务内容：面制品（面条、方便面等）、奶制品类、腌制品（萝卜干、酸菜、榨菜等）、糕点类、火腿肠等。</w:t>
      </w:r>
    </w:p>
    <w:p w14:paraId="086C562D">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rPr>
      </w:pPr>
      <w:r>
        <w:rPr>
          <w:highlight w:val="none"/>
        </w:rPr>
        <w:t>2. 质量要求</w:t>
      </w:r>
    </w:p>
    <w:p w14:paraId="675C6D8D">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rPr>
      </w:pPr>
      <w:r>
        <w:rPr>
          <w:highlight w:val="none"/>
        </w:rPr>
        <w:t>（1）面制品：必须符合现行行业、地方、企业及国家质量、卫生、安全标准，产品标明加工厂名称、品名、生产日期、保质期或保存期，供货时剩余保质期不少于原食品保质期的三分之二。</w:t>
      </w:r>
    </w:p>
    <w:p w14:paraId="5984EB57">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rPr>
      </w:pPr>
      <w:r>
        <w:rPr>
          <w:highlight w:val="none"/>
        </w:rPr>
        <w:t>（2）奶制品类（包含瓶装酸奶、件装盒奶等）：必须符合相关品类国家食品卫生标准，包装完好，品牌、商标、生产厂家、生产日期齐全。</w:t>
      </w:r>
    </w:p>
    <w:p w14:paraId="3DA5A6BB">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rPr>
      </w:pPr>
      <w:r>
        <w:rPr>
          <w:highlight w:val="none"/>
        </w:rPr>
        <w:t>（3）腌制品（萝卜干、酸菜、榨菜等）：必须符合相关品类国家食品卫生标准，包装完好，品牌、商标、生产厂家、生产日期齐全。</w:t>
      </w:r>
    </w:p>
    <w:p w14:paraId="5C501016">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rPr>
      </w:pPr>
      <w:r>
        <w:rPr>
          <w:highlight w:val="none"/>
        </w:rPr>
        <w:t>（4）糕点类（包含但不限于蛋糕、三明治、全麦方包、酸奶包、肉松包、绿茶饼等）：包装完好，品牌、商标、生产厂家、生产日期齐全。</w:t>
      </w:r>
    </w:p>
    <w:p w14:paraId="6E43EA04">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rPr>
      </w:pPr>
      <w:r>
        <w:rPr>
          <w:highlight w:val="none"/>
        </w:rPr>
        <w:t>（5）火腿肠：气味、口味正常，包装完好，标明品名、厂名、重量、生产日期、保质期或保存期、执行标准，供货时剩余保质期不少于原食品保质期的三分之二。</w:t>
      </w:r>
    </w:p>
    <w:p w14:paraId="5D673191">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color w:val="auto"/>
          <w:sz w:val="21"/>
          <w:szCs w:val="21"/>
          <w:highlight w:val="none"/>
        </w:rPr>
        <w:t>第四条　</w:t>
      </w:r>
      <w:r>
        <w:rPr>
          <w:rFonts w:hint="eastAsia" w:ascii="宋体" w:hAnsi="宋体" w:eastAsia="宋体" w:cs="宋体"/>
          <w:b/>
          <w:bCs w:val="0"/>
          <w:color w:val="auto"/>
          <w:sz w:val="21"/>
          <w:szCs w:val="21"/>
          <w:highlight w:val="none"/>
          <w:lang w:val="en-US" w:eastAsia="zh-CN"/>
        </w:rPr>
        <w:t>服务要求</w:t>
      </w:r>
    </w:p>
    <w:p w14:paraId="657C6EEF">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rPr>
      </w:pPr>
      <w:r>
        <w:rPr>
          <w:rFonts w:hint="eastAsia"/>
          <w:highlight w:val="none"/>
          <w:lang w:eastAsia="zh-CN"/>
        </w:rPr>
        <w:t>一、</w:t>
      </w:r>
      <w:r>
        <w:rPr>
          <w:highlight w:val="none"/>
        </w:rPr>
        <w:t>食材配送：按照</w:t>
      </w:r>
      <w:r>
        <w:rPr>
          <w:rFonts w:hint="eastAsia"/>
          <w:highlight w:val="none"/>
          <w:lang w:eastAsia="zh-CN"/>
        </w:rPr>
        <w:t>甲方</w:t>
      </w:r>
      <w:r>
        <w:rPr>
          <w:highlight w:val="none"/>
        </w:rPr>
        <w:t>的具体要求，将</w:t>
      </w:r>
      <w:r>
        <w:rPr>
          <w:rFonts w:hint="eastAsia"/>
          <w:highlight w:val="none"/>
          <w:lang w:eastAsia="zh-CN"/>
        </w:rPr>
        <w:t>甲方</w:t>
      </w:r>
      <w:r>
        <w:rPr>
          <w:highlight w:val="none"/>
        </w:rPr>
        <w:t>需要的食材在规定时间内保质保量一次完成该批次货物的供应。</w:t>
      </w:r>
      <w:r>
        <w:rPr>
          <w:rFonts w:hint="eastAsia"/>
          <w:highlight w:val="none"/>
        </w:rPr>
        <w:t>配送的食材须符合国家标准或行业标准，</w:t>
      </w:r>
      <w:r>
        <w:rPr>
          <w:rFonts w:hint="eastAsia"/>
          <w:highlight w:val="none"/>
          <w:lang w:eastAsia="zh-CN"/>
        </w:rPr>
        <w:t>甲方</w:t>
      </w:r>
      <w:r>
        <w:rPr>
          <w:rFonts w:hint="eastAsia"/>
          <w:highlight w:val="none"/>
        </w:rPr>
        <w:t>将不定期抽样检测配送的食材，对于不符合标准或不达标的食材，</w:t>
      </w:r>
      <w:r>
        <w:rPr>
          <w:rFonts w:hint="eastAsia"/>
          <w:highlight w:val="none"/>
          <w:lang w:eastAsia="zh-CN"/>
        </w:rPr>
        <w:t>甲方</w:t>
      </w:r>
      <w:r>
        <w:rPr>
          <w:rFonts w:hint="eastAsia"/>
          <w:highlight w:val="none"/>
        </w:rPr>
        <w:t>将追究违约责任，</w:t>
      </w:r>
      <w:r>
        <w:rPr>
          <w:rFonts w:hint="eastAsia"/>
          <w:highlight w:val="none"/>
          <w:lang w:eastAsia="zh-CN"/>
        </w:rPr>
        <w:t>乙方</w:t>
      </w:r>
      <w:r>
        <w:rPr>
          <w:rFonts w:hint="eastAsia"/>
          <w:highlight w:val="none"/>
        </w:rPr>
        <w:t>需承担赔偿责任和其他相应的法律责任</w:t>
      </w:r>
      <w:r>
        <w:rPr>
          <w:rFonts w:hint="eastAsia"/>
          <w:highlight w:val="none"/>
          <w:lang w:eastAsia="zh-CN"/>
        </w:rPr>
        <w:t>。</w:t>
      </w:r>
    </w:p>
    <w:p w14:paraId="230AB210">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rPr>
      </w:pPr>
      <w:r>
        <w:rPr>
          <w:rFonts w:hint="eastAsia"/>
          <w:highlight w:val="none"/>
          <w:lang w:eastAsia="zh-CN"/>
        </w:rPr>
        <w:t>二、供货</w:t>
      </w:r>
      <w:r>
        <w:rPr>
          <w:highlight w:val="none"/>
        </w:rPr>
        <w:t>要求</w:t>
      </w:r>
    </w:p>
    <w:p w14:paraId="7D122954">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rPr>
      </w:pPr>
      <w:r>
        <w:rPr>
          <w:highlight w:val="none"/>
        </w:rPr>
        <w:t>1. 一般供货要求：</w:t>
      </w:r>
      <w:r>
        <w:rPr>
          <w:rFonts w:hint="eastAsia"/>
          <w:highlight w:val="none"/>
          <w:lang w:eastAsia="zh-CN"/>
        </w:rPr>
        <w:t>甲方</w:t>
      </w:r>
      <w:r>
        <w:rPr>
          <w:highlight w:val="none"/>
        </w:rPr>
        <w:t>应至少提前 8 小时告知</w:t>
      </w:r>
      <w:r>
        <w:rPr>
          <w:rFonts w:hint="eastAsia"/>
          <w:highlight w:val="none"/>
          <w:lang w:eastAsia="zh-CN"/>
        </w:rPr>
        <w:t>乙方</w:t>
      </w:r>
      <w:r>
        <w:rPr>
          <w:highlight w:val="none"/>
        </w:rPr>
        <w:t>所需食材的名称、数量等，</w:t>
      </w:r>
      <w:r>
        <w:rPr>
          <w:rFonts w:hint="eastAsia"/>
          <w:highlight w:val="none"/>
          <w:lang w:eastAsia="zh-CN"/>
        </w:rPr>
        <w:t>乙方</w:t>
      </w:r>
      <w:r>
        <w:rPr>
          <w:highlight w:val="none"/>
        </w:rPr>
        <w:t>必须按照</w:t>
      </w:r>
      <w:r>
        <w:rPr>
          <w:rFonts w:hint="eastAsia"/>
          <w:highlight w:val="none"/>
          <w:lang w:eastAsia="zh-CN"/>
        </w:rPr>
        <w:t>甲方</w:t>
      </w:r>
      <w:r>
        <w:rPr>
          <w:highlight w:val="none"/>
        </w:rPr>
        <w:t>通知的时间、数量、品种、品质要求及商定的价格，于</w:t>
      </w:r>
      <w:r>
        <w:rPr>
          <w:rFonts w:hint="eastAsia"/>
          <w:highlight w:val="none"/>
          <w:lang w:eastAsia="zh-CN"/>
        </w:rPr>
        <w:t>甲方</w:t>
      </w:r>
      <w:r>
        <w:rPr>
          <w:highlight w:val="none"/>
        </w:rPr>
        <w:t>下订单后的次日上午 8:00 前送货至指定地点。</w:t>
      </w:r>
    </w:p>
    <w:p w14:paraId="2A71A537">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rPr>
      </w:pPr>
      <w:r>
        <w:rPr>
          <w:highlight w:val="none"/>
        </w:rPr>
        <w:t>2. 紧急供货要求：在收到</w:t>
      </w:r>
      <w:r>
        <w:rPr>
          <w:rFonts w:hint="eastAsia"/>
          <w:highlight w:val="none"/>
          <w:lang w:eastAsia="zh-CN"/>
        </w:rPr>
        <w:t>甲方</w:t>
      </w:r>
      <w:r>
        <w:rPr>
          <w:highlight w:val="none"/>
        </w:rPr>
        <w:t>发出紧急供货通知后，</w:t>
      </w:r>
      <w:r>
        <w:rPr>
          <w:rFonts w:hint="eastAsia"/>
          <w:highlight w:val="none"/>
          <w:lang w:eastAsia="zh-CN"/>
        </w:rPr>
        <w:t>乙方</w:t>
      </w:r>
      <w:r>
        <w:rPr>
          <w:highlight w:val="none"/>
        </w:rPr>
        <w:t>应在 1 小时内完成当次现场供货。</w:t>
      </w:r>
    </w:p>
    <w:p w14:paraId="24119E5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eastAsia="宋体"/>
          <w:highlight w:val="none"/>
          <w:lang w:eastAsia="zh-CN"/>
        </w:rPr>
      </w:pPr>
      <w:bookmarkStart w:id="79" w:name="_GoBack"/>
      <w:r>
        <w:rPr>
          <w:rFonts w:hint="eastAsia"/>
          <w:highlight w:val="none"/>
          <w:lang w:eastAsia="zh-CN"/>
        </w:rPr>
        <w:t>三、</w:t>
      </w:r>
      <w:r>
        <w:rPr>
          <w:rFonts w:hint="eastAsia"/>
          <w:highlight w:val="none"/>
          <w:lang w:eastAsia="zh-CN"/>
        </w:rPr>
        <w:t>其他</w:t>
      </w:r>
      <w:bookmarkEnd w:id="79"/>
      <w:r>
        <w:rPr>
          <w:rFonts w:hint="eastAsia"/>
          <w:highlight w:val="none"/>
          <w:lang w:eastAsia="zh-CN"/>
        </w:rPr>
        <w:t>要求</w:t>
      </w:r>
    </w:p>
    <w:p w14:paraId="260528E4">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rPr>
      </w:pPr>
      <w:r>
        <w:rPr>
          <w:rFonts w:hint="eastAsia"/>
          <w:highlight w:val="none"/>
          <w:lang w:val="en-US" w:eastAsia="zh-CN"/>
        </w:rPr>
        <w:t xml:space="preserve">1. </w:t>
      </w:r>
      <w:r>
        <w:rPr>
          <w:highlight w:val="none"/>
        </w:rPr>
        <w:t>食材验收：</w:t>
      </w:r>
      <w:r>
        <w:rPr>
          <w:rFonts w:hint="eastAsia"/>
          <w:highlight w:val="none"/>
          <w:lang w:eastAsia="zh-CN"/>
        </w:rPr>
        <w:t>乙方</w:t>
      </w:r>
      <w:r>
        <w:rPr>
          <w:highlight w:val="none"/>
        </w:rPr>
        <w:t>将食材送达</w:t>
      </w:r>
      <w:r>
        <w:rPr>
          <w:rFonts w:hint="eastAsia"/>
          <w:highlight w:val="none"/>
          <w:lang w:eastAsia="zh-CN"/>
        </w:rPr>
        <w:t>甲方</w:t>
      </w:r>
      <w:r>
        <w:rPr>
          <w:highlight w:val="none"/>
        </w:rPr>
        <w:t>指定地点后，由</w:t>
      </w:r>
      <w:r>
        <w:rPr>
          <w:rFonts w:hint="eastAsia"/>
          <w:highlight w:val="none"/>
          <w:lang w:eastAsia="zh-CN"/>
        </w:rPr>
        <w:t>甲方</w:t>
      </w:r>
      <w:r>
        <w:rPr>
          <w:highlight w:val="none"/>
        </w:rPr>
        <w:t>、</w:t>
      </w:r>
      <w:r>
        <w:rPr>
          <w:rFonts w:hint="eastAsia"/>
          <w:highlight w:val="none"/>
          <w:lang w:eastAsia="zh-CN"/>
        </w:rPr>
        <w:t>乙方</w:t>
      </w:r>
      <w:r>
        <w:rPr>
          <w:highlight w:val="none"/>
        </w:rPr>
        <w:t>与食堂服务商共同进行验收。核对食材的品种、数量是否与经审核确认的需求单一致，并对食材的重量进行过磅确认。验收合格的，三方</w:t>
      </w:r>
      <w:r>
        <w:rPr>
          <w:rFonts w:hint="eastAsia"/>
          <w:highlight w:val="none"/>
          <w:lang w:eastAsia="zh-CN"/>
        </w:rPr>
        <w:t>（甲方</w:t>
      </w:r>
      <w:r>
        <w:rPr>
          <w:highlight w:val="none"/>
        </w:rPr>
        <w:t>、</w:t>
      </w:r>
      <w:r>
        <w:rPr>
          <w:rFonts w:hint="eastAsia"/>
          <w:highlight w:val="none"/>
          <w:lang w:eastAsia="zh-CN"/>
        </w:rPr>
        <w:t>乙方</w:t>
      </w:r>
      <w:r>
        <w:rPr>
          <w:highlight w:val="none"/>
        </w:rPr>
        <w:t>与食堂服务商</w:t>
      </w:r>
      <w:r>
        <w:rPr>
          <w:rFonts w:hint="eastAsia"/>
          <w:highlight w:val="none"/>
          <w:lang w:eastAsia="zh-CN"/>
        </w:rPr>
        <w:t>）</w:t>
      </w:r>
      <w:r>
        <w:rPr>
          <w:highlight w:val="none"/>
        </w:rPr>
        <w:t>应在《食材验收单》上共同签字确认。《食材验收单》应至少一式三份，由</w:t>
      </w:r>
      <w:r>
        <w:rPr>
          <w:rFonts w:hint="eastAsia"/>
          <w:highlight w:val="none"/>
          <w:lang w:eastAsia="zh-CN"/>
        </w:rPr>
        <w:t>甲方、乙方和</w:t>
      </w:r>
      <w:r>
        <w:rPr>
          <w:highlight w:val="none"/>
        </w:rPr>
        <w:t>食堂服务商各执一份，作为结算和对账的依据。验收不合格的，应在《食材验收单》上详细注明不合格原因、数量等信息，由</w:t>
      </w:r>
      <w:r>
        <w:rPr>
          <w:rFonts w:hint="eastAsia"/>
          <w:highlight w:val="none"/>
          <w:lang w:eastAsia="zh-CN"/>
        </w:rPr>
        <w:t>乙方</w:t>
      </w:r>
      <w:r>
        <w:rPr>
          <w:highlight w:val="none"/>
        </w:rPr>
        <w:t>进行补货或采取其他应急措施。验收不合格的违约责任详见 “商务要求的：违约责任”。</w:t>
      </w:r>
    </w:p>
    <w:p w14:paraId="5F53EFAF">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rPr>
      </w:pPr>
      <w:r>
        <w:rPr>
          <w:rFonts w:hint="eastAsia"/>
          <w:highlight w:val="none"/>
          <w:lang w:val="en-US" w:eastAsia="zh-CN"/>
        </w:rPr>
        <w:t>2</w:t>
      </w:r>
      <w:r>
        <w:rPr>
          <w:highlight w:val="none"/>
        </w:rPr>
        <w:t xml:space="preserve">. </w:t>
      </w:r>
      <w:r>
        <w:rPr>
          <w:rFonts w:hint="eastAsia"/>
          <w:highlight w:val="none"/>
          <w:lang w:eastAsia="zh-CN"/>
        </w:rPr>
        <w:t>乙方</w:t>
      </w:r>
      <w:r>
        <w:rPr>
          <w:highlight w:val="none"/>
        </w:rPr>
        <w:t>可供应的产品必须包含但不限于采购需求中要求的品种</w:t>
      </w:r>
    </w:p>
    <w:p w14:paraId="38E154D1">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rPr>
      </w:pPr>
      <w:r>
        <w:rPr>
          <w:rFonts w:hint="eastAsia"/>
          <w:highlight w:val="none"/>
          <w:lang w:val="en-US" w:eastAsia="zh-CN"/>
        </w:rPr>
        <w:t>3</w:t>
      </w:r>
      <w:r>
        <w:rPr>
          <w:highlight w:val="none"/>
        </w:rPr>
        <w:t>. 响应时间：接到</w:t>
      </w:r>
      <w:r>
        <w:rPr>
          <w:rFonts w:hint="eastAsia"/>
          <w:highlight w:val="none"/>
          <w:lang w:eastAsia="zh-CN"/>
        </w:rPr>
        <w:t>甲方</w:t>
      </w:r>
      <w:r>
        <w:rPr>
          <w:highlight w:val="none"/>
        </w:rPr>
        <w:t>处理问题通知后，</w:t>
      </w:r>
      <w:r>
        <w:rPr>
          <w:rFonts w:hint="eastAsia"/>
          <w:highlight w:val="none"/>
          <w:lang w:eastAsia="zh-CN"/>
        </w:rPr>
        <w:t>乙方</w:t>
      </w:r>
      <w:r>
        <w:rPr>
          <w:highlight w:val="none"/>
        </w:rPr>
        <w:t>须在 1 小时内派员到达</w:t>
      </w:r>
      <w:r>
        <w:rPr>
          <w:rFonts w:hint="eastAsia"/>
          <w:highlight w:val="none"/>
          <w:lang w:eastAsia="zh-CN"/>
        </w:rPr>
        <w:t>甲方</w:t>
      </w:r>
      <w:r>
        <w:rPr>
          <w:highlight w:val="none"/>
        </w:rPr>
        <w:t>指定现场进行处理；属于食材质量问题的，</w:t>
      </w:r>
      <w:r>
        <w:rPr>
          <w:rFonts w:hint="eastAsia"/>
          <w:highlight w:val="none"/>
          <w:lang w:eastAsia="zh-CN"/>
        </w:rPr>
        <w:t>按</w:t>
      </w:r>
      <w:r>
        <w:rPr>
          <w:highlight w:val="none"/>
        </w:rPr>
        <w:t>违约责任条款约定时限完成补货或换货。</w:t>
      </w:r>
    </w:p>
    <w:p w14:paraId="544D0482">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rPr>
      </w:pPr>
      <w:r>
        <w:rPr>
          <w:rFonts w:hint="eastAsia"/>
          <w:highlight w:val="none"/>
          <w:lang w:val="en-US" w:eastAsia="zh-CN"/>
        </w:rPr>
        <w:t>4</w:t>
      </w:r>
      <w:r>
        <w:rPr>
          <w:highlight w:val="none"/>
        </w:rPr>
        <w:t xml:space="preserve">. </w:t>
      </w:r>
      <w:r>
        <w:rPr>
          <w:rFonts w:hint="eastAsia"/>
          <w:highlight w:val="none"/>
          <w:lang w:eastAsia="zh-CN"/>
        </w:rPr>
        <w:t>乙方</w:t>
      </w:r>
      <w:r>
        <w:rPr>
          <w:highlight w:val="none"/>
        </w:rPr>
        <w:t>须购买食品安全责任保险</w:t>
      </w:r>
      <w:r>
        <w:rPr>
          <w:rFonts w:hint="eastAsia"/>
          <w:highlight w:val="none"/>
          <w:lang w:eastAsia="zh-CN"/>
        </w:rPr>
        <w:t>（具体保额由甲方与成交乙方根据实际情况在签订合同时约定）</w:t>
      </w:r>
      <w:r>
        <w:rPr>
          <w:highlight w:val="none"/>
        </w:rPr>
        <w:t>。</w:t>
      </w:r>
    </w:p>
    <w:p w14:paraId="3A84F5B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eastAsia="宋体"/>
          <w:highlight w:val="none"/>
          <w:lang w:eastAsia="zh-CN"/>
        </w:rPr>
      </w:pPr>
      <w:r>
        <w:rPr>
          <w:rFonts w:hint="eastAsia"/>
          <w:highlight w:val="none"/>
          <w:lang w:val="en-US" w:eastAsia="zh-CN"/>
        </w:rPr>
        <w:t>5</w:t>
      </w:r>
      <w:r>
        <w:rPr>
          <w:highlight w:val="none"/>
        </w:rPr>
        <w:t xml:space="preserve">. </w:t>
      </w:r>
      <w:r>
        <w:rPr>
          <w:rFonts w:hint="eastAsia"/>
          <w:highlight w:val="none"/>
          <w:lang w:eastAsia="zh-CN"/>
        </w:rPr>
        <w:t>乙方</w:t>
      </w:r>
      <w:r>
        <w:rPr>
          <w:highlight w:val="none"/>
        </w:rPr>
        <w:t>应严格遵守《中华人民共和国食品安全法》等相关规定，所提供的产品是合格安全的产品。一经发现供应以下食品，</w:t>
      </w:r>
      <w:r>
        <w:rPr>
          <w:rFonts w:hint="eastAsia"/>
          <w:highlight w:val="none"/>
          <w:lang w:eastAsia="zh-CN"/>
        </w:rPr>
        <w:t>甲方</w:t>
      </w:r>
      <w:r>
        <w:rPr>
          <w:highlight w:val="none"/>
        </w:rPr>
        <w:t>除全部退货外，有权依法解除合同，</w:t>
      </w:r>
      <w:r>
        <w:rPr>
          <w:rFonts w:hint="eastAsia"/>
          <w:highlight w:val="none"/>
          <w:lang w:eastAsia="zh-CN"/>
        </w:rPr>
        <w:t>并</w:t>
      </w:r>
      <w:r>
        <w:rPr>
          <w:highlight w:val="none"/>
        </w:rPr>
        <w:t>取消成交</w:t>
      </w:r>
      <w:r>
        <w:rPr>
          <w:rFonts w:hint="eastAsia"/>
          <w:highlight w:val="none"/>
          <w:lang w:eastAsia="zh-CN"/>
        </w:rPr>
        <w:t>乙方</w:t>
      </w:r>
      <w:r>
        <w:rPr>
          <w:highlight w:val="none"/>
        </w:rPr>
        <w:t>配送资格，</w:t>
      </w:r>
      <w:r>
        <w:rPr>
          <w:rFonts w:hint="eastAsia"/>
          <w:highlight w:val="none"/>
        </w:rPr>
        <w:t>没收全部履约保证金，</w:t>
      </w:r>
      <w:r>
        <w:rPr>
          <w:rFonts w:hint="eastAsia"/>
          <w:highlight w:val="none"/>
          <w:lang w:eastAsia="zh-CN"/>
        </w:rPr>
        <w:t>乙方</w:t>
      </w:r>
      <w:r>
        <w:rPr>
          <w:highlight w:val="none"/>
        </w:rPr>
        <w:t>并承担由此造成的一切经济责任和法律责任</w:t>
      </w:r>
      <w:r>
        <w:rPr>
          <w:rFonts w:hint="eastAsia"/>
          <w:highlight w:val="none"/>
          <w:lang w:eastAsia="zh-CN"/>
        </w:rPr>
        <w:t>。</w:t>
      </w:r>
    </w:p>
    <w:p w14:paraId="56972D86">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lang w:val="en-US" w:eastAsia="zh-CN"/>
        </w:rPr>
      </w:pPr>
      <w:r>
        <w:rPr>
          <w:highlight w:val="none"/>
          <w:lang w:val="en-US" w:eastAsia="zh-CN"/>
        </w:rPr>
        <w:t>① 腐败变质、油脂酸败、霉变、生虫、污秽不洁、混有异物或者其他感官和理化性状异常，对人体健康有害的</w:t>
      </w:r>
      <w:r>
        <w:rPr>
          <w:rFonts w:hint="eastAsia"/>
          <w:highlight w:val="none"/>
          <w:lang w:val="en-US" w:eastAsia="zh-CN"/>
        </w:rPr>
        <w:t>。</w:t>
      </w:r>
    </w:p>
    <w:p w14:paraId="21C85953">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lang w:val="en-US" w:eastAsia="zh-CN"/>
        </w:rPr>
      </w:pPr>
      <w:r>
        <w:rPr>
          <w:highlight w:val="none"/>
          <w:lang w:val="en-US" w:eastAsia="zh-CN"/>
        </w:rPr>
        <w:t>② 含有毒、有害物质或者被有害物质污染，对人体健康有害的</w:t>
      </w:r>
      <w:r>
        <w:rPr>
          <w:rFonts w:hint="eastAsia"/>
          <w:highlight w:val="none"/>
          <w:lang w:val="en-US" w:eastAsia="zh-CN"/>
        </w:rPr>
        <w:t>。</w:t>
      </w:r>
    </w:p>
    <w:p w14:paraId="6195D7AD">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lang w:val="en-US" w:eastAsia="zh-CN"/>
        </w:rPr>
      </w:pPr>
      <w:r>
        <w:rPr>
          <w:highlight w:val="none"/>
          <w:lang w:val="en-US" w:eastAsia="zh-CN"/>
        </w:rPr>
        <w:t>③ 含有致病性寄生虫、微生物或者微生物含量超过国家限定标准的</w:t>
      </w:r>
      <w:r>
        <w:rPr>
          <w:rFonts w:hint="eastAsia"/>
          <w:highlight w:val="none"/>
          <w:lang w:val="en-US" w:eastAsia="zh-CN"/>
        </w:rPr>
        <w:t>。</w:t>
      </w:r>
    </w:p>
    <w:p w14:paraId="618A9E14">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lang w:val="en-US" w:eastAsia="zh-CN"/>
        </w:rPr>
      </w:pPr>
      <w:r>
        <w:rPr>
          <w:highlight w:val="none"/>
          <w:lang w:val="en-US" w:eastAsia="zh-CN"/>
        </w:rPr>
        <w:t>④ 掺假、掺杂、伪造，影响营养、卫生的</w:t>
      </w:r>
      <w:r>
        <w:rPr>
          <w:rFonts w:hint="eastAsia"/>
          <w:highlight w:val="none"/>
          <w:lang w:val="en-US" w:eastAsia="zh-CN"/>
        </w:rPr>
        <w:t>。</w:t>
      </w:r>
    </w:p>
    <w:p w14:paraId="051B7090">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lang w:val="en-US" w:eastAsia="zh-CN"/>
        </w:rPr>
      </w:pPr>
      <w:r>
        <w:rPr>
          <w:highlight w:val="none"/>
          <w:lang w:val="en-US" w:eastAsia="zh-CN"/>
        </w:rPr>
        <w:t>⑤ 用非食品原料加工的，加入非食品用化学物质或者将非食品当作食品的；</w:t>
      </w:r>
    </w:p>
    <w:p w14:paraId="59A98149">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lang w:val="en-US" w:eastAsia="zh-CN"/>
        </w:rPr>
      </w:pPr>
      <w:r>
        <w:rPr>
          <w:highlight w:val="none"/>
          <w:lang w:val="en-US" w:eastAsia="zh-CN"/>
        </w:rPr>
        <w:t>⑥ 超过采购需求约定剩余保质期限的</w:t>
      </w:r>
      <w:r>
        <w:rPr>
          <w:rFonts w:hint="eastAsia"/>
          <w:highlight w:val="none"/>
          <w:lang w:val="en-US" w:eastAsia="zh-CN"/>
        </w:rPr>
        <w:t>。</w:t>
      </w:r>
    </w:p>
    <w:p w14:paraId="098214FC">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lang w:val="en-US" w:eastAsia="zh-CN"/>
        </w:rPr>
      </w:pPr>
      <w:r>
        <w:rPr>
          <w:highlight w:val="none"/>
          <w:lang w:val="en-US" w:eastAsia="zh-CN"/>
        </w:rPr>
        <w:t>⑦ 包装食品无生产厂家、无生产日期、无商标的 “三无” 产品</w:t>
      </w:r>
      <w:r>
        <w:rPr>
          <w:rFonts w:hint="eastAsia"/>
          <w:highlight w:val="none"/>
          <w:lang w:val="en-US" w:eastAsia="zh-CN"/>
        </w:rPr>
        <w:t>。</w:t>
      </w:r>
    </w:p>
    <w:p w14:paraId="195B6298">
      <w:pPr>
        <w:keepNext w:val="0"/>
        <w:keepLines w:val="0"/>
        <w:pageBreakBefore w:val="0"/>
        <w:widowControl w:val="0"/>
        <w:kinsoku/>
        <w:wordWrap/>
        <w:overflowPunct/>
        <w:topLinePunct w:val="0"/>
        <w:autoSpaceDE/>
        <w:autoSpaceDN/>
        <w:bidi w:val="0"/>
        <w:adjustRightInd/>
        <w:snapToGrid/>
        <w:ind w:firstLine="420" w:firstLineChars="200"/>
        <w:textAlignment w:val="auto"/>
        <w:rPr>
          <w:highlight w:val="none"/>
        </w:rPr>
      </w:pPr>
      <w:r>
        <w:rPr>
          <w:highlight w:val="none"/>
          <w:lang w:val="en-US" w:eastAsia="zh-CN"/>
        </w:rPr>
        <w:t>⑧ 其他不符合食品安全标准的情形。</w:t>
      </w:r>
    </w:p>
    <w:p w14:paraId="3CE2A16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highlight w:val="none"/>
        </w:rPr>
      </w:pPr>
      <w:r>
        <w:rPr>
          <w:rFonts w:hint="eastAsia"/>
          <w:highlight w:val="none"/>
          <w:lang w:val="en-US" w:eastAsia="zh-CN"/>
        </w:rPr>
        <w:t>6</w:t>
      </w:r>
      <w:r>
        <w:rPr>
          <w:highlight w:val="none"/>
        </w:rPr>
        <w:t>.</w:t>
      </w:r>
      <w:r>
        <w:rPr>
          <w:rFonts w:hint="eastAsia"/>
          <w:highlight w:val="none"/>
          <w:lang w:eastAsia="zh-CN"/>
        </w:rPr>
        <w:t>乙方</w:t>
      </w:r>
      <w:r>
        <w:rPr>
          <w:rFonts w:hint="eastAsia"/>
          <w:highlight w:val="none"/>
        </w:rPr>
        <w:t>应配备与其承担服务工作的相关项目实施人员及实施工具，实施人员的数量和能力应满足服务工作任务的需要。</w:t>
      </w:r>
    </w:p>
    <w:p w14:paraId="4EC54D42">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w:t>
      </w:r>
      <w:r>
        <w:rPr>
          <w:rFonts w:hint="eastAsia" w:ascii="宋体" w:hAnsi="宋体" w:cs="宋体"/>
          <w:b/>
          <w:color w:val="auto"/>
          <w:sz w:val="21"/>
          <w:szCs w:val="21"/>
          <w:highlight w:val="none"/>
          <w:lang w:eastAsia="zh-CN"/>
        </w:rPr>
        <w:t>五</w:t>
      </w:r>
      <w:r>
        <w:rPr>
          <w:rFonts w:hint="eastAsia" w:ascii="宋体" w:hAnsi="宋体" w:eastAsia="宋体" w:cs="宋体"/>
          <w:b/>
          <w:color w:val="auto"/>
          <w:sz w:val="21"/>
          <w:szCs w:val="21"/>
          <w:highlight w:val="none"/>
        </w:rPr>
        <w:t>条　交付和验收</w:t>
      </w:r>
    </w:p>
    <w:p w14:paraId="4B54E12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服务期限：</w:t>
      </w:r>
      <w:r>
        <w:rPr>
          <w:rFonts w:hint="eastAsia" w:ascii="宋体" w:hAnsi="宋体" w:eastAsia="宋体" w:cs="宋体"/>
          <w:color w:val="auto"/>
          <w:sz w:val="21"/>
          <w:szCs w:val="21"/>
          <w:highlight w:val="none"/>
          <w:u w:val="single"/>
          <w:lang w:val="en-US" w:eastAsia="zh-CN"/>
        </w:rPr>
        <w:t>自合同签订之日起24个月。采购结算金额以服务期限内实际采购金额为准，服务期内实际采购金额不超过本标的预算金额。若服务期内采购金额达预算金额，合同自动终止。</w:t>
      </w:r>
    </w:p>
    <w:p w14:paraId="34D1EEE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服务地点：</w:t>
      </w:r>
      <w:r>
        <w:rPr>
          <w:rFonts w:hint="eastAsia" w:ascii="宋体" w:hAnsi="宋体" w:eastAsia="宋体" w:cs="Times New Roman"/>
          <w:color w:val="auto"/>
          <w:szCs w:val="21"/>
          <w:highlight w:val="none"/>
          <w:u w:val="single"/>
          <w:lang w:val="en-US" w:eastAsia="zh-CN"/>
        </w:rPr>
        <w:t>防城港市财政局（</w:t>
      </w:r>
      <w:r>
        <w:rPr>
          <w:rFonts w:hint="eastAsia" w:ascii="宋体" w:hAnsi="宋体" w:cs="宋体"/>
          <w:kern w:val="0"/>
          <w:szCs w:val="21"/>
          <w:highlight w:val="none"/>
          <w:u w:val="single"/>
        </w:rPr>
        <w:t>防城港市港口区广场北路8号</w:t>
      </w:r>
      <w:r>
        <w:rPr>
          <w:rFonts w:hint="eastAsia" w:ascii="宋体" w:hAnsi="宋体" w:eastAsia="宋体" w:cs="Times New Roman"/>
          <w:color w:val="auto"/>
          <w:szCs w:val="21"/>
          <w:highlight w:val="none"/>
          <w:u w:val="single"/>
          <w:lang w:val="en-US" w:eastAsia="zh-CN"/>
        </w:rPr>
        <w:t>）</w:t>
      </w:r>
      <w:r>
        <w:rPr>
          <w:rFonts w:hint="eastAsia" w:ascii="宋体" w:hAnsi="宋体" w:cs="Times New Roman"/>
          <w:color w:val="auto"/>
          <w:szCs w:val="21"/>
          <w:highlight w:val="none"/>
          <w:u w:val="single"/>
          <w:lang w:val="en-US" w:eastAsia="zh-CN"/>
        </w:rPr>
        <w:t>甲方</w:t>
      </w:r>
      <w:r>
        <w:rPr>
          <w:rFonts w:hint="eastAsia" w:ascii="宋体" w:hAnsi="宋体" w:eastAsia="宋体" w:cs="Times New Roman"/>
          <w:color w:val="auto"/>
          <w:szCs w:val="21"/>
          <w:highlight w:val="none"/>
          <w:u w:val="single"/>
          <w:lang w:val="en-US" w:eastAsia="zh-CN"/>
        </w:rPr>
        <w:t>指定地点。</w:t>
      </w:r>
    </w:p>
    <w:p w14:paraId="290E861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2.验收标准：</w:t>
      </w:r>
    </w:p>
    <w:p w14:paraId="6C7A268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乙方将食材送达甲方指定地点后，由甲方、乙方与食堂服务商共同进行验收。核对食材的品种、数量是否与经审核确认的需求单一致，并对食材的重量进行过磅确认。</w:t>
      </w:r>
    </w:p>
    <w:p w14:paraId="12511EB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验收合格的，三方（甲方、乙方与食堂服务商）应在《食材验收单》上共同签字确认。《食材验收单》应至少一式三份，由甲方、乙方、食堂服务商各执一份，作为结算和对账的依据。</w:t>
      </w:r>
    </w:p>
    <w:p w14:paraId="4578A8A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验收不合格的，由甲方、乙方应在《食材验收单》上详细注明不合格原因、数量等信息，由食材配送服务商进行补货或采取其他应急措施。</w:t>
      </w:r>
    </w:p>
    <w:p w14:paraId="2BC7DEA4">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eastAsia="zh-CN"/>
        </w:rPr>
        <w:t>第六条</w:t>
      </w:r>
      <w:r>
        <w:rPr>
          <w:rFonts w:hint="eastAsia" w:ascii="宋体" w:hAnsi="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付款方式</w:t>
      </w:r>
    </w:p>
    <w:p w14:paraId="2192AA3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1.本项目无预付款，货款按月结算。</w:t>
      </w:r>
      <w:r>
        <w:rPr>
          <w:rFonts w:hint="eastAsia" w:ascii="宋体" w:hAnsi="宋体" w:cs="Times New Roman"/>
          <w:color w:val="auto"/>
          <w:sz w:val="21"/>
          <w:szCs w:val="21"/>
          <w:highlight w:val="none"/>
          <w:lang w:val="en-US" w:eastAsia="zh-CN"/>
        </w:rPr>
        <w:t>乙方</w:t>
      </w:r>
      <w:r>
        <w:rPr>
          <w:rFonts w:hint="eastAsia" w:ascii="宋体" w:hAnsi="宋体" w:eastAsia="宋体" w:cs="Times New Roman"/>
          <w:color w:val="auto"/>
          <w:sz w:val="21"/>
          <w:szCs w:val="21"/>
          <w:highlight w:val="none"/>
          <w:lang w:val="en-US" w:eastAsia="zh-CN"/>
        </w:rPr>
        <w:t>应于每月10日前</w:t>
      </w:r>
      <w:r>
        <w:rPr>
          <w:rFonts w:hint="eastAsia" w:ascii="宋体" w:hAnsi="宋体" w:cs="Times New Roman"/>
          <w:color w:val="auto"/>
          <w:sz w:val="21"/>
          <w:szCs w:val="21"/>
          <w:highlight w:val="none"/>
          <w:lang w:val="en-US" w:eastAsia="zh-CN"/>
        </w:rPr>
        <w:t>，</w:t>
      </w:r>
      <w:r>
        <w:rPr>
          <w:rFonts w:hint="eastAsia" w:ascii="宋体" w:hAnsi="宋体" w:eastAsia="宋体" w:cs="Times New Roman"/>
          <w:color w:val="auto"/>
          <w:sz w:val="21"/>
          <w:szCs w:val="21"/>
          <w:highlight w:val="none"/>
          <w:lang w:val="en-US" w:eastAsia="zh-CN"/>
        </w:rPr>
        <w:t>将上月已由</w:t>
      </w:r>
      <w:r>
        <w:rPr>
          <w:rFonts w:hint="eastAsia" w:ascii="宋体" w:hAnsi="宋体" w:cs="Times New Roman"/>
          <w:color w:val="auto"/>
          <w:sz w:val="21"/>
          <w:szCs w:val="21"/>
          <w:highlight w:val="none"/>
          <w:lang w:val="en-US" w:eastAsia="zh-CN"/>
        </w:rPr>
        <w:t>三</w:t>
      </w:r>
      <w:r>
        <w:rPr>
          <w:rFonts w:hint="eastAsia" w:ascii="宋体" w:hAnsi="宋体" w:eastAsia="宋体" w:cs="Times New Roman"/>
          <w:color w:val="auto"/>
          <w:sz w:val="21"/>
          <w:szCs w:val="21"/>
          <w:highlight w:val="none"/>
          <w:lang w:val="en-US" w:eastAsia="zh-CN"/>
        </w:rPr>
        <w:t>方</w:t>
      </w:r>
      <w:r>
        <w:rPr>
          <w:rFonts w:hint="eastAsia" w:ascii="宋体" w:hAnsi="宋体" w:cs="Times New Roman"/>
          <w:color w:val="auto"/>
          <w:sz w:val="21"/>
          <w:szCs w:val="21"/>
          <w:highlight w:val="none"/>
          <w:lang w:val="en-US" w:eastAsia="zh-CN"/>
        </w:rPr>
        <w:t>（</w:t>
      </w:r>
      <w:r>
        <w:rPr>
          <w:rFonts w:hint="eastAsia" w:ascii="宋体" w:hAnsi="宋体" w:cs="宋体"/>
          <w:b w:val="0"/>
          <w:bCs w:val="0"/>
          <w:color w:val="auto"/>
          <w:sz w:val="21"/>
          <w:highlight w:val="none"/>
          <w:lang w:val="en-US" w:eastAsia="zh-CN"/>
        </w:rPr>
        <w:t>甲方、乙方与食堂服务商</w:t>
      </w:r>
      <w:r>
        <w:rPr>
          <w:rFonts w:hint="eastAsia" w:ascii="宋体" w:hAnsi="宋体" w:cs="Times New Roman"/>
          <w:color w:val="auto"/>
          <w:sz w:val="21"/>
          <w:szCs w:val="21"/>
          <w:highlight w:val="none"/>
          <w:lang w:val="en-US" w:eastAsia="zh-CN"/>
        </w:rPr>
        <w:t>）</w:t>
      </w:r>
      <w:r>
        <w:rPr>
          <w:rFonts w:hint="eastAsia" w:ascii="宋体" w:hAnsi="宋体" w:eastAsia="宋体" w:cs="Times New Roman"/>
          <w:color w:val="auto"/>
          <w:sz w:val="21"/>
          <w:szCs w:val="21"/>
          <w:highlight w:val="none"/>
          <w:lang w:val="en-US" w:eastAsia="zh-CN"/>
        </w:rPr>
        <w:t>签字确认的《食材验收单》汇总整理，形成供货清单，递交</w:t>
      </w:r>
      <w:r>
        <w:rPr>
          <w:rFonts w:hint="eastAsia" w:ascii="宋体" w:hAnsi="宋体" w:cs="Times New Roman"/>
          <w:color w:val="auto"/>
          <w:sz w:val="21"/>
          <w:szCs w:val="21"/>
          <w:highlight w:val="none"/>
          <w:lang w:val="en-US" w:eastAsia="zh-CN"/>
        </w:rPr>
        <w:t>甲方</w:t>
      </w:r>
      <w:r>
        <w:rPr>
          <w:rFonts w:hint="eastAsia" w:ascii="宋体" w:hAnsi="宋体" w:eastAsia="宋体" w:cs="Times New Roman"/>
          <w:color w:val="auto"/>
          <w:sz w:val="21"/>
          <w:szCs w:val="21"/>
          <w:highlight w:val="none"/>
          <w:lang w:val="en-US" w:eastAsia="zh-CN"/>
        </w:rPr>
        <w:t>核定当月结算金额：供货清单汇总递交给</w:t>
      </w:r>
      <w:r>
        <w:rPr>
          <w:rFonts w:hint="eastAsia" w:ascii="宋体" w:hAnsi="宋体" w:cs="Times New Roman"/>
          <w:color w:val="auto"/>
          <w:sz w:val="21"/>
          <w:szCs w:val="21"/>
          <w:highlight w:val="none"/>
          <w:lang w:val="en-US" w:eastAsia="zh-CN"/>
        </w:rPr>
        <w:t>甲方</w:t>
      </w:r>
      <w:r>
        <w:rPr>
          <w:rFonts w:hint="eastAsia" w:ascii="宋体" w:hAnsi="宋体" w:eastAsia="宋体" w:cs="Times New Roman"/>
          <w:color w:val="auto"/>
          <w:sz w:val="21"/>
          <w:szCs w:val="21"/>
          <w:highlight w:val="none"/>
          <w:lang w:val="en-US" w:eastAsia="zh-CN"/>
        </w:rPr>
        <w:t>，由</w:t>
      </w:r>
      <w:r>
        <w:rPr>
          <w:rFonts w:hint="eastAsia" w:ascii="宋体" w:hAnsi="宋体" w:cs="Times New Roman"/>
          <w:color w:val="auto"/>
          <w:sz w:val="21"/>
          <w:szCs w:val="21"/>
          <w:highlight w:val="none"/>
          <w:lang w:val="en-US" w:eastAsia="zh-CN"/>
        </w:rPr>
        <w:t>甲方</w:t>
      </w:r>
      <w:r>
        <w:rPr>
          <w:rFonts w:hint="eastAsia" w:ascii="宋体" w:hAnsi="宋体" w:eastAsia="宋体" w:cs="Times New Roman"/>
          <w:color w:val="auto"/>
          <w:sz w:val="21"/>
          <w:szCs w:val="21"/>
          <w:highlight w:val="none"/>
          <w:lang w:val="en-US" w:eastAsia="zh-CN"/>
        </w:rPr>
        <w:t>根据供货清单核定当月结算金额，结算清单由</w:t>
      </w:r>
      <w:r>
        <w:rPr>
          <w:rFonts w:hint="eastAsia" w:ascii="宋体" w:hAnsi="宋体" w:cs="Times New Roman"/>
          <w:color w:val="auto"/>
          <w:sz w:val="21"/>
          <w:szCs w:val="21"/>
          <w:highlight w:val="none"/>
          <w:lang w:val="en-US" w:eastAsia="zh-CN"/>
        </w:rPr>
        <w:t>甲、乙</w:t>
      </w:r>
      <w:r>
        <w:rPr>
          <w:rFonts w:hint="eastAsia" w:ascii="宋体" w:hAnsi="宋体" w:eastAsia="宋体" w:cs="Times New Roman"/>
          <w:color w:val="auto"/>
          <w:sz w:val="21"/>
          <w:szCs w:val="21"/>
          <w:highlight w:val="none"/>
          <w:lang w:val="en-US" w:eastAsia="zh-CN"/>
        </w:rPr>
        <w:t>双方签字确认：</w:t>
      </w:r>
    </w:p>
    <w:p w14:paraId="7F5C431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当月结算金额=∑各类货物结算金额</w:t>
      </w:r>
    </w:p>
    <w:p w14:paraId="1F85C5E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某货物结算金额=该月某货物实际验收合格数量×某货物实际采购单价</w:t>
      </w:r>
    </w:p>
    <w:p w14:paraId="330E0D2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某货物实际采购单价=市场价格（基准单价）×（1-成交下浮系数）</w:t>
      </w:r>
    </w:p>
    <w:p w14:paraId="07868CAD">
      <w:pPr>
        <w:pStyle w:val="5"/>
        <w:keepNext w:val="0"/>
        <w:keepLines w:val="0"/>
        <w:pageBreakBefore w:val="0"/>
        <w:widowControl w:val="0"/>
        <w:kinsoku/>
        <w:wordWrap/>
        <w:overflowPunct/>
        <w:topLinePunct w:val="0"/>
        <w:autoSpaceDE/>
        <w:autoSpaceDN/>
        <w:bidi w:val="0"/>
        <w:adjustRightInd/>
        <w:snapToGrid/>
        <w:spacing w:after="0" w:line="360" w:lineRule="exact"/>
        <w:ind w:firstLine="420" w:firstLineChars="200"/>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2.货款结算前，</w:t>
      </w:r>
      <w:r>
        <w:rPr>
          <w:rFonts w:hint="eastAsia" w:ascii="宋体" w:hAnsi="宋体" w:cs="Times New Roman"/>
          <w:color w:val="auto"/>
          <w:sz w:val="21"/>
          <w:szCs w:val="21"/>
          <w:highlight w:val="none"/>
          <w:lang w:val="en-US" w:eastAsia="zh-CN"/>
        </w:rPr>
        <w:t>乙方</w:t>
      </w:r>
      <w:r>
        <w:rPr>
          <w:rFonts w:hint="eastAsia" w:ascii="宋体" w:hAnsi="宋体" w:eastAsia="宋体" w:cs="Times New Roman"/>
          <w:color w:val="auto"/>
          <w:sz w:val="21"/>
          <w:szCs w:val="21"/>
          <w:highlight w:val="none"/>
          <w:lang w:val="en-US" w:eastAsia="zh-CN"/>
        </w:rPr>
        <w:t>按</w:t>
      </w:r>
      <w:r>
        <w:rPr>
          <w:rFonts w:hint="eastAsia" w:ascii="宋体" w:hAnsi="宋体" w:cs="Times New Roman"/>
          <w:color w:val="auto"/>
          <w:sz w:val="21"/>
          <w:szCs w:val="21"/>
          <w:highlight w:val="none"/>
          <w:lang w:val="en-US" w:eastAsia="zh-CN"/>
        </w:rPr>
        <w:t>甲、方</w:t>
      </w:r>
      <w:r>
        <w:rPr>
          <w:rFonts w:hint="eastAsia" w:ascii="宋体" w:hAnsi="宋体" w:eastAsia="宋体" w:cs="Times New Roman"/>
          <w:color w:val="auto"/>
          <w:sz w:val="21"/>
          <w:szCs w:val="21"/>
          <w:highlight w:val="none"/>
          <w:lang w:val="en-US" w:eastAsia="zh-CN"/>
        </w:rPr>
        <w:t>双方签字确认的结算金额向</w:t>
      </w:r>
      <w:r>
        <w:rPr>
          <w:rFonts w:hint="eastAsia" w:ascii="宋体" w:hAnsi="宋体" w:cs="Times New Roman"/>
          <w:color w:val="auto"/>
          <w:sz w:val="21"/>
          <w:szCs w:val="21"/>
          <w:highlight w:val="none"/>
          <w:lang w:val="en-US" w:eastAsia="zh-CN"/>
        </w:rPr>
        <w:t>甲方</w:t>
      </w:r>
      <w:r>
        <w:rPr>
          <w:rFonts w:hint="eastAsia" w:ascii="宋体" w:hAnsi="宋体" w:eastAsia="宋体" w:cs="Times New Roman"/>
          <w:color w:val="auto"/>
          <w:sz w:val="21"/>
          <w:szCs w:val="21"/>
          <w:highlight w:val="none"/>
          <w:lang w:val="en-US" w:eastAsia="zh-CN"/>
        </w:rPr>
        <w:t>开具真实、合法、有效的等额发票后，</w:t>
      </w:r>
      <w:r>
        <w:rPr>
          <w:rFonts w:hint="eastAsia" w:ascii="宋体" w:hAnsi="宋体" w:cs="Times New Roman"/>
          <w:color w:val="auto"/>
          <w:sz w:val="21"/>
          <w:szCs w:val="21"/>
          <w:highlight w:val="none"/>
          <w:lang w:val="en-US" w:eastAsia="zh-CN"/>
        </w:rPr>
        <w:t>甲方</w:t>
      </w:r>
      <w:r>
        <w:rPr>
          <w:rFonts w:hint="eastAsia" w:ascii="宋体" w:hAnsi="宋体" w:eastAsia="宋体" w:cs="Times New Roman"/>
          <w:color w:val="auto"/>
          <w:sz w:val="21"/>
          <w:szCs w:val="21"/>
          <w:highlight w:val="none"/>
          <w:lang w:val="en-US" w:eastAsia="zh-CN"/>
        </w:rPr>
        <w:t>在收到发票后向</w:t>
      </w:r>
      <w:r>
        <w:rPr>
          <w:rFonts w:hint="eastAsia" w:ascii="宋体" w:hAnsi="宋体" w:cs="Times New Roman"/>
          <w:color w:val="auto"/>
          <w:sz w:val="21"/>
          <w:szCs w:val="21"/>
          <w:highlight w:val="none"/>
          <w:lang w:val="en-US" w:eastAsia="zh-CN"/>
        </w:rPr>
        <w:t>乙方</w:t>
      </w:r>
      <w:r>
        <w:rPr>
          <w:rFonts w:hint="eastAsia" w:ascii="宋体" w:hAnsi="宋体" w:eastAsia="宋体" w:cs="Times New Roman"/>
          <w:color w:val="auto"/>
          <w:sz w:val="21"/>
          <w:szCs w:val="21"/>
          <w:highlight w:val="none"/>
          <w:lang w:val="en-US" w:eastAsia="zh-CN"/>
        </w:rPr>
        <w:t>支付该月货款。出具发票方、收款方均须与</w:t>
      </w:r>
      <w:r>
        <w:rPr>
          <w:rFonts w:hint="eastAsia" w:ascii="宋体" w:hAnsi="宋体" w:cs="Times New Roman"/>
          <w:color w:val="auto"/>
          <w:sz w:val="21"/>
          <w:szCs w:val="21"/>
          <w:highlight w:val="none"/>
          <w:lang w:val="en-US" w:eastAsia="zh-CN"/>
        </w:rPr>
        <w:t>乙方</w:t>
      </w:r>
      <w:r>
        <w:rPr>
          <w:rFonts w:hint="eastAsia" w:ascii="宋体" w:hAnsi="宋体" w:eastAsia="宋体" w:cs="Times New Roman"/>
          <w:color w:val="auto"/>
          <w:sz w:val="21"/>
          <w:szCs w:val="21"/>
          <w:highlight w:val="none"/>
          <w:lang w:val="en-US" w:eastAsia="zh-CN"/>
        </w:rPr>
        <w:t>名称一致。</w:t>
      </w:r>
      <w:r>
        <w:rPr>
          <w:rFonts w:hint="eastAsia" w:ascii="宋体" w:hAnsi="宋体" w:cs="Times New Roman"/>
          <w:color w:val="auto"/>
          <w:sz w:val="21"/>
          <w:szCs w:val="21"/>
          <w:highlight w:val="none"/>
          <w:lang w:val="en-US" w:eastAsia="zh-CN"/>
        </w:rPr>
        <w:t>乙方</w:t>
      </w:r>
      <w:r>
        <w:rPr>
          <w:rFonts w:hint="eastAsia" w:ascii="宋体" w:hAnsi="宋体" w:eastAsia="宋体" w:cs="Times New Roman"/>
          <w:color w:val="auto"/>
          <w:sz w:val="21"/>
          <w:szCs w:val="21"/>
          <w:highlight w:val="none"/>
          <w:lang w:val="en-US" w:eastAsia="zh-CN"/>
        </w:rPr>
        <w:t>未开具合法有效发票的，</w:t>
      </w:r>
      <w:r>
        <w:rPr>
          <w:rFonts w:hint="eastAsia" w:ascii="宋体" w:hAnsi="宋体" w:cs="Times New Roman"/>
          <w:color w:val="auto"/>
          <w:sz w:val="21"/>
          <w:szCs w:val="21"/>
          <w:highlight w:val="none"/>
          <w:lang w:val="en-US" w:eastAsia="zh-CN"/>
        </w:rPr>
        <w:t>甲方</w:t>
      </w:r>
      <w:r>
        <w:rPr>
          <w:rFonts w:hint="eastAsia" w:ascii="宋体" w:hAnsi="宋体" w:eastAsia="宋体" w:cs="Times New Roman"/>
          <w:color w:val="auto"/>
          <w:sz w:val="21"/>
          <w:szCs w:val="21"/>
          <w:highlight w:val="none"/>
          <w:lang w:val="en-US" w:eastAsia="zh-CN"/>
        </w:rPr>
        <w:t>有权不支付相应款项。</w:t>
      </w:r>
    </w:p>
    <w:p w14:paraId="6ACA551B">
      <w:pPr>
        <w:pStyle w:val="5"/>
        <w:keepNext w:val="0"/>
        <w:keepLines w:val="0"/>
        <w:pageBreakBefore w:val="0"/>
        <w:widowControl w:val="0"/>
        <w:kinsoku/>
        <w:wordWrap/>
        <w:overflowPunct/>
        <w:topLinePunct w:val="0"/>
        <w:autoSpaceDE/>
        <w:autoSpaceDN/>
        <w:bidi w:val="0"/>
        <w:adjustRightInd/>
        <w:snapToGrid/>
        <w:spacing w:after="0" w:line="360" w:lineRule="exact"/>
        <w:ind w:firstLine="420" w:firstLineChars="200"/>
        <w:textAlignment w:val="auto"/>
        <w:rPr>
          <w:rFonts w:hint="eastAsia" w:ascii="宋体" w:hAnsi="宋体" w:eastAsia="宋体" w:cs="Times New Roman"/>
          <w:color w:val="auto"/>
          <w:sz w:val="21"/>
          <w:szCs w:val="21"/>
          <w:highlight w:val="none"/>
          <w:lang w:val="en-US" w:eastAsia="zh-CN"/>
        </w:rPr>
      </w:pPr>
      <w:r>
        <w:rPr>
          <w:rFonts w:hint="eastAsia" w:ascii="宋体" w:hAnsi="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lang w:val="en-US" w:eastAsia="zh-CN"/>
        </w:rPr>
        <w:t>.</w:t>
      </w:r>
      <w:r>
        <w:rPr>
          <w:rFonts w:hint="eastAsia" w:ascii="宋体" w:hAnsi="宋体" w:eastAsia="宋体" w:cs="Times New Roman"/>
          <w:color w:val="auto"/>
          <w:sz w:val="21"/>
          <w:szCs w:val="21"/>
          <w:highlight w:val="none"/>
          <w:lang w:val="en-US" w:eastAsia="zh-CN"/>
        </w:rPr>
        <w:t>市场价格（基准单价）的确定：</w:t>
      </w:r>
    </w:p>
    <w:p w14:paraId="495A58F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①定价机制：市场价格由甲方和乙方到港口区紫金城海鲜综合市场（含配送服务价格及税费；如采购商品在该市场无销售的，可参照港口区辉龙市场、港口区采珠市场、港口区金海市场等客流量大、菜品种类齐全的农贸市场的价格），每月询价一次。若乙方拒绝参与询价，则以甲方单独询价结果为准。</w:t>
      </w:r>
    </w:p>
    <w:p w14:paraId="4A240D6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 xml:space="preserve">②询价：由甲方和乙方共同派员组成3人以上询价小组，每月到港口区紫金城海鲜综合市场考察询价 1 次，所询价格作为当月的市场价格。结算价格按以上公式计算实际采购价格。 </w:t>
      </w:r>
    </w:p>
    <w:p w14:paraId="109DB9D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 xml:space="preserve">③定价：询价小组以询价得出的结果为参考依据，对所询价格与上周期价格对比，若市场价格涨幅超过10%，乙方须提供配送书面调价函告知甲方，经甲方核实审批同意后方可实行。 </w:t>
      </w:r>
    </w:p>
    <w:p w14:paraId="4E69AAC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color w:val="auto"/>
        </w:rPr>
      </w:pPr>
      <w:r>
        <w:rPr>
          <w:rFonts w:hint="eastAsia"/>
          <w:color w:val="auto"/>
          <w:highlight w:val="none"/>
          <w:lang w:val="en-US" w:eastAsia="zh-CN"/>
        </w:rPr>
        <w:t>④对未列入询价范围的急需食材，采取临时询价机制。即：甲方提出需求的次日，由询价小组开展询价共同商定。</w:t>
      </w:r>
    </w:p>
    <w:p w14:paraId="5E79D3CF">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w:t>
      </w:r>
      <w:r>
        <w:rPr>
          <w:rFonts w:hint="eastAsia" w:ascii="宋体" w:hAnsi="宋体" w:cs="宋体"/>
          <w:b/>
          <w:color w:val="auto"/>
          <w:sz w:val="21"/>
          <w:szCs w:val="21"/>
          <w:highlight w:val="none"/>
          <w:lang w:val="en-US" w:eastAsia="zh-CN"/>
        </w:rPr>
        <w:t>七</w:t>
      </w:r>
      <w:r>
        <w:rPr>
          <w:rFonts w:hint="eastAsia" w:ascii="宋体" w:hAnsi="宋体" w:eastAsia="宋体" w:cs="宋体"/>
          <w:b/>
          <w:color w:val="auto"/>
          <w:sz w:val="21"/>
          <w:szCs w:val="21"/>
          <w:highlight w:val="none"/>
        </w:rPr>
        <w:t>条  税费</w:t>
      </w:r>
    </w:p>
    <w:p w14:paraId="4C562BF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本合同执行中相关的一切税费均由乙方负担，合同另有约定的除外。</w:t>
      </w:r>
    </w:p>
    <w:p w14:paraId="2143B353">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cs="Times New Roman"/>
          <w:color w:val="auto"/>
          <w:kern w:val="2"/>
          <w:sz w:val="21"/>
          <w:szCs w:val="21"/>
          <w:highlight w:val="none"/>
          <w:lang w:val="en-US" w:eastAsia="zh-CN" w:bidi="ar-SA"/>
        </w:rPr>
      </w:pPr>
      <w:r>
        <w:rPr>
          <w:rFonts w:hint="eastAsia" w:ascii="宋体" w:hAnsi="宋体" w:eastAsia="宋体" w:cs="宋体"/>
          <w:b/>
          <w:color w:val="auto"/>
          <w:sz w:val="21"/>
          <w:szCs w:val="21"/>
          <w:highlight w:val="none"/>
        </w:rPr>
        <w:t>第</w:t>
      </w:r>
      <w:r>
        <w:rPr>
          <w:rFonts w:hint="eastAsia" w:ascii="宋体" w:hAnsi="宋体" w:cs="宋体"/>
          <w:b/>
          <w:color w:val="auto"/>
          <w:sz w:val="21"/>
          <w:szCs w:val="21"/>
          <w:highlight w:val="none"/>
          <w:lang w:val="en-US" w:eastAsia="zh-CN"/>
        </w:rPr>
        <w:t>八</w:t>
      </w:r>
      <w:r>
        <w:rPr>
          <w:rFonts w:hint="eastAsia" w:ascii="宋体" w:hAnsi="宋体" w:eastAsia="宋体" w:cs="宋体"/>
          <w:b/>
          <w:color w:val="auto"/>
          <w:sz w:val="21"/>
          <w:szCs w:val="21"/>
          <w:highlight w:val="none"/>
        </w:rPr>
        <w:t>条　违约责任</w:t>
      </w:r>
    </w:p>
    <w:p w14:paraId="34A5A4BE">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Chars="0" w:right="0" w:rightChars="0" w:firstLine="420" w:firstLineChars="200"/>
        <w:textAlignment w:val="auto"/>
        <w:rPr>
          <w:rFonts w:hint="eastAsia" w:ascii="宋体" w:hAnsi="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1.乙方</w:t>
      </w:r>
      <w:r>
        <w:rPr>
          <w:rFonts w:hint="eastAsia" w:ascii="宋体" w:hAnsi="宋体" w:eastAsia="宋体" w:cs="Times New Roman"/>
          <w:color w:val="auto"/>
          <w:kern w:val="2"/>
          <w:sz w:val="21"/>
          <w:szCs w:val="21"/>
          <w:highlight w:val="none"/>
          <w:lang w:val="en-US" w:eastAsia="zh-CN" w:bidi="ar-SA"/>
        </w:rPr>
        <w:t>提供产品出现假冒或者严重质量、安全问题，</w:t>
      </w:r>
      <w:r>
        <w:rPr>
          <w:rFonts w:hint="eastAsia" w:ascii="宋体" w:hAnsi="宋体" w:cs="Times New Roman"/>
          <w:color w:val="auto"/>
          <w:kern w:val="2"/>
          <w:sz w:val="21"/>
          <w:szCs w:val="21"/>
          <w:highlight w:val="none"/>
          <w:lang w:val="en-US" w:eastAsia="zh-CN" w:bidi="ar-SA"/>
        </w:rPr>
        <w:t>甲方</w:t>
      </w:r>
      <w:r>
        <w:rPr>
          <w:rFonts w:hint="eastAsia" w:ascii="宋体" w:hAnsi="宋体" w:eastAsia="宋体" w:cs="Times New Roman"/>
          <w:color w:val="auto"/>
          <w:kern w:val="2"/>
          <w:sz w:val="21"/>
          <w:szCs w:val="21"/>
          <w:highlight w:val="none"/>
          <w:lang w:val="en-US" w:eastAsia="zh-CN" w:bidi="ar-SA"/>
        </w:rPr>
        <w:t>有权单方通知</w:t>
      </w:r>
      <w:r>
        <w:rPr>
          <w:rFonts w:hint="eastAsia" w:ascii="宋体" w:hAnsi="宋体" w:cs="Times New Roman"/>
          <w:color w:val="auto"/>
          <w:kern w:val="2"/>
          <w:sz w:val="21"/>
          <w:szCs w:val="21"/>
          <w:highlight w:val="none"/>
          <w:lang w:val="en-US" w:eastAsia="zh-CN" w:bidi="ar-SA"/>
        </w:rPr>
        <w:t>乙方</w:t>
      </w:r>
      <w:r>
        <w:rPr>
          <w:rFonts w:hint="eastAsia" w:ascii="宋体" w:hAnsi="宋体" w:eastAsia="宋体" w:cs="Times New Roman"/>
          <w:color w:val="auto"/>
          <w:kern w:val="2"/>
          <w:sz w:val="21"/>
          <w:szCs w:val="21"/>
          <w:highlight w:val="none"/>
          <w:lang w:val="en-US" w:eastAsia="zh-CN" w:bidi="ar-SA"/>
        </w:rPr>
        <w:t>解除本项目合同，并有权扣除</w:t>
      </w:r>
      <w:r>
        <w:rPr>
          <w:rFonts w:hint="eastAsia" w:ascii="宋体" w:hAnsi="宋体" w:cs="Times New Roman"/>
          <w:color w:val="auto"/>
          <w:kern w:val="2"/>
          <w:sz w:val="21"/>
          <w:szCs w:val="21"/>
          <w:highlight w:val="none"/>
          <w:lang w:val="en-US" w:eastAsia="zh-CN" w:bidi="ar-SA"/>
        </w:rPr>
        <w:t>乙方</w:t>
      </w:r>
      <w:r>
        <w:rPr>
          <w:rFonts w:hint="eastAsia" w:ascii="宋体" w:hAnsi="宋体" w:eastAsia="宋体" w:cs="Times New Roman"/>
          <w:color w:val="auto"/>
          <w:kern w:val="2"/>
          <w:sz w:val="21"/>
          <w:szCs w:val="21"/>
          <w:highlight w:val="none"/>
          <w:lang w:val="en-US" w:eastAsia="zh-CN" w:bidi="ar-SA"/>
        </w:rPr>
        <w:t>全部履约保证金。给</w:t>
      </w:r>
      <w:r>
        <w:rPr>
          <w:rFonts w:hint="eastAsia" w:ascii="宋体" w:hAnsi="宋体" w:cs="Times New Roman"/>
          <w:color w:val="auto"/>
          <w:kern w:val="2"/>
          <w:sz w:val="21"/>
          <w:szCs w:val="21"/>
          <w:highlight w:val="none"/>
          <w:lang w:val="en-US" w:eastAsia="zh-CN" w:bidi="ar-SA"/>
        </w:rPr>
        <w:t>甲方</w:t>
      </w:r>
      <w:r>
        <w:rPr>
          <w:rFonts w:hint="eastAsia" w:ascii="宋体" w:hAnsi="宋体" w:eastAsia="宋体" w:cs="Times New Roman"/>
          <w:color w:val="auto"/>
          <w:kern w:val="2"/>
          <w:sz w:val="21"/>
          <w:szCs w:val="21"/>
          <w:highlight w:val="none"/>
          <w:lang w:val="en-US" w:eastAsia="zh-CN" w:bidi="ar-SA"/>
        </w:rPr>
        <w:t>或</w:t>
      </w:r>
      <w:r>
        <w:rPr>
          <w:rFonts w:hint="eastAsia" w:ascii="宋体" w:hAnsi="宋体" w:cs="Times New Roman"/>
          <w:color w:val="auto"/>
          <w:kern w:val="2"/>
          <w:sz w:val="21"/>
          <w:szCs w:val="21"/>
          <w:highlight w:val="none"/>
          <w:lang w:val="en-US" w:eastAsia="zh-CN" w:bidi="ar-SA"/>
        </w:rPr>
        <w:t>甲方</w:t>
      </w:r>
      <w:r>
        <w:rPr>
          <w:rFonts w:hint="eastAsia" w:ascii="宋体" w:hAnsi="宋体" w:eastAsia="宋体" w:cs="Times New Roman"/>
          <w:color w:val="auto"/>
          <w:kern w:val="2"/>
          <w:sz w:val="21"/>
          <w:szCs w:val="21"/>
          <w:highlight w:val="none"/>
          <w:lang w:val="en-US" w:eastAsia="zh-CN" w:bidi="ar-SA"/>
        </w:rPr>
        <w:t>单位职员造成实际损失的，</w:t>
      </w:r>
      <w:r>
        <w:rPr>
          <w:rFonts w:hint="eastAsia" w:ascii="宋体" w:hAnsi="宋体" w:cs="Times New Roman"/>
          <w:color w:val="auto"/>
          <w:kern w:val="2"/>
          <w:sz w:val="21"/>
          <w:szCs w:val="21"/>
          <w:highlight w:val="none"/>
          <w:lang w:val="en-US" w:eastAsia="zh-CN" w:bidi="ar-SA"/>
        </w:rPr>
        <w:t>甲方</w:t>
      </w:r>
      <w:r>
        <w:rPr>
          <w:rFonts w:hint="eastAsia" w:ascii="宋体" w:hAnsi="宋体" w:eastAsia="宋体" w:cs="Times New Roman"/>
          <w:color w:val="auto"/>
          <w:kern w:val="2"/>
          <w:sz w:val="21"/>
          <w:szCs w:val="21"/>
          <w:highlight w:val="none"/>
          <w:lang w:val="en-US" w:eastAsia="zh-CN" w:bidi="ar-SA"/>
        </w:rPr>
        <w:t>有权要求</w:t>
      </w:r>
      <w:r>
        <w:rPr>
          <w:rFonts w:hint="eastAsia" w:ascii="宋体" w:hAnsi="宋体" w:cs="Times New Roman"/>
          <w:color w:val="auto"/>
          <w:kern w:val="2"/>
          <w:sz w:val="21"/>
          <w:szCs w:val="21"/>
          <w:highlight w:val="none"/>
          <w:lang w:val="en-US" w:eastAsia="zh-CN" w:bidi="ar-SA"/>
        </w:rPr>
        <w:t>乙方</w:t>
      </w:r>
      <w:r>
        <w:rPr>
          <w:rFonts w:hint="eastAsia" w:ascii="宋体" w:hAnsi="宋体" w:eastAsia="宋体" w:cs="Times New Roman"/>
          <w:color w:val="auto"/>
          <w:kern w:val="2"/>
          <w:sz w:val="21"/>
          <w:szCs w:val="21"/>
          <w:highlight w:val="none"/>
          <w:lang w:val="en-US" w:eastAsia="zh-CN" w:bidi="ar-SA"/>
        </w:rPr>
        <w:t>承担</w:t>
      </w:r>
      <w:r>
        <w:rPr>
          <w:rFonts w:hint="eastAsia" w:ascii="宋体" w:hAnsi="宋体" w:cs="Times New Roman"/>
          <w:color w:val="auto"/>
          <w:kern w:val="2"/>
          <w:sz w:val="21"/>
          <w:szCs w:val="21"/>
          <w:highlight w:val="none"/>
          <w:lang w:val="en-US" w:eastAsia="zh-CN" w:bidi="ar-SA"/>
        </w:rPr>
        <w:t>。</w:t>
      </w:r>
    </w:p>
    <w:p w14:paraId="40B2606E">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firstLine="420" w:firstLineChars="20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2.乙方</w:t>
      </w:r>
      <w:r>
        <w:rPr>
          <w:rFonts w:hint="eastAsia" w:ascii="宋体" w:hAnsi="宋体" w:eastAsia="宋体" w:cs="Times New Roman"/>
          <w:color w:val="auto"/>
          <w:kern w:val="2"/>
          <w:sz w:val="21"/>
          <w:szCs w:val="21"/>
          <w:highlight w:val="none"/>
          <w:lang w:val="en-US" w:eastAsia="zh-CN" w:bidi="ar-SA"/>
        </w:rPr>
        <w:t>未能按</w:t>
      </w:r>
      <w:r>
        <w:rPr>
          <w:rFonts w:hint="eastAsia" w:ascii="宋体" w:hAnsi="宋体" w:cs="Times New Roman"/>
          <w:color w:val="auto"/>
          <w:kern w:val="2"/>
          <w:sz w:val="21"/>
          <w:szCs w:val="21"/>
          <w:highlight w:val="none"/>
          <w:lang w:val="en-US" w:eastAsia="zh-CN" w:bidi="ar-SA"/>
        </w:rPr>
        <w:t>甲方</w:t>
      </w:r>
      <w:r>
        <w:rPr>
          <w:rFonts w:hint="eastAsia" w:ascii="宋体" w:hAnsi="宋体" w:eastAsia="宋体" w:cs="Times New Roman"/>
          <w:color w:val="auto"/>
          <w:kern w:val="2"/>
          <w:sz w:val="21"/>
          <w:szCs w:val="21"/>
          <w:highlight w:val="none"/>
          <w:lang w:val="en-US" w:eastAsia="zh-CN" w:bidi="ar-SA"/>
        </w:rPr>
        <w:t>要求时间交货，每延迟1小时扣减当笔订单金额5%。迟延超过2小时的，</w:t>
      </w:r>
      <w:r>
        <w:rPr>
          <w:rFonts w:hint="eastAsia" w:ascii="宋体" w:hAnsi="宋体" w:cs="Times New Roman"/>
          <w:color w:val="auto"/>
          <w:kern w:val="2"/>
          <w:sz w:val="21"/>
          <w:szCs w:val="21"/>
          <w:highlight w:val="none"/>
          <w:lang w:val="en-US" w:eastAsia="zh-CN" w:bidi="ar-SA"/>
        </w:rPr>
        <w:t>甲方</w:t>
      </w:r>
      <w:r>
        <w:rPr>
          <w:rFonts w:hint="eastAsia" w:ascii="宋体" w:hAnsi="宋体" w:eastAsia="宋体" w:cs="Times New Roman"/>
          <w:color w:val="auto"/>
          <w:kern w:val="2"/>
          <w:sz w:val="21"/>
          <w:szCs w:val="21"/>
          <w:highlight w:val="none"/>
          <w:lang w:val="en-US" w:eastAsia="zh-CN" w:bidi="ar-SA"/>
        </w:rPr>
        <w:t>有权选择拒收</w:t>
      </w:r>
      <w:r>
        <w:rPr>
          <w:rFonts w:hint="eastAsia" w:ascii="宋体" w:hAnsi="宋体" w:cs="Times New Roman"/>
          <w:color w:val="auto"/>
          <w:kern w:val="2"/>
          <w:sz w:val="21"/>
          <w:szCs w:val="21"/>
          <w:highlight w:val="none"/>
          <w:lang w:val="en-US" w:eastAsia="zh-CN" w:bidi="ar-SA"/>
        </w:rPr>
        <w:t>，甲方</w:t>
      </w:r>
      <w:r>
        <w:rPr>
          <w:rFonts w:hint="eastAsia" w:ascii="宋体" w:hAnsi="宋体" w:eastAsia="宋体" w:cs="Times New Roman"/>
          <w:color w:val="auto"/>
          <w:kern w:val="2"/>
          <w:sz w:val="21"/>
          <w:szCs w:val="21"/>
          <w:highlight w:val="none"/>
          <w:lang w:val="en-US" w:eastAsia="zh-CN" w:bidi="ar-SA"/>
        </w:rPr>
        <w:t>不拒收的，按折价10%收货，以赔偿给</w:t>
      </w:r>
      <w:r>
        <w:rPr>
          <w:rFonts w:hint="eastAsia" w:ascii="宋体" w:hAnsi="宋体" w:cs="Times New Roman"/>
          <w:color w:val="auto"/>
          <w:kern w:val="2"/>
          <w:sz w:val="21"/>
          <w:szCs w:val="21"/>
          <w:highlight w:val="none"/>
          <w:lang w:val="en-US" w:eastAsia="zh-CN" w:bidi="ar-SA"/>
        </w:rPr>
        <w:t>甲方</w:t>
      </w:r>
      <w:r>
        <w:rPr>
          <w:rFonts w:hint="eastAsia" w:ascii="宋体" w:hAnsi="宋体" w:eastAsia="宋体" w:cs="Times New Roman"/>
          <w:color w:val="auto"/>
          <w:kern w:val="2"/>
          <w:sz w:val="21"/>
          <w:szCs w:val="21"/>
          <w:highlight w:val="none"/>
          <w:lang w:val="en-US" w:eastAsia="zh-CN" w:bidi="ar-SA"/>
        </w:rPr>
        <w:t>造成的影响。</w:t>
      </w:r>
    </w:p>
    <w:p w14:paraId="637D9090">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firstLine="420" w:firstLineChars="200"/>
        <w:textAlignment w:val="auto"/>
        <w:rPr>
          <w:rFonts w:hint="eastAsia" w:ascii="宋体" w:hAnsi="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w:t>
      </w:r>
      <w:r>
        <w:rPr>
          <w:rFonts w:hint="eastAsia" w:ascii="宋体" w:hAnsi="宋体" w:cs="Times New Roman"/>
          <w:color w:val="auto"/>
          <w:kern w:val="2"/>
          <w:sz w:val="21"/>
          <w:szCs w:val="21"/>
          <w:highlight w:val="none"/>
          <w:lang w:val="en-US" w:eastAsia="zh-CN" w:bidi="ar-SA"/>
        </w:rPr>
        <w:t>乙方</w:t>
      </w:r>
      <w:r>
        <w:rPr>
          <w:rFonts w:hint="eastAsia" w:ascii="宋体" w:hAnsi="宋体" w:eastAsia="宋体" w:cs="Times New Roman"/>
          <w:color w:val="auto"/>
          <w:kern w:val="2"/>
          <w:sz w:val="21"/>
          <w:szCs w:val="21"/>
          <w:highlight w:val="none"/>
          <w:lang w:val="en-US" w:eastAsia="zh-CN" w:bidi="ar-SA"/>
        </w:rPr>
        <w:t>提供产品与</w:t>
      </w:r>
      <w:r>
        <w:rPr>
          <w:rFonts w:hint="eastAsia" w:ascii="宋体" w:hAnsi="宋体" w:cs="Times New Roman"/>
          <w:color w:val="auto"/>
          <w:kern w:val="2"/>
          <w:sz w:val="21"/>
          <w:szCs w:val="21"/>
          <w:highlight w:val="none"/>
          <w:lang w:val="en-US" w:eastAsia="zh-CN" w:bidi="ar-SA"/>
        </w:rPr>
        <w:t>甲方</w:t>
      </w:r>
      <w:r>
        <w:rPr>
          <w:rFonts w:hint="eastAsia" w:ascii="宋体" w:hAnsi="宋体" w:eastAsia="宋体" w:cs="Times New Roman"/>
          <w:color w:val="auto"/>
          <w:kern w:val="2"/>
          <w:sz w:val="21"/>
          <w:szCs w:val="21"/>
          <w:highlight w:val="none"/>
          <w:lang w:val="en-US" w:eastAsia="zh-CN" w:bidi="ar-SA"/>
        </w:rPr>
        <w:t>要求种类、品质不符，</w:t>
      </w:r>
      <w:r>
        <w:rPr>
          <w:rFonts w:hint="eastAsia" w:ascii="宋体" w:hAnsi="宋体" w:cs="Times New Roman"/>
          <w:color w:val="auto"/>
          <w:kern w:val="2"/>
          <w:sz w:val="21"/>
          <w:szCs w:val="21"/>
          <w:highlight w:val="none"/>
          <w:lang w:val="en-US" w:eastAsia="zh-CN" w:bidi="ar-SA"/>
        </w:rPr>
        <w:t>乙方</w:t>
      </w:r>
      <w:r>
        <w:rPr>
          <w:rFonts w:hint="eastAsia" w:ascii="宋体" w:hAnsi="宋体" w:eastAsia="宋体" w:cs="Times New Roman"/>
          <w:color w:val="auto"/>
          <w:kern w:val="2"/>
          <w:sz w:val="21"/>
          <w:szCs w:val="21"/>
          <w:highlight w:val="none"/>
          <w:lang w:val="en-US" w:eastAsia="zh-CN" w:bidi="ar-SA"/>
        </w:rPr>
        <w:t>应在接到通知后1小时内派员到场确认，并在确认后</w:t>
      </w:r>
      <w:r>
        <w:rPr>
          <w:rFonts w:hint="eastAsia" w:ascii="宋体" w:hAnsi="宋体" w:cs="Times New Roman"/>
          <w:color w:val="auto"/>
          <w:kern w:val="2"/>
          <w:sz w:val="21"/>
          <w:szCs w:val="21"/>
          <w:highlight w:val="none"/>
          <w:lang w:val="en-US" w:eastAsia="zh-CN" w:bidi="ar-SA"/>
        </w:rPr>
        <w:t>1</w:t>
      </w:r>
      <w:r>
        <w:rPr>
          <w:rFonts w:hint="eastAsia" w:ascii="宋体" w:hAnsi="宋体" w:eastAsia="宋体" w:cs="Times New Roman"/>
          <w:color w:val="auto"/>
          <w:kern w:val="2"/>
          <w:sz w:val="21"/>
          <w:szCs w:val="21"/>
          <w:highlight w:val="none"/>
          <w:lang w:val="en-US" w:eastAsia="zh-CN" w:bidi="ar-SA"/>
        </w:rPr>
        <w:t>小时</w:t>
      </w:r>
      <w:r>
        <w:rPr>
          <w:rFonts w:hint="eastAsia" w:ascii="宋体" w:hAnsi="宋体" w:cs="Times New Roman"/>
          <w:color w:val="auto"/>
          <w:kern w:val="2"/>
          <w:sz w:val="21"/>
          <w:szCs w:val="21"/>
          <w:highlight w:val="none"/>
          <w:lang w:val="en-US" w:eastAsia="zh-CN" w:bidi="ar-SA"/>
        </w:rPr>
        <w:t>内，按甲方要求，</w:t>
      </w:r>
      <w:r>
        <w:rPr>
          <w:rFonts w:hint="eastAsia" w:ascii="宋体" w:hAnsi="宋体" w:eastAsia="宋体" w:cs="Times New Roman"/>
          <w:color w:val="auto"/>
          <w:kern w:val="2"/>
          <w:sz w:val="21"/>
          <w:szCs w:val="21"/>
          <w:highlight w:val="none"/>
          <w:lang w:val="en-US" w:eastAsia="zh-CN" w:bidi="ar-SA"/>
        </w:rPr>
        <w:t>将不符品种予以替换。逾期未替换或替换后仍无法通过</w:t>
      </w:r>
      <w:r>
        <w:rPr>
          <w:rFonts w:hint="eastAsia" w:ascii="宋体" w:hAnsi="宋体" w:cs="Times New Roman"/>
          <w:color w:val="auto"/>
          <w:kern w:val="2"/>
          <w:sz w:val="21"/>
          <w:szCs w:val="21"/>
          <w:highlight w:val="none"/>
          <w:lang w:val="en-US" w:eastAsia="zh-CN" w:bidi="ar-SA"/>
        </w:rPr>
        <w:t>甲方</w:t>
      </w:r>
      <w:r>
        <w:rPr>
          <w:rFonts w:hint="eastAsia" w:ascii="宋体" w:hAnsi="宋体" w:eastAsia="宋体" w:cs="Times New Roman"/>
          <w:color w:val="auto"/>
          <w:kern w:val="2"/>
          <w:sz w:val="21"/>
          <w:szCs w:val="21"/>
          <w:highlight w:val="none"/>
          <w:lang w:val="en-US" w:eastAsia="zh-CN" w:bidi="ar-SA"/>
        </w:rPr>
        <w:t>验货的，或者逾期交货超过2小时的，</w:t>
      </w:r>
      <w:r>
        <w:rPr>
          <w:rFonts w:hint="eastAsia" w:ascii="宋体" w:hAnsi="宋体" w:cs="Times New Roman"/>
          <w:color w:val="auto"/>
          <w:kern w:val="2"/>
          <w:sz w:val="21"/>
          <w:szCs w:val="21"/>
          <w:highlight w:val="none"/>
          <w:lang w:val="en-US" w:eastAsia="zh-CN" w:bidi="ar-SA"/>
        </w:rPr>
        <w:t>甲方</w:t>
      </w:r>
      <w:r>
        <w:rPr>
          <w:rFonts w:hint="eastAsia" w:ascii="宋体" w:hAnsi="宋体" w:eastAsia="宋体" w:cs="Times New Roman"/>
          <w:color w:val="auto"/>
          <w:kern w:val="2"/>
          <w:sz w:val="21"/>
          <w:szCs w:val="21"/>
          <w:highlight w:val="none"/>
          <w:lang w:val="en-US" w:eastAsia="zh-CN" w:bidi="ar-SA"/>
        </w:rPr>
        <w:t>有权拒收，并要求</w:t>
      </w:r>
      <w:r>
        <w:rPr>
          <w:rFonts w:hint="eastAsia" w:ascii="宋体" w:hAnsi="宋体" w:cs="Times New Roman"/>
          <w:color w:val="auto"/>
          <w:kern w:val="2"/>
          <w:sz w:val="21"/>
          <w:szCs w:val="21"/>
          <w:highlight w:val="none"/>
          <w:lang w:val="en-US" w:eastAsia="zh-CN" w:bidi="ar-SA"/>
        </w:rPr>
        <w:t>乙方</w:t>
      </w:r>
      <w:r>
        <w:rPr>
          <w:rFonts w:hint="eastAsia" w:ascii="宋体" w:hAnsi="宋体" w:eastAsia="宋体" w:cs="Times New Roman"/>
          <w:color w:val="auto"/>
          <w:kern w:val="2"/>
          <w:sz w:val="21"/>
          <w:szCs w:val="21"/>
          <w:highlight w:val="none"/>
          <w:lang w:val="en-US" w:eastAsia="zh-CN" w:bidi="ar-SA"/>
        </w:rPr>
        <w:t>支付该批不符品种订货价款三倍的违约金。若因该批次食材问题导致</w:t>
      </w:r>
      <w:r>
        <w:rPr>
          <w:rFonts w:hint="eastAsia" w:ascii="宋体" w:hAnsi="宋体" w:cs="Times New Roman"/>
          <w:color w:val="auto"/>
          <w:kern w:val="2"/>
          <w:sz w:val="21"/>
          <w:szCs w:val="21"/>
          <w:highlight w:val="none"/>
          <w:lang w:val="en-US" w:eastAsia="zh-CN" w:bidi="ar-SA"/>
        </w:rPr>
        <w:t>甲方</w:t>
      </w:r>
      <w:r>
        <w:rPr>
          <w:rFonts w:hint="eastAsia" w:ascii="宋体" w:hAnsi="宋体" w:eastAsia="宋体" w:cs="Times New Roman"/>
          <w:color w:val="auto"/>
          <w:kern w:val="2"/>
          <w:sz w:val="21"/>
          <w:szCs w:val="21"/>
          <w:highlight w:val="none"/>
          <w:lang w:val="en-US" w:eastAsia="zh-CN" w:bidi="ar-SA"/>
        </w:rPr>
        <w:t>产生其他实际损失（如餐费退还、额外采购成本等），</w:t>
      </w:r>
      <w:r>
        <w:rPr>
          <w:rFonts w:hint="eastAsia" w:ascii="宋体" w:hAnsi="宋体" w:cs="Times New Roman"/>
          <w:color w:val="auto"/>
          <w:kern w:val="2"/>
          <w:sz w:val="21"/>
          <w:szCs w:val="21"/>
          <w:highlight w:val="none"/>
          <w:lang w:val="en-US" w:eastAsia="zh-CN" w:bidi="ar-SA"/>
        </w:rPr>
        <w:t>乙方</w:t>
      </w:r>
      <w:r>
        <w:rPr>
          <w:rFonts w:hint="eastAsia" w:ascii="宋体" w:hAnsi="宋体" w:eastAsia="宋体" w:cs="Times New Roman"/>
          <w:color w:val="auto"/>
          <w:kern w:val="2"/>
          <w:sz w:val="21"/>
          <w:szCs w:val="21"/>
          <w:highlight w:val="none"/>
          <w:lang w:val="en-US" w:eastAsia="zh-CN" w:bidi="ar-SA"/>
        </w:rPr>
        <w:t>应另行赔偿</w:t>
      </w:r>
      <w:r>
        <w:rPr>
          <w:rFonts w:hint="eastAsia" w:ascii="宋体" w:hAnsi="宋体" w:cs="Times New Roman"/>
          <w:color w:val="auto"/>
          <w:kern w:val="2"/>
          <w:sz w:val="21"/>
          <w:szCs w:val="21"/>
          <w:highlight w:val="none"/>
          <w:lang w:val="en-US" w:eastAsia="zh-CN" w:bidi="ar-SA"/>
        </w:rPr>
        <w:t>。</w:t>
      </w:r>
    </w:p>
    <w:p w14:paraId="7BAA362E">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firstLine="420" w:firstLineChars="20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4.</w:t>
      </w:r>
      <w:r>
        <w:rPr>
          <w:rFonts w:hint="eastAsia" w:ascii="宋体" w:hAnsi="宋体" w:cs="Times New Roman"/>
          <w:color w:val="auto"/>
          <w:kern w:val="2"/>
          <w:sz w:val="21"/>
          <w:szCs w:val="21"/>
          <w:highlight w:val="none"/>
          <w:lang w:val="en-US" w:eastAsia="zh-CN" w:bidi="ar-SA"/>
        </w:rPr>
        <w:t>甲方</w:t>
      </w:r>
      <w:r>
        <w:rPr>
          <w:rFonts w:hint="eastAsia" w:ascii="宋体" w:hAnsi="宋体" w:eastAsia="宋体" w:cs="Times New Roman"/>
          <w:color w:val="auto"/>
          <w:kern w:val="2"/>
          <w:sz w:val="21"/>
          <w:szCs w:val="21"/>
          <w:highlight w:val="none"/>
          <w:lang w:val="en-US" w:eastAsia="zh-CN" w:bidi="ar-SA"/>
        </w:rPr>
        <w:t>有权从任一笔应付采购款中直接扣除</w:t>
      </w:r>
      <w:r>
        <w:rPr>
          <w:rFonts w:hint="eastAsia" w:ascii="宋体" w:hAnsi="宋体" w:cs="Times New Roman"/>
          <w:color w:val="auto"/>
          <w:kern w:val="2"/>
          <w:sz w:val="21"/>
          <w:szCs w:val="21"/>
          <w:highlight w:val="none"/>
          <w:lang w:val="en-US" w:eastAsia="zh-CN" w:bidi="ar-SA"/>
        </w:rPr>
        <w:t>乙方</w:t>
      </w:r>
      <w:r>
        <w:rPr>
          <w:rFonts w:hint="eastAsia" w:ascii="宋体" w:hAnsi="宋体" w:eastAsia="宋体" w:cs="Times New Roman"/>
          <w:color w:val="auto"/>
          <w:kern w:val="2"/>
          <w:sz w:val="21"/>
          <w:szCs w:val="21"/>
          <w:highlight w:val="none"/>
          <w:lang w:val="en-US" w:eastAsia="zh-CN" w:bidi="ar-SA"/>
        </w:rPr>
        <w:t>应支付的违约金或应承担的其他赔偿费用。</w:t>
      </w:r>
    </w:p>
    <w:p w14:paraId="43854C09">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firstLine="420" w:firstLineChars="20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5.发生上述情形累计超过3次，或者</w:t>
      </w:r>
      <w:r>
        <w:rPr>
          <w:rFonts w:hint="eastAsia" w:ascii="宋体" w:hAnsi="宋体" w:cs="Times New Roman"/>
          <w:color w:val="auto"/>
          <w:kern w:val="2"/>
          <w:sz w:val="21"/>
          <w:szCs w:val="21"/>
          <w:highlight w:val="none"/>
          <w:lang w:val="en-US" w:eastAsia="zh-CN" w:bidi="ar-SA"/>
        </w:rPr>
        <w:t>乙方</w:t>
      </w:r>
      <w:r>
        <w:rPr>
          <w:rFonts w:hint="eastAsia" w:ascii="宋体" w:hAnsi="宋体" w:eastAsia="宋体" w:cs="Times New Roman"/>
          <w:color w:val="auto"/>
          <w:kern w:val="2"/>
          <w:sz w:val="21"/>
          <w:szCs w:val="21"/>
          <w:highlight w:val="none"/>
          <w:lang w:val="en-US" w:eastAsia="zh-CN" w:bidi="ar-SA"/>
        </w:rPr>
        <w:t>拒不支付违约金的，或者发生一次但情节严重的（如因</w:t>
      </w:r>
      <w:r>
        <w:rPr>
          <w:rFonts w:hint="eastAsia" w:ascii="宋体" w:hAnsi="宋体" w:cs="Times New Roman"/>
          <w:color w:val="auto"/>
          <w:kern w:val="2"/>
          <w:sz w:val="21"/>
          <w:szCs w:val="21"/>
          <w:highlight w:val="none"/>
          <w:lang w:val="en-US" w:eastAsia="zh-CN" w:bidi="ar-SA"/>
        </w:rPr>
        <w:t>乙方</w:t>
      </w:r>
      <w:r>
        <w:rPr>
          <w:rFonts w:hint="eastAsia" w:ascii="宋体" w:hAnsi="宋体" w:eastAsia="宋体" w:cs="Times New Roman"/>
          <w:color w:val="auto"/>
          <w:kern w:val="2"/>
          <w:sz w:val="21"/>
          <w:szCs w:val="21"/>
          <w:highlight w:val="none"/>
          <w:lang w:val="en-US" w:eastAsia="zh-CN" w:bidi="ar-SA"/>
        </w:rPr>
        <w:t>未按时供货导致</w:t>
      </w:r>
      <w:r>
        <w:rPr>
          <w:rFonts w:hint="eastAsia" w:ascii="宋体" w:hAnsi="宋体" w:cs="Times New Roman"/>
          <w:color w:val="auto"/>
          <w:kern w:val="2"/>
          <w:sz w:val="21"/>
          <w:szCs w:val="21"/>
          <w:highlight w:val="none"/>
          <w:lang w:val="en-US" w:eastAsia="zh-CN" w:bidi="ar-SA"/>
        </w:rPr>
        <w:t>甲方</w:t>
      </w:r>
      <w:r>
        <w:rPr>
          <w:rFonts w:hint="eastAsia" w:ascii="宋体" w:hAnsi="宋体" w:eastAsia="宋体" w:cs="Times New Roman"/>
          <w:color w:val="auto"/>
          <w:kern w:val="2"/>
          <w:sz w:val="21"/>
          <w:szCs w:val="21"/>
          <w:highlight w:val="none"/>
          <w:lang w:val="en-US" w:eastAsia="zh-CN" w:bidi="ar-SA"/>
        </w:rPr>
        <w:t>开餐延误甚至停餐等），</w:t>
      </w:r>
      <w:r>
        <w:rPr>
          <w:rFonts w:hint="eastAsia" w:ascii="宋体" w:hAnsi="宋体" w:cs="Times New Roman"/>
          <w:color w:val="auto"/>
          <w:kern w:val="2"/>
          <w:sz w:val="21"/>
          <w:szCs w:val="21"/>
          <w:highlight w:val="none"/>
          <w:lang w:val="en-US" w:eastAsia="zh-CN" w:bidi="ar-SA"/>
        </w:rPr>
        <w:t>甲方</w:t>
      </w:r>
      <w:r>
        <w:rPr>
          <w:rFonts w:hint="eastAsia" w:ascii="宋体" w:hAnsi="宋体" w:eastAsia="宋体" w:cs="Times New Roman"/>
          <w:color w:val="auto"/>
          <w:kern w:val="2"/>
          <w:sz w:val="21"/>
          <w:szCs w:val="21"/>
          <w:highlight w:val="none"/>
          <w:lang w:val="en-US" w:eastAsia="zh-CN" w:bidi="ar-SA"/>
        </w:rPr>
        <w:t>有权单方通知</w:t>
      </w:r>
      <w:r>
        <w:rPr>
          <w:rFonts w:hint="eastAsia" w:ascii="宋体" w:hAnsi="宋体" w:cs="Times New Roman"/>
          <w:color w:val="auto"/>
          <w:kern w:val="2"/>
          <w:sz w:val="21"/>
          <w:szCs w:val="21"/>
          <w:highlight w:val="none"/>
          <w:lang w:val="en-US" w:eastAsia="zh-CN" w:bidi="ar-SA"/>
        </w:rPr>
        <w:t>乙方</w:t>
      </w:r>
      <w:r>
        <w:rPr>
          <w:rFonts w:hint="eastAsia" w:ascii="宋体" w:hAnsi="宋体" w:eastAsia="宋体" w:cs="Times New Roman"/>
          <w:color w:val="auto"/>
          <w:kern w:val="2"/>
          <w:sz w:val="21"/>
          <w:szCs w:val="21"/>
          <w:highlight w:val="none"/>
          <w:lang w:val="en-US" w:eastAsia="zh-CN" w:bidi="ar-SA"/>
        </w:rPr>
        <w:t>解除本合同，并没收全部履约保证金。给</w:t>
      </w:r>
      <w:r>
        <w:rPr>
          <w:rFonts w:hint="eastAsia" w:ascii="宋体" w:hAnsi="宋体" w:cs="Times New Roman"/>
          <w:color w:val="auto"/>
          <w:kern w:val="2"/>
          <w:sz w:val="21"/>
          <w:szCs w:val="21"/>
          <w:highlight w:val="none"/>
          <w:lang w:val="en-US" w:eastAsia="zh-CN" w:bidi="ar-SA"/>
        </w:rPr>
        <w:t>甲方</w:t>
      </w:r>
      <w:r>
        <w:rPr>
          <w:rFonts w:hint="eastAsia" w:ascii="宋体" w:hAnsi="宋体" w:eastAsia="宋体" w:cs="Times New Roman"/>
          <w:color w:val="auto"/>
          <w:kern w:val="2"/>
          <w:sz w:val="21"/>
          <w:szCs w:val="21"/>
          <w:highlight w:val="none"/>
          <w:lang w:val="en-US" w:eastAsia="zh-CN" w:bidi="ar-SA"/>
        </w:rPr>
        <w:t>造成损失的，</w:t>
      </w:r>
      <w:r>
        <w:rPr>
          <w:rFonts w:hint="eastAsia" w:ascii="宋体" w:hAnsi="宋体" w:cs="Times New Roman"/>
          <w:color w:val="auto"/>
          <w:kern w:val="2"/>
          <w:sz w:val="21"/>
          <w:szCs w:val="21"/>
          <w:highlight w:val="none"/>
          <w:lang w:val="en-US" w:eastAsia="zh-CN" w:bidi="ar-SA"/>
        </w:rPr>
        <w:t>甲方</w:t>
      </w:r>
      <w:r>
        <w:rPr>
          <w:rFonts w:hint="eastAsia" w:ascii="宋体" w:hAnsi="宋体" w:eastAsia="宋体" w:cs="Times New Roman"/>
          <w:color w:val="auto"/>
          <w:kern w:val="2"/>
          <w:sz w:val="21"/>
          <w:szCs w:val="21"/>
          <w:highlight w:val="none"/>
          <w:lang w:val="en-US" w:eastAsia="zh-CN" w:bidi="ar-SA"/>
        </w:rPr>
        <w:t>有权要求</w:t>
      </w:r>
      <w:r>
        <w:rPr>
          <w:rFonts w:hint="eastAsia" w:ascii="宋体" w:hAnsi="宋体" w:cs="Times New Roman"/>
          <w:color w:val="auto"/>
          <w:kern w:val="2"/>
          <w:sz w:val="21"/>
          <w:szCs w:val="21"/>
          <w:highlight w:val="none"/>
          <w:lang w:val="en-US" w:eastAsia="zh-CN" w:bidi="ar-SA"/>
        </w:rPr>
        <w:t>乙方</w:t>
      </w:r>
      <w:r>
        <w:rPr>
          <w:rFonts w:hint="eastAsia" w:ascii="宋体" w:hAnsi="宋体" w:eastAsia="宋体" w:cs="Times New Roman"/>
          <w:color w:val="auto"/>
          <w:kern w:val="2"/>
          <w:sz w:val="21"/>
          <w:szCs w:val="21"/>
          <w:highlight w:val="none"/>
          <w:lang w:val="en-US" w:eastAsia="zh-CN" w:bidi="ar-SA"/>
        </w:rPr>
        <w:t>承担。履约保证金在扣除了</w:t>
      </w:r>
      <w:r>
        <w:rPr>
          <w:rFonts w:hint="eastAsia" w:ascii="宋体" w:hAnsi="宋体" w:cs="Times New Roman"/>
          <w:color w:val="auto"/>
          <w:kern w:val="2"/>
          <w:sz w:val="21"/>
          <w:szCs w:val="21"/>
          <w:highlight w:val="none"/>
          <w:lang w:val="en-US" w:eastAsia="zh-CN" w:bidi="ar-SA"/>
        </w:rPr>
        <w:t>乙方</w:t>
      </w:r>
      <w:r>
        <w:rPr>
          <w:rFonts w:hint="eastAsia" w:ascii="宋体" w:hAnsi="宋体" w:eastAsia="宋体" w:cs="Times New Roman"/>
          <w:color w:val="auto"/>
          <w:kern w:val="2"/>
          <w:sz w:val="21"/>
          <w:szCs w:val="21"/>
          <w:highlight w:val="none"/>
          <w:lang w:val="en-US" w:eastAsia="zh-CN" w:bidi="ar-SA"/>
        </w:rPr>
        <w:t>应支付的违约金后，如有剩余</w:t>
      </w:r>
      <w:r>
        <w:rPr>
          <w:rFonts w:hint="eastAsia" w:ascii="宋体" w:hAnsi="宋体" w:cs="Times New Roman"/>
          <w:color w:val="auto"/>
          <w:kern w:val="2"/>
          <w:sz w:val="21"/>
          <w:szCs w:val="21"/>
          <w:highlight w:val="none"/>
          <w:lang w:val="en-US" w:eastAsia="zh-CN" w:bidi="ar-SA"/>
        </w:rPr>
        <w:t>甲方</w:t>
      </w:r>
      <w:r>
        <w:rPr>
          <w:rFonts w:hint="eastAsia" w:ascii="宋体" w:hAnsi="宋体" w:eastAsia="宋体" w:cs="Times New Roman"/>
          <w:color w:val="auto"/>
          <w:kern w:val="2"/>
          <w:sz w:val="21"/>
          <w:szCs w:val="21"/>
          <w:highlight w:val="none"/>
          <w:lang w:val="en-US" w:eastAsia="zh-CN" w:bidi="ar-SA"/>
        </w:rPr>
        <w:t>应退还</w:t>
      </w:r>
      <w:r>
        <w:rPr>
          <w:rFonts w:hint="eastAsia" w:ascii="宋体" w:hAnsi="宋体" w:cs="Times New Roman"/>
          <w:color w:val="auto"/>
          <w:kern w:val="2"/>
          <w:sz w:val="21"/>
          <w:szCs w:val="21"/>
          <w:highlight w:val="none"/>
          <w:lang w:val="en-US" w:eastAsia="zh-CN" w:bidi="ar-SA"/>
        </w:rPr>
        <w:t>乙方</w:t>
      </w:r>
      <w:r>
        <w:rPr>
          <w:rFonts w:hint="eastAsia" w:ascii="宋体" w:hAnsi="宋体" w:eastAsia="宋体" w:cs="Times New Roman"/>
          <w:color w:val="auto"/>
          <w:kern w:val="2"/>
          <w:sz w:val="21"/>
          <w:szCs w:val="21"/>
          <w:highlight w:val="none"/>
          <w:lang w:val="en-US" w:eastAsia="zh-CN" w:bidi="ar-SA"/>
        </w:rPr>
        <w:t>，不足部分，</w:t>
      </w:r>
      <w:r>
        <w:rPr>
          <w:rFonts w:hint="eastAsia" w:ascii="宋体" w:hAnsi="宋体" w:cs="Times New Roman"/>
          <w:color w:val="auto"/>
          <w:kern w:val="2"/>
          <w:sz w:val="21"/>
          <w:szCs w:val="21"/>
          <w:highlight w:val="none"/>
          <w:lang w:val="en-US" w:eastAsia="zh-CN" w:bidi="ar-SA"/>
        </w:rPr>
        <w:t>甲方</w:t>
      </w:r>
      <w:r>
        <w:rPr>
          <w:rFonts w:hint="eastAsia" w:ascii="宋体" w:hAnsi="宋体" w:eastAsia="宋体" w:cs="Times New Roman"/>
          <w:color w:val="auto"/>
          <w:kern w:val="2"/>
          <w:sz w:val="21"/>
          <w:szCs w:val="21"/>
          <w:highlight w:val="none"/>
          <w:lang w:val="en-US" w:eastAsia="zh-CN" w:bidi="ar-SA"/>
        </w:rPr>
        <w:t>有权从未支付的货款中扣除。</w:t>
      </w:r>
    </w:p>
    <w:p w14:paraId="6ABC8F5D">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firstLine="420" w:firstLineChars="20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6.</w:t>
      </w:r>
      <w:r>
        <w:rPr>
          <w:rFonts w:hint="eastAsia" w:ascii="宋体" w:hAnsi="宋体" w:cs="Times New Roman"/>
          <w:color w:val="auto"/>
          <w:kern w:val="2"/>
          <w:sz w:val="21"/>
          <w:szCs w:val="21"/>
          <w:highlight w:val="none"/>
          <w:lang w:val="en-US" w:eastAsia="zh-CN" w:bidi="ar-SA"/>
        </w:rPr>
        <w:t>乙方</w:t>
      </w:r>
      <w:r>
        <w:rPr>
          <w:rFonts w:hint="eastAsia" w:ascii="宋体" w:hAnsi="宋体" w:eastAsia="宋体" w:cs="Times New Roman"/>
          <w:color w:val="auto"/>
          <w:kern w:val="2"/>
          <w:sz w:val="21"/>
          <w:szCs w:val="21"/>
          <w:highlight w:val="none"/>
          <w:lang w:val="en-US" w:eastAsia="zh-CN" w:bidi="ar-SA"/>
        </w:rPr>
        <w:t>一旦成交，承诺的下浮系数在合同服务期内不得变更，否则</w:t>
      </w:r>
      <w:r>
        <w:rPr>
          <w:rFonts w:hint="eastAsia" w:ascii="宋体" w:hAnsi="宋体" w:cs="Times New Roman"/>
          <w:color w:val="auto"/>
          <w:kern w:val="2"/>
          <w:sz w:val="21"/>
          <w:szCs w:val="21"/>
          <w:highlight w:val="none"/>
          <w:lang w:val="en-US" w:eastAsia="zh-CN" w:bidi="ar-SA"/>
        </w:rPr>
        <w:t>甲方</w:t>
      </w:r>
      <w:r>
        <w:rPr>
          <w:rFonts w:hint="eastAsia" w:ascii="宋体" w:hAnsi="宋体" w:eastAsia="宋体" w:cs="Times New Roman"/>
          <w:color w:val="auto"/>
          <w:kern w:val="2"/>
          <w:sz w:val="21"/>
          <w:szCs w:val="21"/>
          <w:highlight w:val="none"/>
          <w:lang w:val="en-US" w:eastAsia="zh-CN" w:bidi="ar-SA"/>
        </w:rPr>
        <w:t>有权单方终止合同，扣除全部履约保证金，由此产生的一切经济损失由</w:t>
      </w:r>
      <w:r>
        <w:rPr>
          <w:rFonts w:hint="eastAsia" w:ascii="宋体" w:hAnsi="宋体" w:cs="Times New Roman"/>
          <w:color w:val="auto"/>
          <w:kern w:val="2"/>
          <w:sz w:val="21"/>
          <w:szCs w:val="21"/>
          <w:highlight w:val="none"/>
          <w:lang w:val="en-US" w:eastAsia="zh-CN" w:bidi="ar-SA"/>
        </w:rPr>
        <w:t>乙方</w:t>
      </w:r>
      <w:r>
        <w:rPr>
          <w:rFonts w:hint="eastAsia" w:ascii="宋体" w:hAnsi="宋体" w:eastAsia="宋体" w:cs="Times New Roman"/>
          <w:color w:val="auto"/>
          <w:kern w:val="2"/>
          <w:sz w:val="21"/>
          <w:szCs w:val="21"/>
          <w:highlight w:val="none"/>
          <w:lang w:val="en-US" w:eastAsia="zh-CN" w:bidi="ar-SA"/>
        </w:rPr>
        <w:t>自行承担。</w:t>
      </w:r>
    </w:p>
    <w:p w14:paraId="02C306AC">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firstLine="420" w:firstLineChars="20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7.</w:t>
      </w:r>
      <w:r>
        <w:rPr>
          <w:rFonts w:hint="eastAsia" w:ascii="宋体" w:hAnsi="宋体" w:cs="Times New Roman"/>
          <w:color w:val="auto"/>
          <w:kern w:val="2"/>
          <w:sz w:val="21"/>
          <w:szCs w:val="21"/>
          <w:highlight w:val="none"/>
          <w:lang w:val="en-US" w:eastAsia="zh-CN" w:bidi="ar-SA"/>
        </w:rPr>
        <w:t>乙方</w:t>
      </w:r>
      <w:r>
        <w:rPr>
          <w:rFonts w:hint="eastAsia" w:ascii="宋体" w:hAnsi="宋体" w:eastAsia="宋体" w:cs="Times New Roman"/>
          <w:color w:val="auto"/>
          <w:kern w:val="2"/>
          <w:sz w:val="21"/>
          <w:szCs w:val="21"/>
          <w:highlight w:val="none"/>
          <w:lang w:val="en-US" w:eastAsia="zh-CN" w:bidi="ar-SA"/>
        </w:rPr>
        <w:t>应每日对所提供的服务车辆使用情况及安全状况进行排查，确保</w:t>
      </w:r>
      <w:r>
        <w:rPr>
          <w:rFonts w:hint="eastAsia" w:ascii="宋体" w:hAnsi="宋体" w:cs="Times New Roman"/>
          <w:color w:val="auto"/>
          <w:kern w:val="2"/>
          <w:sz w:val="21"/>
          <w:szCs w:val="21"/>
          <w:highlight w:val="none"/>
          <w:lang w:val="en-US" w:eastAsia="zh-CN" w:bidi="ar-SA"/>
        </w:rPr>
        <w:t>甲方</w:t>
      </w:r>
      <w:r>
        <w:rPr>
          <w:rFonts w:hint="eastAsia" w:ascii="宋体" w:hAnsi="宋体" w:eastAsia="宋体" w:cs="Times New Roman"/>
          <w:color w:val="auto"/>
          <w:kern w:val="2"/>
          <w:sz w:val="21"/>
          <w:szCs w:val="21"/>
          <w:highlight w:val="none"/>
          <w:lang w:val="en-US" w:eastAsia="zh-CN" w:bidi="ar-SA"/>
        </w:rPr>
        <w:t>所采购的产品物资在规定时间</w:t>
      </w:r>
      <w:r>
        <w:rPr>
          <w:rFonts w:hint="eastAsia" w:ascii="宋体" w:hAnsi="宋体" w:cs="Times New Roman"/>
          <w:color w:val="auto"/>
          <w:kern w:val="2"/>
          <w:sz w:val="21"/>
          <w:szCs w:val="21"/>
          <w:highlight w:val="none"/>
          <w:lang w:val="en-US" w:eastAsia="zh-CN" w:bidi="ar-SA"/>
        </w:rPr>
        <w:t>内</w:t>
      </w:r>
      <w:r>
        <w:rPr>
          <w:rFonts w:hint="eastAsia" w:ascii="宋体" w:hAnsi="宋体" w:eastAsia="宋体" w:cs="Times New Roman"/>
          <w:color w:val="auto"/>
          <w:kern w:val="2"/>
          <w:sz w:val="21"/>
          <w:szCs w:val="21"/>
          <w:highlight w:val="none"/>
          <w:lang w:val="en-US" w:eastAsia="zh-CN" w:bidi="ar-SA"/>
        </w:rPr>
        <w:t>正常交货。因</w:t>
      </w:r>
      <w:r>
        <w:rPr>
          <w:rFonts w:hint="eastAsia" w:ascii="宋体" w:hAnsi="宋体" w:cs="Times New Roman"/>
          <w:color w:val="auto"/>
          <w:kern w:val="2"/>
          <w:sz w:val="21"/>
          <w:szCs w:val="21"/>
          <w:highlight w:val="none"/>
          <w:lang w:val="en-US" w:eastAsia="zh-CN" w:bidi="ar-SA"/>
        </w:rPr>
        <w:t>乙方</w:t>
      </w:r>
      <w:r>
        <w:rPr>
          <w:rFonts w:hint="eastAsia" w:ascii="宋体" w:hAnsi="宋体" w:eastAsia="宋体" w:cs="Times New Roman"/>
          <w:color w:val="auto"/>
          <w:kern w:val="2"/>
          <w:sz w:val="21"/>
          <w:szCs w:val="21"/>
          <w:highlight w:val="none"/>
          <w:lang w:val="en-US" w:eastAsia="zh-CN" w:bidi="ar-SA"/>
        </w:rPr>
        <w:t>车辆情况导致逾期交货的，属</w:t>
      </w:r>
      <w:r>
        <w:rPr>
          <w:rFonts w:hint="eastAsia" w:ascii="宋体" w:hAnsi="宋体" w:cs="Times New Roman"/>
          <w:color w:val="auto"/>
          <w:kern w:val="2"/>
          <w:sz w:val="21"/>
          <w:szCs w:val="21"/>
          <w:highlight w:val="none"/>
          <w:lang w:val="en-US" w:eastAsia="zh-CN" w:bidi="ar-SA"/>
        </w:rPr>
        <w:t>乙方</w:t>
      </w:r>
      <w:r>
        <w:rPr>
          <w:rFonts w:hint="eastAsia" w:ascii="宋体" w:hAnsi="宋体" w:eastAsia="宋体" w:cs="Times New Roman"/>
          <w:color w:val="auto"/>
          <w:kern w:val="2"/>
          <w:sz w:val="21"/>
          <w:szCs w:val="21"/>
          <w:highlight w:val="none"/>
          <w:lang w:val="en-US" w:eastAsia="zh-CN" w:bidi="ar-SA"/>
        </w:rPr>
        <w:t>责任，</w:t>
      </w:r>
      <w:r>
        <w:rPr>
          <w:rFonts w:hint="eastAsia" w:ascii="宋体" w:hAnsi="宋体" w:cs="Times New Roman"/>
          <w:color w:val="auto"/>
          <w:kern w:val="2"/>
          <w:sz w:val="21"/>
          <w:szCs w:val="21"/>
          <w:highlight w:val="none"/>
          <w:lang w:val="en-US" w:eastAsia="zh-CN" w:bidi="ar-SA"/>
        </w:rPr>
        <w:t>甲方</w:t>
      </w:r>
      <w:r>
        <w:rPr>
          <w:rFonts w:hint="eastAsia" w:ascii="宋体" w:hAnsi="宋体" w:eastAsia="宋体" w:cs="Times New Roman"/>
          <w:color w:val="auto"/>
          <w:kern w:val="2"/>
          <w:sz w:val="21"/>
          <w:szCs w:val="21"/>
          <w:highlight w:val="none"/>
          <w:lang w:val="en-US" w:eastAsia="zh-CN" w:bidi="ar-SA"/>
        </w:rPr>
        <w:t>将按前款约定进行处理。累计情形超过3次，或者发生一次但情节严重的，</w:t>
      </w:r>
      <w:r>
        <w:rPr>
          <w:rFonts w:hint="eastAsia" w:ascii="宋体" w:hAnsi="宋体" w:cs="Times New Roman"/>
          <w:color w:val="auto"/>
          <w:kern w:val="2"/>
          <w:sz w:val="21"/>
          <w:szCs w:val="21"/>
          <w:highlight w:val="none"/>
          <w:lang w:val="en-US" w:eastAsia="zh-CN" w:bidi="ar-SA"/>
        </w:rPr>
        <w:t>甲方</w:t>
      </w:r>
      <w:r>
        <w:rPr>
          <w:rFonts w:hint="eastAsia" w:ascii="宋体" w:hAnsi="宋体" w:eastAsia="宋体" w:cs="Times New Roman"/>
          <w:color w:val="auto"/>
          <w:kern w:val="2"/>
          <w:sz w:val="21"/>
          <w:szCs w:val="21"/>
          <w:highlight w:val="none"/>
          <w:lang w:val="en-US" w:eastAsia="zh-CN" w:bidi="ar-SA"/>
        </w:rPr>
        <w:t>有权</w:t>
      </w:r>
      <w:r>
        <w:rPr>
          <w:rFonts w:hint="eastAsia" w:ascii="宋体" w:hAnsi="宋体" w:cs="Times New Roman"/>
          <w:color w:val="auto"/>
          <w:kern w:val="2"/>
          <w:sz w:val="21"/>
          <w:szCs w:val="21"/>
          <w:highlight w:val="none"/>
          <w:lang w:val="en-US" w:eastAsia="zh-CN" w:bidi="ar-SA"/>
        </w:rPr>
        <w:t>依法</w:t>
      </w:r>
      <w:r>
        <w:rPr>
          <w:rFonts w:hint="eastAsia" w:ascii="宋体" w:hAnsi="宋体" w:eastAsia="宋体" w:cs="Times New Roman"/>
          <w:color w:val="auto"/>
          <w:kern w:val="2"/>
          <w:sz w:val="21"/>
          <w:szCs w:val="21"/>
          <w:highlight w:val="none"/>
          <w:lang w:val="en-US" w:eastAsia="zh-CN" w:bidi="ar-SA"/>
        </w:rPr>
        <w:t>解除本合同，给</w:t>
      </w:r>
      <w:r>
        <w:rPr>
          <w:rFonts w:hint="eastAsia" w:ascii="宋体" w:hAnsi="宋体" w:cs="Times New Roman"/>
          <w:color w:val="auto"/>
          <w:kern w:val="2"/>
          <w:sz w:val="21"/>
          <w:szCs w:val="21"/>
          <w:highlight w:val="none"/>
          <w:lang w:val="en-US" w:eastAsia="zh-CN" w:bidi="ar-SA"/>
        </w:rPr>
        <w:t>甲方</w:t>
      </w:r>
      <w:r>
        <w:rPr>
          <w:rFonts w:hint="eastAsia" w:ascii="宋体" w:hAnsi="宋体" w:eastAsia="宋体" w:cs="Times New Roman"/>
          <w:color w:val="auto"/>
          <w:kern w:val="2"/>
          <w:sz w:val="21"/>
          <w:szCs w:val="21"/>
          <w:highlight w:val="none"/>
          <w:lang w:val="en-US" w:eastAsia="zh-CN" w:bidi="ar-SA"/>
        </w:rPr>
        <w:t>造成损失的，</w:t>
      </w:r>
      <w:r>
        <w:rPr>
          <w:rFonts w:hint="eastAsia" w:ascii="宋体" w:hAnsi="宋体" w:cs="Times New Roman"/>
          <w:color w:val="auto"/>
          <w:kern w:val="2"/>
          <w:sz w:val="21"/>
          <w:szCs w:val="21"/>
          <w:highlight w:val="none"/>
          <w:lang w:val="en-US" w:eastAsia="zh-CN" w:bidi="ar-SA"/>
        </w:rPr>
        <w:t>甲方</w:t>
      </w:r>
      <w:r>
        <w:rPr>
          <w:rFonts w:hint="eastAsia" w:ascii="宋体" w:hAnsi="宋体" w:eastAsia="宋体" w:cs="Times New Roman"/>
          <w:color w:val="auto"/>
          <w:kern w:val="2"/>
          <w:sz w:val="21"/>
          <w:szCs w:val="21"/>
          <w:highlight w:val="none"/>
          <w:lang w:val="en-US" w:eastAsia="zh-CN" w:bidi="ar-SA"/>
        </w:rPr>
        <w:t>有权要求</w:t>
      </w:r>
      <w:r>
        <w:rPr>
          <w:rFonts w:hint="eastAsia" w:ascii="宋体" w:hAnsi="宋体" w:cs="Times New Roman"/>
          <w:color w:val="auto"/>
          <w:kern w:val="2"/>
          <w:sz w:val="21"/>
          <w:szCs w:val="21"/>
          <w:highlight w:val="none"/>
          <w:lang w:val="en-US" w:eastAsia="zh-CN" w:bidi="ar-SA"/>
        </w:rPr>
        <w:t>乙方</w:t>
      </w:r>
      <w:r>
        <w:rPr>
          <w:rFonts w:hint="eastAsia" w:ascii="宋体" w:hAnsi="宋体" w:eastAsia="宋体" w:cs="Times New Roman"/>
          <w:color w:val="auto"/>
          <w:kern w:val="2"/>
          <w:sz w:val="21"/>
          <w:szCs w:val="21"/>
          <w:highlight w:val="none"/>
          <w:lang w:val="en-US" w:eastAsia="zh-CN" w:bidi="ar-SA"/>
        </w:rPr>
        <w:t>承担。</w:t>
      </w:r>
    </w:p>
    <w:p w14:paraId="4132F58C">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firstLine="420" w:firstLineChars="20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8.</w:t>
      </w:r>
      <w:r>
        <w:rPr>
          <w:rFonts w:hint="eastAsia" w:ascii="宋体" w:hAnsi="宋体" w:cs="Times New Roman"/>
          <w:color w:val="auto"/>
          <w:kern w:val="2"/>
          <w:sz w:val="21"/>
          <w:szCs w:val="21"/>
          <w:highlight w:val="none"/>
          <w:lang w:val="en-US" w:eastAsia="zh-CN" w:bidi="ar-SA"/>
        </w:rPr>
        <w:t>乙方</w:t>
      </w:r>
      <w:r>
        <w:rPr>
          <w:rFonts w:hint="eastAsia" w:ascii="宋体" w:hAnsi="宋体" w:eastAsia="宋体" w:cs="Times New Roman"/>
          <w:color w:val="auto"/>
          <w:kern w:val="2"/>
          <w:sz w:val="21"/>
          <w:szCs w:val="21"/>
          <w:highlight w:val="none"/>
          <w:lang w:val="en-US" w:eastAsia="zh-CN" w:bidi="ar-SA"/>
        </w:rPr>
        <w:t>不得以任何形式将成交项目转包、分包，否则</w:t>
      </w:r>
      <w:r>
        <w:rPr>
          <w:rFonts w:hint="eastAsia" w:ascii="宋体" w:hAnsi="宋体" w:cs="Times New Roman"/>
          <w:color w:val="auto"/>
          <w:kern w:val="2"/>
          <w:sz w:val="21"/>
          <w:szCs w:val="21"/>
          <w:highlight w:val="none"/>
          <w:lang w:val="en-US" w:eastAsia="zh-CN" w:bidi="ar-SA"/>
        </w:rPr>
        <w:t>甲方</w:t>
      </w:r>
      <w:r>
        <w:rPr>
          <w:rFonts w:hint="eastAsia" w:ascii="宋体" w:hAnsi="宋体" w:eastAsia="宋体" w:cs="Times New Roman"/>
          <w:color w:val="auto"/>
          <w:kern w:val="2"/>
          <w:sz w:val="21"/>
          <w:szCs w:val="21"/>
          <w:highlight w:val="none"/>
          <w:lang w:val="en-US" w:eastAsia="zh-CN" w:bidi="ar-SA"/>
        </w:rPr>
        <w:t>有权</w:t>
      </w:r>
      <w:r>
        <w:rPr>
          <w:rFonts w:hint="eastAsia" w:ascii="宋体" w:hAnsi="宋体" w:cs="Times New Roman"/>
          <w:color w:val="auto"/>
          <w:kern w:val="2"/>
          <w:sz w:val="21"/>
          <w:szCs w:val="21"/>
          <w:highlight w:val="none"/>
          <w:lang w:val="en-US" w:eastAsia="zh-CN" w:bidi="ar-SA"/>
        </w:rPr>
        <w:t>依法</w:t>
      </w:r>
      <w:r>
        <w:rPr>
          <w:rFonts w:hint="eastAsia" w:ascii="宋体" w:hAnsi="宋体" w:eastAsia="宋体" w:cs="Times New Roman"/>
          <w:color w:val="auto"/>
          <w:kern w:val="2"/>
          <w:sz w:val="21"/>
          <w:szCs w:val="21"/>
          <w:highlight w:val="none"/>
          <w:lang w:val="en-US" w:eastAsia="zh-CN" w:bidi="ar-SA"/>
        </w:rPr>
        <w:t>终止合同，由此产生的一切经济损失由</w:t>
      </w:r>
      <w:r>
        <w:rPr>
          <w:rFonts w:hint="eastAsia" w:ascii="宋体" w:hAnsi="宋体" w:cs="Times New Roman"/>
          <w:color w:val="auto"/>
          <w:kern w:val="2"/>
          <w:sz w:val="21"/>
          <w:szCs w:val="21"/>
          <w:highlight w:val="none"/>
          <w:lang w:val="en-US" w:eastAsia="zh-CN" w:bidi="ar-SA"/>
        </w:rPr>
        <w:t>乙方</w:t>
      </w:r>
      <w:r>
        <w:rPr>
          <w:rFonts w:hint="eastAsia" w:ascii="宋体" w:hAnsi="宋体" w:eastAsia="宋体" w:cs="Times New Roman"/>
          <w:color w:val="auto"/>
          <w:kern w:val="2"/>
          <w:sz w:val="21"/>
          <w:szCs w:val="21"/>
          <w:highlight w:val="none"/>
          <w:lang w:val="en-US" w:eastAsia="zh-CN" w:bidi="ar-SA"/>
        </w:rPr>
        <w:t>自行承担。</w:t>
      </w:r>
    </w:p>
    <w:p w14:paraId="36DC971E">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firstLine="420" w:firstLineChars="20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9.出现下列情形之一，</w:t>
      </w:r>
      <w:r>
        <w:rPr>
          <w:rFonts w:hint="eastAsia" w:ascii="宋体" w:hAnsi="宋体" w:cs="Times New Roman"/>
          <w:color w:val="auto"/>
          <w:kern w:val="2"/>
          <w:sz w:val="21"/>
          <w:szCs w:val="21"/>
          <w:highlight w:val="none"/>
          <w:lang w:val="en-US" w:eastAsia="zh-CN" w:bidi="ar-SA"/>
        </w:rPr>
        <w:t>甲方</w:t>
      </w:r>
      <w:r>
        <w:rPr>
          <w:rFonts w:hint="eastAsia" w:ascii="宋体" w:hAnsi="宋体" w:eastAsia="宋体" w:cs="Times New Roman"/>
          <w:color w:val="auto"/>
          <w:kern w:val="2"/>
          <w:sz w:val="21"/>
          <w:szCs w:val="21"/>
          <w:highlight w:val="none"/>
          <w:lang w:val="en-US" w:eastAsia="zh-CN" w:bidi="ar-SA"/>
        </w:rPr>
        <w:t>可立即终止合同并没收履约保证金：</w:t>
      </w:r>
    </w:p>
    <w:p w14:paraId="64FFDDCF">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firstLine="420" w:firstLineChars="20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（1）抽检2批次食材不合格；</w:t>
      </w:r>
    </w:p>
    <w:p w14:paraId="3AD5B7CB">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right="0" w:rightChars="0" w:firstLine="420" w:firstLineChars="20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（2）被市场监管部门处罚并影响</w:t>
      </w:r>
      <w:r>
        <w:rPr>
          <w:rFonts w:hint="eastAsia" w:ascii="宋体" w:hAnsi="宋体" w:cs="Times New Roman"/>
          <w:color w:val="auto"/>
          <w:kern w:val="2"/>
          <w:sz w:val="21"/>
          <w:szCs w:val="21"/>
          <w:highlight w:val="none"/>
          <w:lang w:val="en-US" w:eastAsia="zh-CN" w:bidi="ar-SA"/>
        </w:rPr>
        <w:t>甲方</w:t>
      </w:r>
      <w:r>
        <w:rPr>
          <w:rFonts w:hint="eastAsia" w:ascii="宋体" w:hAnsi="宋体" w:eastAsia="宋体" w:cs="Times New Roman"/>
          <w:color w:val="auto"/>
          <w:kern w:val="2"/>
          <w:sz w:val="21"/>
          <w:szCs w:val="21"/>
          <w:highlight w:val="none"/>
          <w:lang w:val="en-US" w:eastAsia="zh-CN" w:bidi="ar-SA"/>
        </w:rPr>
        <w:t>声誉；</w:t>
      </w:r>
    </w:p>
    <w:p w14:paraId="6ECC645D">
      <w:pPr>
        <w:pStyle w:val="42"/>
        <w:keepNext w:val="0"/>
        <w:keepLines w:val="0"/>
        <w:pageBreakBefore w:val="0"/>
        <w:widowControl w:val="0"/>
        <w:kinsoku/>
        <w:wordWrap/>
        <w:overflowPunct/>
        <w:topLinePunct w:val="0"/>
        <w:autoSpaceDE/>
        <w:autoSpaceDN/>
        <w:bidi w:val="0"/>
        <w:adjustRightInd/>
        <w:snapToGrid/>
        <w:spacing w:line="360" w:lineRule="exact"/>
        <w:ind w:firstLine="411" w:firstLineChars="196"/>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（3）发生食品安全事故。</w:t>
      </w:r>
    </w:p>
    <w:p w14:paraId="732210AF">
      <w:pPr>
        <w:pStyle w:val="42"/>
        <w:keepNext w:val="0"/>
        <w:keepLines w:val="0"/>
        <w:pageBreakBefore w:val="0"/>
        <w:widowControl w:val="0"/>
        <w:kinsoku/>
        <w:wordWrap/>
        <w:overflowPunct/>
        <w:topLinePunct w:val="0"/>
        <w:autoSpaceDE/>
        <w:autoSpaceDN/>
        <w:bidi w:val="0"/>
        <w:adjustRightInd/>
        <w:snapToGrid/>
        <w:spacing w:line="360" w:lineRule="exact"/>
        <w:ind w:firstLine="413" w:firstLineChars="196"/>
        <w:textAlignment w:val="auto"/>
        <w:rPr>
          <w:rFonts w:hint="eastAsia" w:hAnsi="宋体"/>
          <w:b/>
          <w:color w:val="auto"/>
          <w:sz w:val="21"/>
          <w:highlight w:val="none"/>
        </w:rPr>
      </w:pPr>
      <w:r>
        <w:rPr>
          <w:rFonts w:hAnsi="宋体"/>
          <w:b/>
          <w:color w:val="auto"/>
          <w:sz w:val="21"/>
          <w:highlight w:val="none"/>
        </w:rPr>
        <w:t>第</w:t>
      </w:r>
      <w:r>
        <w:rPr>
          <w:rFonts w:hint="eastAsia" w:hAnsi="宋体"/>
          <w:b/>
          <w:color w:val="auto"/>
          <w:sz w:val="21"/>
          <w:highlight w:val="none"/>
          <w:lang w:val="en-US" w:eastAsia="zh-CN"/>
        </w:rPr>
        <w:t>九</w:t>
      </w:r>
      <w:r>
        <w:rPr>
          <w:rFonts w:hAnsi="宋体"/>
          <w:b/>
          <w:color w:val="auto"/>
          <w:sz w:val="21"/>
          <w:highlight w:val="none"/>
        </w:rPr>
        <w:t>条  不可抗力事件</w:t>
      </w:r>
      <w:r>
        <w:rPr>
          <w:rFonts w:hint="eastAsia" w:hAnsi="宋体"/>
          <w:b/>
          <w:color w:val="auto"/>
          <w:sz w:val="21"/>
          <w:highlight w:val="none"/>
        </w:rPr>
        <w:t>处理</w:t>
      </w:r>
    </w:p>
    <w:p w14:paraId="1E55DA01">
      <w:pPr>
        <w:pStyle w:val="42"/>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hAnsi="宋体"/>
          <w:color w:val="auto"/>
          <w:sz w:val="21"/>
          <w:highlight w:val="none"/>
        </w:rPr>
      </w:pPr>
      <w:r>
        <w:rPr>
          <w:rFonts w:hint="eastAsia" w:hAnsi="宋体"/>
          <w:color w:val="auto"/>
          <w:sz w:val="21"/>
          <w:highlight w:val="none"/>
        </w:rPr>
        <w:t>1.在合同有效期内，任何一方因不可抗力事件导致不能履行合同，则合同履行期可延长，其延长期与不可抗力影响期相同。</w:t>
      </w:r>
    </w:p>
    <w:p w14:paraId="7E8D68A5">
      <w:pPr>
        <w:pStyle w:val="42"/>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hAnsi="宋体"/>
          <w:color w:val="auto"/>
          <w:sz w:val="21"/>
          <w:highlight w:val="none"/>
        </w:rPr>
      </w:pPr>
      <w:r>
        <w:rPr>
          <w:rFonts w:hint="eastAsia" w:hAnsi="宋体"/>
          <w:color w:val="auto"/>
          <w:sz w:val="21"/>
          <w:highlight w:val="none"/>
        </w:rPr>
        <w:t>2.不可抗力事件发生后，应立即通知对方，并</w:t>
      </w:r>
      <w:r>
        <w:rPr>
          <w:rFonts w:hint="eastAsia" w:hAnsi="宋体"/>
          <w:color w:val="auto"/>
          <w:sz w:val="21"/>
          <w:highlight w:val="none"/>
          <w:lang w:eastAsia="zh-CN"/>
        </w:rPr>
        <w:t>在不可抗力事件发生之日起10日内</w:t>
      </w:r>
      <w:r>
        <w:rPr>
          <w:rFonts w:hint="eastAsia" w:hAnsi="宋体"/>
          <w:color w:val="auto"/>
          <w:sz w:val="21"/>
          <w:highlight w:val="none"/>
        </w:rPr>
        <w:t>寄送有关权威机构出具的证明。</w:t>
      </w:r>
    </w:p>
    <w:p w14:paraId="1A9286DE">
      <w:pPr>
        <w:pStyle w:val="42"/>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Ansi="宋体"/>
          <w:color w:val="auto"/>
          <w:sz w:val="21"/>
          <w:highlight w:val="none"/>
        </w:rPr>
      </w:pPr>
      <w:r>
        <w:rPr>
          <w:rFonts w:hint="eastAsia" w:hAnsi="宋体"/>
          <w:color w:val="auto"/>
          <w:sz w:val="21"/>
          <w:highlight w:val="none"/>
        </w:rPr>
        <w:t>3.不可抗力事件延续一百二十天以上，双方应通过友好协商，确定是否继续履行合同。</w:t>
      </w:r>
    </w:p>
    <w:p w14:paraId="755D9A1C">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ascii="宋体" w:hAnsi="宋体"/>
          <w:color w:val="auto"/>
          <w:szCs w:val="21"/>
          <w:highlight w:val="none"/>
        </w:rPr>
      </w:pPr>
      <w:r>
        <w:rPr>
          <w:rFonts w:hint="eastAsia" w:ascii="宋体" w:hAnsi="宋体"/>
          <w:b/>
          <w:color w:val="auto"/>
          <w:szCs w:val="21"/>
          <w:highlight w:val="none"/>
        </w:rPr>
        <w:t>第十条  合同争议解决</w:t>
      </w:r>
    </w:p>
    <w:p w14:paraId="2C96E408">
      <w:pPr>
        <w:keepNext w:val="0"/>
        <w:keepLines w:val="0"/>
        <w:pageBreakBefore w:val="0"/>
        <w:widowControl w:val="0"/>
        <w:kinsoku/>
        <w:wordWrap/>
        <w:overflowPunct/>
        <w:topLinePunct w:val="0"/>
        <w:autoSpaceDE/>
        <w:autoSpaceDN/>
        <w:bidi w:val="0"/>
        <w:adjustRightInd/>
        <w:snapToGrid/>
        <w:spacing w:line="360" w:lineRule="exact"/>
        <w:ind w:left="-61" w:firstLine="514"/>
        <w:textAlignment w:val="auto"/>
        <w:rPr>
          <w:rFonts w:hint="eastAsia" w:ascii="宋体" w:hAnsi="宋体"/>
          <w:color w:val="auto"/>
          <w:szCs w:val="21"/>
          <w:highlight w:val="none"/>
        </w:rPr>
      </w:pPr>
      <w:r>
        <w:rPr>
          <w:rFonts w:hint="eastAsia" w:ascii="宋体" w:hAnsi="宋体"/>
          <w:color w:val="auto"/>
          <w:szCs w:val="21"/>
          <w:highlight w:val="none"/>
        </w:rPr>
        <w:t>1.因履行本合同引起的或与本合同有关的争议，甲乙双方应首先通过友好协商解决，如果协商不能解决，可向甲方所在地人民法院提起诉讼。</w:t>
      </w:r>
    </w:p>
    <w:p w14:paraId="49C7A0C3">
      <w:pPr>
        <w:keepNext w:val="0"/>
        <w:keepLines w:val="0"/>
        <w:pageBreakBefore w:val="0"/>
        <w:widowControl w:val="0"/>
        <w:kinsoku/>
        <w:wordWrap/>
        <w:overflowPunct/>
        <w:topLinePunct w:val="0"/>
        <w:autoSpaceDE/>
        <w:autoSpaceDN/>
        <w:bidi w:val="0"/>
        <w:adjustRightInd/>
        <w:snapToGrid/>
        <w:spacing w:line="360" w:lineRule="exact"/>
        <w:ind w:left="-61" w:firstLine="514"/>
        <w:textAlignment w:val="auto"/>
        <w:rPr>
          <w:rFonts w:ascii="宋体" w:hAnsi="宋体"/>
          <w:color w:val="auto"/>
          <w:szCs w:val="21"/>
          <w:highlight w:val="none"/>
        </w:rPr>
      </w:pPr>
      <w:r>
        <w:rPr>
          <w:rFonts w:hint="eastAsia" w:ascii="宋体" w:hAnsi="宋体"/>
          <w:color w:val="auto"/>
          <w:szCs w:val="21"/>
          <w:highlight w:val="none"/>
        </w:rPr>
        <w:t>2.诉讼期间，甲方为保障正常的运营，可选择由乙方继续提供服务（如</w:t>
      </w:r>
      <w:r>
        <w:rPr>
          <w:rFonts w:hint="eastAsia" w:ascii="宋体" w:hAnsi="宋体" w:cs="宋体"/>
          <w:color w:val="auto"/>
          <w:szCs w:val="21"/>
          <w:highlight w:val="none"/>
          <w:lang w:eastAsia="zh-CN"/>
        </w:rPr>
        <w:t>后续</w:t>
      </w:r>
      <w:r>
        <w:rPr>
          <w:rFonts w:hint="eastAsia" w:ascii="宋体" w:hAnsi="宋体"/>
          <w:color w:val="auto"/>
          <w:szCs w:val="21"/>
          <w:highlight w:val="none"/>
        </w:rPr>
        <w:t>服务）、甲方按照服务时间结算费用或者另行委托第三方提供服务、公开招标等方式，不视为甲方违约。</w:t>
      </w:r>
    </w:p>
    <w:p w14:paraId="6191A63A">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ascii="宋体" w:hAnsi="宋体"/>
          <w:b/>
          <w:color w:val="auto"/>
          <w:szCs w:val="21"/>
          <w:highlight w:val="none"/>
        </w:rPr>
      </w:pPr>
      <w:r>
        <w:rPr>
          <w:rFonts w:hint="eastAsia" w:ascii="宋体" w:hAnsi="宋体"/>
          <w:b/>
          <w:color w:val="auto"/>
          <w:szCs w:val="21"/>
          <w:highlight w:val="none"/>
        </w:rPr>
        <w:t>第十</w:t>
      </w:r>
      <w:r>
        <w:rPr>
          <w:rFonts w:hint="eastAsia" w:ascii="宋体" w:hAnsi="宋体"/>
          <w:b/>
          <w:color w:val="auto"/>
          <w:szCs w:val="21"/>
          <w:highlight w:val="none"/>
          <w:lang w:val="en-US" w:eastAsia="zh-CN"/>
        </w:rPr>
        <w:t>一</w:t>
      </w:r>
      <w:r>
        <w:rPr>
          <w:rFonts w:hint="eastAsia" w:ascii="宋体" w:hAnsi="宋体"/>
          <w:b/>
          <w:color w:val="auto"/>
          <w:szCs w:val="21"/>
          <w:highlight w:val="none"/>
        </w:rPr>
        <w:t>条　合同的变更、终止与转让</w:t>
      </w:r>
    </w:p>
    <w:p w14:paraId="619D8C82">
      <w:pPr>
        <w:keepNext w:val="0"/>
        <w:keepLines w:val="0"/>
        <w:pageBreakBefore w:val="0"/>
        <w:widowControl w:val="0"/>
        <w:kinsoku/>
        <w:wordWrap/>
        <w:overflowPunct/>
        <w:topLinePunct w:val="0"/>
        <w:autoSpaceDE/>
        <w:autoSpaceDN/>
        <w:bidi w:val="0"/>
        <w:adjustRightInd/>
        <w:snapToGrid/>
        <w:spacing w:line="360" w:lineRule="exact"/>
        <w:ind w:left="-61" w:firstLine="514"/>
        <w:textAlignment w:val="auto"/>
        <w:rPr>
          <w:rFonts w:hint="eastAsia" w:ascii="宋体" w:hAnsi="宋体"/>
          <w:color w:val="auto"/>
          <w:szCs w:val="21"/>
          <w:highlight w:val="none"/>
        </w:rPr>
      </w:pPr>
      <w:r>
        <w:rPr>
          <w:rFonts w:hint="eastAsia" w:ascii="宋体" w:hAnsi="宋体"/>
          <w:color w:val="auto"/>
          <w:szCs w:val="21"/>
          <w:highlight w:val="none"/>
        </w:rPr>
        <w:t>1.除《中华人民共和国政府采购法》第五十条规定的情形外，本合同一经签订，甲乙双方不得擅自变更、中止或终止。</w:t>
      </w:r>
    </w:p>
    <w:p w14:paraId="0A2BF067">
      <w:pPr>
        <w:keepNext w:val="0"/>
        <w:keepLines w:val="0"/>
        <w:pageBreakBefore w:val="0"/>
        <w:widowControl w:val="0"/>
        <w:kinsoku/>
        <w:wordWrap/>
        <w:overflowPunct/>
        <w:topLinePunct w:val="0"/>
        <w:autoSpaceDE/>
        <w:autoSpaceDN/>
        <w:bidi w:val="0"/>
        <w:adjustRightInd/>
        <w:snapToGrid/>
        <w:spacing w:line="360" w:lineRule="exact"/>
        <w:ind w:left="-61" w:firstLine="514"/>
        <w:textAlignment w:val="auto"/>
        <w:rPr>
          <w:rFonts w:hint="eastAsia" w:ascii="宋体" w:hAnsi="宋体"/>
          <w:color w:val="auto"/>
          <w:szCs w:val="21"/>
          <w:highlight w:val="none"/>
        </w:rPr>
      </w:pPr>
      <w:r>
        <w:rPr>
          <w:rFonts w:hint="eastAsia" w:ascii="宋体" w:hAnsi="宋体"/>
          <w:color w:val="auto"/>
          <w:szCs w:val="21"/>
          <w:highlight w:val="none"/>
        </w:rPr>
        <w:t>2.未经甲方书面同意，乙方不得擅自转让其应履行的合同义务。</w:t>
      </w:r>
    </w:p>
    <w:p w14:paraId="5C252528">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outlineLvl w:val="3"/>
        <w:rPr>
          <w:rFonts w:ascii="宋体" w:hAnsi="宋体" w:cs="Arial"/>
          <w:b/>
          <w:color w:val="auto"/>
          <w:szCs w:val="21"/>
          <w:highlight w:val="none"/>
        </w:rPr>
      </w:pPr>
      <w:r>
        <w:rPr>
          <w:rFonts w:hint="eastAsia" w:ascii="宋体" w:hAnsi="宋体" w:cs="Arial"/>
          <w:b/>
          <w:color w:val="auto"/>
          <w:szCs w:val="21"/>
          <w:highlight w:val="none"/>
        </w:rPr>
        <w:t>第</w:t>
      </w:r>
      <w:r>
        <w:rPr>
          <w:rFonts w:hint="eastAsia" w:ascii="宋体" w:hAnsi="宋体" w:cs="Arial"/>
          <w:b/>
          <w:color w:val="auto"/>
          <w:szCs w:val="21"/>
          <w:highlight w:val="none"/>
          <w:lang w:eastAsia="zh-CN"/>
        </w:rPr>
        <w:t>十</w:t>
      </w:r>
      <w:r>
        <w:rPr>
          <w:rFonts w:hint="eastAsia" w:ascii="宋体" w:hAnsi="宋体" w:cs="Arial"/>
          <w:b/>
          <w:color w:val="auto"/>
          <w:szCs w:val="21"/>
          <w:highlight w:val="none"/>
          <w:lang w:val="en-US" w:eastAsia="zh-CN"/>
        </w:rPr>
        <w:t>二</w:t>
      </w:r>
      <w:r>
        <w:rPr>
          <w:rFonts w:hint="eastAsia" w:ascii="宋体" w:hAnsi="宋体" w:cs="Arial"/>
          <w:b/>
          <w:color w:val="auto"/>
          <w:szCs w:val="21"/>
          <w:highlight w:val="none"/>
        </w:rPr>
        <w:t>条  通知与送达</w:t>
      </w:r>
    </w:p>
    <w:p w14:paraId="7EA92FD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s="Arial"/>
          <w:bCs/>
          <w:color w:val="auto"/>
          <w:szCs w:val="21"/>
          <w:highlight w:val="none"/>
        </w:rPr>
      </w:pPr>
      <w:r>
        <w:rPr>
          <w:rFonts w:hint="eastAsia" w:ascii="宋体" w:hAnsi="宋体" w:cs="Arial"/>
          <w:bCs/>
          <w:color w:val="auto"/>
          <w:szCs w:val="21"/>
          <w:highlight w:val="none"/>
        </w:rPr>
        <w:t>1.本协议项下对合同一方对另外一方的任何通知或请求，应当发送至接收方在合同中约定的地址、联系人和通信终端。一方当事人变更名称、地址、联系人或通信终端等信息的，应当在变更后3日内及时书面通知对方当事人，对方当事人实际收到变更通知前的送达仍为有效送达，电子送达与书面送达具有同等法律效力。</w:t>
      </w:r>
    </w:p>
    <w:p w14:paraId="39C0151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outlineLvl w:val="2"/>
        <w:rPr>
          <w:rFonts w:ascii="宋体" w:hAnsi="宋体" w:cs="Arial"/>
          <w:bCs/>
          <w:color w:val="auto"/>
          <w:szCs w:val="21"/>
          <w:highlight w:val="none"/>
        </w:rPr>
      </w:pPr>
      <w:r>
        <w:rPr>
          <w:rFonts w:hint="eastAsia" w:ascii="宋体" w:hAnsi="宋体" w:cs="Arial"/>
          <w:bCs/>
          <w:color w:val="auto"/>
          <w:szCs w:val="21"/>
          <w:highlight w:val="none"/>
        </w:rPr>
        <w:t>2.任何一方当事人向对/他方所发出的通知或请求送达时间：</w:t>
      </w:r>
    </w:p>
    <w:p w14:paraId="46D38D9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s="Arial"/>
          <w:bCs/>
          <w:color w:val="auto"/>
          <w:szCs w:val="21"/>
          <w:highlight w:val="none"/>
        </w:rPr>
      </w:pPr>
      <w:r>
        <w:rPr>
          <w:rFonts w:hint="eastAsia" w:ascii="宋体" w:hAnsi="宋体" w:cs="Arial"/>
          <w:bCs/>
          <w:color w:val="auto"/>
          <w:szCs w:val="21"/>
          <w:highlight w:val="none"/>
        </w:rPr>
        <w:t>（1）如果是传真，则在发送当日视为送达；</w:t>
      </w:r>
    </w:p>
    <w:p w14:paraId="099904C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s="Arial"/>
          <w:bCs/>
          <w:color w:val="auto"/>
          <w:szCs w:val="21"/>
          <w:highlight w:val="none"/>
        </w:rPr>
      </w:pPr>
      <w:r>
        <w:rPr>
          <w:rFonts w:hint="eastAsia" w:ascii="宋体" w:hAnsi="宋体" w:cs="Arial"/>
          <w:bCs/>
          <w:color w:val="auto"/>
          <w:szCs w:val="21"/>
          <w:highlight w:val="none"/>
        </w:rPr>
        <w:t>（2）如果是短信/微信/电子邮件，自电子文件内容在发送方正确填写地址且未被系统退回的情况下，进入对方数据电文接收系统当日视为送达。</w:t>
      </w:r>
    </w:p>
    <w:p w14:paraId="7243AE2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s="Arial"/>
          <w:bCs/>
          <w:color w:val="auto"/>
          <w:szCs w:val="21"/>
          <w:highlight w:val="none"/>
        </w:rPr>
      </w:pPr>
      <w:r>
        <w:rPr>
          <w:rFonts w:hint="eastAsia" w:ascii="宋体" w:hAnsi="宋体" w:cs="Arial"/>
          <w:bCs/>
          <w:color w:val="auto"/>
          <w:szCs w:val="21"/>
          <w:highlight w:val="none"/>
        </w:rPr>
        <w:t>（3）如果是信函，在挂号信交邮后第三日视为送达；</w:t>
      </w:r>
    </w:p>
    <w:p w14:paraId="4A3B2AA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s="Arial"/>
          <w:bCs/>
          <w:color w:val="auto"/>
          <w:szCs w:val="21"/>
          <w:highlight w:val="none"/>
        </w:rPr>
      </w:pPr>
      <w:r>
        <w:rPr>
          <w:rFonts w:hint="eastAsia" w:ascii="宋体" w:hAnsi="宋体" w:cs="Arial"/>
          <w:bCs/>
          <w:color w:val="auto"/>
          <w:szCs w:val="21"/>
          <w:highlight w:val="none"/>
        </w:rPr>
        <w:t>（4）如果是派人专程送达，则在收件人签收之日视为收到；</w:t>
      </w:r>
    </w:p>
    <w:p w14:paraId="237BC76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s="Arial"/>
          <w:bCs/>
          <w:color w:val="auto"/>
          <w:szCs w:val="21"/>
          <w:highlight w:val="none"/>
        </w:rPr>
      </w:pPr>
      <w:r>
        <w:rPr>
          <w:rFonts w:hint="eastAsia" w:ascii="宋体" w:hAnsi="宋体" w:cs="Arial"/>
          <w:bCs/>
          <w:color w:val="auto"/>
          <w:szCs w:val="21"/>
          <w:highlight w:val="none"/>
        </w:rPr>
        <w:t>（5）如果同时使用几种通知方式的，以其中较快到达接收方者为准。</w:t>
      </w:r>
    </w:p>
    <w:p w14:paraId="521D5E0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s="Arial"/>
          <w:bCs/>
          <w:color w:val="auto"/>
          <w:szCs w:val="21"/>
          <w:highlight w:val="none"/>
        </w:rPr>
      </w:pPr>
      <w:r>
        <w:rPr>
          <w:rFonts w:hint="eastAsia" w:ascii="宋体" w:hAnsi="宋体" w:cs="Arial"/>
          <w:bCs/>
          <w:color w:val="auto"/>
          <w:szCs w:val="21"/>
          <w:highlight w:val="none"/>
        </w:rPr>
        <w:t>（6）若送达日为非工作日，则视为在下一工作日送达。</w:t>
      </w:r>
    </w:p>
    <w:p w14:paraId="1640B25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s="Arial"/>
          <w:bCs/>
          <w:color w:val="auto"/>
          <w:szCs w:val="21"/>
          <w:highlight w:val="none"/>
        </w:rPr>
      </w:pPr>
      <w:r>
        <w:rPr>
          <w:rFonts w:hint="eastAsia" w:ascii="宋体" w:hAnsi="宋体" w:cs="Arial"/>
          <w:bCs/>
          <w:color w:val="auto"/>
          <w:szCs w:val="21"/>
          <w:highlight w:val="none"/>
        </w:rPr>
        <w:t>3.本合同约定的地址、联系人及电子通信终端等信息亦为双方工作联系往来、法律文书及争议解决时人民法院和/或仲裁机构的法律文书送达地址。人民法院和/或仲裁机构的诉讼文书（含裁判文书）向任何合同任何一方当事人的上述地址和/或工商登记公示地址（居民身份证登记地址）送达的，视为有效送达。当事人对电子通信终端的联系送达适用于争议解决时的送达。</w:t>
      </w:r>
    </w:p>
    <w:p w14:paraId="6AEBB13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s="Arial"/>
          <w:b/>
          <w:color w:val="auto"/>
          <w:szCs w:val="21"/>
          <w:highlight w:val="none"/>
        </w:rPr>
      </w:pPr>
      <w:r>
        <w:rPr>
          <w:rFonts w:hint="eastAsia" w:ascii="宋体" w:hAnsi="宋体" w:cs="Arial"/>
          <w:bCs/>
          <w:color w:val="auto"/>
          <w:szCs w:val="21"/>
          <w:highlight w:val="none"/>
        </w:rPr>
        <w:t>4.合同送达条款与争议解决条款均为独立条款，不受合同整体或其他条款的效力的影响。</w:t>
      </w:r>
    </w:p>
    <w:p w14:paraId="2E1035A8">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outlineLvl w:val="3"/>
        <w:rPr>
          <w:rFonts w:ascii="宋体" w:hAnsi="宋体" w:cs="Arial"/>
          <w:b/>
          <w:color w:val="auto"/>
          <w:szCs w:val="21"/>
          <w:highlight w:val="none"/>
        </w:rPr>
      </w:pPr>
      <w:r>
        <w:rPr>
          <w:rFonts w:hint="eastAsia" w:ascii="宋体" w:hAnsi="宋体" w:cs="Arial"/>
          <w:b/>
          <w:color w:val="auto"/>
          <w:szCs w:val="21"/>
          <w:highlight w:val="none"/>
        </w:rPr>
        <w:t>第十</w:t>
      </w:r>
      <w:r>
        <w:rPr>
          <w:rFonts w:hint="eastAsia" w:ascii="宋体" w:hAnsi="宋体" w:cs="Arial"/>
          <w:b/>
          <w:color w:val="auto"/>
          <w:szCs w:val="21"/>
          <w:highlight w:val="none"/>
          <w:lang w:val="en-US" w:eastAsia="zh-CN"/>
        </w:rPr>
        <w:t>三</w:t>
      </w:r>
      <w:r>
        <w:rPr>
          <w:rFonts w:hint="eastAsia" w:ascii="宋体" w:hAnsi="宋体" w:cs="Arial"/>
          <w:b/>
          <w:color w:val="auto"/>
          <w:szCs w:val="21"/>
          <w:highlight w:val="none"/>
        </w:rPr>
        <w:t>条  合同组成及相互关系</w:t>
      </w:r>
    </w:p>
    <w:p w14:paraId="2EFFDA8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s="Arial"/>
          <w:bCs/>
          <w:color w:val="auto"/>
          <w:szCs w:val="21"/>
          <w:highlight w:val="none"/>
        </w:rPr>
      </w:pPr>
      <w:r>
        <w:rPr>
          <w:rFonts w:hint="eastAsia" w:ascii="宋体" w:hAnsi="宋体" w:cs="Arial"/>
          <w:bCs/>
          <w:color w:val="auto"/>
          <w:szCs w:val="21"/>
          <w:highlight w:val="none"/>
        </w:rPr>
        <w:t>1.本合同的采购文件（含答疑）、符合</w:t>
      </w:r>
      <w:r>
        <w:rPr>
          <w:rFonts w:hint="eastAsia" w:ascii="宋体" w:hAnsi="宋体" w:cs="Arial"/>
          <w:bCs/>
          <w:color w:val="auto"/>
          <w:szCs w:val="21"/>
          <w:highlight w:val="none"/>
          <w:lang w:eastAsia="zh-CN"/>
        </w:rPr>
        <w:t>采购</w:t>
      </w:r>
      <w:r>
        <w:rPr>
          <w:rFonts w:hint="eastAsia" w:ascii="宋体" w:hAnsi="宋体" w:cs="Arial"/>
          <w:bCs/>
          <w:color w:val="auto"/>
          <w:szCs w:val="21"/>
          <w:highlight w:val="none"/>
        </w:rPr>
        <w:t>要求的</w:t>
      </w:r>
      <w:r>
        <w:rPr>
          <w:rFonts w:hint="eastAsia" w:ascii="宋体" w:hAnsi="宋体" w:cs="Arial"/>
          <w:bCs/>
          <w:color w:val="auto"/>
          <w:szCs w:val="21"/>
          <w:highlight w:val="none"/>
          <w:lang w:eastAsia="zh-CN"/>
        </w:rPr>
        <w:t>竞争性磋商文件</w:t>
      </w:r>
      <w:r>
        <w:rPr>
          <w:rFonts w:hint="eastAsia" w:ascii="宋体" w:hAnsi="宋体" w:cs="Arial"/>
          <w:bCs/>
          <w:color w:val="auto"/>
          <w:szCs w:val="21"/>
          <w:highlight w:val="none"/>
        </w:rPr>
        <w:t>、</w:t>
      </w:r>
      <w:r>
        <w:rPr>
          <w:rFonts w:hint="eastAsia" w:ascii="宋体" w:hAnsi="宋体" w:cs="Arial"/>
          <w:bCs/>
          <w:color w:val="auto"/>
          <w:szCs w:val="21"/>
          <w:highlight w:val="none"/>
          <w:lang w:eastAsia="zh-CN"/>
        </w:rPr>
        <w:t>成交</w:t>
      </w:r>
      <w:r>
        <w:rPr>
          <w:rFonts w:hint="eastAsia" w:ascii="宋体" w:hAnsi="宋体" w:cs="Arial"/>
          <w:bCs/>
          <w:color w:val="auto"/>
          <w:szCs w:val="21"/>
          <w:highlight w:val="none"/>
        </w:rPr>
        <w:t xml:space="preserve">通知书、本合同履行过程中双方签章确认的协议或其他文件均为本合同的组成部分，若合同组成文件之间发生矛盾的，以下排列顺序为合同组成文件之间的优先解释顺序： </w:t>
      </w:r>
    </w:p>
    <w:p w14:paraId="63EAD54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s="Arial"/>
          <w:bCs/>
          <w:color w:val="auto"/>
          <w:szCs w:val="21"/>
          <w:highlight w:val="none"/>
        </w:rPr>
      </w:pPr>
      <w:r>
        <w:rPr>
          <w:rFonts w:hint="eastAsia" w:ascii="宋体" w:hAnsi="宋体" w:cs="Arial"/>
          <w:bCs/>
          <w:color w:val="auto"/>
          <w:szCs w:val="21"/>
          <w:highlight w:val="none"/>
        </w:rPr>
        <w:t>（1）本合同及其附件；</w:t>
      </w:r>
    </w:p>
    <w:p w14:paraId="702C23B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s="Arial"/>
          <w:bCs/>
          <w:color w:val="auto"/>
          <w:szCs w:val="21"/>
          <w:highlight w:val="none"/>
        </w:rPr>
      </w:pPr>
      <w:r>
        <w:rPr>
          <w:rFonts w:hint="eastAsia" w:ascii="宋体" w:hAnsi="宋体" w:cs="Arial"/>
          <w:bCs/>
          <w:color w:val="auto"/>
          <w:szCs w:val="21"/>
          <w:highlight w:val="none"/>
        </w:rPr>
        <w:t>（2）</w:t>
      </w:r>
      <w:r>
        <w:rPr>
          <w:rFonts w:hint="eastAsia" w:ascii="宋体" w:hAnsi="宋体" w:cs="Arial"/>
          <w:bCs/>
          <w:color w:val="auto"/>
          <w:szCs w:val="21"/>
          <w:highlight w:val="none"/>
          <w:lang w:eastAsia="zh-CN"/>
        </w:rPr>
        <w:t>成交</w:t>
      </w:r>
      <w:r>
        <w:rPr>
          <w:rFonts w:hint="eastAsia" w:ascii="宋体" w:hAnsi="宋体" w:cs="Arial"/>
          <w:bCs/>
          <w:color w:val="auto"/>
          <w:szCs w:val="21"/>
          <w:highlight w:val="none"/>
        </w:rPr>
        <w:t>通知书；</w:t>
      </w:r>
    </w:p>
    <w:p w14:paraId="36CEFC6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s="Arial"/>
          <w:bCs/>
          <w:color w:val="auto"/>
          <w:szCs w:val="21"/>
          <w:highlight w:val="none"/>
        </w:rPr>
      </w:pPr>
      <w:r>
        <w:rPr>
          <w:rFonts w:hint="eastAsia" w:ascii="宋体" w:hAnsi="宋体" w:cs="Arial"/>
          <w:bCs/>
          <w:color w:val="auto"/>
          <w:szCs w:val="21"/>
          <w:highlight w:val="none"/>
        </w:rPr>
        <w:t>（3）符合</w:t>
      </w:r>
      <w:r>
        <w:rPr>
          <w:rFonts w:hint="eastAsia" w:ascii="宋体" w:hAnsi="宋体" w:cs="Arial"/>
          <w:bCs/>
          <w:color w:val="auto"/>
          <w:szCs w:val="21"/>
          <w:highlight w:val="none"/>
          <w:lang w:eastAsia="zh-CN"/>
        </w:rPr>
        <w:t>采购</w:t>
      </w:r>
      <w:r>
        <w:rPr>
          <w:rFonts w:hint="eastAsia" w:ascii="宋体" w:hAnsi="宋体" w:cs="Arial"/>
          <w:bCs/>
          <w:color w:val="auto"/>
          <w:szCs w:val="21"/>
          <w:highlight w:val="none"/>
        </w:rPr>
        <w:t>要求的</w:t>
      </w:r>
      <w:r>
        <w:rPr>
          <w:rFonts w:hint="eastAsia" w:ascii="宋体" w:hAnsi="宋体" w:cs="Arial"/>
          <w:bCs/>
          <w:color w:val="auto"/>
          <w:szCs w:val="21"/>
          <w:highlight w:val="none"/>
          <w:lang w:eastAsia="zh-CN"/>
        </w:rPr>
        <w:t>响应</w:t>
      </w:r>
      <w:r>
        <w:rPr>
          <w:rFonts w:hint="eastAsia" w:ascii="宋体" w:hAnsi="宋体" w:cs="Arial"/>
          <w:bCs/>
          <w:color w:val="auto"/>
          <w:szCs w:val="21"/>
          <w:highlight w:val="none"/>
        </w:rPr>
        <w:t>文件；</w:t>
      </w:r>
    </w:p>
    <w:p w14:paraId="1FC3D28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s="Arial"/>
          <w:bCs/>
          <w:color w:val="auto"/>
          <w:szCs w:val="21"/>
          <w:highlight w:val="none"/>
        </w:rPr>
      </w:pPr>
      <w:r>
        <w:rPr>
          <w:rFonts w:hint="eastAsia" w:ascii="宋体" w:hAnsi="宋体" w:cs="Arial"/>
          <w:bCs/>
          <w:color w:val="auto"/>
          <w:szCs w:val="21"/>
          <w:highlight w:val="none"/>
        </w:rPr>
        <w:t>（4）采购文件(答疑)；</w:t>
      </w:r>
    </w:p>
    <w:p w14:paraId="514C9E1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s="Arial"/>
          <w:bCs/>
          <w:color w:val="auto"/>
          <w:szCs w:val="21"/>
          <w:highlight w:val="none"/>
        </w:rPr>
      </w:pPr>
      <w:r>
        <w:rPr>
          <w:rFonts w:hint="eastAsia" w:ascii="宋体" w:hAnsi="宋体" w:cs="Arial"/>
          <w:bCs/>
          <w:color w:val="auto"/>
          <w:szCs w:val="21"/>
          <w:highlight w:val="none"/>
        </w:rPr>
        <w:t>（5）标准、规范及有关技术文件；</w:t>
      </w:r>
    </w:p>
    <w:p w14:paraId="61B3362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s="Arial"/>
          <w:bCs/>
          <w:color w:val="auto"/>
          <w:szCs w:val="21"/>
          <w:highlight w:val="none"/>
        </w:rPr>
      </w:pPr>
      <w:r>
        <w:rPr>
          <w:rFonts w:hint="eastAsia" w:ascii="宋体" w:hAnsi="宋体" w:cs="Arial"/>
          <w:bCs/>
          <w:color w:val="auto"/>
          <w:szCs w:val="21"/>
          <w:highlight w:val="none"/>
        </w:rPr>
        <w:t>（6）其他合同文件。</w:t>
      </w:r>
    </w:p>
    <w:p w14:paraId="6014D49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s="Arial"/>
          <w:bCs/>
          <w:color w:val="auto"/>
          <w:szCs w:val="21"/>
          <w:highlight w:val="none"/>
        </w:rPr>
      </w:pPr>
      <w:r>
        <w:rPr>
          <w:rFonts w:hint="eastAsia" w:ascii="宋体" w:hAnsi="宋体" w:cs="Arial"/>
          <w:bCs/>
          <w:color w:val="auto"/>
          <w:szCs w:val="21"/>
          <w:highlight w:val="none"/>
        </w:rPr>
        <w:t>2.本合同履行过程中双方签章确认的协议或其他文件均为本合同的组成部分。</w:t>
      </w:r>
    </w:p>
    <w:p w14:paraId="2C60FCE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s="Arial"/>
          <w:bCs/>
          <w:color w:val="auto"/>
          <w:szCs w:val="21"/>
          <w:highlight w:val="none"/>
        </w:rPr>
      </w:pPr>
      <w:r>
        <w:rPr>
          <w:rFonts w:hint="eastAsia" w:ascii="宋体" w:hAnsi="宋体" w:cs="Arial"/>
          <w:bCs/>
          <w:color w:val="auto"/>
          <w:szCs w:val="21"/>
          <w:highlight w:val="none"/>
        </w:rPr>
        <w:t>3.前述文件应认为是互为补充和解释的，如有互相矛盾之处，以前述文件所列顺序作为其优先解释的顺序，但如果某一文件对甲方权利维护更有利或对乙方有更高、更严格要求的以该文件内容为准。</w:t>
      </w:r>
    </w:p>
    <w:p w14:paraId="10BE21B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s="Arial"/>
          <w:color w:val="auto"/>
          <w:szCs w:val="21"/>
          <w:highlight w:val="none"/>
        </w:rPr>
      </w:pPr>
      <w:r>
        <w:rPr>
          <w:rFonts w:hint="eastAsia" w:ascii="宋体" w:hAnsi="宋体" w:cs="Arial"/>
          <w:color w:val="auto"/>
          <w:szCs w:val="21"/>
          <w:highlight w:val="none"/>
          <w:lang w:val="en-US" w:eastAsia="zh-CN"/>
        </w:rPr>
        <w:t>4</w:t>
      </w:r>
      <w:r>
        <w:rPr>
          <w:rFonts w:hint="eastAsia" w:ascii="宋体" w:hAnsi="宋体" w:cs="Arial"/>
          <w:color w:val="auto"/>
          <w:szCs w:val="21"/>
          <w:highlight w:val="none"/>
        </w:rPr>
        <w:t>.前述各项文件包括双方就该合同组成文件所作出的补充和修改，属于同一项文件的，应以最新签署的为准。</w:t>
      </w:r>
    </w:p>
    <w:p w14:paraId="3338933E">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ascii="宋体" w:hAnsi="宋体" w:cs="Arial"/>
          <w:b/>
          <w:color w:val="auto"/>
          <w:szCs w:val="21"/>
          <w:highlight w:val="none"/>
        </w:rPr>
      </w:pPr>
      <w:r>
        <w:rPr>
          <w:rFonts w:hint="eastAsia" w:ascii="宋体" w:hAnsi="宋体" w:cs="Arial"/>
          <w:b/>
          <w:color w:val="auto"/>
          <w:szCs w:val="21"/>
          <w:highlight w:val="none"/>
        </w:rPr>
        <w:t>第十</w:t>
      </w:r>
      <w:r>
        <w:rPr>
          <w:rFonts w:hint="eastAsia" w:ascii="宋体" w:hAnsi="宋体" w:cs="Arial"/>
          <w:b/>
          <w:color w:val="auto"/>
          <w:szCs w:val="21"/>
          <w:highlight w:val="none"/>
          <w:lang w:val="en-US" w:eastAsia="zh-CN"/>
        </w:rPr>
        <w:t>四</w:t>
      </w:r>
      <w:r>
        <w:rPr>
          <w:rFonts w:hint="eastAsia" w:ascii="宋体" w:hAnsi="宋体" w:cs="Arial"/>
          <w:b/>
          <w:color w:val="auto"/>
          <w:szCs w:val="21"/>
          <w:highlight w:val="none"/>
        </w:rPr>
        <w:t>条　合同生效及其它</w:t>
      </w:r>
    </w:p>
    <w:p w14:paraId="78F111B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s="Arial"/>
          <w:color w:val="auto"/>
          <w:szCs w:val="21"/>
          <w:highlight w:val="none"/>
        </w:rPr>
      </w:pPr>
      <w:r>
        <w:rPr>
          <w:rFonts w:hint="eastAsia" w:ascii="宋体" w:hAnsi="宋体" w:cs="Arial"/>
          <w:color w:val="auto"/>
          <w:szCs w:val="21"/>
          <w:highlight w:val="none"/>
        </w:rPr>
        <w:t>1.本合同履行期限为：</w:t>
      </w:r>
      <w:r>
        <w:rPr>
          <w:rFonts w:hint="eastAsia" w:ascii="宋体" w:hAnsi="宋体" w:cs="Arial"/>
          <w:color w:val="auto"/>
          <w:szCs w:val="21"/>
          <w:highlight w:val="none"/>
          <w:u w:val="single"/>
        </w:rPr>
        <w:t>按照本合同约定</w:t>
      </w:r>
      <w:r>
        <w:rPr>
          <w:rFonts w:hint="eastAsia" w:ascii="宋体" w:hAnsi="宋体" w:cs="Arial"/>
          <w:color w:val="auto"/>
          <w:szCs w:val="21"/>
          <w:highlight w:val="none"/>
        </w:rPr>
        <w:t>；合同履行地点为：</w:t>
      </w:r>
      <w:r>
        <w:rPr>
          <w:rFonts w:hint="eastAsia" w:ascii="宋体" w:hAnsi="宋体" w:cs="Arial"/>
          <w:color w:val="auto"/>
          <w:szCs w:val="21"/>
          <w:highlight w:val="none"/>
          <w:u w:val="single"/>
        </w:rPr>
        <w:t>广西防城港市</w:t>
      </w:r>
      <w:r>
        <w:rPr>
          <w:rFonts w:hint="eastAsia" w:ascii="宋体" w:hAnsi="宋体" w:cs="Arial"/>
          <w:color w:val="auto"/>
          <w:szCs w:val="21"/>
          <w:highlight w:val="none"/>
        </w:rPr>
        <w:t>；合同履行的方式：</w:t>
      </w:r>
      <w:r>
        <w:rPr>
          <w:rFonts w:hint="eastAsia" w:ascii="宋体" w:hAnsi="宋体" w:cs="Arial"/>
          <w:color w:val="auto"/>
          <w:szCs w:val="21"/>
          <w:highlight w:val="none"/>
          <w:u w:val="single"/>
        </w:rPr>
        <w:t>按照本合同约定</w:t>
      </w:r>
      <w:r>
        <w:rPr>
          <w:rFonts w:hint="eastAsia" w:ascii="宋体" w:hAnsi="宋体" w:cs="Arial"/>
          <w:color w:val="auto"/>
          <w:szCs w:val="21"/>
          <w:highlight w:val="none"/>
        </w:rPr>
        <w:t>。</w:t>
      </w:r>
    </w:p>
    <w:p w14:paraId="122FFB2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s="Arial"/>
          <w:color w:val="auto"/>
          <w:szCs w:val="21"/>
          <w:highlight w:val="none"/>
        </w:rPr>
      </w:pPr>
      <w:r>
        <w:rPr>
          <w:rFonts w:ascii="宋体" w:hAnsi="宋体" w:cs="Arial"/>
          <w:color w:val="auto"/>
          <w:szCs w:val="21"/>
          <w:highlight w:val="none"/>
        </w:rPr>
        <w:t>2</w:t>
      </w:r>
      <w:r>
        <w:rPr>
          <w:rFonts w:hint="eastAsia" w:ascii="宋体" w:hAnsi="宋体" w:cs="Arial"/>
          <w:color w:val="auto"/>
          <w:szCs w:val="21"/>
          <w:highlight w:val="none"/>
        </w:rPr>
        <w:t>.合同经双方法定代表人或授权代表签字并加盖单位公章后生效。本合同一式五份，具有同等法律效力。</w:t>
      </w:r>
      <w:r>
        <w:rPr>
          <w:rFonts w:hint="eastAsia" w:ascii="宋体" w:hAnsi="宋体" w:cs="Arial"/>
          <w:color w:val="auto"/>
          <w:spacing w:val="4"/>
          <w:szCs w:val="21"/>
          <w:highlight w:val="none"/>
        </w:rPr>
        <w:t>采购代理机构</w:t>
      </w:r>
      <w:r>
        <w:rPr>
          <w:rFonts w:hint="eastAsia" w:ascii="宋体" w:hAnsi="宋体" w:cs="Arial"/>
          <w:color w:val="auto"/>
          <w:szCs w:val="21"/>
          <w:highlight w:val="none"/>
        </w:rPr>
        <w:t>一份，甲方三份，乙方一份。</w:t>
      </w:r>
    </w:p>
    <w:p w14:paraId="1FAC851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s="Arial"/>
          <w:color w:val="auto"/>
          <w:szCs w:val="21"/>
          <w:highlight w:val="none"/>
        </w:rPr>
      </w:pPr>
      <w:r>
        <w:rPr>
          <w:rFonts w:ascii="宋体" w:hAnsi="宋体" w:cs="Arial"/>
          <w:color w:val="auto"/>
          <w:szCs w:val="21"/>
          <w:highlight w:val="none"/>
        </w:rPr>
        <w:t>3</w:t>
      </w:r>
      <w:r>
        <w:rPr>
          <w:rFonts w:hint="eastAsia" w:ascii="宋体" w:hAnsi="宋体" w:cs="Arial"/>
          <w:color w:val="auto"/>
          <w:szCs w:val="21"/>
          <w:highlight w:val="none"/>
        </w:rPr>
        <w:t>.合同执行中涉及采购资金和采购内容修改或补充的，须签</w:t>
      </w:r>
      <w:r>
        <w:rPr>
          <w:rFonts w:hint="eastAsia" w:ascii="宋体" w:hAnsi="宋体" w:cs="Arial"/>
          <w:color w:val="auto"/>
          <w:szCs w:val="21"/>
          <w:highlight w:val="none"/>
          <w:lang w:val="en-US" w:eastAsia="zh-CN"/>
        </w:rPr>
        <w:t>订</w:t>
      </w:r>
      <w:r>
        <w:rPr>
          <w:rFonts w:hint="eastAsia" w:ascii="宋体" w:hAnsi="宋体" w:cs="Arial"/>
          <w:color w:val="auto"/>
          <w:szCs w:val="21"/>
          <w:highlight w:val="none"/>
        </w:rPr>
        <w:t>书面补充协议方可作为主合同不可分割的一部分。</w:t>
      </w:r>
    </w:p>
    <w:p w14:paraId="3E0B5A3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ascii="宋体" w:hAnsi="宋体" w:cs="Arial"/>
          <w:color w:val="auto"/>
          <w:szCs w:val="21"/>
          <w:highlight w:val="none"/>
        </w:rPr>
        <w:t>4</w:t>
      </w:r>
      <w:r>
        <w:rPr>
          <w:rFonts w:hint="eastAsia" w:ascii="宋体" w:hAnsi="宋体" w:cs="Arial"/>
          <w:color w:val="auto"/>
          <w:szCs w:val="21"/>
          <w:highlight w:val="none"/>
        </w:rPr>
        <w:t>.本合同未尽事宜，遵照《中华人民共和国民法典》有关条文执行。</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47"/>
        <w:gridCol w:w="4548"/>
      </w:tblGrid>
      <w:tr w14:paraId="40053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2500" w:type="pct"/>
            <w:tcBorders>
              <w:top w:val="single" w:color="auto" w:sz="4" w:space="0"/>
              <w:left w:val="single" w:color="auto" w:sz="4" w:space="0"/>
              <w:bottom w:val="single" w:color="auto" w:sz="4" w:space="0"/>
              <w:right w:val="single" w:color="auto" w:sz="4" w:space="0"/>
            </w:tcBorders>
            <w:noWrap w:val="0"/>
            <w:vAlign w:val="center"/>
          </w:tcPr>
          <w:p w14:paraId="7BC82483">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auto"/>
                <w:szCs w:val="21"/>
                <w:highlight w:val="none"/>
              </w:rPr>
            </w:pPr>
            <w:r>
              <w:rPr>
                <w:rFonts w:hint="eastAsia" w:ascii="宋体" w:hAnsi="宋体"/>
                <w:color w:val="auto"/>
                <w:szCs w:val="21"/>
                <w:highlight w:val="none"/>
              </w:rPr>
              <w:t xml:space="preserve">甲方（章）           </w:t>
            </w:r>
          </w:p>
          <w:p w14:paraId="13B0C290">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auto"/>
                <w:szCs w:val="21"/>
                <w:highlight w:val="none"/>
              </w:rPr>
            </w:pPr>
          </w:p>
          <w:p w14:paraId="6214039A">
            <w:pPr>
              <w:keepNext w:val="0"/>
              <w:keepLines w:val="0"/>
              <w:pageBreakBefore w:val="0"/>
              <w:widowControl w:val="0"/>
              <w:kinsoku/>
              <w:wordWrap/>
              <w:overflowPunct/>
              <w:topLinePunct w:val="0"/>
              <w:autoSpaceDE/>
              <w:autoSpaceDN/>
              <w:bidi w:val="0"/>
              <w:adjustRightInd/>
              <w:snapToGrid/>
              <w:spacing w:line="360" w:lineRule="exact"/>
              <w:ind w:firstLine="945" w:firstLineChars="450"/>
              <w:jc w:val="right"/>
              <w:textAlignment w:val="auto"/>
              <w:rPr>
                <w:rFonts w:ascii="宋体" w:hAnsi="宋体"/>
                <w:color w:val="auto"/>
                <w:szCs w:val="21"/>
                <w:highlight w:val="none"/>
              </w:rPr>
            </w:pPr>
            <w:r>
              <w:rPr>
                <w:rFonts w:hint="eastAsia" w:ascii="宋体" w:hAnsi="宋体"/>
                <w:color w:val="auto"/>
                <w:szCs w:val="21"/>
                <w:highlight w:val="none"/>
              </w:rPr>
              <w:t>年   月   日</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5E8BEA1A">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auto"/>
                <w:szCs w:val="21"/>
                <w:highlight w:val="none"/>
              </w:rPr>
            </w:pPr>
            <w:r>
              <w:rPr>
                <w:rFonts w:hint="eastAsia" w:ascii="宋体" w:hAnsi="宋体"/>
                <w:color w:val="auto"/>
                <w:szCs w:val="21"/>
                <w:highlight w:val="none"/>
              </w:rPr>
              <w:t xml:space="preserve">乙方（章）              </w:t>
            </w:r>
          </w:p>
          <w:p w14:paraId="7F9EC928">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auto"/>
                <w:szCs w:val="21"/>
                <w:highlight w:val="none"/>
              </w:rPr>
            </w:pPr>
          </w:p>
          <w:p w14:paraId="04E95EF2">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ascii="宋体" w:hAnsi="宋体"/>
                <w:color w:val="auto"/>
                <w:szCs w:val="21"/>
                <w:highlight w:val="none"/>
              </w:rPr>
            </w:pPr>
            <w:r>
              <w:rPr>
                <w:rFonts w:hint="eastAsia" w:ascii="宋体" w:hAnsi="宋体"/>
                <w:color w:val="auto"/>
                <w:szCs w:val="21"/>
                <w:highlight w:val="none"/>
              </w:rPr>
              <w:t xml:space="preserve"> 年   月   日</w:t>
            </w:r>
          </w:p>
        </w:tc>
      </w:tr>
      <w:tr w14:paraId="6B0A0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500" w:type="pct"/>
            <w:tcBorders>
              <w:top w:val="single" w:color="auto" w:sz="4" w:space="0"/>
              <w:left w:val="single" w:color="auto" w:sz="4" w:space="0"/>
              <w:bottom w:val="single" w:color="auto" w:sz="4" w:space="0"/>
              <w:right w:val="single" w:color="auto" w:sz="4" w:space="0"/>
            </w:tcBorders>
            <w:noWrap w:val="0"/>
            <w:vAlign w:val="center"/>
          </w:tcPr>
          <w:p w14:paraId="54F65E6E">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auto"/>
                <w:szCs w:val="21"/>
                <w:highlight w:val="none"/>
              </w:rPr>
            </w:pPr>
            <w:r>
              <w:rPr>
                <w:rFonts w:hint="eastAsia" w:ascii="宋体" w:hAnsi="宋体"/>
                <w:color w:val="auto"/>
                <w:szCs w:val="21"/>
                <w:highlight w:val="none"/>
              </w:rPr>
              <w:t>单位地址：</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29FC9F58">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auto"/>
                <w:szCs w:val="21"/>
                <w:highlight w:val="none"/>
              </w:rPr>
            </w:pPr>
            <w:r>
              <w:rPr>
                <w:rFonts w:hint="eastAsia" w:ascii="宋体" w:hAnsi="宋体"/>
                <w:color w:val="auto"/>
                <w:szCs w:val="21"/>
                <w:highlight w:val="none"/>
              </w:rPr>
              <w:t>单位地址：</w:t>
            </w:r>
          </w:p>
        </w:tc>
      </w:tr>
      <w:tr w14:paraId="35CCA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500" w:type="pct"/>
            <w:tcBorders>
              <w:top w:val="single" w:color="auto" w:sz="4" w:space="0"/>
              <w:left w:val="single" w:color="auto" w:sz="4" w:space="0"/>
              <w:bottom w:val="single" w:color="auto" w:sz="4" w:space="0"/>
              <w:right w:val="single" w:color="auto" w:sz="4" w:space="0"/>
            </w:tcBorders>
            <w:noWrap w:val="0"/>
            <w:vAlign w:val="center"/>
          </w:tcPr>
          <w:p w14:paraId="2AADFF66">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auto"/>
                <w:szCs w:val="21"/>
                <w:highlight w:val="none"/>
              </w:rPr>
            </w:pPr>
            <w:r>
              <w:rPr>
                <w:rFonts w:hint="eastAsia" w:ascii="宋体" w:hAnsi="宋体"/>
                <w:color w:val="auto"/>
                <w:szCs w:val="21"/>
                <w:highlight w:val="none"/>
              </w:rPr>
              <w:t>法定代表人：</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50B5CA75">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auto"/>
                <w:szCs w:val="21"/>
                <w:highlight w:val="none"/>
              </w:rPr>
            </w:pPr>
            <w:r>
              <w:rPr>
                <w:rFonts w:hint="eastAsia" w:ascii="宋体" w:hAnsi="宋体"/>
                <w:color w:val="auto"/>
                <w:szCs w:val="21"/>
                <w:highlight w:val="none"/>
              </w:rPr>
              <w:t>法定代表人：</w:t>
            </w:r>
          </w:p>
        </w:tc>
      </w:tr>
      <w:tr w14:paraId="6C8A0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500" w:type="pct"/>
            <w:tcBorders>
              <w:top w:val="single" w:color="auto" w:sz="4" w:space="0"/>
              <w:left w:val="single" w:color="auto" w:sz="4" w:space="0"/>
              <w:bottom w:val="single" w:color="auto" w:sz="4" w:space="0"/>
              <w:right w:val="single" w:color="auto" w:sz="4" w:space="0"/>
            </w:tcBorders>
            <w:noWrap w:val="0"/>
            <w:vAlign w:val="center"/>
          </w:tcPr>
          <w:p w14:paraId="38511454">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auto"/>
                <w:szCs w:val="21"/>
                <w:highlight w:val="none"/>
              </w:rPr>
            </w:pPr>
            <w:r>
              <w:rPr>
                <w:rFonts w:hint="eastAsia" w:ascii="宋体" w:hAnsi="宋体"/>
                <w:color w:val="auto"/>
                <w:szCs w:val="21"/>
                <w:highlight w:val="none"/>
              </w:rPr>
              <w:t>委托代理人：</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306800A1">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auto"/>
                <w:szCs w:val="21"/>
                <w:highlight w:val="none"/>
              </w:rPr>
            </w:pPr>
            <w:r>
              <w:rPr>
                <w:rFonts w:hint="eastAsia" w:ascii="宋体" w:hAnsi="宋体"/>
                <w:color w:val="auto"/>
                <w:szCs w:val="21"/>
                <w:highlight w:val="none"/>
              </w:rPr>
              <w:t>委托代理人：</w:t>
            </w:r>
          </w:p>
        </w:tc>
      </w:tr>
      <w:tr w14:paraId="5CDE0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500" w:type="pct"/>
            <w:tcBorders>
              <w:top w:val="single" w:color="auto" w:sz="4" w:space="0"/>
              <w:left w:val="single" w:color="auto" w:sz="4" w:space="0"/>
              <w:bottom w:val="single" w:color="auto" w:sz="4" w:space="0"/>
              <w:right w:val="single" w:color="auto" w:sz="4" w:space="0"/>
            </w:tcBorders>
            <w:noWrap w:val="0"/>
            <w:vAlign w:val="center"/>
          </w:tcPr>
          <w:p w14:paraId="147DE2FA">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auto"/>
                <w:szCs w:val="21"/>
                <w:highlight w:val="none"/>
              </w:rPr>
            </w:pPr>
            <w:r>
              <w:rPr>
                <w:rFonts w:hint="eastAsia" w:ascii="宋体" w:hAnsi="宋体"/>
                <w:color w:val="auto"/>
                <w:szCs w:val="21"/>
                <w:highlight w:val="none"/>
              </w:rPr>
              <w:t>电话：</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6E103114">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auto"/>
                <w:szCs w:val="21"/>
                <w:highlight w:val="none"/>
              </w:rPr>
            </w:pPr>
            <w:r>
              <w:rPr>
                <w:rFonts w:hint="eastAsia" w:ascii="宋体" w:hAnsi="宋体"/>
                <w:color w:val="auto"/>
                <w:szCs w:val="21"/>
                <w:highlight w:val="none"/>
              </w:rPr>
              <w:t>电话：</w:t>
            </w:r>
          </w:p>
        </w:tc>
      </w:tr>
      <w:tr w14:paraId="650EF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500" w:type="pct"/>
            <w:tcBorders>
              <w:top w:val="single" w:color="auto" w:sz="4" w:space="0"/>
              <w:left w:val="single" w:color="auto" w:sz="4" w:space="0"/>
              <w:bottom w:val="single" w:color="auto" w:sz="4" w:space="0"/>
              <w:right w:val="single" w:color="auto" w:sz="4" w:space="0"/>
            </w:tcBorders>
            <w:noWrap w:val="0"/>
            <w:vAlign w:val="center"/>
          </w:tcPr>
          <w:p w14:paraId="661E0B52">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auto"/>
                <w:szCs w:val="21"/>
                <w:highlight w:val="none"/>
              </w:rPr>
            </w:pPr>
            <w:r>
              <w:rPr>
                <w:rFonts w:hint="eastAsia" w:ascii="宋体" w:hAnsi="宋体"/>
                <w:color w:val="auto"/>
                <w:szCs w:val="21"/>
                <w:highlight w:val="none"/>
              </w:rPr>
              <w:t>电子邮箱：</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6C997A04">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auto"/>
                <w:szCs w:val="21"/>
                <w:highlight w:val="none"/>
              </w:rPr>
            </w:pPr>
            <w:r>
              <w:rPr>
                <w:rFonts w:hint="eastAsia" w:ascii="宋体" w:hAnsi="宋体"/>
                <w:color w:val="auto"/>
                <w:szCs w:val="21"/>
                <w:highlight w:val="none"/>
              </w:rPr>
              <w:t>电子邮箱：</w:t>
            </w:r>
          </w:p>
        </w:tc>
      </w:tr>
      <w:tr w14:paraId="398B5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500" w:type="pct"/>
            <w:tcBorders>
              <w:top w:val="single" w:color="auto" w:sz="4" w:space="0"/>
              <w:left w:val="single" w:color="auto" w:sz="4" w:space="0"/>
              <w:bottom w:val="single" w:color="auto" w:sz="4" w:space="0"/>
              <w:right w:val="single" w:color="auto" w:sz="4" w:space="0"/>
            </w:tcBorders>
            <w:noWrap w:val="0"/>
            <w:vAlign w:val="center"/>
          </w:tcPr>
          <w:p w14:paraId="1A121AEF">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auto"/>
                <w:szCs w:val="21"/>
                <w:highlight w:val="none"/>
              </w:rPr>
            </w:pPr>
            <w:r>
              <w:rPr>
                <w:rFonts w:hint="eastAsia" w:ascii="宋体" w:hAnsi="宋体"/>
                <w:color w:val="auto"/>
                <w:szCs w:val="21"/>
                <w:highlight w:val="none"/>
              </w:rPr>
              <w:t>开户银行：</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03BB1EF9">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auto"/>
                <w:szCs w:val="21"/>
                <w:highlight w:val="none"/>
              </w:rPr>
            </w:pPr>
            <w:r>
              <w:rPr>
                <w:rFonts w:hint="eastAsia" w:ascii="宋体" w:hAnsi="宋体"/>
                <w:color w:val="auto"/>
                <w:szCs w:val="21"/>
                <w:highlight w:val="none"/>
              </w:rPr>
              <w:t>开户银行：</w:t>
            </w:r>
          </w:p>
        </w:tc>
      </w:tr>
      <w:tr w14:paraId="271E6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500" w:type="pct"/>
            <w:tcBorders>
              <w:top w:val="single" w:color="auto" w:sz="4" w:space="0"/>
              <w:left w:val="single" w:color="auto" w:sz="4" w:space="0"/>
              <w:bottom w:val="single" w:color="auto" w:sz="4" w:space="0"/>
              <w:right w:val="single" w:color="auto" w:sz="4" w:space="0"/>
            </w:tcBorders>
            <w:noWrap w:val="0"/>
            <w:vAlign w:val="center"/>
          </w:tcPr>
          <w:p w14:paraId="5AA430EE">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auto"/>
                <w:szCs w:val="21"/>
                <w:highlight w:val="none"/>
              </w:rPr>
            </w:pPr>
            <w:r>
              <w:rPr>
                <w:rFonts w:hint="eastAsia" w:ascii="宋体" w:hAnsi="宋体"/>
                <w:color w:val="auto"/>
                <w:szCs w:val="21"/>
                <w:highlight w:val="none"/>
              </w:rPr>
              <w:t>账号：</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2CD9E8C6">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auto"/>
                <w:szCs w:val="21"/>
                <w:highlight w:val="none"/>
              </w:rPr>
            </w:pPr>
            <w:r>
              <w:rPr>
                <w:rFonts w:hint="eastAsia" w:ascii="宋体" w:hAnsi="宋体"/>
                <w:color w:val="auto"/>
                <w:szCs w:val="21"/>
                <w:highlight w:val="none"/>
              </w:rPr>
              <w:t>账号：</w:t>
            </w:r>
          </w:p>
        </w:tc>
      </w:tr>
      <w:tr w14:paraId="1B561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500" w:type="pct"/>
            <w:tcBorders>
              <w:top w:val="single" w:color="auto" w:sz="4" w:space="0"/>
              <w:left w:val="single" w:color="auto" w:sz="4" w:space="0"/>
              <w:bottom w:val="single" w:color="auto" w:sz="4" w:space="0"/>
              <w:right w:val="single" w:color="auto" w:sz="4" w:space="0"/>
            </w:tcBorders>
            <w:noWrap w:val="0"/>
            <w:vAlign w:val="center"/>
          </w:tcPr>
          <w:p w14:paraId="4338F238">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auto"/>
                <w:szCs w:val="21"/>
                <w:highlight w:val="none"/>
              </w:rPr>
            </w:pPr>
            <w:r>
              <w:rPr>
                <w:rFonts w:hint="eastAsia" w:ascii="宋体" w:hAnsi="宋体"/>
                <w:color w:val="auto"/>
                <w:szCs w:val="21"/>
                <w:highlight w:val="none"/>
              </w:rPr>
              <w:t>纳税人识别号或统一社会信用代码：</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45DA2784">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auto"/>
                <w:szCs w:val="21"/>
                <w:highlight w:val="none"/>
              </w:rPr>
            </w:pPr>
            <w:r>
              <w:rPr>
                <w:rFonts w:hint="eastAsia" w:ascii="宋体" w:hAnsi="宋体"/>
                <w:color w:val="auto"/>
                <w:szCs w:val="21"/>
                <w:highlight w:val="none"/>
              </w:rPr>
              <w:t>纳税人识别号或统一社会信用代码：</w:t>
            </w:r>
          </w:p>
        </w:tc>
      </w:tr>
      <w:tr w14:paraId="5CE27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500" w:type="pct"/>
            <w:tcBorders>
              <w:top w:val="single" w:color="auto" w:sz="4" w:space="0"/>
              <w:left w:val="single" w:color="auto" w:sz="4" w:space="0"/>
              <w:bottom w:val="single" w:color="auto" w:sz="4" w:space="0"/>
              <w:right w:val="single" w:color="auto" w:sz="4" w:space="0"/>
            </w:tcBorders>
            <w:noWrap w:val="0"/>
            <w:vAlign w:val="center"/>
          </w:tcPr>
          <w:p w14:paraId="593BD748">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auto"/>
                <w:szCs w:val="21"/>
                <w:highlight w:val="none"/>
              </w:rPr>
            </w:pPr>
            <w:r>
              <w:rPr>
                <w:rFonts w:hint="eastAsia" w:ascii="宋体" w:hAnsi="宋体"/>
                <w:color w:val="auto"/>
                <w:szCs w:val="21"/>
                <w:highlight w:val="none"/>
              </w:rPr>
              <w:t>邮政编码：</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24746A2E">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auto"/>
                <w:szCs w:val="21"/>
                <w:highlight w:val="none"/>
              </w:rPr>
            </w:pPr>
            <w:r>
              <w:rPr>
                <w:rFonts w:hint="eastAsia" w:ascii="宋体" w:hAnsi="宋体"/>
                <w:color w:val="auto"/>
                <w:szCs w:val="21"/>
                <w:highlight w:val="none"/>
              </w:rPr>
              <w:t>邮政编码：</w:t>
            </w:r>
          </w:p>
        </w:tc>
      </w:tr>
    </w:tbl>
    <w:p w14:paraId="61E3C14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color w:val="auto"/>
          <w:sz w:val="6"/>
          <w:szCs w:val="6"/>
          <w:highlight w:val="none"/>
        </w:rPr>
      </w:pPr>
    </w:p>
    <w:p w14:paraId="605677C4">
      <w:pPr>
        <w:spacing w:line="360" w:lineRule="exact"/>
        <w:rPr>
          <w:rFonts w:hint="eastAsia" w:ascii="宋体" w:hAnsi="宋体" w:cs="宋体"/>
          <w:color w:val="auto"/>
          <w:sz w:val="6"/>
          <w:szCs w:val="6"/>
          <w:highlight w:val="none"/>
        </w:rPr>
      </w:pPr>
    </w:p>
    <w:sectPr>
      <w:pgSz w:w="11906" w:h="16838"/>
      <w:pgMar w:top="1440" w:right="1440" w:bottom="1440" w:left="158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方正小标宋_GBK">
    <w:altName w:val="Arial Unicode MS"/>
    <w:panose1 w:val="02000000000000000000"/>
    <w:charset w:val="86"/>
    <w:family w:val="script"/>
    <w:pitch w:val="default"/>
    <w:sig w:usb0="00000000" w:usb1="00000000" w:usb2="00000000" w:usb3="00000000" w:csb0="00040000" w:csb1="00000000"/>
  </w:font>
  <w:font w:name="方正书宋_GBK">
    <w:altName w:val="Arial Unicode MS"/>
    <w:panose1 w:val="02000000000000000000"/>
    <w:charset w:val="86"/>
    <w:family w:val="auto"/>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3FFA9">
    <w:pPr>
      <w:pStyle w:val="47"/>
      <w:tabs>
        <w:tab w:val="center" w:pos="4439"/>
        <w:tab w:val="clear" w:pos="4153"/>
      </w:tabs>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05B89C3">
                          <w:pPr>
                            <w:pStyle w:val="47"/>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zql5uc8AAAAFAQAADwAA&#10;AAAAAAABACAAAAAiAAAAZHJzL2Rvd25yZXYueG1sUEsBAhQAFAAAAAgAh07iQCXxjXvmAQAAzwMA&#10;AA4AAAAAAAAAAQAgAAAAHgEAAGRycy9lMm9Eb2MueG1sUEsFBgAAAAAGAAYAWQEAAHYFAAAAAA==&#10;">
              <v:fill on="f" focussize="0,0"/>
              <v:stroke on="f"/>
              <v:imagedata o:title=""/>
              <o:lock v:ext="edit" aspectratio="f"/>
              <v:textbox inset="0mm,0mm,0mm,0mm" style="mso-fit-shape-to-text:t;">
                <w:txbxContent>
                  <w:p w14:paraId="605B89C3">
                    <w:pPr>
                      <w:pStyle w:val="47"/>
                    </w:pPr>
                    <w:r>
                      <w:fldChar w:fldCharType="begin"/>
                    </w:r>
                    <w:r>
                      <w:instrText xml:space="preserve"> PAGE  \* MERGEFORMAT </w:instrText>
                    </w:r>
                    <w:r>
                      <w:fldChar w:fldCharType="separate"/>
                    </w:r>
                    <w:r>
                      <w:t>1</w:t>
                    </w:r>
                    <w:r>
                      <w:fldChar w:fldCharType="end"/>
                    </w:r>
                  </w:p>
                </w:txbxContent>
              </v:textbox>
            </v:shape>
          </w:pict>
        </mc:Fallback>
      </mc:AlternateContent>
    </w:r>
  </w:p>
  <w:p w14:paraId="4FAC5BF9">
    <w:pPr>
      <w:pStyle w:val="4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60752">
    <w:pPr>
      <w:pStyle w:val="47"/>
      <w:tabs>
        <w:tab w:val="center" w:pos="4439"/>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CC46EF5"/>
                      </w:txbxContent>
                    </wps:txbx>
                    <wps:bodyPr vert="horz" wrap="none" lIns="0" tIns="0" rIns="0" bIns="0" anchor="t" anchorCtr="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OqXm5zwAAAAUBAAAPAAAA&#10;AAAAAAEAIAAAACIAAABkcnMvZG93bnJldi54bWxQSwECFAAUAAAACACHTuJA/tVb9eUBAADPAwAA&#10;DgAAAAAAAAABACAAAAAeAQAAZHJzL2Uyb0RvYy54bWxQSwUGAAAAAAYABgBZAQAAdQUAAAAA&#10;">
              <v:fill on="f" focussize="0,0"/>
              <v:stroke on="f"/>
              <v:imagedata o:title=""/>
              <o:lock v:ext="edit" aspectratio="f"/>
              <v:textbox inset="0mm,0mm,0mm,0mm" style="mso-fit-shape-to-text:t;">
                <w:txbxContent>
                  <w:p w14:paraId="1CC46EF5"/>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8BE7B">
    <w:pPr>
      <w:pStyle w:val="4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219E0A8">
                          <w:pPr>
                            <w:pStyle w:val="47"/>
                            <w:jc w:val="center"/>
                          </w:pPr>
                          <w:r>
                            <w:fldChar w:fldCharType="begin"/>
                          </w:r>
                          <w:r>
                            <w:instrText xml:space="preserve"> PAGE  \* MERGEFORMAT </w:instrText>
                          </w:r>
                          <w:r>
                            <w:fldChar w:fldCharType="separate"/>
                          </w:r>
                          <w:r>
                            <w:t>61</w:t>
                          </w:r>
                          <w:r>
                            <w:fldChar w:fldCharType="end"/>
                          </w:r>
                        </w:p>
                      </w:txbxContent>
                    </wps:txbx>
                    <wps:bodyPr vert="horz" wrap="none" lIns="0" tIns="0" rIns="0" bIns="0" anchor="t" anchorCtr="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ql5uc8AAAAFAQAADwAAAAAA&#10;AAABACAAAAAiAAAAZHJzL2Rvd25yZXYueG1sUEsBAhQAFAAAAAgAh07iQA99s+njAQAAzwMAAA4A&#10;AAAAAAAAAQAgAAAAHgEAAGRycy9lMm9Eb2MueG1sUEsFBgAAAAAGAAYAWQEAAHMFAAAAAA==&#10;">
              <v:fill on="f" focussize="0,0"/>
              <v:stroke on="f"/>
              <v:imagedata o:title=""/>
              <o:lock v:ext="edit" aspectratio="f"/>
              <v:textbox inset="0mm,0mm,0mm,0mm" style="mso-fit-shape-to-text:t;">
                <w:txbxContent>
                  <w:p w14:paraId="0219E0A8">
                    <w:pPr>
                      <w:pStyle w:val="47"/>
                      <w:jc w:val="center"/>
                    </w:pPr>
                    <w:r>
                      <w:fldChar w:fldCharType="begin"/>
                    </w:r>
                    <w:r>
                      <w:instrText xml:space="preserve"> PAGE  \* MERGEFORMAT </w:instrText>
                    </w:r>
                    <w:r>
                      <w:fldChar w:fldCharType="separate"/>
                    </w:r>
                    <w:r>
                      <w:t>61</w:t>
                    </w:r>
                    <w:r>
                      <w:fldChar w:fldCharType="end"/>
                    </w:r>
                  </w:p>
                </w:txbxContent>
              </v:textbox>
            </v:shape>
          </w:pict>
        </mc:Fallback>
      </mc:AlternateContent>
    </w:r>
  </w:p>
  <w:p w14:paraId="1D6E617B">
    <w:pPr>
      <w:pStyle w:val="4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75A73">
    <w:pPr>
      <w:pStyle w:val="47"/>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D578CA0">
                          <w:pPr>
                            <w:pStyle w:val="47"/>
                            <w:rPr>
                              <w:rFonts w:hint="eastAsia"/>
                            </w:rPr>
                          </w:pPr>
                          <w:r>
                            <w:rPr>
                              <w:rFonts w:hint="eastAsia"/>
                            </w:rPr>
                            <w:fldChar w:fldCharType="begin"/>
                          </w:r>
                          <w:r>
                            <w:rPr>
                              <w:rFonts w:hint="eastAsia"/>
                            </w:rPr>
                            <w:instrText xml:space="preserve"> PAGE  \* MERGEFORMAT </w:instrText>
                          </w:r>
                          <w:r>
                            <w:rPr>
                              <w:rFonts w:hint="eastAsia"/>
                            </w:rPr>
                            <w:fldChar w:fldCharType="separate"/>
                          </w:r>
                          <w:r>
                            <w:t>55</w:t>
                          </w:r>
                          <w:r>
                            <w:rPr>
                              <w:rFonts w:hint="eastAsia"/>
                            </w:rPr>
                            <w:fldChar w:fldCharType="end"/>
                          </w:r>
                        </w:p>
                      </w:txbxContent>
                    </wps:txbx>
                    <wps:bodyPr vert="horz" wrap="none" lIns="0" tIns="0" rIns="0" bIns="0" anchor="t" anchorCtr="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OqXm5zwAAAAUBAAAPAAAA&#10;AAAAAAEAIAAAACIAAABkcnMvZG93bnJldi54bWxQSwECFAAUAAAACACHTuJAtirHp+UBAADPAwAA&#10;DgAAAAAAAAABACAAAAAeAQAAZHJzL2Uyb0RvYy54bWxQSwUGAAAAAAYABgBZAQAAdQUAAAAA&#10;">
              <v:fill on="f" focussize="0,0"/>
              <v:stroke on="f"/>
              <v:imagedata o:title=""/>
              <o:lock v:ext="edit" aspectratio="f"/>
              <v:textbox inset="0mm,0mm,0mm,0mm" style="mso-fit-shape-to-text:t;">
                <w:txbxContent>
                  <w:p w14:paraId="1D578CA0">
                    <w:pPr>
                      <w:pStyle w:val="47"/>
                      <w:rPr>
                        <w:rFonts w:hint="eastAsia"/>
                      </w:rPr>
                    </w:pPr>
                    <w:r>
                      <w:rPr>
                        <w:rFonts w:hint="eastAsia"/>
                      </w:rPr>
                      <w:fldChar w:fldCharType="begin"/>
                    </w:r>
                    <w:r>
                      <w:rPr>
                        <w:rFonts w:hint="eastAsia"/>
                      </w:rPr>
                      <w:instrText xml:space="preserve"> PAGE  \* MERGEFORMAT </w:instrText>
                    </w:r>
                    <w:r>
                      <w:rPr>
                        <w:rFonts w:hint="eastAsia"/>
                      </w:rPr>
                      <w:fldChar w:fldCharType="separate"/>
                    </w:r>
                    <w:r>
                      <w:t>55</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23ED2">
    <w:pPr>
      <w:pStyle w:val="4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C436C">
    <w:pPr>
      <w:pStyle w:val="4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3E4A5F"/>
    <w:multiLevelType w:val="multilevel"/>
    <w:tmpl w:val="703E4A5F"/>
    <w:lvl w:ilvl="0" w:tentative="0">
      <w:start w:val="1"/>
      <w:numFmt w:val="decimal"/>
      <w:lvlText w:val="第%1章"/>
      <w:lvlJc w:val="left"/>
      <w:pPr>
        <w:ind w:left="0" w:firstLine="0"/>
      </w:pPr>
      <w:rPr>
        <w:rFonts w:hint="eastAsia"/>
      </w:rPr>
    </w:lvl>
    <w:lvl w:ilvl="1" w:tentative="0">
      <w:start w:val="1"/>
      <w:numFmt w:val="decimal"/>
      <w:lvlText w:val="%1.%2"/>
      <w:lvlJc w:val="left"/>
      <w:pPr>
        <w:ind w:left="0" w:firstLine="0"/>
      </w:pPr>
      <w:rPr>
        <w:rFonts w:hint="eastAsia"/>
      </w:rPr>
    </w:lvl>
    <w:lvl w:ilvl="2" w:tentative="0">
      <w:start w:val="1"/>
      <w:numFmt w:val="decimal"/>
      <w:pStyle w:val="20"/>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
    <w:nsid w:val="7DBEE4BE"/>
    <w:multiLevelType w:val="singleLevel"/>
    <w:tmpl w:val="7DBEE4BE"/>
    <w:lvl w:ilvl="0" w:tentative="0">
      <w:start w:val="1"/>
      <w:numFmt w:val="chineseCounting"/>
      <w:suff w:val="nothing"/>
      <w:lvlText w:val="第%1条　"/>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isplayHorizontalDrawingGridEvery w:val="1"/>
  <w:displayVerticalDrawingGridEvery w:val="1"/>
  <w:noPunctuationKerning w:val="1"/>
  <w:characterSpacingControl w:val="doNotCompress"/>
  <w:hdrShapeDefaults>
    <o:shapelayout v:ext="edit">
      <o:idmap v:ext="edit" data="3,4"/>
    </o:shapelayout>
  </w:hdrShapeDefaults>
  <w:compat>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4347F"/>
    <w:rsid w:val="02E17725"/>
    <w:rsid w:val="0315124E"/>
    <w:rsid w:val="036A3DC1"/>
    <w:rsid w:val="037759DB"/>
    <w:rsid w:val="0518197B"/>
    <w:rsid w:val="069227DA"/>
    <w:rsid w:val="075E051B"/>
    <w:rsid w:val="07E63ACD"/>
    <w:rsid w:val="08191757"/>
    <w:rsid w:val="081B54CF"/>
    <w:rsid w:val="08A70A2C"/>
    <w:rsid w:val="08BF40AC"/>
    <w:rsid w:val="09A777B0"/>
    <w:rsid w:val="0B6E1DBA"/>
    <w:rsid w:val="0D80666B"/>
    <w:rsid w:val="0DCF4D92"/>
    <w:rsid w:val="0F670FFA"/>
    <w:rsid w:val="0FFE195E"/>
    <w:rsid w:val="106519DD"/>
    <w:rsid w:val="109C2F25"/>
    <w:rsid w:val="11EB7CC0"/>
    <w:rsid w:val="12201FEA"/>
    <w:rsid w:val="128B6810"/>
    <w:rsid w:val="12C65B01"/>
    <w:rsid w:val="12DD62D4"/>
    <w:rsid w:val="12E017EF"/>
    <w:rsid w:val="13B239C0"/>
    <w:rsid w:val="146A5814"/>
    <w:rsid w:val="14EA2E54"/>
    <w:rsid w:val="152165B6"/>
    <w:rsid w:val="15772A72"/>
    <w:rsid w:val="15F9112A"/>
    <w:rsid w:val="16401DBF"/>
    <w:rsid w:val="168C165F"/>
    <w:rsid w:val="17067B69"/>
    <w:rsid w:val="17A728DB"/>
    <w:rsid w:val="17CE44BB"/>
    <w:rsid w:val="17FE0021"/>
    <w:rsid w:val="182E4DAB"/>
    <w:rsid w:val="194B7357"/>
    <w:rsid w:val="194D26EB"/>
    <w:rsid w:val="1A246465"/>
    <w:rsid w:val="1A2C356C"/>
    <w:rsid w:val="1CB15B83"/>
    <w:rsid w:val="1D03174A"/>
    <w:rsid w:val="1E3C6958"/>
    <w:rsid w:val="1F67E5BD"/>
    <w:rsid w:val="21B04A82"/>
    <w:rsid w:val="21C8470C"/>
    <w:rsid w:val="22462CF1"/>
    <w:rsid w:val="227B299A"/>
    <w:rsid w:val="22B80B87"/>
    <w:rsid w:val="23483364"/>
    <w:rsid w:val="237F540E"/>
    <w:rsid w:val="24ED56A6"/>
    <w:rsid w:val="256B319A"/>
    <w:rsid w:val="2596422C"/>
    <w:rsid w:val="263411B5"/>
    <w:rsid w:val="27415819"/>
    <w:rsid w:val="2763097E"/>
    <w:rsid w:val="27680F35"/>
    <w:rsid w:val="278A7408"/>
    <w:rsid w:val="27BF27FC"/>
    <w:rsid w:val="28104209"/>
    <w:rsid w:val="284960FE"/>
    <w:rsid w:val="2899001E"/>
    <w:rsid w:val="2AAA4B09"/>
    <w:rsid w:val="2B5D5573"/>
    <w:rsid w:val="2B604E23"/>
    <w:rsid w:val="2B746B21"/>
    <w:rsid w:val="2BDEE2DA"/>
    <w:rsid w:val="2C6E7D1C"/>
    <w:rsid w:val="2D8F5169"/>
    <w:rsid w:val="2E33594A"/>
    <w:rsid w:val="2EED69CE"/>
    <w:rsid w:val="2F37A9E7"/>
    <w:rsid w:val="2F953B2B"/>
    <w:rsid w:val="2FED1562"/>
    <w:rsid w:val="30DF3345"/>
    <w:rsid w:val="315076E8"/>
    <w:rsid w:val="31BE421E"/>
    <w:rsid w:val="32D87995"/>
    <w:rsid w:val="32F742BF"/>
    <w:rsid w:val="3351473B"/>
    <w:rsid w:val="34F53DC3"/>
    <w:rsid w:val="35CB1DD3"/>
    <w:rsid w:val="35CB37E1"/>
    <w:rsid w:val="35E60854"/>
    <w:rsid w:val="35FD888C"/>
    <w:rsid w:val="37A94406"/>
    <w:rsid w:val="38A82E5F"/>
    <w:rsid w:val="38D96215"/>
    <w:rsid w:val="39091A9E"/>
    <w:rsid w:val="3A3E19C3"/>
    <w:rsid w:val="3AD52E79"/>
    <w:rsid w:val="3B215CE4"/>
    <w:rsid w:val="3C21415B"/>
    <w:rsid w:val="3C766154"/>
    <w:rsid w:val="3CFF9D8A"/>
    <w:rsid w:val="3DFB2C8E"/>
    <w:rsid w:val="3ED7592C"/>
    <w:rsid w:val="3F2B5D3D"/>
    <w:rsid w:val="3F6522FC"/>
    <w:rsid w:val="3F664BE7"/>
    <w:rsid w:val="3F792A07"/>
    <w:rsid w:val="3FCC262F"/>
    <w:rsid w:val="3FCFC386"/>
    <w:rsid w:val="3FD85478"/>
    <w:rsid w:val="3FFD49EE"/>
    <w:rsid w:val="3FFDF923"/>
    <w:rsid w:val="3FFF5CB5"/>
    <w:rsid w:val="3FFFF25D"/>
    <w:rsid w:val="40A52636"/>
    <w:rsid w:val="41731101"/>
    <w:rsid w:val="442C5D93"/>
    <w:rsid w:val="45997D68"/>
    <w:rsid w:val="45CC33A7"/>
    <w:rsid w:val="47791828"/>
    <w:rsid w:val="477F2EFF"/>
    <w:rsid w:val="49E6199B"/>
    <w:rsid w:val="4A317C5F"/>
    <w:rsid w:val="4A547DF1"/>
    <w:rsid w:val="4A825723"/>
    <w:rsid w:val="4AB368C6"/>
    <w:rsid w:val="4CF842A4"/>
    <w:rsid w:val="4DA424E5"/>
    <w:rsid w:val="4ED65279"/>
    <w:rsid w:val="4EEF633A"/>
    <w:rsid w:val="4EFE0CE4"/>
    <w:rsid w:val="4F0022F6"/>
    <w:rsid w:val="4F0973FC"/>
    <w:rsid w:val="4FF7B825"/>
    <w:rsid w:val="503A5393"/>
    <w:rsid w:val="52020133"/>
    <w:rsid w:val="52B01C4B"/>
    <w:rsid w:val="52D94CDB"/>
    <w:rsid w:val="54D67699"/>
    <w:rsid w:val="54E90F74"/>
    <w:rsid w:val="54F83E79"/>
    <w:rsid w:val="55650138"/>
    <w:rsid w:val="557650C0"/>
    <w:rsid w:val="55FEA34F"/>
    <w:rsid w:val="574D2267"/>
    <w:rsid w:val="57A579C2"/>
    <w:rsid w:val="57D64361"/>
    <w:rsid w:val="57DD6EF5"/>
    <w:rsid w:val="58DE3F11"/>
    <w:rsid w:val="594A221A"/>
    <w:rsid w:val="596C0CB3"/>
    <w:rsid w:val="59C26B25"/>
    <w:rsid w:val="5A1E27D2"/>
    <w:rsid w:val="5A236E98"/>
    <w:rsid w:val="5BB24978"/>
    <w:rsid w:val="5C6F8B4D"/>
    <w:rsid w:val="5CC225AA"/>
    <w:rsid w:val="5CDA565D"/>
    <w:rsid w:val="5DEA03F9"/>
    <w:rsid w:val="5EBFD522"/>
    <w:rsid w:val="5EC93C79"/>
    <w:rsid w:val="5EDA1133"/>
    <w:rsid w:val="5F51605A"/>
    <w:rsid w:val="5F65DB41"/>
    <w:rsid w:val="5F787CB3"/>
    <w:rsid w:val="5F790C99"/>
    <w:rsid w:val="5FB7E5E1"/>
    <w:rsid w:val="5FBDAE08"/>
    <w:rsid w:val="5FDDEE92"/>
    <w:rsid w:val="5FF2B787"/>
    <w:rsid w:val="608E7761"/>
    <w:rsid w:val="610051C7"/>
    <w:rsid w:val="62B070C6"/>
    <w:rsid w:val="62DF6FAC"/>
    <w:rsid w:val="633D4FF9"/>
    <w:rsid w:val="63FF0E15"/>
    <w:rsid w:val="64A2389C"/>
    <w:rsid w:val="669F771E"/>
    <w:rsid w:val="66C60DE4"/>
    <w:rsid w:val="676603DB"/>
    <w:rsid w:val="677F6642"/>
    <w:rsid w:val="682D3D04"/>
    <w:rsid w:val="68751AA8"/>
    <w:rsid w:val="69584DB0"/>
    <w:rsid w:val="69DB15E6"/>
    <w:rsid w:val="6A1614C7"/>
    <w:rsid w:val="6AC74EE7"/>
    <w:rsid w:val="6AF521A1"/>
    <w:rsid w:val="6B0C252C"/>
    <w:rsid w:val="6B3507BB"/>
    <w:rsid w:val="6BCB2887"/>
    <w:rsid w:val="6CB66EDD"/>
    <w:rsid w:val="6CFE4DF5"/>
    <w:rsid w:val="6E11379E"/>
    <w:rsid w:val="6E706D53"/>
    <w:rsid w:val="6F4B2CC1"/>
    <w:rsid w:val="6F5C0259"/>
    <w:rsid w:val="6F5C1CA6"/>
    <w:rsid w:val="6FFEDA49"/>
    <w:rsid w:val="70017F76"/>
    <w:rsid w:val="71054B5B"/>
    <w:rsid w:val="7157594D"/>
    <w:rsid w:val="71E74F23"/>
    <w:rsid w:val="71FA1AFC"/>
    <w:rsid w:val="725F2F8D"/>
    <w:rsid w:val="72DE5BDC"/>
    <w:rsid w:val="73EEDC3C"/>
    <w:rsid w:val="74AF306E"/>
    <w:rsid w:val="74FFECB5"/>
    <w:rsid w:val="75681E2B"/>
    <w:rsid w:val="75E55C1E"/>
    <w:rsid w:val="767B6BF0"/>
    <w:rsid w:val="76DFEF2A"/>
    <w:rsid w:val="772C1811"/>
    <w:rsid w:val="773C47A7"/>
    <w:rsid w:val="77901BB9"/>
    <w:rsid w:val="77C6382D"/>
    <w:rsid w:val="77DBA4AA"/>
    <w:rsid w:val="77FC3202"/>
    <w:rsid w:val="78942649"/>
    <w:rsid w:val="795C5BEF"/>
    <w:rsid w:val="7A4232CB"/>
    <w:rsid w:val="7A469108"/>
    <w:rsid w:val="7AFE58D3"/>
    <w:rsid w:val="7B2E3BC3"/>
    <w:rsid w:val="7B31720F"/>
    <w:rsid w:val="7B545102"/>
    <w:rsid w:val="7B60188E"/>
    <w:rsid w:val="7B99A2C5"/>
    <w:rsid w:val="7BE7A968"/>
    <w:rsid w:val="7BFBA04A"/>
    <w:rsid w:val="7BFFF6F9"/>
    <w:rsid w:val="7CB15DBB"/>
    <w:rsid w:val="7D7C7161"/>
    <w:rsid w:val="7DBB55E3"/>
    <w:rsid w:val="7DCE1369"/>
    <w:rsid w:val="7DFFEDBA"/>
    <w:rsid w:val="7E1524AB"/>
    <w:rsid w:val="7E9FBC3D"/>
    <w:rsid w:val="7EB402B8"/>
    <w:rsid w:val="7EB44B67"/>
    <w:rsid w:val="7ED07610"/>
    <w:rsid w:val="7F785629"/>
    <w:rsid w:val="7F7F8F61"/>
    <w:rsid w:val="7FA2692E"/>
    <w:rsid w:val="7FD71942"/>
    <w:rsid w:val="7FEFFECB"/>
    <w:rsid w:val="7FFB31FD"/>
    <w:rsid w:val="7FFDA9DC"/>
    <w:rsid w:val="975F05A7"/>
    <w:rsid w:val="9FBB053D"/>
    <w:rsid w:val="A0F71C27"/>
    <w:rsid w:val="A6AEC598"/>
    <w:rsid w:val="A76FCC2F"/>
    <w:rsid w:val="ADDC3F3D"/>
    <w:rsid w:val="AF26F75E"/>
    <w:rsid w:val="AFA11323"/>
    <w:rsid w:val="AFEDC95A"/>
    <w:rsid w:val="AFF725D6"/>
    <w:rsid w:val="AFF8A3A4"/>
    <w:rsid w:val="B5F8534B"/>
    <w:rsid w:val="BB6F0BCB"/>
    <w:rsid w:val="BB9F2D67"/>
    <w:rsid w:val="BBBE8DBB"/>
    <w:rsid w:val="BCBFC233"/>
    <w:rsid w:val="BFBF0A4E"/>
    <w:rsid w:val="BFFDE44D"/>
    <w:rsid w:val="BFFE8901"/>
    <w:rsid w:val="BFFF172D"/>
    <w:rsid w:val="BFFFF8CF"/>
    <w:rsid w:val="C4FF8D56"/>
    <w:rsid w:val="C9DE71F5"/>
    <w:rsid w:val="CBBEC2B3"/>
    <w:rsid w:val="D3F7BF93"/>
    <w:rsid w:val="D7EE3050"/>
    <w:rsid w:val="D7FC4688"/>
    <w:rsid w:val="D97FB509"/>
    <w:rsid w:val="DF475BD3"/>
    <w:rsid w:val="DFE97FDA"/>
    <w:rsid w:val="E6DF0AF6"/>
    <w:rsid w:val="E76E4F6F"/>
    <w:rsid w:val="ECD4900A"/>
    <w:rsid w:val="EEFE43B1"/>
    <w:rsid w:val="F63FD7A7"/>
    <w:rsid w:val="F7D7F784"/>
    <w:rsid w:val="F7EF92BD"/>
    <w:rsid w:val="FA5B59A1"/>
    <w:rsid w:val="FAFF53A5"/>
    <w:rsid w:val="FBBB5742"/>
    <w:rsid w:val="FBC49D37"/>
    <w:rsid w:val="FD9F25D4"/>
    <w:rsid w:val="FE713E2E"/>
    <w:rsid w:val="FE75E14F"/>
    <w:rsid w:val="FEDF57C7"/>
    <w:rsid w:val="FF3F44E5"/>
    <w:rsid w:val="FF67F79A"/>
    <w:rsid w:val="FFCC5FC9"/>
    <w:rsid w:val="FFD58CE2"/>
    <w:rsid w:val="FFFEDCF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qFormat/>
    <w:uiPriority w:val="0"/>
    <w:pPr>
      <w:jc w:val="left"/>
    </w:pPr>
  </w:style>
  <w:style w:type="paragraph" w:styleId="5">
    <w:name w:val="Body Text"/>
    <w:basedOn w:val="1"/>
    <w:next w:val="1"/>
    <w:unhideWhenUsed/>
    <w:qFormat/>
    <w:uiPriority w:val="0"/>
    <w:pPr>
      <w:spacing w:after="120"/>
    </w:pPr>
  </w:style>
  <w:style w:type="paragraph" w:styleId="6">
    <w:name w:val="Body Text Indent"/>
    <w:basedOn w:val="1"/>
    <w:next w:val="7"/>
    <w:qFormat/>
    <w:uiPriority w:val="0"/>
    <w:pPr>
      <w:spacing w:line="200" w:lineRule="exact"/>
      <w:ind w:firstLine="301"/>
    </w:pPr>
    <w:rPr>
      <w:rFonts w:ascii="宋体" w:hAnsi="Courier New"/>
      <w:spacing w:val="-4"/>
      <w:sz w:val="18"/>
      <w:szCs w:val="20"/>
    </w:rPr>
  </w:style>
  <w:style w:type="paragraph" w:styleId="7">
    <w:name w:val="envelope return"/>
    <w:basedOn w:val="1"/>
    <w:qFormat/>
    <w:uiPriority w:val="0"/>
    <w:pPr>
      <w:widowControl/>
      <w:adjustRightInd w:val="0"/>
      <w:snapToGrid w:val="0"/>
      <w:spacing w:after="200"/>
      <w:jc w:val="left"/>
    </w:pPr>
    <w:rPr>
      <w:rFonts w:ascii="Arial" w:hAnsi="Arial" w:eastAsia="微软雅黑"/>
      <w:kern w:val="0"/>
      <w:sz w:val="22"/>
      <w:szCs w:val="22"/>
    </w:rPr>
  </w:style>
  <w:style w:type="paragraph" w:styleId="8">
    <w:name w:val="Block Text"/>
    <w:basedOn w:val="1"/>
    <w:qFormat/>
    <w:uiPriority w:val="0"/>
    <w:pPr>
      <w:adjustRightInd w:val="0"/>
      <w:ind w:left="420" w:right="33"/>
      <w:jc w:val="left"/>
      <w:textAlignment w:val="baseline"/>
    </w:pPr>
    <w:rPr>
      <w:kern w:val="0"/>
      <w:sz w:val="24"/>
      <w:szCs w:val="20"/>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Normal (Web)"/>
    <w:basedOn w:val="1"/>
    <w:unhideWhenUsed/>
    <w:qFormat/>
    <w:uiPriority w:val="99"/>
    <w:pPr>
      <w:spacing w:before="0" w:beforeAutospacing="0" w:after="0" w:afterAutospacing="0"/>
      <w:ind w:left="0" w:right="0"/>
      <w:jc w:val="both"/>
    </w:pPr>
    <w:rPr>
      <w:rFonts w:hint="default" w:ascii="Calibri" w:hAnsi="Calibri" w:cs="Calibri"/>
      <w:kern w:val="0"/>
      <w:sz w:val="24"/>
      <w:szCs w:val="24"/>
      <w:lang w:val="en-US" w:eastAsia="zh-CN" w:bidi="ar"/>
    </w:rPr>
  </w:style>
  <w:style w:type="paragraph" w:styleId="11">
    <w:name w:val="Body Text First Indent"/>
    <w:qFormat/>
    <w:uiPriority w:val="0"/>
    <w:pPr>
      <w:widowControl w:val="0"/>
      <w:spacing w:before="0" w:after="0" w:line="380" w:lineRule="atLeast"/>
      <w:ind w:left="0" w:right="0" w:firstLine="420" w:firstLineChars="100"/>
      <w:jc w:val="both"/>
    </w:pPr>
    <w:rPr>
      <w:rFonts w:ascii="宋体" w:hAnsi="Times New Roman" w:eastAsia="宋体" w:cs="Times New Roman"/>
      <w:kern w:val="0"/>
      <w:sz w:val="20"/>
      <w:szCs w:val="20"/>
      <w:lang w:val="en-US" w:eastAsia="zh-CN" w:bidi="ar-SA"/>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paragraph" w:customStyle="1" w:styleId="16">
    <w:name w:val="表格文字"/>
    <w:basedOn w:val="6"/>
    <w:next w:val="5"/>
    <w:qFormat/>
    <w:uiPriority w:val="0"/>
    <w:pPr>
      <w:spacing w:before="25" w:after="25"/>
      <w:jc w:val="left"/>
    </w:pPr>
    <w:rPr>
      <w:bCs/>
      <w:spacing w:val="10"/>
      <w:kern w:val="0"/>
      <w:sz w:val="24"/>
    </w:rPr>
  </w:style>
  <w:style w:type="character" w:customStyle="1" w:styleId="17">
    <w:name w:val="font51"/>
    <w:basedOn w:val="18"/>
    <w:qFormat/>
    <w:uiPriority w:val="0"/>
    <w:rPr>
      <w:rFonts w:hint="eastAsia" w:ascii="仿宋_GB2312" w:eastAsia="仿宋_GB2312" w:cs="仿宋_GB2312"/>
      <w:color w:val="000000"/>
      <w:sz w:val="24"/>
      <w:szCs w:val="24"/>
      <w:u w:val="none"/>
    </w:rPr>
  </w:style>
  <w:style w:type="character" w:customStyle="1" w:styleId="18">
    <w:name w:val="默认段落字体1"/>
    <w:qFormat/>
    <w:uiPriority w:val="0"/>
    <w:rPr>
      <w:rFonts w:ascii="Times New Roman" w:hAnsi="Times New Roman" w:eastAsia="宋体" w:cs="Times New Roman"/>
    </w:rPr>
  </w:style>
  <w:style w:type="paragraph" w:customStyle="1" w:styleId="19">
    <w:name w:val="标题 11"/>
    <w:basedOn w:val="20"/>
    <w:next w:val="1"/>
    <w:link w:val="21"/>
    <w:qFormat/>
    <w:uiPriority w:val="0"/>
    <w:pPr>
      <w:keepNext/>
      <w:keepLines/>
      <w:spacing w:before="340" w:after="330" w:line="578" w:lineRule="auto"/>
      <w:outlineLvl w:val="0"/>
    </w:pPr>
    <w:rPr>
      <w:kern w:val="44"/>
      <w:sz w:val="44"/>
      <w:szCs w:val="44"/>
    </w:rPr>
  </w:style>
  <w:style w:type="paragraph" w:customStyle="1" w:styleId="20">
    <w:name w:val="标题 31"/>
    <w:basedOn w:val="1"/>
    <w:next w:val="1"/>
    <w:qFormat/>
    <w:uiPriority w:val="9"/>
    <w:pPr>
      <w:widowControl/>
      <w:numPr>
        <w:ilvl w:val="2"/>
        <w:numId w:val="1"/>
      </w:numPr>
      <w:spacing w:after="0" w:line="480" w:lineRule="auto"/>
      <w:ind w:firstLineChars="0"/>
      <w:outlineLvl w:val="2"/>
    </w:pPr>
    <w:rPr>
      <w:b/>
      <w:bCs/>
      <w:sz w:val="30"/>
      <w:szCs w:val="32"/>
    </w:rPr>
  </w:style>
  <w:style w:type="character" w:customStyle="1" w:styleId="21">
    <w:name w:val="标题 1 Char"/>
    <w:link w:val="19"/>
    <w:qFormat/>
    <w:uiPriority w:val="0"/>
    <w:rPr>
      <w:rFonts w:ascii="Times New Roman" w:hAnsi="Times New Roman" w:eastAsia="宋体" w:cs="Times New Roman"/>
      <w:b/>
      <w:bCs/>
      <w:kern w:val="44"/>
      <w:sz w:val="44"/>
      <w:szCs w:val="44"/>
    </w:rPr>
  </w:style>
  <w:style w:type="paragraph" w:customStyle="1" w:styleId="22">
    <w:name w:val="标题 21"/>
    <w:basedOn w:val="1"/>
    <w:next w:val="1"/>
    <w:link w:val="23"/>
    <w:qFormat/>
    <w:uiPriority w:val="0"/>
    <w:pPr>
      <w:keepNext/>
      <w:keepLines/>
      <w:spacing w:before="260" w:after="260" w:line="416" w:lineRule="auto"/>
      <w:outlineLvl w:val="1"/>
    </w:pPr>
    <w:rPr>
      <w:rFonts w:ascii="Cambria" w:hAnsi="Cambria"/>
      <w:b/>
      <w:bCs/>
      <w:sz w:val="32"/>
      <w:szCs w:val="32"/>
    </w:rPr>
  </w:style>
  <w:style w:type="character" w:customStyle="1" w:styleId="23">
    <w:name w:val="标题 2 Char1"/>
    <w:link w:val="22"/>
    <w:qFormat/>
    <w:uiPriority w:val="0"/>
    <w:rPr>
      <w:rFonts w:ascii="Cambria" w:hAnsi="Cambria" w:eastAsia="宋体" w:cs="Times New Roman"/>
      <w:b/>
      <w:bCs/>
      <w:kern w:val="2"/>
      <w:sz w:val="32"/>
      <w:szCs w:val="32"/>
    </w:rPr>
  </w:style>
  <w:style w:type="paragraph" w:customStyle="1" w:styleId="24">
    <w:name w:val="标题 41"/>
    <w:basedOn w:val="1"/>
    <w:next w:val="1"/>
    <w:qFormat/>
    <w:uiPriority w:val="9"/>
    <w:pPr>
      <w:keepNext/>
      <w:keepLines/>
      <w:spacing w:line="360" w:lineRule="auto"/>
      <w:outlineLvl w:val="3"/>
    </w:pPr>
    <w:rPr>
      <w:rFonts w:ascii="Arial" w:hAnsi="Arial" w:eastAsia="宋体" w:cs="Times New Roman"/>
      <w:b/>
      <w:bCs/>
      <w:szCs w:val="28"/>
    </w:rPr>
  </w:style>
  <w:style w:type="paragraph" w:customStyle="1" w:styleId="25">
    <w:name w:val="标题 51"/>
    <w:basedOn w:val="1"/>
    <w:next w:val="26"/>
    <w:link w:val="27"/>
    <w:qFormat/>
    <w:uiPriority w:val="0"/>
    <w:pPr>
      <w:keepNext/>
      <w:keepLines/>
      <w:spacing w:before="280" w:after="290" w:line="376" w:lineRule="auto"/>
      <w:outlineLvl w:val="4"/>
    </w:pPr>
    <w:rPr>
      <w:b/>
      <w:bCs/>
      <w:sz w:val="28"/>
      <w:szCs w:val="28"/>
    </w:rPr>
  </w:style>
  <w:style w:type="paragraph" w:customStyle="1" w:styleId="26">
    <w:name w:val="正文缩进1"/>
    <w:basedOn w:val="1"/>
    <w:qFormat/>
    <w:uiPriority w:val="0"/>
    <w:pPr>
      <w:ind w:firstLine="420"/>
    </w:pPr>
    <w:rPr>
      <w:rFonts w:ascii="Times New Roman" w:hAnsi="Times New Roman" w:eastAsia="宋体" w:cs="Times New Roman"/>
      <w:szCs w:val="20"/>
    </w:rPr>
  </w:style>
  <w:style w:type="character" w:customStyle="1" w:styleId="27">
    <w:name w:val="标题 5 Char"/>
    <w:link w:val="25"/>
    <w:qFormat/>
    <w:uiPriority w:val="0"/>
    <w:rPr>
      <w:rFonts w:ascii="Times New Roman" w:hAnsi="Times New Roman" w:eastAsia="宋体" w:cs="Times New Roman"/>
      <w:b/>
      <w:bCs/>
      <w:kern w:val="2"/>
      <w:sz w:val="28"/>
      <w:szCs w:val="28"/>
    </w:rPr>
  </w:style>
  <w:style w:type="paragraph" w:customStyle="1" w:styleId="28">
    <w:name w:val="标题 81"/>
    <w:basedOn w:val="1"/>
    <w:next w:val="1"/>
    <w:link w:val="29"/>
    <w:qFormat/>
    <w:uiPriority w:val="0"/>
    <w:pPr>
      <w:keepNext/>
      <w:keepLines/>
      <w:spacing w:before="240" w:after="64" w:line="320" w:lineRule="auto"/>
      <w:outlineLvl w:val="7"/>
    </w:pPr>
    <w:rPr>
      <w:rFonts w:ascii="等线 Light" w:hAnsi="等线 Light" w:eastAsia="等线 Light"/>
      <w:sz w:val="24"/>
    </w:rPr>
  </w:style>
  <w:style w:type="character" w:customStyle="1" w:styleId="29">
    <w:name w:val="标题 8 Char1"/>
    <w:link w:val="28"/>
    <w:qFormat/>
    <w:uiPriority w:val="0"/>
    <w:rPr>
      <w:rFonts w:ascii="等线 Light" w:hAnsi="等线 Light" w:eastAsia="等线 Light" w:cs="Times New Roman"/>
      <w:kern w:val="2"/>
      <w:sz w:val="24"/>
      <w:szCs w:val="24"/>
    </w:rPr>
  </w:style>
  <w:style w:type="table" w:customStyle="1" w:styleId="30">
    <w:name w:val="普通表格1"/>
    <w:qFormat/>
    <w:uiPriority w:val="0"/>
    <w:rPr>
      <w:rFonts w:ascii="Times New Roman" w:hAnsi="Times New Roman" w:eastAsia="宋体" w:cs="Times New Roman"/>
    </w:rPr>
    <w:tblPr>
      <w:tblCellMar>
        <w:top w:w="0" w:type="dxa"/>
        <w:left w:w="108" w:type="dxa"/>
        <w:bottom w:w="0" w:type="dxa"/>
        <w:right w:w="108" w:type="dxa"/>
      </w:tblCellMar>
    </w:tblPr>
  </w:style>
  <w:style w:type="paragraph" w:customStyle="1" w:styleId="31">
    <w:name w:val="列表编号1"/>
    <w:basedOn w:val="1"/>
    <w:qFormat/>
    <w:uiPriority w:val="0"/>
    <w:pPr>
      <w:widowControl/>
      <w:tabs>
        <w:tab w:val="left" w:pos="454"/>
        <w:tab w:val="left" w:pos="720"/>
        <w:tab w:val="left" w:pos="840"/>
      </w:tabs>
      <w:spacing w:after="50"/>
      <w:ind w:left="454" w:hanging="284"/>
      <w:jc w:val="left"/>
    </w:pPr>
    <w:rPr>
      <w:rFonts w:ascii="Times New Roman" w:hAnsi="Times New Roman" w:eastAsia="宋体" w:cs="Times New Roman"/>
      <w:kern w:val="0"/>
      <w:sz w:val="24"/>
      <w:szCs w:val="20"/>
    </w:rPr>
  </w:style>
  <w:style w:type="paragraph" w:customStyle="1" w:styleId="32">
    <w:name w:val="批注文字1"/>
    <w:basedOn w:val="1"/>
    <w:link w:val="33"/>
    <w:qFormat/>
    <w:uiPriority w:val="0"/>
    <w:pPr>
      <w:jc w:val="left"/>
    </w:pPr>
  </w:style>
  <w:style w:type="character" w:customStyle="1" w:styleId="33">
    <w:name w:val="批注文字 Char1"/>
    <w:link w:val="32"/>
    <w:qFormat/>
    <w:uiPriority w:val="0"/>
    <w:rPr>
      <w:rFonts w:ascii="Times New Roman" w:hAnsi="Times New Roman" w:eastAsia="宋体" w:cs="Times New Roman"/>
      <w:kern w:val="2"/>
      <w:sz w:val="21"/>
      <w:szCs w:val="24"/>
    </w:rPr>
  </w:style>
  <w:style w:type="paragraph" w:customStyle="1" w:styleId="34">
    <w:name w:val="正文文本 31"/>
    <w:basedOn w:val="1"/>
    <w:link w:val="35"/>
    <w:qFormat/>
    <w:uiPriority w:val="0"/>
    <w:pPr>
      <w:spacing w:after="120"/>
    </w:pPr>
    <w:rPr>
      <w:sz w:val="16"/>
      <w:szCs w:val="16"/>
    </w:rPr>
  </w:style>
  <w:style w:type="character" w:customStyle="1" w:styleId="35">
    <w:name w:val="正文文本 3 Char"/>
    <w:link w:val="34"/>
    <w:qFormat/>
    <w:uiPriority w:val="0"/>
    <w:rPr>
      <w:rFonts w:ascii="Times New Roman" w:hAnsi="Times New Roman" w:eastAsia="宋体" w:cs="Times New Roman"/>
      <w:kern w:val="2"/>
      <w:sz w:val="16"/>
      <w:szCs w:val="16"/>
    </w:rPr>
  </w:style>
  <w:style w:type="paragraph" w:customStyle="1" w:styleId="36">
    <w:name w:val="正文文本1"/>
    <w:basedOn w:val="1"/>
    <w:link w:val="37"/>
    <w:qFormat/>
    <w:uiPriority w:val="0"/>
    <w:pPr>
      <w:spacing w:after="120"/>
    </w:pPr>
  </w:style>
  <w:style w:type="character" w:customStyle="1" w:styleId="37">
    <w:name w:val="正文文本 Char1"/>
    <w:link w:val="36"/>
    <w:qFormat/>
    <w:uiPriority w:val="0"/>
    <w:rPr>
      <w:rFonts w:ascii="Times New Roman" w:hAnsi="Times New Roman" w:eastAsia="宋体" w:cs="Times New Roman"/>
      <w:kern w:val="2"/>
      <w:sz w:val="21"/>
      <w:szCs w:val="24"/>
    </w:rPr>
  </w:style>
  <w:style w:type="paragraph" w:customStyle="1" w:styleId="38">
    <w:name w:val="正文文本缩进1"/>
    <w:basedOn w:val="1"/>
    <w:next w:val="39"/>
    <w:link w:val="40"/>
    <w:qFormat/>
    <w:uiPriority w:val="0"/>
    <w:pPr>
      <w:ind w:firstLine="830" w:firstLineChars="352"/>
    </w:pPr>
    <w:rPr>
      <w:rFonts w:ascii="仿宋_GB2312" w:eastAsia="仿宋_GB2312"/>
      <w:kern w:val="0"/>
      <w:sz w:val="32"/>
      <w:szCs w:val="20"/>
    </w:rPr>
  </w:style>
  <w:style w:type="paragraph" w:customStyle="1" w:styleId="39">
    <w:name w:val="正文首行缩进 21"/>
    <w:basedOn w:val="38"/>
    <w:next w:val="1"/>
    <w:qFormat/>
    <w:uiPriority w:val="99"/>
    <w:pPr>
      <w:spacing w:after="120" w:line="240" w:lineRule="auto"/>
      <w:ind w:left="420" w:leftChars="200" w:firstLine="420" w:firstLineChars="200"/>
    </w:pPr>
    <w:rPr>
      <w:rFonts w:ascii="Calibri" w:hAnsi="Calibri"/>
      <w:spacing w:val="0"/>
      <w:sz w:val="21"/>
      <w:szCs w:val="24"/>
    </w:rPr>
  </w:style>
  <w:style w:type="character" w:customStyle="1" w:styleId="40">
    <w:name w:val="正文文本缩进 Char"/>
    <w:link w:val="38"/>
    <w:qFormat/>
    <w:uiPriority w:val="0"/>
    <w:rPr>
      <w:rFonts w:ascii="仿宋_GB2312" w:hAnsi="Times New Roman" w:eastAsia="仿宋_GB2312" w:cs="Times New Roman"/>
      <w:sz w:val="32"/>
      <w:szCs w:val="20"/>
    </w:rPr>
  </w:style>
  <w:style w:type="paragraph" w:customStyle="1" w:styleId="41">
    <w:name w:val="列表 21"/>
    <w:basedOn w:val="1"/>
    <w:qFormat/>
    <w:uiPriority w:val="0"/>
    <w:pPr>
      <w:ind w:left="100" w:leftChars="200" w:hanging="200" w:hangingChars="200"/>
      <w:contextualSpacing/>
    </w:pPr>
    <w:rPr>
      <w:rFonts w:ascii="Times New Roman" w:hAnsi="Times New Roman" w:eastAsia="宋体" w:cs="Times New Roman"/>
    </w:rPr>
  </w:style>
  <w:style w:type="paragraph" w:customStyle="1" w:styleId="42">
    <w:name w:val="纯文本1"/>
    <w:basedOn w:val="1"/>
    <w:next w:val="1"/>
    <w:link w:val="43"/>
    <w:qFormat/>
    <w:uiPriority w:val="0"/>
    <w:rPr>
      <w:rFonts w:ascii="宋体" w:hAnsi="Courier New"/>
      <w:kern w:val="0"/>
      <w:sz w:val="20"/>
      <w:szCs w:val="21"/>
    </w:rPr>
  </w:style>
  <w:style w:type="character" w:customStyle="1" w:styleId="43">
    <w:name w:val="纯文本 Char1"/>
    <w:link w:val="42"/>
    <w:qFormat/>
    <w:uiPriority w:val="0"/>
    <w:rPr>
      <w:rFonts w:ascii="宋体" w:hAnsi="Courier New" w:eastAsia="宋体" w:cs="Courier New"/>
      <w:szCs w:val="21"/>
    </w:rPr>
  </w:style>
  <w:style w:type="paragraph" w:customStyle="1" w:styleId="44">
    <w:name w:val="日期1"/>
    <w:basedOn w:val="1"/>
    <w:next w:val="1"/>
    <w:link w:val="45"/>
    <w:qFormat/>
    <w:uiPriority w:val="0"/>
    <w:pPr>
      <w:ind w:left="100" w:leftChars="2500"/>
    </w:pPr>
  </w:style>
  <w:style w:type="character" w:customStyle="1" w:styleId="45">
    <w:name w:val="日期 Char"/>
    <w:link w:val="44"/>
    <w:qFormat/>
    <w:uiPriority w:val="0"/>
    <w:rPr>
      <w:rFonts w:ascii="Times New Roman" w:hAnsi="Times New Roman" w:eastAsia="宋体" w:cs="Times New Roman"/>
      <w:kern w:val="2"/>
      <w:sz w:val="21"/>
      <w:szCs w:val="24"/>
    </w:rPr>
  </w:style>
  <w:style w:type="paragraph" w:customStyle="1" w:styleId="46">
    <w:name w:val="批注框文本1"/>
    <w:basedOn w:val="1"/>
    <w:qFormat/>
    <w:uiPriority w:val="0"/>
    <w:rPr>
      <w:rFonts w:ascii="Times New Roman" w:hAnsi="Times New Roman" w:eastAsia="宋体" w:cs="Times New Roman"/>
      <w:sz w:val="18"/>
      <w:szCs w:val="18"/>
    </w:rPr>
  </w:style>
  <w:style w:type="paragraph" w:customStyle="1" w:styleId="47">
    <w:name w:val="页脚1"/>
    <w:basedOn w:val="1"/>
    <w:next w:val="1"/>
    <w:link w:val="48"/>
    <w:qFormat/>
    <w:uiPriority w:val="0"/>
    <w:pPr>
      <w:tabs>
        <w:tab w:val="center" w:pos="4153"/>
        <w:tab w:val="right" w:pos="8306"/>
      </w:tabs>
      <w:jc w:val="left"/>
    </w:pPr>
    <w:rPr>
      <w:kern w:val="0"/>
      <w:sz w:val="18"/>
      <w:szCs w:val="18"/>
    </w:rPr>
  </w:style>
  <w:style w:type="character" w:customStyle="1" w:styleId="48">
    <w:name w:val="页脚 Char"/>
    <w:link w:val="47"/>
    <w:qFormat/>
    <w:uiPriority w:val="0"/>
    <w:rPr>
      <w:rFonts w:ascii="Times New Roman" w:hAnsi="Times New Roman" w:eastAsia="宋体" w:cs="Times New Roman"/>
      <w:sz w:val="18"/>
      <w:szCs w:val="18"/>
    </w:rPr>
  </w:style>
  <w:style w:type="paragraph" w:customStyle="1" w:styleId="49">
    <w:name w:val="页眉1"/>
    <w:basedOn w:val="1"/>
    <w:link w:val="50"/>
    <w:qFormat/>
    <w:uiPriority w:val="0"/>
    <w:pPr>
      <w:pBdr>
        <w:bottom w:val="single" w:color="auto" w:sz="6" w:space="1"/>
      </w:pBdr>
      <w:tabs>
        <w:tab w:val="center" w:pos="4153"/>
        <w:tab w:val="right" w:pos="8306"/>
      </w:tabs>
      <w:jc w:val="center"/>
    </w:pPr>
    <w:rPr>
      <w:kern w:val="0"/>
      <w:sz w:val="18"/>
      <w:szCs w:val="18"/>
    </w:rPr>
  </w:style>
  <w:style w:type="character" w:customStyle="1" w:styleId="50">
    <w:name w:val="页眉 Char"/>
    <w:link w:val="49"/>
    <w:qFormat/>
    <w:uiPriority w:val="0"/>
    <w:rPr>
      <w:rFonts w:ascii="Times New Roman" w:hAnsi="Times New Roman" w:eastAsia="宋体" w:cs="Times New Roman"/>
      <w:sz w:val="18"/>
      <w:szCs w:val="18"/>
    </w:rPr>
  </w:style>
  <w:style w:type="paragraph" w:customStyle="1" w:styleId="51">
    <w:name w:val="目录 11"/>
    <w:basedOn w:val="1"/>
    <w:next w:val="1"/>
    <w:qFormat/>
    <w:uiPriority w:val="0"/>
    <w:rPr>
      <w:rFonts w:ascii="Times New Roman" w:hAnsi="Times New Roman" w:eastAsia="宋体" w:cs="Times New Roman"/>
    </w:rPr>
  </w:style>
  <w:style w:type="paragraph" w:customStyle="1" w:styleId="52">
    <w:name w:val="目录 21"/>
    <w:basedOn w:val="1"/>
    <w:next w:val="1"/>
    <w:qFormat/>
    <w:uiPriority w:val="0"/>
    <w:pPr>
      <w:tabs>
        <w:tab w:val="right" w:leader="dot" w:pos="8296"/>
      </w:tabs>
      <w:ind w:left="420" w:leftChars="200"/>
    </w:pPr>
    <w:rPr>
      <w:rFonts w:ascii="Times New Roman" w:hAnsi="Times New Roman" w:eastAsia="宋体" w:cs="Times New Roman"/>
    </w:rPr>
  </w:style>
  <w:style w:type="paragraph" w:customStyle="1" w:styleId="53">
    <w:name w:val="普通(网站)1"/>
    <w:basedOn w:val="1"/>
    <w:qFormat/>
    <w:uiPriority w:val="0"/>
    <w:pPr>
      <w:spacing w:before="0" w:beforeAutospacing="0" w:after="0" w:afterAutospacing="0"/>
      <w:ind w:left="0" w:right="0"/>
      <w:jc w:val="both"/>
    </w:pPr>
    <w:rPr>
      <w:rFonts w:ascii="Calibri" w:hAnsi="Calibri" w:eastAsia="宋体" w:cs="Calibri"/>
      <w:kern w:val="0"/>
      <w:sz w:val="24"/>
      <w:szCs w:val="24"/>
      <w:lang w:val="en-US" w:eastAsia="zh-CN" w:bidi="ar"/>
    </w:rPr>
  </w:style>
  <w:style w:type="paragraph" w:customStyle="1" w:styleId="54">
    <w:name w:val="标题1"/>
    <w:basedOn w:val="1"/>
    <w:next w:val="1"/>
    <w:qFormat/>
    <w:uiPriority w:val="0"/>
    <w:pPr>
      <w:suppressAutoHyphens/>
      <w:spacing w:before="240" w:after="60"/>
      <w:jc w:val="center"/>
      <w:outlineLvl w:val="0"/>
    </w:pPr>
    <w:rPr>
      <w:rFonts w:ascii="Arial" w:hAnsi="Arial" w:eastAsia="宋体" w:cs="宋体"/>
      <w:b/>
      <w:sz w:val="32"/>
      <w:szCs w:val="24"/>
    </w:rPr>
  </w:style>
  <w:style w:type="paragraph" w:customStyle="1" w:styleId="55">
    <w:name w:val="批注主题1"/>
    <w:basedOn w:val="32"/>
    <w:next w:val="32"/>
    <w:link w:val="56"/>
    <w:qFormat/>
    <w:uiPriority w:val="0"/>
    <w:rPr>
      <w:b/>
      <w:bCs/>
    </w:rPr>
  </w:style>
  <w:style w:type="character" w:customStyle="1" w:styleId="56">
    <w:name w:val="批注主题 Char"/>
    <w:link w:val="55"/>
    <w:qFormat/>
    <w:uiPriority w:val="0"/>
    <w:rPr>
      <w:rFonts w:ascii="Times New Roman" w:hAnsi="Times New Roman" w:eastAsia="宋体" w:cs="Times New Roman"/>
      <w:b/>
      <w:bCs/>
      <w:kern w:val="2"/>
      <w:sz w:val="21"/>
      <w:szCs w:val="24"/>
    </w:rPr>
  </w:style>
  <w:style w:type="paragraph" w:customStyle="1" w:styleId="57">
    <w:name w:val="正文首行缩进1"/>
    <w:basedOn w:val="36"/>
    <w:qFormat/>
    <w:uiPriority w:val="0"/>
    <w:pPr>
      <w:ind w:firstLine="420" w:firstLineChars="100"/>
    </w:pPr>
  </w:style>
  <w:style w:type="table" w:customStyle="1" w:styleId="58">
    <w:name w:val="网格型1"/>
    <w:basedOn w:val="3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9">
    <w:name w:val="尾注引用1"/>
    <w:qFormat/>
    <w:uiPriority w:val="0"/>
    <w:rPr>
      <w:rFonts w:ascii="Times New Roman" w:hAnsi="Times New Roman" w:eastAsia="宋体" w:cs="Times New Roman"/>
      <w:vertAlign w:val="superscript"/>
    </w:rPr>
  </w:style>
  <w:style w:type="character" w:customStyle="1" w:styleId="60">
    <w:name w:val="超链接1"/>
    <w:qFormat/>
    <w:uiPriority w:val="0"/>
    <w:rPr>
      <w:rFonts w:ascii="Times New Roman" w:hAnsi="Times New Roman" w:eastAsia="宋体" w:cs="Times New Roman"/>
      <w:color w:val="0000FF"/>
      <w:u w:val="single"/>
    </w:rPr>
  </w:style>
  <w:style w:type="character" w:customStyle="1" w:styleId="61">
    <w:name w:val="批注引用1"/>
    <w:qFormat/>
    <w:uiPriority w:val="0"/>
    <w:rPr>
      <w:rFonts w:ascii="Times New Roman" w:hAnsi="Times New Roman" w:eastAsia="宋体" w:cs="Times New Roman"/>
      <w:sz w:val="21"/>
      <w:szCs w:val="21"/>
    </w:rPr>
  </w:style>
  <w:style w:type="character" w:customStyle="1" w:styleId="62">
    <w:name w:val="HTML 样本1"/>
    <w:basedOn w:val="18"/>
    <w:unhideWhenUsed/>
    <w:qFormat/>
    <w:uiPriority w:val="99"/>
    <w:rPr>
      <w:rFonts w:ascii="Courier New" w:hAnsi="Courier New"/>
    </w:rPr>
  </w:style>
  <w:style w:type="paragraph" w:customStyle="1" w:styleId="63">
    <w:name w:val="Default"/>
    <w:basedOn w:val="64"/>
    <w:next w:val="1"/>
    <w:unhideWhenUsed/>
    <w:qFormat/>
    <w:uiPriority w:val="99"/>
    <w:pPr>
      <w:widowControl w:val="0"/>
      <w:autoSpaceDE w:val="0"/>
      <w:autoSpaceDN w:val="0"/>
    </w:pPr>
    <w:rPr>
      <w:rFonts w:hint="eastAsia" w:ascii="微软雅黑" w:hAnsi="微软雅黑" w:eastAsia="微软雅黑" w:cs="Times New Roman"/>
      <w:color w:val="000000"/>
      <w:sz w:val="24"/>
    </w:rPr>
  </w:style>
  <w:style w:type="paragraph" w:customStyle="1" w:styleId="64">
    <w:name w:val="正文1"/>
    <w:qFormat/>
    <w:uiPriority w:val="0"/>
    <w:pPr>
      <w:jc w:val="both"/>
    </w:pPr>
    <w:rPr>
      <w:rFonts w:ascii="Times New Roman" w:hAnsi="Times New Roman" w:eastAsia="宋体" w:cs="Times New Roman"/>
      <w:kern w:val="2"/>
      <w:sz w:val="21"/>
      <w:szCs w:val="21"/>
      <w:lang w:val="en-US" w:eastAsia="zh-CN" w:bidi="ar-SA"/>
    </w:rPr>
  </w:style>
  <w:style w:type="character" w:customStyle="1" w:styleId="65">
    <w:name w:val="NormalCharacter1"/>
    <w:qFormat/>
    <w:uiPriority w:val="0"/>
    <w:rPr>
      <w:rFonts w:ascii="Times New Roman" w:hAnsi="Times New Roman" w:eastAsia="宋体" w:cs="Times New Roman"/>
    </w:rPr>
  </w:style>
  <w:style w:type="character" w:customStyle="1" w:styleId="66">
    <w:name w:val="正文2 Char Char"/>
    <w:link w:val="67"/>
    <w:qFormat/>
    <w:uiPriority w:val="0"/>
    <w:rPr>
      <w:rFonts w:ascii="Times New Roman" w:hAnsi="Times New Roman" w:eastAsia="宋体" w:cs="Times New Roman"/>
      <w:kern w:val="2"/>
      <w:sz w:val="24"/>
    </w:rPr>
  </w:style>
  <w:style w:type="paragraph" w:customStyle="1" w:styleId="67">
    <w:name w:val="正文2"/>
    <w:basedOn w:val="1"/>
    <w:link w:val="66"/>
    <w:qFormat/>
    <w:uiPriority w:val="0"/>
    <w:pPr>
      <w:spacing w:before="156" w:line="360" w:lineRule="auto"/>
      <w:ind w:firstLine="510" w:firstLineChars="200"/>
    </w:pPr>
    <w:rPr>
      <w:sz w:val="24"/>
      <w:szCs w:val="20"/>
    </w:rPr>
  </w:style>
  <w:style w:type="character" w:customStyle="1" w:styleId="68">
    <w:name w:val="标题 1 字符1"/>
    <w:qFormat/>
    <w:uiPriority w:val="0"/>
    <w:rPr>
      <w:rFonts w:ascii="Times New Roman" w:hAnsi="Times New Roman" w:eastAsia="宋体" w:cs="Times New Roman"/>
      <w:b/>
      <w:bCs/>
      <w:kern w:val="44"/>
      <w:sz w:val="44"/>
      <w:szCs w:val="44"/>
    </w:rPr>
  </w:style>
  <w:style w:type="character" w:customStyle="1" w:styleId="69">
    <w:name w:val="textcontents"/>
    <w:qFormat/>
    <w:uiPriority w:val="0"/>
    <w:rPr>
      <w:rFonts w:ascii="Times New Roman" w:hAnsi="Times New Roman" w:eastAsia="宋体" w:cs="Times New Roman"/>
    </w:rPr>
  </w:style>
  <w:style w:type="character" w:customStyle="1" w:styleId="70">
    <w:name w:val="批注文字 Char"/>
    <w:qFormat/>
    <w:uiPriority w:val="0"/>
    <w:rPr>
      <w:rFonts w:ascii="Times New Roman" w:hAnsi="Times New Roman" w:eastAsia="宋体" w:cs="Times New Roman"/>
      <w:kern w:val="2"/>
      <w:sz w:val="21"/>
      <w:szCs w:val="24"/>
    </w:rPr>
  </w:style>
  <w:style w:type="character" w:customStyle="1" w:styleId="71">
    <w:name w:val="纯文本 字符"/>
    <w:qFormat/>
    <w:uiPriority w:val="0"/>
    <w:rPr>
      <w:rFonts w:ascii="宋体" w:hAnsi="Courier New" w:eastAsia="宋体" w:cs="Courier New"/>
      <w:szCs w:val="21"/>
    </w:rPr>
  </w:style>
  <w:style w:type="character" w:customStyle="1" w:styleId="72">
    <w:name w:val="纯文本 Char"/>
    <w:qFormat/>
    <w:uiPriority w:val="0"/>
    <w:rPr>
      <w:rFonts w:ascii="宋体" w:hAnsi="Courier New" w:eastAsia="宋体" w:cs="Courier New"/>
      <w:szCs w:val="21"/>
    </w:rPr>
  </w:style>
  <w:style w:type="character" w:customStyle="1" w:styleId="73">
    <w:name w:val="纯文本 字符2"/>
    <w:qFormat/>
    <w:uiPriority w:val="0"/>
    <w:rPr>
      <w:rFonts w:ascii="宋体" w:hAnsi="Courier New" w:eastAsia="宋体" w:cs="Courier New"/>
      <w:szCs w:val="21"/>
    </w:rPr>
  </w:style>
  <w:style w:type="character" w:customStyle="1" w:styleId="74">
    <w:name w:val="批注文字 字符1"/>
    <w:qFormat/>
    <w:uiPriority w:val="0"/>
    <w:rPr>
      <w:rFonts w:ascii="Times New Roman" w:hAnsi="Times New Roman" w:eastAsia="宋体" w:cs="Times New Roman"/>
      <w:kern w:val="2"/>
      <w:sz w:val="21"/>
      <w:szCs w:val="24"/>
    </w:rPr>
  </w:style>
  <w:style w:type="character" w:customStyle="1" w:styleId="75">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76">
    <w:name w:val="纯文本 字符1"/>
    <w:qFormat/>
    <w:uiPriority w:val="0"/>
    <w:rPr>
      <w:rFonts w:ascii="宋体" w:hAnsi="Courier New" w:eastAsia="宋体" w:cs="Times New Roman"/>
    </w:rPr>
  </w:style>
  <w:style w:type="character" w:customStyle="1" w:styleId="77">
    <w:name w:val="正文文本 Char"/>
    <w:qFormat/>
    <w:uiPriority w:val="0"/>
    <w:rPr>
      <w:rFonts w:ascii="Times New Roman" w:hAnsi="Times New Roman" w:eastAsia="宋体" w:cs="Times New Roman"/>
      <w:kern w:val="2"/>
      <w:sz w:val="21"/>
      <w:szCs w:val="24"/>
    </w:rPr>
  </w:style>
  <w:style w:type="character" w:customStyle="1" w:styleId="78">
    <w:name w:val="批注文字 字符"/>
    <w:qFormat/>
    <w:uiPriority w:val="0"/>
    <w:rPr>
      <w:rFonts w:ascii="Times New Roman" w:hAnsi="Times New Roman" w:eastAsia="宋体" w:cs="Times New Roman"/>
      <w:kern w:val="2"/>
      <w:sz w:val="21"/>
      <w:szCs w:val="24"/>
    </w:rPr>
  </w:style>
  <w:style w:type="character" w:customStyle="1" w:styleId="79">
    <w:name w:val="标题 2 Char"/>
    <w:qFormat/>
    <w:uiPriority w:val="0"/>
    <w:rPr>
      <w:rFonts w:ascii="Cambria" w:hAnsi="Cambria" w:eastAsia="宋体" w:cs="Times New Roman"/>
      <w:b/>
      <w:bCs/>
      <w:kern w:val="2"/>
      <w:sz w:val="32"/>
      <w:szCs w:val="32"/>
    </w:rPr>
  </w:style>
  <w:style w:type="character" w:customStyle="1" w:styleId="80">
    <w:name w:val="标题 8 Char"/>
    <w:qFormat/>
    <w:uiPriority w:val="0"/>
    <w:rPr>
      <w:rFonts w:ascii="Arial" w:hAnsi="Arial" w:eastAsia="黑体" w:cs="Times New Roman"/>
      <w:kern w:val="2"/>
      <w:sz w:val="24"/>
      <w:szCs w:val="24"/>
    </w:rPr>
  </w:style>
  <w:style w:type="character" w:customStyle="1" w:styleId="81">
    <w:name w:val="apple-style-span"/>
    <w:qFormat/>
    <w:uiPriority w:val="0"/>
    <w:rPr>
      <w:rFonts w:ascii="Times New Roman" w:hAnsi="Times New Roman" w:eastAsia="宋体" w:cs="Times New Roman"/>
    </w:rPr>
  </w:style>
  <w:style w:type="paragraph" w:customStyle="1" w:styleId="82">
    <w:name w:val="默认段落字体 Para Char Char Char Char Char Char Char Char Char1 Char Char Char Char"/>
    <w:basedOn w:val="1"/>
    <w:qFormat/>
    <w:uiPriority w:val="0"/>
    <w:rPr>
      <w:rFonts w:ascii="Tahoma" w:hAnsi="Tahoma" w:eastAsia="宋体" w:cs="Times New Roman"/>
      <w:sz w:val="24"/>
      <w:szCs w:val="20"/>
    </w:rPr>
  </w:style>
  <w:style w:type="paragraph" w:customStyle="1" w:styleId="83">
    <w:name w:val="表内文字"/>
    <w:basedOn w:val="1"/>
    <w:qFormat/>
    <w:uiPriority w:val="0"/>
    <w:pPr>
      <w:spacing w:before="50" w:after="50"/>
      <w:jc w:val="center"/>
    </w:pPr>
    <w:rPr>
      <w:rFonts w:ascii="仿宋_GB2312" w:hAnsi="宋体" w:eastAsia="仿宋_GB2312" w:cs="Times New Roman"/>
      <w:b/>
      <w:color w:val="000000"/>
      <w:sz w:val="32"/>
      <w:szCs w:val="32"/>
    </w:rPr>
  </w:style>
  <w:style w:type="paragraph" w:customStyle="1" w:styleId="84">
    <w:name w:val="列出段落"/>
    <w:basedOn w:val="1"/>
    <w:qFormat/>
    <w:uiPriority w:val="0"/>
    <w:pPr>
      <w:ind w:firstLine="420" w:firstLineChars="200"/>
    </w:pPr>
    <w:rPr>
      <w:rFonts w:ascii="Times New Roman" w:hAnsi="Times New Roman" w:eastAsia="宋体" w:cs="Times New Roman"/>
    </w:rPr>
  </w:style>
  <w:style w:type="paragraph" w:customStyle="1" w:styleId="85">
    <w:name w:val="Table Paragraph"/>
    <w:basedOn w:val="1"/>
    <w:qFormat/>
    <w:uiPriority w:val="0"/>
    <w:pPr>
      <w:jc w:val="left"/>
    </w:pPr>
    <w:rPr>
      <w:rFonts w:ascii="Calibri" w:hAnsi="Calibri" w:eastAsia="宋体" w:cs="Times New Roman"/>
      <w:kern w:val="0"/>
      <w:sz w:val="22"/>
      <w:szCs w:val="22"/>
      <w:lang w:eastAsia="en-US"/>
    </w:rPr>
  </w:style>
  <w:style w:type="character" w:customStyle="1" w:styleId="86">
    <w:name w:val="正文文本 字符"/>
    <w:qFormat/>
    <w:uiPriority w:val="0"/>
    <w:rPr>
      <w:rFonts w:ascii="Times New Roman" w:hAnsi="Times New Roman" w:eastAsia="宋体" w:cs="Times New Roman"/>
      <w:kern w:val="2"/>
      <w:sz w:val="21"/>
      <w:szCs w:val="24"/>
    </w:rPr>
  </w:style>
  <w:style w:type="character" w:customStyle="1" w:styleId="87">
    <w:name w:val="批注文字 Char2"/>
    <w:qFormat/>
    <w:uiPriority w:val="0"/>
    <w:rPr>
      <w:rFonts w:ascii="Times New Roman" w:hAnsi="Times New Roman" w:eastAsia="宋体" w:cs="Times New Roman"/>
      <w:kern w:val="2"/>
      <w:sz w:val="21"/>
      <w:szCs w:val="24"/>
    </w:rPr>
  </w:style>
  <w:style w:type="paragraph" w:customStyle="1" w:styleId="88">
    <w:name w:val="正文文本 (2)1"/>
    <w:basedOn w:val="1"/>
    <w:qFormat/>
    <w:uiPriority w:val="99"/>
    <w:pPr>
      <w:shd w:val="clear" w:color="auto" w:fill="FFFFFF"/>
      <w:spacing w:before="1020" w:after="240" w:line="499" w:lineRule="exact"/>
      <w:jc w:val="distribute"/>
    </w:pPr>
    <w:rPr>
      <w:rFonts w:ascii="宋体" w:hAnsi="Verdana"/>
      <w:kern w:val="0"/>
      <w:sz w:val="26"/>
      <w:szCs w:val="26"/>
      <w:lang w:eastAsia="en-US"/>
    </w:rPr>
  </w:style>
  <w:style w:type="character" w:customStyle="1" w:styleId="89">
    <w:name w:val="fontstyle01"/>
    <w:qFormat/>
    <w:uiPriority w:val="0"/>
    <w:rPr>
      <w:rFonts w:ascii="Calibri" w:hAnsi="Calibri" w:cs="Calibri"/>
      <w:color w:val="000000"/>
      <w:sz w:val="28"/>
      <w:szCs w:val="28"/>
    </w:rPr>
  </w:style>
  <w:style w:type="character" w:customStyle="1" w:styleId="90">
    <w:name w:val="fontstyle11"/>
    <w:qFormat/>
    <w:uiPriority w:val="0"/>
    <w:rPr>
      <w:rFonts w:hint="eastAsia" w:ascii="宋体" w:hAnsi="宋体" w:eastAsia="宋体"/>
      <w:color w:val="000000"/>
      <w:sz w:val="28"/>
      <w:szCs w:val="28"/>
    </w:rPr>
  </w:style>
  <w:style w:type="paragraph" w:customStyle="1" w:styleId="91">
    <w:name w:val="样式 方正小标宋_GBK 二号 居中 行距: 固定值 30 磅"/>
    <w:basedOn w:val="19"/>
    <w:qFormat/>
    <w:uiPriority w:val="0"/>
    <w:pPr>
      <w:keepNext w:val="0"/>
      <w:widowControl w:val="0"/>
      <w:spacing w:after="0" w:line="600" w:lineRule="exact"/>
      <w:jc w:val="center"/>
    </w:pPr>
    <w:rPr>
      <w:rFonts w:ascii="方正小标宋_GBK" w:hAnsi="方正小标宋_GBK" w:eastAsia="方正小标宋_GBK" w:cs="宋体"/>
      <w:b w:val="0"/>
      <w:spacing w:val="0"/>
      <w:kern w:val="2"/>
      <w:sz w:val="44"/>
      <w:lang w:eastAsia="zh-CN"/>
    </w:rPr>
  </w:style>
  <w:style w:type="character" w:customStyle="1" w:styleId="92">
    <w:name w:val="font31"/>
    <w:basedOn w:val="18"/>
    <w:qFormat/>
    <w:uiPriority w:val="0"/>
    <w:rPr>
      <w:rFonts w:hint="eastAsia" w:ascii="仿宋_GB2312" w:eastAsia="仿宋_GB2312" w:cs="仿宋_GB2312"/>
      <w:color w:val="000000"/>
      <w:sz w:val="22"/>
      <w:szCs w:val="22"/>
      <w:u w:val="none"/>
    </w:rPr>
  </w:style>
  <w:style w:type="character" w:customStyle="1" w:styleId="93">
    <w:name w:val="font21"/>
    <w:basedOn w:val="18"/>
    <w:qFormat/>
    <w:uiPriority w:val="0"/>
    <w:rPr>
      <w:rFonts w:ascii="Times New Roman" w:hAnsi="Times New Roman" w:cs="Times New Roman"/>
      <w:color w:val="000000"/>
      <w:sz w:val="22"/>
      <w:szCs w:val="22"/>
      <w:u w:val="none"/>
    </w:rPr>
  </w:style>
  <w:style w:type="character" w:customStyle="1" w:styleId="94">
    <w:name w:val="font41"/>
    <w:basedOn w:val="18"/>
    <w:qFormat/>
    <w:uiPriority w:val="0"/>
    <w:rPr>
      <w:rFonts w:ascii="方正书宋_GBK" w:hAnsi="方正书宋_GBK" w:eastAsia="方正书宋_GBK" w:cs="方正书宋_GBK"/>
      <w:color w:val="000000"/>
      <w:sz w:val="22"/>
      <w:szCs w:val="22"/>
      <w:u w:val="none"/>
    </w:rPr>
  </w:style>
  <w:style w:type="paragraph" w:customStyle="1" w:styleId="95">
    <w:name w:val="null3"/>
    <w:qFormat/>
    <w:uiPriority w:val="0"/>
    <w:rPr>
      <w:rFonts w:hint="eastAsia" w:ascii="Calibri" w:hAnsi="Calibri" w:eastAsia="宋体" w:cs="Times New Roman"/>
      <w:lang w:val="en-US" w:eastAsia="en-US" w:bidi="ar-SA"/>
    </w:rPr>
  </w:style>
  <w:style w:type="paragraph" w:customStyle="1" w:styleId="96">
    <w:name w:val="Table Text"/>
    <w:basedOn w:val="1"/>
    <w:semiHidden/>
    <w:qFormat/>
    <w:uiPriority w:val="0"/>
    <w:rPr>
      <w:rFonts w:ascii="宋体" w:hAnsi="宋体" w:eastAsia="宋体" w:cs="宋体"/>
      <w:sz w:val="20"/>
      <w:szCs w:val="20"/>
      <w:lang w:val="en-US" w:eastAsia="en-US" w:bidi="ar-SA"/>
    </w:rPr>
  </w:style>
  <w:style w:type="paragraph" w:customStyle="1" w:styleId="97">
    <w:name w:val="p15"/>
    <w:basedOn w:val="1"/>
    <w:qFormat/>
    <w:uiPriority w:val="0"/>
    <w:pPr>
      <w:widowControl/>
    </w:pPr>
    <w:rPr>
      <w:rFonts w:ascii="宋体" w:hAnsi="宋体" w:cs="宋体"/>
      <w:kern w:val="0"/>
    </w:rPr>
  </w:style>
  <w:style w:type="character" w:customStyle="1" w:styleId="98">
    <w:name w:val="font71"/>
    <w:basedOn w:val="14"/>
    <w:qFormat/>
    <w:uiPriority w:val="0"/>
    <w:rPr>
      <w:rFonts w:ascii="仿宋_GB2312" w:eastAsia="仿宋_GB2312" w:cs="仿宋_GB2312"/>
      <w:color w:val="000000"/>
      <w:sz w:val="40"/>
      <w:szCs w:val="40"/>
      <w:u w:val="none"/>
    </w:rPr>
  </w:style>
  <w:style w:type="character" w:customStyle="1" w:styleId="99">
    <w:name w:val="font81"/>
    <w:basedOn w:val="14"/>
    <w:qFormat/>
    <w:uiPriority w:val="0"/>
    <w:rPr>
      <w:rFonts w:hint="eastAsia" w:ascii="仿宋_GB2312" w:eastAsia="仿宋_GB2312" w:cs="仿宋_GB2312"/>
      <w:color w:val="000000"/>
      <w:sz w:val="40"/>
      <w:szCs w:val="40"/>
      <w:u w:val="none"/>
    </w:rPr>
  </w:style>
  <w:style w:type="character" w:customStyle="1" w:styleId="100">
    <w:name w:val="font91"/>
    <w:basedOn w:val="14"/>
    <w:qFormat/>
    <w:uiPriority w:val="0"/>
    <w:rPr>
      <w:rFonts w:ascii="方正书宋_GBK" w:hAnsi="方正书宋_GBK" w:eastAsia="方正书宋_GBK" w:cs="方正书宋_GBK"/>
      <w:color w:val="000000"/>
      <w:sz w:val="40"/>
      <w:szCs w:val="40"/>
      <w:u w:val="none"/>
    </w:rPr>
  </w:style>
  <w:style w:type="character" w:customStyle="1" w:styleId="101">
    <w:name w:val="font61"/>
    <w:basedOn w:val="14"/>
    <w:qFormat/>
    <w:uiPriority w:val="0"/>
    <w:rPr>
      <w:rFonts w:hint="default" w:ascii="方正书宋_GBK" w:hAnsi="方正书宋_GBK" w:eastAsia="方正书宋_GBK" w:cs="方正书宋_GBK"/>
      <w:color w:val="000000"/>
      <w:sz w:val="40"/>
      <w:szCs w:val="4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https://www.gov.cn/zhengce/content/202509/W020250930645245947614.png" TargetMode="Externa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Template>
  <Pages>86</Pages>
  <Words>38315</Words>
  <Characters>40600</Characters>
  <Lines>309</Lines>
  <Paragraphs>87</Paragraphs>
  <TotalTime>7</TotalTime>
  <ScaleCrop>false</ScaleCrop>
  <LinksUpToDate>false</LinksUpToDate>
  <CharactersWithSpaces>41085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2025-07-29T20:07:00Z</dcterms:created>
  <dc:creator>唐</dc:creator>
  <cp:lastModifiedBy>喜妖妖</cp:lastModifiedBy>
  <cp:lastPrinted>2026-04-06T08:21:00Z</cp:lastPrinted>
  <dcterms:modified xsi:type="dcterms:W3CDTF">2026-05-15T15:27:03Z</dcterms:modified>
  <dc:title>竞争性谈判</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eyJoZGlkIjoiYmM4MThjZDc2ZmFkMGIyNmViYjEwNjY5Y2M3OTVjOWMiLCJ1c2VySWQiOiI0Mzg0ODAzMjQifQ==</vt:lpwstr>
  </property>
  <property fmtid="{D5CDD505-2E9C-101B-9397-08002B2CF9AE}" pid="3" name="KSOProductBuildVer">
    <vt:lpwstr>2052-12.1.0.25865</vt:lpwstr>
  </property>
  <property fmtid="{D5CDD505-2E9C-101B-9397-08002B2CF9AE}" pid="4" name="ICV">
    <vt:lpwstr>8A5ED5838FDF4722A63BA9EC2397FC3F_13</vt:lpwstr>
  </property>
</Properties>
</file>