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7B589A">
      <w:pPr>
        <w:spacing w:before="331" w:after="165" w:line="600" w:lineRule="exact"/>
        <w:jc w:val="center"/>
        <w:rPr>
          <w:rFonts w:hint="eastAsia" w:ascii="宋体" w:hAnsi="宋体" w:cs="宋体"/>
          <w:b/>
          <w:color w:val="auto"/>
          <w:sz w:val="72"/>
          <w:szCs w:val="72"/>
          <w:highlight w:val="none"/>
        </w:rPr>
      </w:pPr>
    </w:p>
    <w:p w14:paraId="510D092B">
      <w:pPr>
        <w:spacing w:before="331" w:after="165" w:line="600" w:lineRule="exact"/>
        <w:jc w:val="center"/>
        <w:rPr>
          <w:rFonts w:hint="eastAsia" w:ascii="宋体" w:hAnsi="宋体" w:cs="宋体"/>
          <w:b/>
          <w:color w:val="auto"/>
          <w:sz w:val="72"/>
          <w:szCs w:val="72"/>
          <w:highlight w:val="none"/>
        </w:rPr>
      </w:pPr>
    </w:p>
    <w:p w14:paraId="72DF07E9">
      <w:pPr>
        <w:spacing w:before="331" w:after="165" w:line="600" w:lineRule="exact"/>
        <w:jc w:val="center"/>
        <w:rPr>
          <w:rFonts w:hint="eastAsia" w:ascii="宋体" w:hAnsi="宋体" w:cs="宋体"/>
          <w:b/>
          <w:color w:val="auto"/>
          <w:sz w:val="72"/>
          <w:szCs w:val="72"/>
          <w:highlight w:val="none"/>
        </w:rPr>
      </w:pPr>
    </w:p>
    <w:p w14:paraId="227D5685">
      <w:pPr>
        <w:spacing w:before="331" w:after="165" w:line="600" w:lineRule="exact"/>
        <w:jc w:val="center"/>
        <w:rPr>
          <w:rFonts w:hint="eastAsia" w:ascii="宋体" w:hAnsi="宋体" w:cs="宋体"/>
          <w:b/>
          <w:bCs/>
          <w:color w:val="auto"/>
          <w:sz w:val="72"/>
          <w:szCs w:val="72"/>
          <w:highlight w:val="none"/>
        </w:rPr>
      </w:pPr>
      <w:r>
        <w:rPr>
          <w:rFonts w:hint="eastAsia" w:ascii="宋体" w:hAnsi="宋体" w:cs="宋体"/>
          <w:b/>
          <w:bCs/>
          <w:color w:val="auto"/>
          <w:sz w:val="72"/>
          <w:szCs w:val="72"/>
          <w:highlight w:val="none"/>
        </w:rPr>
        <w:t>竞争性磋商文件</w:t>
      </w:r>
    </w:p>
    <w:p w14:paraId="5A832DD6">
      <w:pPr>
        <w:spacing w:before="331" w:after="165" w:line="600" w:lineRule="exact"/>
        <w:jc w:val="center"/>
        <w:rPr>
          <w:rFonts w:hint="eastAsia" w:ascii="宋体" w:hAnsi="宋体" w:cs="宋体"/>
          <w:b/>
          <w:color w:val="auto"/>
          <w:sz w:val="44"/>
          <w:szCs w:val="44"/>
          <w:highlight w:val="none"/>
        </w:rPr>
      </w:pPr>
    </w:p>
    <w:p w14:paraId="38974E7C">
      <w:pPr>
        <w:spacing w:before="331" w:after="165" w:line="600" w:lineRule="exact"/>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（全流程电子化采购）</w:t>
      </w:r>
    </w:p>
    <w:p w14:paraId="48030D10">
      <w:pPr>
        <w:spacing w:before="331" w:after="165" w:line="600" w:lineRule="exact"/>
        <w:jc w:val="center"/>
        <w:rPr>
          <w:rFonts w:hint="eastAsia" w:ascii="宋体" w:hAnsi="宋体" w:cs="宋体"/>
          <w:b/>
          <w:color w:val="auto"/>
          <w:sz w:val="44"/>
          <w:szCs w:val="44"/>
          <w:highlight w:val="none"/>
        </w:rPr>
      </w:pPr>
    </w:p>
    <w:p w14:paraId="37A3DCD2">
      <w:pPr>
        <w:spacing w:before="331" w:after="165" w:line="600" w:lineRule="exact"/>
        <w:jc w:val="center"/>
        <w:rPr>
          <w:rFonts w:hint="eastAsia" w:ascii="宋体" w:hAnsi="宋体" w:cs="宋体"/>
          <w:b/>
          <w:color w:val="auto"/>
          <w:sz w:val="44"/>
          <w:szCs w:val="44"/>
          <w:highlight w:val="none"/>
        </w:rPr>
      </w:pPr>
    </w:p>
    <w:p w14:paraId="13E6C27E">
      <w:pPr>
        <w:spacing w:line="360" w:lineRule="auto"/>
        <w:ind w:firstLine="1285" w:firstLineChars="400"/>
        <w:jc w:val="left"/>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项目名称：2026年</w:t>
      </w:r>
      <w:r>
        <w:rPr>
          <w:rFonts w:hint="eastAsia" w:ascii="宋体" w:hAnsi="宋体" w:cs="宋体"/>
          <w:b/>
          <w:color w:val="auto"/>
          <w:sz w:val="32"/>
          <w:szCs w:val="32"/>
          <w:highlight w:val="none"/>
          <w:lang w:eastAsia="zh-CN"/>
        </w:rPr>
        <w:t>平南县马练瑶族乡初级中学</w:t>
      </w:r>
    </w:p>
    <w:p w14:paraId="2B377709">
      <w:pPr>
        <w:spacing w:line="360" w:lineRule="auto"/>
        <w:ind w:firstLine="2891" w:firstLineChars="900"/>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学生食堂食材配送服务项目</w:t>
      </w:r>
    </w:p>
    <w:p w14:paraId="66849E99">
      <w:pPr>
        <w:spacing w:line="360" w:lineRule="auto"/>
        <w:ind w:firstLine="1285"/>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项目编号：</w:t>
      </w:r>
      <w:r>
        <w:rPr>
          <w:rFonts w:hint="eastAsia" w:ascii="宋体" w:hAnsi="宋体" w:cs="宋体"/>
          <w:b/>
          <w:color w:val="auto"/>
          <w:sz w:val="32"/>
          <w:szCs w:val="32"/>
          <w:highlight w:val="none"/>
          <w:lang w:eastAsia="zh-CN"/>
        </w:rPr>
        <w:t xml:space="preserve">GGZC2026-C3-210177-YZLZ </w:t>
      </w:r>
      <w:r>
        <w:rPr>
          <w:rFonts w:hint="eastAsia" w:ascii="宋体" w:hAnsi="宋体" w:cs="宋体"/>
          <w:b/>
          <w:color w:val="auto"/>
          <w:sz w:val="32"/>
          <w:szCs w:val="32"/>
          <w:highlight w:val="none"/>
        </w:rPr>
        <w:t xml:space="preserve">         </w:t>
      </w:r>
    </w:p>
    <w:p w14:paraId="0CCC8637">
      <w:pPr>
        <w:spacing w:line="360" w:lineRule="auto"/>
        <w:ind w:firstLine="1928"/>
        <w:jc w:val="left"/>
        <w:rPr>
          <w:rFonts w:hint="eastAsia" w:ascii="宋体" w:hAnsi="宋体" w:cs="宋体"/>
          <w:b/>
          <w:color w:val="auto"/>
          <w:sz w:val="32"/>
          <w:szCs w:val="32"/>
          <w:highlight w:val="none"/>
        </w:rPr>
      </w:pPr>
    </w:p>
    <w:p w14:paraId="5ADB5E51">
      <w:pPr>
        <w:spacing w:line="360" w:lineRule="auto"/>
        <w:ind w:firstLine="1285"/>
        <w:jc w:val="left"/>
        <w:rPr>
          <w:rFonts w:hint="eastAsia" w:ascii="宋体" w:hAnsi="宋体" w:cs="宋体"/>
          <w:b/>
          <w:color w:val="auto"/>
          <w:sz w:val="32"/>
          <w:szCs w:val="32"/>
          <w:highlight w:val="none"/>
          <w:lang w:eastAsia="zh-CN"/>
        </w:rPr>
      </w:pPr>
      <w:r>
        <w:rPr>
          <w:rFonts w:hint="eastAsia" w:ascii="宋体" w:hAnsi="宋体" w:cs="宋体"/>
          <w:b/>
          <w:color w:val="auto"/>
          <w:sz w:val="32"/>
          <w:szCs w:val="32"/>
          <w:highlight w:val="none"/>
        </w:rPr>
        <w:t>采 购 人：</w:t>
      </w:r>
      <w:r>
        <w:rPr>
          <w:rFonts w:hint="eastAsia" w:ascii="宋体" w:hAnsi="宋体" w:cs="宋体"/>
          <w:b/>
          <w:color w:val="auto"/>
          <w:sz w:val="32"/>
          <w:szCs w:val="32"/>
          <w:highlight w:val="none"/>
          <w:lang w:eastAsia="zh-CN"/>
        </w:rPr>
        <w:t>平南县马练瑶族乡初级中学</w:t>
      </w:r>
    </w:p>
    <w:p w14:paraId="737056A4">
      <w:pPr>
        <w:spacing w:line="360" w:lineRule="auto"/>
        <w:ind w:firstLine="1928"/>
        <w:jc w:val="left"/>
        <w:rPr>
          <w:rFonts w:hint="eastAsia" w:ascii="宋体" w:hAnsi="宋体" w:cs="宋体"/>
          <w:b/>
          <w:color w:val="auto"/>
          <w:sz w:val="32"/>
          <w:szCs w:val="32"/>
          <w:highlight w:val="none"/>
          <w:lang w:eastAsia="zh-CN"/>
        </w:rPr>
      </w:pPr>
    </w:p>
    <w:p w14:paraId="6D330A9D">
      <w:pPr>
        <w:spacing w:line="360" w:lineRule="auto"/>
        <w:ind w:firstLine="1285"/>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采购代理机构：云之龙咨询集团有限公司</w:t>
      </w:r>
    </w:p>
    <w:p w14:paraId="5CA05E48">
      <w:pPr>
        <w:spacing w:line="400" w:lineRule="exact"/>
        <w:jc w:val="center"/>
        <w:rPr>
          <w:rFonts w:hint="eastAsia" w:ascii="宋体" w:hAnsi="宋体" w:cs="宋体"/>
          <w:b/>
          <w:color w:val="auto"/>
          <w:sz w:val="32"/>
          <w:szCs w:val="32"/>
          <w:highlight w:val="none"/>
        </w:rPr>
      </w:pPr>
    </w:p>
    <w:p w14:paraId="6A927BE7">
      <w:pPr>
        <w:spacing w:line="400" w:lineRule="exact"/>
        <w:jc w:val="center"/>
        <w:rPr>
          <w:rFonts w:hint="eastAsia" w:ascii="宋体" w:hAnsi="宋体" w:cs="宋体"/>
          <w:b/>
          <w:color w:val="auto"/>
          <w:sz w:val="32"/>
          <w:szCs w:val="32"/>
          <w:highlight w:val="none"/>
        </w:rPr>
      </w:pPr>
    </w:p>
    <w:p w14:paraId="6286C473">
      <w:pPr>
        <w:spacing w:line="400" w:lineRule="exact"/>
        <w:jc w:val="center"/>
        <w:rPr>
          <w:rFonts w:hint="eastAsia" w:ascii="宋体" w:hAnsi="宋体" w:cs="宋体"/>
          <w:b/>
          <w:color w:val="auto"/>
          <w:sz w:val="32"/>
          <w:szCs w:val="32"/>
          <w:highlight w:val="none"/>
        </w:rPr>
      </w:pPr>
    </w:p>
    <w:p w14:paraId="1CF92E69">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lang w:eastAsia="zh-CN"/>
        </w:rPr>
        <w:t>2026</w:t>
      </w:r>
      <w:r>
        <w:rPr>
          <w:rFonts w:hint="eastAsia" w:ascii="宋体" w:hAnsi="宋体" w:cs="宋体"/>
          <w:b/>
          <w:color w:val="auto"/>
          <w:sz w:val="32"/>
          <w:szCs w:val="32"/>
          <w:highlight w:val="none"/>
        </w:rPr>
        <w:t>年</w:t>
      </w:r>
      <w:r>
        <w:rPr>
          <w:rFonts w:hint="eastAsia" w:ascii="宋体" w:hAnsi="宋体" w:cs="宋体"/>
          <w:b/>
          <w:color w:val="auto"/>
          <w:sz w:val="32"/>
          <w:szCs w:val="32"/>
          <w:highlight w:val="none"/>
          <w:lang w:val="en-US" w:eastAsia="zh-CN"/>
        </w:rPr>
        <w:t>7</w:t>
      </w:r>
      <w:r>
        <w:rPr>
          <w:rFonts w:hint="eastAsia" w:ascii="宋体" w:hAnsi="宋体" w:cs="宋体"/>
          <w:b/>
          <w:color w:val="auto"/>
          <w:sz w:val="32"/>
          <w:szCs w:val="32"/>
          <w:highlight w:val="none"/>
        </w:rPr>
        <w:t xml:space="preserve">月 </w:t>
      </w:r>
    </w:p>
    <w:p w14:paraId="28726C7A">
      <w:pPr>
        <w:spacing w:line="400" w:lineRule="exact"/>
        <w:ind w:firstLine="643"/>
        <w:rPr>
          <w:rFonts w:hint="eastAsia" w:ascii="宋体" w:hAnsi="宋体" w:cs="宋体"/>
          <w:b/>
          <w:color w:val="auto"/>
          <w:sz w:val="32"/>
          <w:szCs w:val="32"/>
          <w:highlight w:val="none"/>
        </w:rPr>
        <w:sectPr>
          <w:headerReference r:id="rId4" w:type="first"/>
          <w:headerReference r:id="rId3" w:type="default"/>
          <w:footerReference r:id="rId5" w:type="default"/>
          <w:pgSz w:w="11906" w:h="16838"/>
          <w:pgMar w:top="1134" w:right="1134" w:bottom="1134" w:left="1134" w:header="720" w:footer="720" w:gutter="0"/>
          <w:pgNumType w:start="1"/>
          <w:cols w:space="1701" w:num="1"/>
          <w:titlePg/>
        </w:sectPr>
      </w:pPr>
    </w:p>
    <w:p w14:paraId="3B16EE77">
      <w:pPr>
        <w:pStyle w:val="246"/>
        <w:rPr>
          <w:rFonts w:hint="eastAsia"/>
          <w:color w:val="auto"/>
          <w:highlight w:val="none"/>
        </w:rPr>
      </w:pPr>
    </w:p>
    <w:p w14:paraId="4B556EBD">
      <w:pPr>
        <w:spacing w:line="360" w:lineRule="auto"/>
        <w:jc w:val="center"/>
        <w:rPr>
          <w:rFonts w:hint="eastAsia" w:ascii="宋体" w:hAnsi="宋体" w:cs="宋体"/>
          <w:b/>
          <w:color w:val="auto"/>
          <w:sz w:val="44"/>
          <w:szCs w:val="44"/>
          <w:highlight w:val="none"/>
        </w:rPr>
      </w:pPr>
    </w:p>
    <w:p w14:paraId="7420BDDD">
      <w:pPr>
        <w:spacing w:line="360" w:lineRule="auto"/>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目   录</w:t>
      </w:r>
    </w:p>
    <w:p w14:paraId="21842D7F">
      <w:pPr>
        <w:spacing w:line="400" w:lineRule="exact"/>
        <w:jc w:val="center"/>
        <w:rPr>
          <w:rFonts w:hint="eastAsia" w:ascii="宋体" w:hAnsi="宋体" w:cs="宋体"/>
          <w:b/>
          <w:color w:val="auto"/>
          <w:sz w:val="44"/>
          <w:szCs w:val="44"/>
          <w:highlight w:val="none"/>
        </w:rPr>
      </w:pPr>
    </w:p>
    <w:p w14:paraId="51F91A78">
      <w:pPr>
        <w:pStyle w:val="28"/>
        <w:tabs>
          <w:tab w:val="right" w:leader="dot" w:pos="9638"/>
        </w:tabs>
        <w:spacing w:line="360" w:lineRule="auto"/>
        <w:rPr>
          <w:color w:val="auto"/>
          <w:sz w:val="28"/>
          <w:szCs w:val="28"/>
          <w:highlight w:val="none"/>
        </w:rPr>
      </w:pPr>
      <w:r>
        <w:rPr>
          <w:rFonts w:hint="eastAsia" w:ascii="宋体" w:hAnsi="宋体" w:cs="宋体"/>
          <w:b/>
          <w:color w:val="auto"/>
          <w:sz w:val="30"/>
          <w:szCs w:val="30"/>
          <w:highlight w:val="none"/>
        </w:rPr>
        <w:fldChar w:fldCharType="begin"/>
      </w:r>
      <w:r>
        <w:rPr>
          <w:rFonts w:hint="eastAsia" w:ascii="宋体" w:hAnsi="宋体" w:cs="宋体"/>
          <w:b/>
          <w:color w:val="auto"/>
          <w:sz w:val="30"/>
          <w:szCs w:val="30"/>
          <w:highlight w:val="none"/>
        </w:rPr>
        <w:instrText xml:space="preserve"> TOC \o "1-3" \h \z \u </w:instrText>
      </w:r>
      <w:r>
        <w:rPr>
          <w:rFonts w:hint="eastAsia" w:ascii="宋体" w:hAnsi="宋体" w:cs="宋体"/>
          <w:b/>
          <w:color w:val="auto"/>
          <w:sz w:val="30"/>
          <w:szCs w:val="30"/>
          <w:highlight w:val="none"/>
        </w:rPr>
        <w:fldChar w:fldCharType="separate"/>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_Toc31778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 xml:space="preserve">第一章 </w:t>
      </w:r>
      <w:r>
        <w:rPr>
          <w:rFonts w:hint="eastAsia" w:ascii="宋体" w:hAnsi="宋体" w:cs="宋体"/>
          <w:color w:val="auto"/>
          <w:sz w:val="28"/>
          <w:szCs w:val="28"/>
          <w:highlight w:val="none"/>
        </w:rPr>
        <w:t>竞争性磋商公告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_Toc31778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574591F8">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_Toc17857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第二章 供应商须知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_Toc17857 \h </w:instrText>
      </w:r>
      <w:r>
        <w:rPr>
          <w:color w:val="auto"/>
          <w:sz w:val="28"/>
          <w:szCs w:val="28"/>
          <w:highlight w:val="none"/>
        </w:rPr>
        <w:fldChar w:fldCharType="separate"/>
      </w:r>
      <w:r>
        <w:rPr>
          <w:color w:val="auto"/>
          <w:sz w:val="28"/>
          <w:szCs w:val="28"/>
          <w:highlight w:val="none"/>
        </w:rPr>
        <w:t>4</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7EF0BB28">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_Toc6815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 xml:space="preserve">第三章 </w:t>
      </w:r>
      <w:r>
        <w:rPr>
          <w:rFonts w:hint="eastAsia" w:ascii="宋体" w:hAnsi="宋体" w:cs="宋体"/>
          <w:color w:val="auto"/>
          <w:sz w:val="28"/>
          <w:szCs w:val="28"/>
          <w:highlight w:val="none"/>
          <w:lang w:eastAsia="zh-CN"/>
        </w:rPr>
        <w:t>采购</w:t>
      </w:r>
      <w:r>
        <w:rPr>
          <w:rFonts w:hint="eastAsia" w:ascii="宋体" w:hAnsi="宋体" w:cs="宋体"/>
          <w:color w:val="auto"/>
          <w:sz w:val="28"/>
          <w:szCs w:val="28"/>
          <w:highlight w:val="none"/>
        </w:rPr>
        <w:t>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_Toc6815 \h </w:instrText>
      </w:r>
      <w:r>
        <w:rPr>
          <w:color w:val="auto"/>
          <w:sz w:val="28"/>
          <w:szCs w:val="28"/>
          <w:highlight w:val="none"/>
        </w:rPr>
        <w:fldChar w:fldCharType="separate"/>
      </w:r>
      <w:r>
        <w:rPr>
          <w:color w:val="auto"/>
          <w:sz w:val="28"/>
          <w:szCs w:val="28"/>
          <w:highlight w:val="none"/>
        </w:rPr>
        <w:t>20</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5F455476">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_Toc6929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第四章 评审程序、评审方法和评审标准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_Toc6929 \h </w:instrText>
      </w:r>
      <w:r>
        <w:rPr>
          <w:color w:val="auto"/>
          <w:sz w:val="28"/>
          <w:szCs w:val="28"/>
          <w:highlight w:val="none"/>
        </w:rPr>
        <w:fldChar w:fldCharType="separate"/>
      </w:r>
      <w:r>
        <w:rPr>
          <w:color w:val="auto"/>
          <w:sz w:val="28"/>
          <w:szCs w:val="28"/>
          <w:highlight w:val="none"/>
        </w:rPr>
        <w:t>41</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4DD0099D">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_Toc2188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第五章 响应文件格式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_Toc2188 \h </w:instrText>
      </w:r>
      <w:r>
        <w:rPr>
          <w:color w:val="auto"/>
          <w:sz w:val="28"/>
          <w:szCs w:val="28"/>
          <w:highlight w:val="none"/>
        </w:rPr>
        <w:fldChar w:fldCharType="separate"/>
      </w:r>
      <w:r>
        <w:rPr>
          <w:color w:val="auto"/>
          <w:sz w:val="28"/>
          <w:szCs w:val="28"/>
          <w:highlight w:val="none"/>
        </w:rPr>
        <w:t>52</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2412E627">
      <w:pPr>
        <w:pStyle w:val="28"/>
        <w:tabs>
          <w:tab w:val="right" w:leader="dot" w:pos="9638"/>
        </w:tabs>
        <w:spacing w:line="360" w:lineRule="auto"/>
        <w:rPr>
          <w:color w:val="auto"/>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_Toc28631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第六章 合同文本</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_Toc28631 \h </w:instrText>
      </w:r>
      <w:r>
        <w:rPr>
          <w:color w:val="auto"/>
          <w:sz w:val="28"/>
          <w:szCs w:val="28"/>
          <w:highlight w:val="none"/>
        </w:rPr>
        <w:fldChar w:fldCharType="separate"/>
      </w:r>
      <w:r>
        <w:rPr>
          <w:color w:val="auto"/>
          <w:sz w:val="28"/>
          <w:szCs w:val="28"/>
          <w:highlight w:val="none"/>
        </w:rPr>
        <w:t>79</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4B3D8D8C">
      <w:pPr>
        <w:pStyle w:val="237"/>
        <w:spacing w:line="360" w:lineRule="auto"/>
        <w:rPr>
          <w:rFonts w:hint="eastAsia" w:ascii="宋体" w:hAnsi="宋体" w:cs="宋体"/>
          <w:color w:val="auto"/>
          <w:sz w:val="28"/>
          <w:szCs w:val="28"/>
          <w:highlight w:val="none"/>
        </w:rPr>
      </w:pPr>
      <w:r>
        <w:rPr>
          <w:rFonts w:hint="eastAsia" w:ascii="宋体" w:hAnsi="宋体" w:cs="宋体"/>
          <w:color w:val="auto"/>
          <w:szCs w:val="30"/>
          <w:highlight w:val="none"/>
        </w:rPr>
        <w:fldChar w:fldCharType="end"/>
      </w:r>
    </w:p>
    <w:p w14:paraId="7CCEFCA5">
      <w:pPr>
        <w:spacing w:line="400" w:lineRule="exact"/>
        <w:jc w:val="left"/>
        <w:rPr>
          <w:rFonts w:hint="eastAsia" w:ascii="宋体" w:hAnsi="宋体" w:cs="宋体"/>
          <w:b/>
          <w:color w:val="auto"/>
          <w:sz w:val="32"/>
          <w:szCs w:val="32"/>
          <w:highlight w:val="none"/>
        </w:rPr>
      </w:pPr>
    </w:p>
    <w:p w14:paraId="4E9AA1D5">
      <w:pPr>
        <w:pStyle w:val="258"/>
        <w:rPr>
          <w:rFonts w:hint="eastAsia"/>
          <w:color w:val="auto"/>
          <w:highlight w:val="none"/>
        </w:rPr>
      </w:pPr>
    </w:p>
    <w:p w14:paraId="35048615">
      <w:pPr>
        <w:spacing w:line="400" w:lineRule="exact"/>
        <w:jc w:val="center"/>
        <w:rPr>
          <w:rFonts w:hint="eastAsia" w:ascii="宋体" w:hAnsi="宋体" w:cs="宋体"/>
          <w:b/>
          <w:color w:val="auto"/>
          <w:sz w:val="32"/>
          <w:szCs w:val="32"/>
          <w:highlight w:val="none"/>
        </w:rPr>
      </w:pPr>
    </w:p>
    <w:p w14:paraId="4A5B32E1">
      <w:pPr>
        <w:spacing w:line="400" w:lineRule="exact"/>
        <w:jc w:val="center"/>
        <w:rPr>
          <w:rFonts w:hint="eastAsia" w:ascii="宋体" w:hAnsi="宋体" w:cs="宋体"/>
          <w:b/>
          <w:color w:val="auto"/>
          <w:sz w:val="32"/>
          <w:szCs w:val="32"/>
          <w:highlight w:val="none"/>
        </w:rPr>
      </w:pPr>
    </w:p>
    <w:p w14:paraId="06A77FD5">
      <w:pPr>
        <w:spacing w:line="400" w:lineRule="exact"/>
        <w:jc w:val="center"/>
        <w:rPr>
          <w:rFonts w:hint="eastAsia" w:ascii="宋体" w:hAnsi="宋体" w:cs="宋体"/>
          <w:b/>
          <w:color w:val="auto"/>
          <w:sz w:val="32"/>
          <w:szCs w:val="32"/>
          <w:highlight w:val="none"/>
        </w:rPr>
      </w:pPr>
    </w:p>
    <w:p w14:paraId="194C3281">
      <w:pPr>
        <w:spacing w:line="400" w:lineRule="exact"/>
        <w:jc w:val="center"/>
        <w:rPr>
          <w:rFonts w:hint="eastAsia" w:ascii="宋体" w:hAnsi="宋体" w:cs="宋体"/>
          <w:b/>
          <w:color w:val="auto"/>
          <w:sz w:val="32"/>
          <w:szCs w:val="32"/>
          <w:highlight w:val="none"/>
        </w:rPr>
      </w:pPr>
    </w:p>
    <w:p w14:paraId="28052FA1">
      <w:pPr>
        <w:spacing w:line="400" w:lineRule="exact"/>
        <w:jc w:val="center"/>
        <w:rPr>
          <w:rFonts w:hint="eastAsia" w:ascii="宋体" w:hAnsi="宋体" w:cs="宋体"/>
          <w:b/>
          <w:color w:val="auto"/>
          <w:sz w:val="32"/>
          <w:szCs w:val="32"/>
          <w:highlight w:val="none"/>
        </w:rPr>
      </w:pPr>
    </w:p>
    <w:p w14:paraId="2B1A578B">
      <w:pPr>
        <w:spacing w:line="400" w:lineRule="exact"/>
        <w:jc w:val="center"/>
        <w:rPr>
          <w:rFonts w:hint="eastAsia" w:ascii="宋体" w:hAnsi="宋体" w:cs="宋体"/>
          <w:b/>
          <w:color w:val="auto"/>
          <w:sz w:val="32"/>
          <w:szCs w:val="32"/>
          <w:highlight w:val="none"/>
        </w:rPr>
      </w:pPr>
    </w:p>
    <w:p w14:paraId="33B627A4">
      <w:pPr>
        <w:spacing w:line="400" w:lineRule="exact"/>
        <w:jc w:val="center"/>
        <w:rPr>
          <w:rFonts w:hint="eastAsia" w:ascii="宋体" w:hAnsi="宋体" w:cs="宋体"/>
          <w:b/>
          <w:color w:val="auto"/>
          <w:sz w:val="32"/>
          <w:szCs w:val="32"/>
          <w:highlight w:val="none"/>
        </w:rPr>
      </w:pPr>
    </w:p>
    <w:p w14:paraId="58A423F2">
      <w:pPr>
        <w:spacing w:line="400" w:lineRule="exact"/>
        <w:jc w:val="center"/>
        <w:rPr>
          <w:rFonts w:hint="eastAsia" w:ascii="宋体" w:hAnsi="宋体" w:cs="宋体"/>
          <w:b/>
          <w:color w:val="auto"/>
          <w:sz w:val="32"/>
          <w:szCs w:val="32"/>
          <w:highlight w:val="none"/>
        </w:rPr>
      </w:pPr>
    </w:p>
    <w:p w14:paraId="320D31EB">
      <w:pPr>
        <w:spacing w:line="400" w:lineRule="exact"/>
        <w:jc w:val="center"/>
        <w:rPr>
          <w:rFonts w:hint="eastAsia" w:ascii="宋体" w:hAnsi="宋体" w:cs="宋体"/>
          <w:b/>
          <w:color w:val="auto"/>
          <w:sz w:val="32"/>
          <w:szCs w:val="32"/>
          <w:highlight w:val="none"/>
        </w:rPr>
      </w:pPr>
    </w:p>
    <w:p w14:paraId="5BD3C532">
      <w:pPr>
        <w:spacing w:line="400" w:lineRule="exact"/>
        <w:jc w:val="center"/>
        <w:rPr>
          <w:rFonts w:hint="eastAsia" w:ascii="宋体" w:hAnsi="宋体" w:cs="宋体"/>
          <w:b/>
          <w:color w:val="auto"/>
          <w:sz w:val="32"/>
          <w:szCs w:val="32"/>
          <w:highlight w:val="none"/>
        </w:rPr>
      </w:pPr>
    </w:p>
    <w:p w14:paraId="28BB6C35">
      <w:pPr>
        <w:spacing w:line="400" w:lineRule="exact"/>
        <w:jc w:val="center"/>
        <w:rPr>
          <w:rFonts w:hint="eastAsia" w:ascii="宋体" w:hAnsi="宋体" w:cs="宋体"/>
          <w:b/>
          <w:color w:val="auto"/>
          <w:sz w:val="32"/>
          <w:szCs w:val="32"/>
          <w:highlight w:val="none"/>
        </w:rPr>
      </w:pPr>
    </w:p>
    <w:p w14:paraId="235ED287">
      <w:pPr>
        <w:spacing w:line="400" w:lineRule="exact"/>
        <w:jc w:val="center"/>
        <w:rPr>
          <w:rFonts w:hint="eastAsia" w:ascii="宋体" w:hAnsi="宋体" w:cs="宋体"/>
          <w:b/>
          <w:color w:val="auto"/>
          <w:sz w:val="32"/>
          <w:szCs w:val="32"/>
          <w:highlight w:val="none"/>
        </w:rPr>
      </w:pPr>
    </w:p>
    <w:p w14:paraId="32345DA3">
      <w:pPr>
        <w:spacing w:line="400" w:lineRule="exact"/>
        <w:jc w:val="center"/>
        <w:rPr>
          <w:rFonts w:hint="eastAsia" w:ascii="宋体" w:hAnsi="宋体" w:cs="宋体"/>
          <w:b/>
          <w:color w:val="auto"/>
          <w:sz w:val="32"/>
          <w:szCs w:val="32"/>
          <w:highlight w:val="none"/>
        </w:rPr>
      </w:pPr>
    </w:p>
    <w:p w14:paraId="0C559C0A">
      <w:pPr>
        <w:spacing w:line="400" w:lineRule="exact"/>
        <w:jc w:val="center"/>
        <w:rPr>
          <w:rFonts w:hint="eastAsia" w:ascii="宋体" w:hAnsi="宋体" w:cs="宋体"/>
          <w:b/>
          <w:color w:val="auto"/>
          <w:sz w:val="32"/>
          <w:szCs w:val="32"/>
          <w:highlight w:val="none"/>
        </w:rPr>
      </w:pPr>
    </w:p>
    <w:p w14:paraId="1F2680B0">
      <w:pPr>
        <w:spacing w:line="400" w:lineRule="exact"/>
        <w:jc w:val="both"/>
        <w:rPr>
          <w:rFonts w:hint="eastAsia" w:ascii="宋体" w:hAnsi="宋体" w:cs="宋体"/>
          <w:b/>
          <w:color w:val="auto"/>
          <w:sz w:val="32"/>
          <w:szCs w:val="32"/>
          <w:highlight w:val="none"/>
        </w:rPr>
      </w:pPr>
    </w:p>
    <w:p w14:paraId="7EB723E3">
      <w:pPr>
        <w:pStyle w:val="196"/>
        <w:numPr>
          <w:ilvl w:val="0"/>
          <w:numId w:val="0"/>
        </w:numPr>
        <w:jc w:val="both"/>
        <w:rPr>
          <w:rFonts w:hint="eastAsia" w:ascii="宋体" w:hAnsi="宋体" w:cs="宋体"/>
          <w:color w:val="auto"/>
          <w:highlight w:val="none"/>
        </w:rPr>
        <w:sectPr>
          <w:footerReference r:id="rId8" w:type="first"/>
          <w:headerReference r:id="rId6" w:type="default"/>
          <w:footerReference r:id="rId7" w:type="default"/>
          <w:pgSz w:w="11906" w:h="16838"/>
          <w:pgMar w:top="1134" w:right="1134" w:bottom="1134" w:left="1134" w:header="851" w:footer="992" w:gutter="0"/>
          <w:cols w:space="1701" w:num="1"/>
        </w:sectPr>
      </w:pPr>
    </w:p>
    <w:p w14:paraId="18930E6F">
      <w:pPr>
        <w:pStyle w:val="196"/>
        <w:numPr>
          <w:ilvl w:val="0"/>
          <w:numId w:val="1"/>
        </w:numPr>
        <w:jc w:val="center"/>
        <w:rPr>
          <w:rFonts w:hint="eastAsia" w:ascii="宋体" w:hAnsi="宋体" w:cs="宋体"/>
          <w:color w:val="auto"/>
          <w:highlight w:val="none"/>
        </w:rPr>
      </w:pPr>
      <w:r>
        <w:rPr>
          <w:rFonts w:hint="eastAsia" w:ascii="宋体" w:hAnsi="宋体" w:cs="宋体"/>
          <w:color w:val="auto"/>
          <w:highlight w:val="none"/>
          <w:lang w:val="en-US" w:eastAsia="zh-CN"/>
        </w:rPr>
        <w:t xml:space="preserve"> </w:t>
      </w:r>
      <w:bookmarkStart w:id="0" w:name="_Toc31778"/>
      <w:r>
        <w:rPr>
          <w:rFonts w:hint="eastAsia" w:ascii="宋体" w:hAnsi="宋体" w:cs="宋体"/>
          <w:color w:val="auto"/>
          <w:highlight w:val="none"/>
        </w:rPr>
        <w:t>竞争性磋商公告</w:t>
      </w:r>
      <w:bookmarkEnd w:id="0"/>
    </w:p>
    <w:p w14:paraId="03FD08E7">
      <w:pPr>
        <w:pBdr>
          <w:top w:val="single" w:color="000000" w:sz="4" w:space="1"/>
          <w:left w:val="single" w:color="000000" w:sz="4" w:space="4"/>
          <w:bottom w:val="single" w:color="000000" w:sz="4" w:space="1"/>
          <w:right w:val="single" w:color="000000" w:sz="4" w:space="4"/>
        </w:pBdr>
        <w:spacing w:line="320" w:lineRule="exact"/>
        <w:ind w:firstLine="420"/>
        <w:rPr>
          <w:rFonts w:hint="eastAsia" w:ascii="宋体" w:hAnsi="宋体" w:cs="宋体"/>
          <w:color w:val="auto"/>
          <w:szCs w:val="21"/>
          <w:highlight w:val="none"/>
        </w:rPr>
      </w:pPr>
      <w:bookmarkStart w:id="1" w:name="_Hlk37430271"/>
      <w:r>
        <w:rPr>
          <w:rFonts w:hint="eastAsia" w:ascii="宋体" w:hAnsi="宋体" w:cs="宋体"/>
          <w:color w:val="auto"/>
          <w:szCs w:val="21"/>
          <w:highlight w:val="none"/>
        </w:rPr>
        <w:t>项目概况</w:t>
      </w:r>
    </w:p>
    <w:p w14:paraId="2F1B2104">
      <w:pPr>
        <w:pBdr>
          <w:top w:val="single" w:color="000000" w:sz="4" w:space="1"/>
          <w:left w:val="single" w:color="000000" w:sz="4" w:space="4"/>
          <w:bottom w:val="single" w:color="000000" w:sz="4" w:space="1"/>
          <w:right w:val="single" w:color="000000" w:sz="4" w:space="4"/>
        </w:pBdr>
        <w:spacing w:line="320" w:lineRule="exact"/>
        <w:ind w:firstLine="420"/>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2026年平南县马练瑶族乡初级中学学生食堂食材配送服务项目</w:t>
      </w:r>
      <w:r>
        <w:rPr>
          <w:rFonts w:hint="eastAsia" w:ascii="宋体" w:hAnsi="宋体" w:cs="宋体"/>
          <w:color w:val="auto"/>
          <w:szCs w:val="21"/>
          <w:highlight w:val="none"/>
        </w:rPr>
        <w:t>的潜在供应商应在广西政府采购云平台（https：//www.gcy.zfcg.gxzf.gov.cn/）获取竞争性磋商文件，并于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2026年8月7日9时00分</w:t>
      </w:r>
      <w:r>
        <w:rPr>
          <w:rFonts w:hint="eastAsia" w:ascii="宋体" w:hAnsi="宋体" w:cs="宋体"/>
          <w:color w:val="auto"/>
          <w:szCs w:val="21"/>
          <w:highlight w:val="none"/>
          <w:u w:val="single"/>
        </w:rPr>
        <w:t>00秒</w:t>
      </w:r>
      <w:r>
        <w:rPr>
          <w:rFonts w:hint="eastAsia" w:ascii="宋体" w:hAnsi="宋体" w:cs="宋体"/>
          <w:bCs/>
          <w:color w:val="auto"/>
          <w:szCs w:val="21"/>
          <w:highlight w:val="none"/>
        </w:rPr>
        <w:t>（北京时间）前提交响应文件</w:t>
      </w:r>
      <w:r>
        <w:rPr>
          <w:rFonts w:hint="eastAsia" w:ascii="宋体" w:hAnsi="宋体" w:cs="宋体"/>
          <w:color w:val="auto"/>
          <w:szCs w:val="21"/>
          <w:highlight w:val="none"/>
        </w:rPr>
        <w:t>。</w:t>
      </w:r>
    </w:p>
    <w:p w14:paraId="28317122">
      <w:pPr>
        <w:pStyle w:val="196"/>
        <w:spacing w:before="0" w:after="0" w:line="240" w:lineRule="auto"/>
        <w:ind w:firstLine="422"/>
        <w:rPr>
          <w:rFonts w:hint="eastAsia" w:ascii="宋体" w:hAnsi="宋体" w:cs="宋体"/>
          <w:bCs w:val="0"/>
          <w:color w:val="auto"/>
          <w:sz w:val="21"/>
          <w:szCs w:val="21"/>
          <w:highlight w:val="none"/>
        </w:rPr>
      </w:pPr>
      <w:bookmarkStart w:id="2" w:name="_Toc44229878"/>
      <w:bookmarkStart w:id="3" w:name="_Toc28091"/>
      <w:bookmarkStart w:id="4" w:name="_Toc28359089"/>
      <w:bookmarkStart w:id="5" w:name="_Toc22456"/>
      <w:bookmarkStart w:id="6" w:name="_Toc28359012"/>
      <w:bookmarkStart w:id="7" w:name="_Toc22650"/>
      <w:bookmarkStart w:id="8" w:name="_Toc24948"/>
      <w:bookmarkStart w:id="9" w:name="_Toc19149"/>
      <w:bookmarkStart w:id="10" w:name="_Toc35393798"/>
      <w:bookmarkStart w:id="11" w:name="_Toc12139"/>
      <w:bookmarkStart w:id="12" w:name="_Toc35393629"/>
      <w:r>
        <w:rPr>
          <w:rFonts w:hint="eastAsia" w:ascii="宋体" w:hAnsi="宋体" w:cs="宋体"/>
          <w:bCs w:val="0"/>
          <w:color w:val="auto"/>
          <w:sz w:val="21"/>
          <w:szCs w:val="21"/>
          <w:highlight w:val="none"/>
        </w:rPr>
        <w:t>一、项目基本情况</w:t>
      </w:r>
      <w:bookmarkEnd w:id="1"/>
      <w:bookmarkEnd w:id="2"/>
      <w:bookmarkEnd w:id="3"/>
      <w:bookmarkEnd w:id="4"/>
      <w:bookmarkEnd w:id="5"/>
      <w:bookmarkEnd w:id="6"/>
      <w:bookmarkEnd w:id="7"/>
      <w:bookmarkEnd w:id="8"/>
      <w:bookmarkEnd w:id="9"/>
      <w:bookmarkEnd w:id="10"/>
      <w:bookmarkEnd w:id="11"/>
    </w:p>
    <w:p w14:paraId="28B761D0">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GGZC2026-C3-210177-YZLZ</w:t>
      </w:r>
    </w:p>
    <w:p w14:paraId="2A4422AD">
      <w:pPr>
        <w:spacing w:line="300" w:lineRule="auto"/>
        <w:ind w:firstLine="42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2026年平南县马练瑶族乡初级中学学生食堂食材配送服务项目</w:t>
      </w:r>
    </w:p>
    <w:p w14:paraId="0374A2B9">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采购方式：竞争性磋商</w:t>
      </w:r>
    </w:p>
    <w:p w14:paraId="4E03776C">
      <w:pPr>
        <w:spacing w:line="30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预算金额（元）：</w:t>
      </w:r>
      <w:r>
        <w:rPr>
          <w:rFonts w:hint="eastAsia" w:ascii="宋体" w:hAnsi="宋体" w:cs="宋体"/>
          <w:color w:val="auto"/>
          <w:szCs w:val="21"/>
          <w:highlight w:val="none"/>
          <w:lang w:eastAsia="zh-CN"/>
        </w:rPr>
        <w:t>1400000.00</w:t>
      </w:r>
    </w:p>
    <w:p w14:paraId="4FCCB68D">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采购需求：</w:t>
      </w:r>
    </w:p>
    <w:p w14:paraId="266E0FAB">
      <w:pPr>
        <w:spacing w:line="300" w:lineRule="auto"/>
        <w:ind w:left="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标的名称：</w:t>
      </w:r>
      <w:r>
        <w:rPr>
          <w:rFonts w:hint="eastAsia" w:ascii="宋体" w:hAnsi="宋体" w:cs="宋体"/>
          <w:color w:val="auto"/>
          <w:szCs w:val="21"/>
          <w:highlight w:val="none"/>
          <w:lang w:eastAsia="zh-CN"/>
        </w:rPr>
        <w:t>2026年平南县马练瑶族乡初级中学学生食堂食材配送服务</w:t>
      </w:r>
    </w:p>
    <w:p w14:paraId="71345732">
      <w:pPr>
        <w:spacing w:line="300" w:lineRule="auto"/>
        <w:ind w:left="420"/>
        <w:rPr>
          <w:rFonts w:hint="eastAsia" w:ascii="宋体" w:hAnsi="宋体" w:cs="宋体"/>
          <w:color w:val="auto"/>
          <w:szCs w:val="21"/>
          <w:highlight w:val="none"/>
        </w:rPr>
      </w:pPr>
      <w:r>
        <w:rPr>
          <w:rFonts w:hint="eastAsia" w:ascii="宋体" w:hAnsi="宋体" w:cs="宋体"/>
          <w:color w:val="auto"/>
          <w:szCs w:val="21"/>
          <w:highlight w:val="none"/>
        </w:rPr>
        <w:t>数量：1项</w:t>
      </w:r>
    </w:p>
    <w:p w14:paraId="58180376">
      <w:pPr>
        <w:spacing w:line="300" w:lineRule="auto"/>
        <w:ind w:left="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预算金额（元）：</w:t>
      </w:r>
      <w:r>
        <w:rPr>
          <w:rFonts w:hint="eastAsia" w:ascii="宋体" w:hAnsi="宋体" w:cs="宋体"/>
          <w:color w:val="auto"/>
          <w:szCs w:val="21"/>
          <w:highlight w:val="none"/>
          <w:lang w:eastAsia="zh-CN"/>
        </w:rPr>
        <w:t>1400000.00</w:t>
      </w:r>
    </w:p>
    <w:p w14:paraId="7B44BFD5">
      <w:pPr>
        <w:spacing w:line="300" w:lineRule="auto"/>
        <w:ind w:left="420"/>
        <w:rPr>
          <w:rFonts w:hint="eastAsia" w:ascii="宋体" w:hAnsi="宋体" w:cs="宋体"/>
          <w:color w:val="auto"/>
          <w:szCs w:val="21"/>
          <w:highlight w:val="none"/>
        </w:rPr>
      </w:pPr>
      <w:r>
        <w:rPr>
          <w:rFonts w:hint="eastAsia" w:ascii="宋体" w:hAnsi="宋体"/>
          <w:color w:val="auto"/>
          <w:szCs w:val="21"/>
          <w:highlight w:val="none"/>
        </w:rPr>
        <w:t>简要技术需求或者服务要求</w:t>
      </w:r>
      <w:r>
        <w:rPr>
          <w:rFonts w:hint="eastAsia" w:ascii="宋体" w:hAnsi="宋体" w:cs="宋体"/>
          <w:color w:val="auto"/>
          <w:szCs w:val="21"/>
          <w:highlight w:val="none"/>
        </w:rPr>
        <w:t>：</w:t>
      </w:r>
      <w:r>
        <w:rPr>
          <w:rFonts w:hint="eastAsia" w:ascii="宋体" w:hAnsi="宋体" w:cs="宋体"/>
          <w:color w:val="auto"/>
          <w:szCs w:val="21"/>
          <w:highlight w:val="none"/>
          <w:lang w:eastAsia="zh-CN"/>
        </w:rPr>
        <w:t>平南县马练瑶族乡初级中学</w:t>
      </w:r>
      <w:r>
        <w:rPr>
          <w:rFonts w:hint="eastAsia" w:ascii="Arial" w:hAnsi="Arial" w:eastAsia="Arial" w:cs="Arial"/>
          <w:color w:val="auto"/>
          <w:szCs w:val="21"/>
          <w:highlight w:val="none"/>
          <w:lang w:eastAsia="zh-CN"/>
        </w:rPr>
        <w:t>学生食堂食材配送服务</w:t>
      </w:r>
      <w:r>
        <w:rPr>
          <w:rFonts w:hint="eastAsia" w:ascii="宋体" w:hAnsi="宋体" w:cs="宋体"/>
          <w:color w:val="auto"/>
          <w:highlight w:val="none"/>
          <w:lang w:val="en-US" w:eastAsia="zh-CN"/>
        </w:rPr>
        <w:t>1项</w:t>
      </w:r>
      <w:r>
        <w:rPr>
          <w:rFonts w:hint="eastAsia" w:ascii="宋体" w:hAnsi="宋体" w:cs="宋体"/>
          <w:color w:val="auto"/>
          <w:highlight w:val="none"/>
          <w:lang w:val="en-US" w:eastAsia="zh-CN"/>
        </w:rPr>
        <w:t>；</w:t>
      </w:r>
      <w:r>
        <w:rPr>
          <w:rFonts w:hint="eastAsia" w:ascii="宋体" w:hAnsi="宋体" w:cs="宋体"/>
          <w:color w:val="auto"/>
          <w:szCs w:val="21"/>
          <w:highlight w:val="none"/>
        </w:rPr>
        <w:t>包含蔬菜，禽蛋类，畜、禽肉类，鲜活水产类，大米、豆制品、食用油类，调味品、干杂货食品类，牛奶、面包、糕点类，粉类等学校食堂所需的食品原材料的配送服务</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lang w:eastAsia="zh-CN"/>
        </w:rPr>
        <w:t>每类食品原材料须提供六种以上产品供</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lang w:eastAsia="zh-CN"/>
        </w:rPr>
        <w:t>自主选购</w:t>
      </w:r>
      <w:r>
        <w:rPr>
          <w:rFonts w:hint="eastAsia" w:ascii="宋体" w:hAnsi="宋体" w:cs="宋体"/>
          <w:color w:val="auto"/>
          <w:szCs w:val="21"/>
          <w:highlight w:val="none"/>
        </w:rPr>
        <w:t>；如需进一步了解详细内容，详见竞争性磋商文件。</w:t>
      </w:r>
    </w:p>
    <w:p w14:paraId="4E0F2B84">
      <w:pPr>
        <w:spacing w:line="30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最高限价（元）：</w:t>
      </w:r>
      <w:r>
        <w:rPr>
          <w:rFonts w:hint="eastAsia" w:ascii="宋体" w:hAnsi="宋体" w:cs="宋体"/>
          <w:color w:val="auto"/>
          <w:szCs w:val="21"/>
          <w:highlight w:val="none"/>
          <w:lang w:eastAsia="zh-CN"/>
        </w:rPr>
        <w:t>1400000.00</w:t>
      </w:r>
    </w:p>
    <w:p w14:paraId="172B4593">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合同履约期限：</w:t>
      </w:r>
      <w:r>
        <w:rPr>
          <w:rFonts w:hint="eastAsia" w:ascii="宋体" w:hAnsi="宋体" w:eastAsia="Arial" w:cs="宋体"/>
          <w:color w:val="auto"/>
          <w:szCs w:val="21"/>
          <w:highlight w:val="none"/>
          <w:lang w:eastAsia="zh-CN"/>
        </w:rPr>
        <w:t>自签订合同日期起至2027年8月20日止</w:t>
      </w:r>
      <w:r>
        <w:rPr>
          <w:rFonts w:hint="eastAsia" w:ascii="宋体" w:hAnsi="宋体" w:eastAsia="Arial" w:cs="宋体"/>
          <w:color w:val="auto"/>
          <w:szCs w:val="21"/>
          <w:highlight w:val="none"/>
        </w:rPr>
        <w:t>。</w:t>
      </w:r>
    </w:p>
    <w:p w14:paraId="7C8A47AD">
      <w:pPr>
        <w:spacing w:line="300" w:lineRule="auto"/>
        <w:ind w:left="420"/>
        <w:rPr>
          <w:rFonts w:hint="eastAsia" w:ascii="宋体" w:hAnsi="宋体" w:cs="宋体"/>
          <w:color w:val="auto"/>
          <w:szCs w:val="21"/>
          <w:highlight w:val="none"/>
        </w:rPr>
      </w:pPr>
      <w:r>
        <w:rPr>
          <w:rFonts w:hint="eastAsia" w:ascii="宋体" w:hAnsi="宋体" w:cs="宋体"/>
          <w:color w:val="auto"/>
          <w:szCs w:val="21"/>
          <w:highlight w:val="none"/>
        </w:rPr>
        <w:t>本标项（否）接受联合体</w:t>
      </w:r>
      <w:r>
        <w:rPr>
          <w:rFonts w:hint="eastAsia" w:ascii="宋体" w:hAnsi="宋体" w:cs="宋体"/>
          <w:color w:val="auto"/>
          <w:szCs w:val="21"/>
          <w:highlight w:val="none"/>
          <w:lang w:val="en-US" w:eastAsia="zh-CN"/>
        </w:rPr>
        <w:t>竞</w:t>
      </w:r>
      <w:r>
        <w:rPr>
          <w:rFonts w:hint="eastAsia" w:ascii="宋体" w:hAnsi="宋体" w:cs="宋体"/>
          <w:color w:val="auto"/>
          <w:szCs w:val="21"/>
          <w:highlight w:val="none"/>
        </w:rPr>
        <w:t>标</w:t>
      </w:r>
    </w:p>
    <w:p w14:paraId="23BB0FEA">
      <w:pPr>
        <w:spacing w:line="300" w:lineRule="auto"/>
        <w:ind w:left="420"/>
        <w:rPr>
          <w:rFonts w:hint="eastAsia" w:ascii="宋体" w:hAnsi="宋体" w:cs="宋体"/>
          <w:color w:val="auto"/>
          <w:szCs w:val="21"/>
          <w:highlight w:val="none"/>
        </w:rPr>
      </w:pPr>
      <w:r>
        <w:rPr>
          <w:rFonts w:hint="eastAsia" w:ascii="宋体" w:hAnsi="宋体" w:cs="宋体"/>
          <w:color w:val="auto"/>
          <w:szCs w:val="21"/>
          <w:highlight w:val="none"/>
        </w:rPr>
        <w:t>备注：/</w:t>
      </w:r>
    </w:p>
    <w:p w14:paraId="0EC3005F">
      <w:pPr>
        <w:spacing w:line="300" w:lineRule="auto"/>
        <w:ind w:firstLine="361"/>
        <w:rPr>
          <w:rFonts w:hint="eastAsia" w:ascii="宋体" w:hAnsi="宋体" w:cs="宋体"/>
          <w:b/>
          <w:color w:val="auto"/>
          <w:sz w:val="24"/>
          <w:highlight w:val="none"/>
        </w:rPr>
      </w:pPr>
      <w:bookmarkStart w:id="13" w:name="_Toc71366167"/>
      <w:r>
        <w:rPr>
          <w:rFonts w:hint="eastAsia" w:ascii="宋体" w:hAnsi="宋体" w:cs="宋体"/>
          <w:b/>
          <w:color w:val="auto"/>
          <w:sz w:val="24"/>
          <w:highlight w:val="none"/>
        </w:rPr>
        <w:t>二、申请人的资格条件：</w:t>
      </w:r>
      <w:bookmarkEnd w:id="12"/>
    </w:p>
    <w:p w14:paraId="566F49A1">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w:t>
      </w:r>
    </w:p>
    <w:p w14:paraId="2E6CED6F">
      <w:pPr>
        <w:spacing w:line="312"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2.落实政府采购政策需满足的资格要求：</w:t>
      </w:r>
      <w:r>
        <w:rPr>
          <w:rFonts w:hint="eastAsia" w:ascii="宋体" w:hAnsi="宋体" w:cs="宋体"/>
          <w:b/>
          <w:bCs/>
          <w:color w:val="auto"/>
          <w:szCs w:val="21"/>
          <w:highlight w:val="none"/>
          <w:lang w:eastAsia="zh-CN"/>
        </w:rPr>
        <w:t>无</w:t>
      </w:r>
    </w:p>
    <w:p w14:paraId="760319B4">
      <w:pPr>
        <w:spacing w:line="300" w:lineRule="auto"/>
        <w:ind w:firstLine="420"/>
        <w:rPr>
          <w:rFonts w:hint="eastAsia" w:ascii="宋体" w:hAnsi="宋体" w:eastAsia="宋体" w:cs="宋体"/>
          <w:color w:val="auto"/>
          <w:spacing w:val="-1"/>
          <w:szCs w:val="21"/>
          <w:highlight w:val="none"/>
          <w:lang w:eastAsia="zh-CN"/>
        </w:rPr>
      </w:pPr>
      <w:r>
        <w:rPr>
          <w:rFonts w:hint="eastAsia" w:ascii="宋体" w:hAnsi="宋体" w:cs="宋体"/>
          <w:color w:val="auto"/>
          <w:szCs w:val="21"/>
          <w:highlight w:val="none"/>
        </w:rPr>
        <w:t>3.本项目的特定资格要求：</w:t>
      </w:r>
      <w:r>
        <w:rPr>
          <w:rFonts w:hint="eastAsia" w:ascii="宋体" w:hAnsi="宋体" w:cs="宋体"/>
          <w:b/>
          <w:bCs/>
          <w:color w:val="auto"/>
          <w:szCs w:val="21"/>
          <w:highlight w:val="none"/>
        </w:rPr>
        <w:t>供应商具备相应有效的《食品经营许可证》</w:t>
      </w:r>
      <w:r>
        <w:rPr>
          <w:rFonts w:hint="eastAsia" w:ascii="宋体" w:hAnsi="宋体" w:eastAsia="Arial" w:cs="宋体"/>
          <w:b/>
          <w:bCs/>
          <w:color w:val="auto"/>
          <w:szCs w:val="21"/>
          <w:highlight w:val="none"/>
        </w:rPr>
        <w:t>。</w:t>
      </w:r>
    </w:p>
    <w:p w14:paraId="1F1FFCE1">
      <w:pPr>
        <w:spacing w:line="300" w:lineRule="auto"/>
        <w:ind w:firstLine="361"/>
        <w:rPr>
          <w:rFonts w:hint="eastAsia" w:ascii="宋体" w:hAnsi="宋体" w:cs="宋体"/>
          <w:b/>
          <w:color w:val="auto"/>
          <w:sz w:val="24"/>
          <w:highlight w:val="none"/>
        </w:rPr>
      </w:pPr>
      <w:bookmarkStart w:id="14" w:name="_Toc71366168"/>
      <w:r>
        <w:rPr>
          <w:rFonts w:hint="eastAsia" w:ascii="宋体" w:hAnsi="宋体" w:cs="宋体"/>
          <w:b/>
          <w:color w:val="auto"/>
          <w:sz w:val="24"/>
          <w:highlight w:val="none"/>
        </w:rPr>
        <w:t>三、获取竞争性磋商文件</w:t>
      </w:r>
      <w:bookmarkEnd w:id="13"/>
    </w:p>
    <w:p w14:paraId="6A743D53">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时间：</w:t>
      </w:r>
      <w:r>
        <w:rPr>
          <w:rFonts w:hint="eastAsia" w:ascii="宋体" w:hAnsi="宋体" w:cs="宋体"/>
          <w:color w:val="auto"/>
          <w:szCs w:val="21"/>
          <w:highlight w:val="none"/>
          <w:lang w:eastAsia="zh-CN"/>
        </w:rPr>
        <w:t>2026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24</w:t>
      </w:r>
      <w:r>
        <w:rPr>
          <w:rFonts w:hint="eastAsia" w:ascii="宋体" w:hAnsi="宋体" w:cs="宋体"/>
          <w:color w:val="auto"/>
          <w:szCs w:val="21"/>
          <w:highlight w:val="none"/>
        </w:rPr>
        <w:t>日至202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31</w:t>
      </w:r>
      <w:r>
        <w:rPr>
          <w:rFonts w:hint="eastAsia" w:ascii="宋体" w:hAnsi="宋体" w:cs="宋体"/>
          <w:color w:val="auto"/>
          <w:szCs w:val="21"/>
          <w:highlight w:val="none"/>
        </w:rPr>
        <w:t>日 ，每天上午00：00至12：00 ，下午12：00至23：59（北京时间，法定节假日除外）</w:t>
      </w:r>
    </w:p>
    <w:p w14:paraId="3DEFC863">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地点（网址）：广西政府采购云平台（https：//www.gcy.zfcg.gxzf.gov.cn/）</w:t>
      </w:r>
    </w:p>
    <w:p w14:paraId="6A784642">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方式：</w:t>
      </w:r>
      <w:r>
        <w:rPr>
          <w:rFonts w:hint="eastAsia" w:ascii="宋体" w:hAnsi="宋体" w:cs="宋体"/>
          <w:bCs/>
          <w:color w:val="auto"/>
          <w:szCs w:val="21"/>
          <w:highlight w:val="none"/>
        </w:rPr>
        <w:t>网上下载。本项目不提供纸质文件，潜在供应商需使用账号登录或者使用CA登录广西政府采购云平台（https：//www.gcy.zfcg.gxzf.gov.cn/）-进入“项目采购”应用，在获取采购文件菜单中选择项目，获取竞争性磋商文件。</w:t>
      </w:r>
      <w:r>
        <w:rPr>
          <w:rFonts w:hint="eastAsia" w:ascii="宋体" w:hAnsi="宋体"/>
          <w:color w:val="auto"/>
          <w:szCs w:val="21"/>
          <w:highlight w:val="none"/>
        </w:rPr>
        <w:t>电子</w:t>
      </w:r>
      <w:r>
        <w:rPr>
          <w:rFonts w:hint="eastAsia"/>
          <w:color w:val="auto"/>
          <w:highlight w:val="none"/>
        </w:rPr>
        <w:t>响应文件</w:t>
      </w:r>
      <w:r>
        <w:rPr>
          <w:rFonts w:hint="eastAsia" w:ascii="宋体" w:hAnsi="宋体"/>
          <w:color w:val="auto"/>
          <w:szCs w:val="21"/>
          <w:highlight w:val="none"/>
        </w:rPr>
        <w:t>制作需要基于广西政府采购云平台获取的磋商文件编制，</w:t>
      </w:r>
      <w:r>
        <w:rPr>
          <w:rFonts w:hint="eastAsia" w:ascii="宋体" w:hAnsi="宋体" w:cs="宋体"/>
          <w:bCs/>
          <w:color w:val="auto"/>
          <w:szCs w:val="21"/>
          <w:highlight w:val="none"/>
        </w:rPr>
        <w:t>通过其他方式获取磋商文件的，将有可能导致供应商无法在广西政府采购云平台编制及上传响应文件。</w:t>
      </w:r>
    </w:p>
    <w:p w14:paraId="776FF56D">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售价（元）：0 </w:t>
      </w:r>
    </w:p>
    <w:p w14:paraId="49DEE57B">
      <w:pPr>
        <w:spacing w:line="300" w:lineRule="auto"/>
        <w:ind w:firstLine="361"/>
        <w:rPr>
          <w:rFonts w:hint="eastAsia" w:ascii="宋体" w:hAnsi="宋体" w:cs="宋体"/>
          <w:b/>
          <w:color w:val="auto"/>
          <w:sz w:val="24"/>
          <w:highlight w:val="none"/>
        </w:rPr>
      </w:pPr>
      <w:bookmarkStart w:id="15" w:name="_Toc71366169"/>
      <w:r>
        <w:rPr>
          <w:rFonts w:hint="eastAsia" w:ascii="宋体" w:hAnsi="宋体" w:cs="宋体"/>
          <w:b/>
          <w:color w:val="auto"/>
          <w:sz w:val="24"/>
          <w:highlight w:val="none"/>
        </w:rPr>
        <w:t>四、响应文件提交</w:t>
      </w:r>
      <w:bookmarkEnd w:id="14"/>
      <w:bookmarkStart w:id="49" w:name="_GoBack"/>
      <w:bookmarkEnd w:id="49"/>
    </w:p>
    <w:p w14:paraId="4E73B21C">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截止时间：</w:t>
      </w:r>
      <w:r>
        <w:rPr>
          <w:rFonts w:hint="eastAsia" w:ascii="宋体" w:hAnsi="宋体" w:cs="宋体"/>
          <w:color w:val="auto"/>
          <w:szCs w:val="21"/>
          <w:highlight w:val="none"/>
          <w:lang w:eastAsia="zh-CN"/>
        </w:rPr>
        <w:t>2026年8月7日9时00分</w:t>
      </w:r>
      <w:r>
        <w:rPr>
          <w:rFonts w:hint="eastAsia" w:ascii="宋体" w:hAnsi="宋体" w:cs="宋体"/>
          <w:color w:val="auto"/>
          <w:szCs w:val="21"/>
          <w:highlight w:val="none"/>
        </w:rPr>
        <w:t>（北京时间）</w:t>
      </w:r>
    </w:p>
    <w:p w14:paraId="3B9A4135">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地点（网址）：广西政府采购云平台（https：//www.gcy.zfcg.gxzf.gov.cn/）</w:t>
      </w:r>
    </w:p>
    <w:p w14:paraId="7CFA47DB">
      <w:pPr>
        <w:spacing w:line="300" w:lineRule="auto"/>
        <w:ind w:firstLine="361"/>
        <w:rPr>
          <w:rFonts w:hint="eastAsia" w:ascii="宋体" w:hAnsi="宋体" w:cs="宋体"/>
          <w:b/>
          <w:color w:val="auto"/>
          <w:sz w:val="24"/>
          <w:highlight w:val="none"/>
        </w:rPr>
      </w:pPr>
      <w:bookmarkStart w:id="16" w:name="_Toc71366170"/>
      <w:r>
        <w:rPr>
          <w:rFonts w:hint="eastAsia" w:ascii="宋体" w:hAnsi="宋体" w:cs="宋体"/>
          <w:b/>
          <w:color w:val="auto"/>
          <w:sz w:val="24"/>
          <w:highlight w:val="none"/>
        </w:rPr>
        <w:t>五、</w:t>
      </w:r>
      <w:bookmarkEnd w:id="15"/>
      <w:r>
        <w:rPr>
          <w:rFonts w:hint="eastAsia" w:ascii="宋体" w:hAnsi="宋体" w:cs="宋体"/>
          <w:b/>
          <w:color w:val="auto"/>
          <w:sz w:val="24"/>
          <w:highlight w:val="none"/>
        </w:rPr>
        <w:t>开启</w:t>
      </w:r>
    </w:p>
    <w:p w14:paraId="66DE6096">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1.时间：</w:t>
      </w:r>
      <w:r>
        <w:rPr>
          <w:rFonts w:hint="eastAsia" w:ascii="宋体" w:hAnsi="宋体" w:cs="宋体"/>
          <w:color w:val="auto"/>
          <w:szCs w:val="21"/>
          <w:highlight w:val="none"/>
          <w:lang w:eastAsia="zh-CN"/>
        </w:rPr>
        <w:t>2026年8月7日9时00分</w:t>
      </w:r>
      <w:r>
        <w:rPr>
          <w:rFonts w:hint="eastAsia" w:ascii="宋体" w:hAnsi="宋体" w:cs="宋体"/>
          <w:color w:val="auto"/>
          <w:szCs w:val="21"/>
          <w:highlight w:val="none"/>
        </w:rPr>
        <w:t>（北京时间）</w:t>
      </w:r>
    </w:p>
    <w:p w14:paraId="62B7C378">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2.地点：广西政府采购云平台（https：//www.gcy.zfcg.gxzf.gov.cn/）</w:t>
      </w:r>
    </w:p>
    <w:p w14:paraId="5A68617E">
      <w:pPr>
        <w:spacing w:line="300" w:lineRule="auto"/>
        <w:ind w:firstLine="361"/>
        <w:rPr>
          <w:rFonts w:hint="eastAsia" w:ascii="宋体" w:hAnsi="宋体" w:cs="宋体"/>
          <w:b/>
          <w:color w:val="auto"/>
          <w:sz w:val="24"/>
          <w:highlight w:val="none"/>
        </w:rPr>
      </w:pPr>
      <w:bookmarkStart w:id="17" w:name="_Toc71366171"/>
      <w:r>
        <w:rPr>
          <w:rFonts w:hint="eastAsia" w:ascii="宋体" w:hAnsi="宋体" w:cs="宋体"/>
          <w:b/>
          <w:color w:val="auto"/>
          <w:sz w:val="24"/>
          <w:highlight w:val="none"/>
        </w:rPr>
        <w:t>六、公告期限</w:t>
      </w:r>
      <w:bookmarkEnd w:id="16"/>
    </w:p>
    <w:p w14:paraId="10DAE2BD">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自本公告发布之日起5个工作日。</w:t>
      </w:r>
    </w:p>
    <w:p w14:paraId="646F1FA1">
      <w:pPr>
        <w:spacing w:line="300" w:lineRule="auto"/>
        <w:ind w:firstLine="361"/>
        <w:rPr>
          <w:rFonts w:hint="eastAsia" w:ascii="宋体" w:hAnsi="宋体" w:cs="宋体"/>
          <w:b/>
          <w:color w:val="auto"/>
          <w:sz w:val="24"/>
          <w:highlight w:val="none"/>
        </w:rPr>
      </w:pPr>
      <w:bookmarkStart w:id="18" w:name="_Toc71366172"/>
      <w:r>
        <w:rPr>
          <w:rFonts w:hint="eastAsia" w:ascii="宋体" w:hAnsi="宋体" w:cs="宋体"/>
          <w:b/>
          <w:color w:val="auto"/>
          <w:sz w:val="24"/>
          <w:highlight w:val="none"/>
        </w:rPr>
        <w:t>七、其他补充事宜</w:t>
      </w:r>
      <w:bookmarkEnd w:id="17"/>
    </w:p>
    <w:p w14:paraId="0E1C3409">
      <w:pPr>
        <w:spacing w:line="300" w:lineRule="auto"/>
        <w:ind w:firstLine="420"/>
        <w:rPr>
          <w:rFonts w:hint="eastAsia" w:ascii="宋体" w:hAnsi="宋体" w:cs="宋体"/>
          <w:color w:val="auto"/>
          <w:szCs w:val="21"/>
          <w:highlight w:val="none"/>
        </w:rPr>
      </w:pPr>
      <w:bookmarkStart w:id="19" w:name="_Toc28359095"/>
      <w:bookmarkStart w:id="20" w:name="_Toc35393636"/>
      <w:bookmarkStart w:id="21" w:name="_Toc28359018"/>
      <w:bookmarkStart w:id="22" w:name="_Toc35393805"/>
      <w:bookmarkStart w:id="23" w:name="_Toc44229885"/>
      <w:r>
        <w:rPr>
          <w:rFonts w:hint="eastAsia" w:ascii="宋体" w:hAnsi="宋体" w:cs="宋体"/>
          <w:color w:val="auto"/>
          <w:szCs w:val="21"/>
          <w:highlight w:val="none"/>
        </w:rPr>
        <w:t>1.磋商保证金：无</w:t>
      </w:r>
    </w:p>
    <w:p w14:paraId="5CAD370E">
      <w:pPr>
        <w:spacing w:line="300" w:lineRule="auto"/>
        <w:ind w:firstLine="420"/>
        <w:rPr>
          <w:rFonts w:hint="eastAsia" w:ascii="宋体" w:hAnsi="宋体" w:cs="宋体"/>
          <w:color w:val="auto"/>
          <w:highlight w:val="none"/>
        </w:rPr>
      </w:pPr>
      <w:r>
        <w:rPr>
          <w:rFonts w:hint="eastAsia" w:ascii="宋体" w:hAnsi="宋体" w:cs="宋体"/>
          <w:color w:val="auto"/>
          <w:szCs w:val="21"/>
          <w:highlight w:val="none"/>
        </w:rPr>
        <w:t>2.</w:t>
      </w:r>
      <w:r>
        <w:rPr>
          <w:rFonts w:hint="eastAsia" w:ascii="宋体" w:hAnsi="宋体" w:cs="宋体"/>
          <w:color w:val="auto"/>
          <w:highlight w:val="none"/>
        </w:rPr>
        <w:t>本项目需要落实的政府采购政策：</w:t>
      </w:r>
    </w:p>
    <w:p w14:paraId="6AA91061">
      <w:pPr>
        <w:spacing w:line="360" w:lineRule="auto"/>
        <w:ind w:firstLine="315" w:firstLineChars="150"/>
        <w:rPr>
          <w:rFonts w:ascii="宋体" w:hAnsi="宋体" w:eastAsia="Arial" w:cs="宋体"/>
          <w:color w:val="auto"/>
          <w:kern w:val="0"/>
          <w:szCs w:val="21"/>
          <w:highlight w:val="none"/>
        </w:rPr>
      </w:pPr>
      <w:r>
        <w:rPr>
          <w:rFonts w:hint="eastAsia" w:ascii="宋体" w:hAnsi="宋体" w:eastAsia="Arial" w:cs="宋体"/>
          <w:color w:val="auto"/>
          <w:kern w:val="0"/>
          <w:szCs w:val="21"/>
          <w:highlight w:val="none"/>
        </w:rPr>
        <w:t>（1）政府采购促进中小企业发展。</w:t>
      </w:r>
    </w:p>
    <w:p w14:paraId="0F7B5E32">
      <w:pPr>
        <w:spacing w:line="360" w:lineRule="auto"/>
        <w:ind w:firstLine="315" w:firstLineChars="150"/>
        <w:rPr>
          <w:rFonts w:hint="eastAsia" w:ascii="宋体" w:hAnsi="宋体" w:eastAsia="Arial" w:cs="宋体"/>
          <w:color w:val="auto"/>
          <w:kern w:val="0"/>
          <w:szCs w:val="21"/>
          <w:highlight w:val="none"/>
        </w:rPr>
      </w:pPr>
      <w:r>
        <w:rPr>
          <w:rFonts w:hint="eastAsia" w:ascii="宋体" w:hAnsi="宋体" w:eastAsia="Arial" w:cs="宋体"/>
          <w:color w:val="auto"/>
          <w:kern w:val="0"/>
          <w:szCs w:val="21"/>
          <w:highlight w:val="none"/>
        </w:rPr>
        <w:t>（2）政府采购促进残疾人就业政策。</w:t>
      </w:r>
    </w:p>
    <w:p w14:paraId="2A7ED211">
      <w:pPr>
        <w:spacing w:line="360" w:lineRule="auto"/>
        <w:ind w:firstLine="315" w:firstLineChars="150"/>
        <w:rPr>
          <w:rFonts w:hint="eastAsia" w:ascii="宋体" w:hAnsi="宋体" w:eastAsia="Arial" w:cs="宋体"/>
          <w:color w:val="auto"/>
          <w:kern w:val="0"/>
          <w:szCs w:val="21"/>
          <w:highlight w:val="none"/>
        </w:rPr>
      </w:pPr>
      <w:r>
        <w:rPr>
          <w:rFonts w:hint="eastAsia" w:ascii="宋体" w:hAnsi="宋体" w:eastAsia="Arial" w:cs="宋体"/>
          <w:color w:val="auto"/>
          <w:kern w:val="0"/>
          <w:szCs w:val="21"/>
          <w:highlight w:val="none"/>
        </w:rPr>
        <w:t>（3）政府采购支持监狱企业发展。</w:t>
      </w:r>
    </w:p>
    <w:p w14:paraId="4225735B">
      <w:pPr>
        <w:spacing w:line="360" w:lineRule="auto"/>
        <w:ind w:firstLine="315" w:firstLineChars="150"/>
        <w:rPr>
          <w:rFonts w:hint="eastAsia" w:eastAsia="Arial"/>
          <w:color w:val="auto"/>
          <w:highlight w:val="none"/>
          <w:lang w:eastAsia="zh-CN"/>
        </w:rPr>
      </w:pPr>
      <w:r>
        <w:rPr>
          <w:rFonts w:hint="eastAsia" w:ascii="宋体" w:hAnsi="宋体" w:eastAsia="Arial" w:cs="宋体"/>
          <w:color w:val="auto"/>
          <w:kern w:val="0"/>
          <w:szCs w:val="21"/>
          <w:highlight w:val="none"/>
          <w:lang w:eastAsia="zh-CN"/>
        </w:rPr>
        <w:t>（</w:t>
      </w:r>
      <w:r>
        <w:rPr>
          <w:rFonts w:hint="eastAsia" w:ascii="宋体" w:hAnsi="宋体" w:eastAsia="Arial" w:cs="宋体"/>
          <w:color w:val="auto"/>
          <w:kern w:val="0"/>
          <w:szCs w:val="21"/>
          <w:highlight w:val="none"/>
          <w:lang w:val="en-US" w:eastAsia="zh-CN"/>
        </w:rPr>
        <w:t>4</w:t>
      </w:r>
      <w:r>
        <w:rPr>
          <w:rFonts w:hint="eastAsia" w:ascii="宋体" w:hAnsi="宋体" w:eastAsia="Arial" w:cs="宋体"/>
          <w:color w:val="auto"/>
          <w:kern w:val="0"/>
          <w:szCs w:val="21"/>
          <w:highlight w:val="none"/>
          <w:lang w:eastAsia="zh-CN"/>
        </w:rPr>
        <w:t>）</w:t>
      </w:r>
      <w:r>
        <w:rPr>
          <w:rFonts w:hint="eastAsia" w:ascii="宋体" w:hAnsi="宋体" w:eastAsia="Arial" w:cs="宋体"/>
          <w:color w:val="auto"/>
          <w:kern w:val="0"/>
          <w:szCs w:val="21"/>
          <w:highlight w:val="none"/>
        </w:rPr>
        <w:t>政府采购支持采用本国产品的政策。</w:t>
      </w:r>
    </w:p>
    <w:p w14:paraId="75B85D2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3.网上查询地址</w:t>
      </w:r>
    </w:p>
    <w:p w14:paraId="7F8FD6A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http：//www.ccgp.gov.cn（中国政府采购网）、http：//zfcg.gxzf.gov.cn/（广西壮族自治区政府采购网）、http：//ggzy.jgswj.gxzf.gov.cn/ggggzy/全国公共资源交易平台（广西·贵港）</w:t>
      </w:r>
    </w:p>
    <w:p w14:paraId="1BDC2A3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4.监督部门</w:t>
      </w:r>
    </w:p>
    <w:p w14:paraId="54577621">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名  称：平南县财政局政府采购监督管理股 </w:t>
      </w:r>
    </w:p>
    <w:p w14:paraId="04896A5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rPr>
        <w:t>电  话：0775-7830062</w:t>
      </w:r>
      <w:r>
        <w:rPr>
          <w:rFonts w:hint="eastAsia" w:ascii="宋体" w:hAnsi="宋体" w:cs="宋体"/>
          <w:color w:val="auto"/>
          <w:szCs w:val="21"/>
          <w:highlight w:val="none"/>
        </w:rPr>
        <w:t xml:space="preserve"> </w:t>
      </w:r>
    </w:p>
    <w:p w14:paraId="7041D33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628396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6.未被“信用中国”（www.creditchina.gov.cn）、中国政府采购网（www.ccgp.gov.cn）列入失信被执行人、重大税收违法失信主体、政府采购严重违法失信行为记录名单。</w:t>
      </w:r>
    </w:p>
    <w:p w14:paraId="46E4A90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7.供应商竞标注意事项</w:t>
      </w:r>
    </w:p>
    <w:p w14:paraId="33B80B42">
      <w:pPr>
        <w:widowControl/>
        <w:spacing w:line="360" w:lineRule="auto"/>
        <w:ind w:firstLine="420"/>
        <w:jc w:val="both"/>
        <w:rPr>
          <w:rFonts w:hint="eastAsia" w:ascii="宋体" w:hAnsi="宋体"/>
          <w:color w:val="auto"/>
          <w:szCs w:val="21"/>
          <w:highlight w:val="none"/>
        </w:rPr>
      </w:pPr>
      <w:r>
        <w:rPr>
          <w:rFonts w:hint="eastAsia" w:ascii="宋体" w:hAnsi="宋体"/>
          <w:color w:val="auto"/>
          <w:szCs w:val="21"/>
          <w:highlight w:val="none"/>
        </w:rPr>
        <w:t>（1）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 广西政府采购云平台（加密的电子响应文件是指</w:t>
      </w:r>
      <w:r>
        <w:rPr>
          <w:rFonts w:hint="eastAsia"/>
          <w:color w:val="auto"/>
          <w:highlight w:val="none"/>
        </w:rPr>
        <w:t>后缀名为“jm</w:t>
      </w:r>
      <w:r>
        <w:rPr>
          <w:color w:val="auto"/>
          <w:highlight w:val="none"/>
        </w:rPr>
        <w:t>bs</w:t>
      </w:r>
      <w:r>
        <w:rPr>
          <w:rFonts w:hint="eastAsia"/>
          <w:color w:val="auto"/>
          <w:highlight w:val="none"/>
        </w:rPr>
        <w:t>”的文件</w:t>
      </w:r>
      <w:r>
        <w:rPr>
          <w:rFonts w:hint="eastAsia" w:ascii="宋体" w:hAnsi="宋体"/>
          <w:color w:val="auto"/>
          <w:szCs w:val="21"/>
          <w:highlight w:val="none"/>
        </w:rPr>
        <w:t>），</w:t>
      </w:r>
      <w:r>
        <w:rPr>
          <w:rFonts w:hint="eastAsia" w:ascii="宋体" w:hAnsi="宋体"/>
          <w:b/>
          <w:color w:val="auto"/>
          <w:szCs w:val="21"/>
          <w:highlight w:val="none"/>
        </w:rPr>
        <w:t>供应商在广西政府采购云平台提交电子响应文件时，请填写参加远程采购活动经办人联系方式。</w:t>
      </w:r>
      <w:r>
        <w:rPr>
          <w:rFonts w:hint="eastAsia" w:ascii="宋体" w:hAnsi="宋体"/>
          <w:color w:val="auto"/>
          <w:szCs w:val="21"/>
          <w:highlight w:val="none"/>
        </w:rPr>
        <w:t>供应商登录广西政府采购云平台，依次进入“服务中心－项目采购－操作流程－电子招投标－</w:t>
      </w:r>
      <w:r>
        <w:rPr>
          <w:rFonts w:hint="eastAsia"/>
          <w:color w:val="auto"/>
          <w:highlight w:val="none"/>
        </w:rPr>
        <w:t>政府采购项目电子交易管理操作指南－供应商</w:t>
      </w:r>
      <w:r>
        <w:rPr>
          <w:rFonts w:hint="eastAsia" w:ascii="宋体" w:hAnsi="宋体"/>
          <w:color w:val="auto"/>
          <w:szCs w:val="21"/>
          <w:highlight w:val="none"/>
        </w:rPr>
        <w:t>”查看电子竞标具体操作流程。</w:t>
      </w:r>
    </w:p>
    <w:p w14:paraId="137C0B20">
      <w:pPr>
        <w:widowControl/>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ascii="宋体" w:hAnsi="宋体" w:cs="宋体"/>
          <w:color w:val="auto"/>
          <w:szCs w:val="21"/>
          <w:highlight w:val="none"/>
        </w:rPr>
        <w:t>广西政府采购云平台，</w:t>
      </w:r>
      <w:r>
        <w:rPr>
          <w:rFonts w:hint="eastAsia" w:ascii="宋体" w:hAnsi="宋体"/>
          <w:color w:val="auto"/>
          <w:szCs w:val="21"/>
          <w:highlight w:val="none"/>
        </w:rPr>
        <w:t>依次进入“服务中心－入驻与配置”中查看CA数字证书办理操作流程。</w:t>
      </w:r>
      <w:r>
        <w:rPr>
          <w:rFonts w:hint="eastAsia" w:ascii="宋体" w:hAnsi="宋体" w:cs="宋体"/>
          <w:bCs/>
          <w:color w:val="auto"/>
          <w:szCs w:val="21"/>
          <w:highlight w:val="none"/>
        </w:rPr>
        <w:t>如在操作过程中遇到问题或者需要技术支持，请致电客服热线：95763或者0771-3381253</w:t>
      </w:r>
      <w:r>
        <w:rPr>
          <w:rFonts w:hint="eastAsia" w:ascii="宋体" w:hAnsi="宋体"/>
          <w:color w:val="auto"/>
          <w:szCs w:val="21"/>
          <w:highlight w:val="none"/>
        </w:rPr>
        <w:t>）。</w:t>
      </w:r>
    </w:p>
    <w:p w14:paraId="49119DB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20BEF2EE">
      <w:pPr>
        <w:widowControl/>
        <w:spacing w:line="360" w:lineRule="auto"/>
        <w:ind w:firstLine="420"/>
        <w:jc w:val="left"/>
        <w:rPr>
          <w:rFonts w:hint="eastAsia" w:ascii="宋体" w:hAnsi="宋体"/>
          <w:bCs/>
          <w:color w:val="auto"/>
          <w:szCs w:val="21"/>
          <w:highlight w:val="none"/>
        </w:rPr>
      </w:pPr>
      <w:r>
        <w:rPr>
          <w:rFonts w:hint="eastAsia" w:ascii="宋体" w:hAnsi="宋体"/>
          <w:color w:val="auto"/>
          <w:szCs w:val="21"/>
          <w:highlight w:val="none"/>
        </w:rPr>
        <w:t>注：1）为确保网上操作合法、有效和安全，请供应商确保在电子竞标过程中能够对相关数据电文进行加密和使用电子签章，妥善保管CA数字证书并使用有效的CA数字证书参与整个采购活动。2）</w:t>
      </w:r>
      <w:r>
        <w:rPr>
          <w:rFonts w:hint="eastAsia" w:ascii="宋体" w:hAnsi="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57B194CD">
      <w:pPr>
        <w:spacing w:line="360" w:lineRule="auto"/>
        <w:ind w:firstLine="308"/>
        <w:rPr>
          <w:rFonts w:hint="eastAsia" w:ascii="宋体" w:hAnsi="宋体" w:cs="宋体"/>
          <w:color w:val="auto"/>
          <w:szCs w:val="21"/>
          <w:highlight w:val="none"/>
        </w:rPr>
      </w:pPr>
      <w:r>
        <w:rPr>
          <w:rFonts w:hint="eastAsia" w:ascii="宋体" w:hAnsi="宋体" w:cs="宋体"/>
          <w:color w:val="auto"/>
          <w:szCs w:val="21"/>
          <w:highlight w:val="none"/>
        </w:rPr>
        <w:t>（4）供应商需要在具备有摄像头及语音功能且互联网网络状况良好的电脑登录广西政府采购云平台远程开标大厅参与本次磋商，否则后果自负。</w:t>
      </w:r>
    </w:p>
    <w:p w14:paraId="3A8AA91A">
      <w:pPr>
        <w:spacing w:line="360" w:lineRule="auto"/>
        <w:ind w:firstLine="361"/>
        <w:rPr>
          <w:rFonts w:hint="eastAsia" w:ascii="宋体" w:hAnsi="宋体" w:cs="宋体"/>
          <w:color w:val="auto"/>
          <w:sz w:val="24"/>
          <w:highlight w:val="none"/>
        </w:rPr>
      </w:pPr>
      <w:r>
        <w:rPr>
          <w:rFonts w:hint="eastAsia" w:ascii="宋体" w:hAnsi="宋体" w:cs="宋体"/>
          <w:b/>
          <w:color w:val="auto"/>
          <w:sz w:val="24"/>
          <w:highlight w:val="none"/>
        </w:rPr>
        <w:t>八、凡对本次采购提出询问</w:t>
      </w:r>
      <w:r>
        <w:rPr>
          <w:rFonts w:hint="eastAsia" w:ascii="宋体" w:hAnsi="宋体" w:cs="宋体"/>
          <w:b/>
          <w:color w:val="auto"/>
          <w:sz w:val="24"/>
          <w:highlight w:val="none"/>
        </w:rPr>
        <w:t>，请按以下方式联系</w:t>
      </w:r>
      <w:r>
        <w:rPr>
          <w:rFonts w:hint="eastAsia" w:ascii="宋体" w:hAnsi="宋体" w:cs="宋体"/>
          <w:color w:val="auto"/>
          <w:sz w:val="24"/>
          <w:highlight w:val="none"/>
        </w:rPr>
        <w:t>。</w:t>
      </w:r>
      <w:bookmarkEnd w:id="18"/>
      <w:bookmarkEnd w:id="19"/>
      <w:bookmarkEnd w:id="20"/>
      <w:bookmarkEnd w:id="21"/>
      <w:bookmarkEnd w:id="22"/>
    </w:p>
    <w:p w14:paraId="4EA629C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1.采购人信息</w:t>
      </w:r>
    </w:p>
    <w:p w14:paraId="58DDA22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名    称：</w:t>
      </w:r>
      <w:r>
        <w:rPr>
          <w:rFonts w:hint="eastAsia" w:ascii="宋体" w:hAnsi="宋体" w:cs="宋体"/>
          <w:color w:val="auto"/>
          <w:szCs w:val="21"/>
          <w:highlight w:val="none"/>
          <w:lang w:eastAsia="zh-CN"/>
        </w:rPr>
        <w:t>平南县马练瑶族乡初级中学</w:t>
      </w:r>
      <w:r>
        <w:rPr>
          <w:rFonts w:hint="eastAsia" w:ascii="宋体" w:hAnsi="宋体" w:cs="宋体"/>
          <w:color w:val="auto"/>
          <w:szCs w:val="21"/>
          <w:highlight w:val="none"/>
        </w:rPr>
        <w:t>　</w:t>
      </w:r>
    </w:p>
    <w:p w14:paraId="06833AC3">
      <w:pPr>
        <w:widowControl w:val="0"/>
        <w:spacing w:line="360" w:lineRule="auto"/>
        <w:ind w:firstLine="420" w:firstLineChars="0"/>
        <w:jc w:val="both"/>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地    址：</w:t>
      </w:r>
      <w:r>
        <w:rPr>
          <w:rFonts w:hint="eastAsia" w:ascii="宋体" w:hAnsi="宋体" w:cs="宋体"/>
          <w:color w:val="auto"/>
          <w:szCs w:val="21"/>
          <w:highlight w:val="none"/>
        </w:rPr>
        <w:t>平南县</w:t>
      </w:r>
      <w:r>
        <w:rPr>
          <w:rFonts w:hint="eastAsia" w:ascii="宋体" w:hAnsi="宋体" w:cs="宋体"/>
          <w:color w:val="auto"/>
          <w:szCs w:val="21"/>
          <w:highlight w:val="none"/>
          <w:lang w:eastAsia="zh-CN"/>
        </w:rPr>
        <w:t>马练瑶族乡</w:t>
      </w:r>
    </w:p>
    <w:p w14:paraId="3B954615">
      <w:pPr>
        <w:widowControl w:val="0"/>
        <w:spacing w:line="360" w:lineRule="auto"/>
        <w:ind w:leftChars="0" w:firstLine="420" w:firstLineChars="0"/>
        <w:jc w:val="both"/>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联 系 人：黄水健</w:t>
      </w:r>
    </w:p>
    <w:p w14:paraId="64CFDAED">
      <w:pPr>
        <w:widowControl w:val="0"/>
        <w:spacing w:line="360" w:lineRule="auto"/>
        <w:ind w:leftChars="0" w:firstLine="420" w:firstLineChars="0"/>
        <w:jc w:val="both"/>
        <w:rPr>
          <w:rFonts w:hint="default"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联系方式：0775-7712036</w:t>
      </w:r>
    </w:p>
    <w:p w14:paraId="45898CE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2.采购代理机构信息</w:t>
      </w:r>
    </w:p>
    <w:p w14:paraId="60C1A07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名    称：云之龙咨询集团有限公司　</w:t>
      </w:r>
    </w:p>
    <w:p w14:paraId="20AC70C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　　址：广西贵港市港北区荷城路 1132 号华泰官邸1栋6楼</w:t>
      </w:r>
    </w:p>
    <w:p w14:paraId="40CEA8CF">
      <w:pPr>
        <w:spacing w:line="360" w:lineRule="auto"/>
        <w:ind w:firstLine="420"/>
        <w:rPr>
          <w:rFonts w:hint="eastAsia" w:ascii="宋体" w:hAnsi="宋体" w:cs="宋体"/>
          <w:color w:val="auto"/>
          <w:szCs w:val="21"/>
          <w:highlight w:val="none"/>
          <w:lang w:val="en-US" w:eastAsia="zh-CN"/>
        </w:rPr>
      </w:pPr>
      <w:r>
        <w:rPr>
          <w:rFonts w:hint="eastAsia" w:ascii="宋体" w:hAnsi="宋体" w:cs="宋体"/>
          <w:color w:val="auto"/>
          <w:szCs w:val="21"/>
          <w:highlight w:val="none"/>
        </w:rPr>
        <w:t>项目联系人：</w:t>
      </w:r>
      <w:r>
        <w:rPr>
          <w:rFonts w:hint="eastAsia" w:ascii="宋体" w:hAnsi="宋体" w:cs="宋体"/>
          <w:color w:val="auto"/>
          <w:szCs w:val="21"/>
          <w:highlight w:val="none"/>
          <w:lang w:eastAsia="zh-CN"/>
        </w:rPr>
        <w:t>徐律、石宗艳</w:t>
      </w:r>
    </w:p>
    <w:p w14:paraId="231556C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项目联系方式： 0775-4565100、4569690</w:t>
      </w:r>
    </w:p>
    <w:p w14:paraId="11449506">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br w:type="page" w:clear="all"/>
      </w:r>
      <w:bookmarkEnd w:id="23"/>
    </w:p>
    <w:p w14:paraId="59123D93">
      <w:pPr>
        <w:pStyle w:val="196"/>
        <w:jc w:val="center"/>
        <w:rPr>
          <w:rFonts w:hint="eastAsia" w:ascii="宋体" w:hAnsi="宋体" w:cs="宋体"/>
          <w:color w:val="auto"/>
          <w:highlight w:val="none"/>
        </w:rPr>
      </w:pPr>
      <w:bookmarkStart w:id="24" w:name="_Toc17857"/>
      <w:r>
        <w:rPr>
          <w:rFonts w:hint="eastAsia" w:ascii="宋体" w:hAnsi="宋体" w:cs="宋体"/>
          <w:color w:val="auto"/>
          <w:highlight w:val="none"/>
        </w:rPr>
        <w:t>第二章 供应商须知</w:t>
      </w:r>
      <w:bookmarkEnd w:id="24"/>
    </w:p>
    <w:p w14:paraId="138E122D">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供应商须知前附表</w:t>
      </w:r>
    </w:p>
    <w:p w14:paraId="7ECDBA91">
      <w:pPr>
        <w:spacing w:line="400" w:lineRule="exact"/>
        <w:jc w:val="center"/>
        <w:rPr>
          <w:rFonts w:hint="eastAsia" w:ascii="宋体" w:hAnsi="宋体" w:cs="宋体"/>
          <w:b/>
          <w:color w:val="auto"/>
          <w:sz w:val="32"/>
          <w:szCs w:val="32"/>
          <w:highlight w:val="none"/>
        </w:rPr>
      </w:pPr>
    </w:p>
    <w:tbl>
      <w:tblPr>
        <w:tblStyle w:val="31"/>
        <w:tblW w:w="925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1"/>
        <w:gridCol w:w="8385"/>
      </w:tblGrid>
      <w:tr w14:paraId="39FD4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tcPr>
          <w:p w14:paraId="109C4BD2">
            <w:pPr>
              <w:spacing w:line="32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8385" w:type="dxa"/>
            <w:tcBorders>
              <w:top w:val="single" w:color="000000" w:sz="4" w:space="0"/>
              <w:left w:val="single" w:color="000000" w:sz="4" w:space="0"/>
              <w:bottom w:val="single" w:color="000000" w:sz="4" w:space="0"/>
              <w:right w:val="single" w:color="000000" w:sz="4" w:space="0"/>
            </w:tcBorders>
          </w:tcPr>
          <w:p w14:paraId="7721AB8A">
            <w:pPr>
              <w:spacing w:line="32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内    容</w:t>
            </w:r>
          </w:p>
        </w:tc>
      </w:tr>
      <w:tr w14:paraId="6BD13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29CF61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8385" w:type="dxa"/>
            <w:tcBorders>
              <w:top w:val="single" w:color="000000" w:sz="4" w:space="0"/>
              <w:left w:val="single" w:color="000000" w:sz="4" w:space="0"/>
              <w:bottom w:val="single" w:color="000000" w:sz="4" w:space="0"/>
              <w:right w:val="single" w:color="000000" w:sz="4" w:space="0"/>
            </w:tcBorders>
            <w:vAlign w:val="center"/>
          </w:tcPr>
          <w:p w14:paraId="65DC5DCE">
            <w:pPr>
              <w:spacing w:line="360" w:lineRule="auto"/>
              <w:rPr>
                <w:rFonts w:hint="eastAsia" w:ascii="宋体" w:hAnsi="宋体" w:cs="宋体"/>
                <w:color w:val="auto"/>
                <w:szCs w:val="21"/>
                <w:highlight w:val="none"/>
              </w:rPr>
            </w:pPr>
            <w:r>
              <w:rPr>
                <w:rFonts w:hint="eastAsia" w:ascii="宋体" w:hAnsi="宋体" w:cs="宋体"/>
                <w:bCs/>
                <w:color w:val="auto"/>
                <w:szCs w:val="21"/>
                <w:highlight w:val="none"/>
              </w:rPr>
              <w:t>1.供应商的资格条件</w:t>
            </w:r>
            <w:r>
              <w:rPr>
                <w:rFonts w:hint="eastAsia" w:ascii="宋体" w:hAnsi="宋体" w:cs="宋体"/>
                <w:color w:val="auto"/>
                <w:szCs w:val="21"/>
                <w:highlight w:val="none"/>
              </w:rPr>
              <w:t>：详见竞争性磋商公告</w:t>
            </w:r>
          </w:p>
          <w:p w14:paraId="6B29AC1E">
            <w:pPr>
              <w:spacing w:line="360" w:lineRule="auto"/>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供应商</w:t>
            </w:r>
            <w:r>
              <w:rPr>
                <w:rFonts w:hint="eastAsia" w:ascii="宋体" w:hAnsi="宋体" w:cs="宋体"/>
                <w:color w:val="auto"/>
                <w:szCs w:val="21"/>
                <w:highlight w:val="none"/>
              </w:rPr>
              <w:t>出现下列情形之一的，不得参加政府采购活动：</w:t>
            </w:r>
          </w:p>
          <w:p w14:paraId="47DF68F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9EAE75B">
            <w:pPr>
              <w:spacing w:line="360" w:lineRule="auto"/>
              <w:rPr>
                <w:rFonts w:hint="eastAsia"/>
                <w:color w:val="auto"/>
                <w:highlight w:val="none"/>
              </w:rPr>
            </w:pPr>
            <w:r>
              <w:rPr>
                <w:rFonts w:hint="eastAsia" w:ascii="宋体" w:hAnsi="宋体" w:cs="宋体"/>
                <w:color w:val="auto"/>
                <w:szCs w:val="21"/>
                <w:highlight w:val="none"/>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71FC8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45130DB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5.1</w:t>
            </w:r>
          </w:p>
        </w:tc>
        <w:tc>
          <w:tcPr>
            <w:tcW w:w="8385" w:type="dxa"/>
            <w:tcBorders>
              <w:top w:val="single" w:color="000000" w:sz="4" w:space="0"/>
              <w:left w:val="single" w:color="000000" w:sz="4" w:space="0"/>
              <w:bottom w:val="single" w:color="000000" w:sz="4" w:space="0"/>
              <w:right w:val="single" w:color="000000" w:sz="4" w:space="0"/>
            </w:tcBorders>
            <w:vAlign w:val="center"/>
          </w:tcPr>
          <w:p w14:paraId="1EF0D1D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是否接受联合体竞标： 详见竞争性磋商公告</w:t>
            </w:r>
          </w:p>
        </w:tc>
      </w:tr>
      <w:tr w14:paraId="1C5B7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C96A8A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8385" w:type="dxa"/>
            <w:tcBorders>
              <w:top w:val="single" w:color="000000" w:sz="4" w:space="0"/>
              <w:left w:val="single" w:color="000000" w:sz="4" w:space="0"/>
              <w:bottom w:val="single" w:color="000000" w:sz="4" w:space="0"/>
              <w:right w:val="single" w:color="000000" w:sz="4" w:space="0"/>
            </w:tcBorders>
            <w:vAlign w:val="center"/>
          </w:tcPr>
          <w:p w14:paraId="48564A3C">
            <w:pPr>
              <w:pStyle w:val="212"/>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是否允许分包：☑不允许。</w:t>
            </w:r>
          </w:p>
        </w:tc>
      </w:tr>
      <w:tr w14:paraId="7F10D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7797085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12.1.1</w:t>
            </w:r>
          </w:p>
        </w:tc>
        <w:tc>
          <w:tcPr>
            <w:tcW w:w="8385" w:type="dxa"/>
            <w:tcBorders>
              <w:top w:val="single" w:color="000000" w:sz="4" w:space="0"/>
              <w:left w:val="single" w:color="000000" w:sz="4" w:space="0"/>
              <w:bottom w:val="single" w:color="000000" w:sz="4" w:space="0"/>
              <w:right w:val="single" w:color="000000" w:sz="4" w:space="0"/>
            </w:tcBorders>
            <w:vAlign w:val="center"/>
          </w:tcPr>
          <w:p w14:paraId="25FF7CC9">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758397A1">
            <w:pPr>
              <w:pStyle w:val="212"/>
              <w:keepNext w:val="0"/>
              <w:keepLines w:val="0"/>
              <w:pageBreakBefore w:val="0"/>
              <w:widowControl w:val="0"/>
              <w:bidi w:val="0"/>
              <w:spacing w:line="360" w:lineRule="auto"/>
              <w:rPr>
                <w:rFonts w:hint="eastAsia" w:ascii="宋体" w:hAnsi="宋体" w:cs="宋体"/>
                <w:color w:val="auto"/>
                <w:highlight w:val="none"/>
                <w:lang w:val="en-US" w:eastAsia="zh-CN"/>
              </w:rPr>
            </w:pPr>
            <w:r>
              <w:rPr>
                <w:rFonts w:hint="eastAsia" w:ascii="宋体" w:hAnsi="宋体" w:cs="宋体"/>
                <w:color w:val="auto"/>
                <w:szCs w:val="21"/>
                <w:highlight w:val="none"/>
                <w:lang w:val="en-US" w:eastAsia="zh-CN"/>
              </w:rPr>
              <w:t>1.法人或者其他组织的营业执照等证明文件（如营业执照或事业单位法人证书或执业许可证等），自然人的有效身份证复印件或扫描件；（</w:t>
            </w:r>
            <w:r>
              <w:rPr>
                <w:rFonts w:hint="eastAsia" w:ascii="宋体" w:hAnsi="宋体" w:cs="宋体"/>
                <w:b/>
                <w:color w:val="auto"/>
                <w:szCs w:val="21"/>
                <w:highlight w:val="none"/>
                <w:lang w:val="en-US" w:eastAsia="zh-CN"/>
              </w:rPr>
              <w:t>必须提供，否则响应文件按无效响应处理</w:t>
            </w:r>
            <w:r>
              <w:rPr>
                <w:rFonts w:hint="eastAsia" w:ascii="宋体" w:hAnsi="宋体" w:cs="宋体"/>
                <w:color w:val="auto"/>
                <w:szCs w:val="21"/>
                <w:highlight w:val="none"/>
                <w:lang w:val="en-US" w:eastAsia="zh-CN"/>
              </w:rPr>
              <w:t>）</w:t>
            </w:r>
          </w:p>
          <w:p w14:paraId="4D974FC8">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color w:val="auto"/>
                <w:szCs w:val="21"/>
                <w:highlight w:val="none"/>
              </w:rPr>
              <w:t>2.贵港市政府采购项目投标资格承诺（格式后附）；</w:t>
            </w:r>
            <w:r>
              <w:rPr>
                <w:rFonts w:hint="eastAsia" w:ascii="宋体" w:hAnsi="宋体" w:cs="宋体"/>
                <w:bCs/>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bCs/>
                <w:color w:val="auto"/>
                <w:szCs w:val="21"/>
                <w:highlight w:val="none"/>
              </w:rPr>
              <w:t>）</w:t>
            </w:r>
          </w:p>
          <w:p w14:paraId="261E1CB4">
            <w:pPr>
              <w:keepNext w:val="0"/>
              <w:keepLines w:val="0"/>
              <w:pageBreakBefore w:val="0"/>
              <w:widowControl w:val="0"/>
              <w:bidi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3.供应商直接控股、管理关系信息表（格式后附）；（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EA0E312">
            <w:pPr>
              <w:keepNext w:val="0"/>
              <w:keepLines w:val="0"/>
              <w:pageBreakBefore w:val="0"/>
              <w:widowControl w:val="0"/>
              <w:bidi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rPr>
              <w:t>4.竞标声明（格式后附）；</w:t>
            </w:r>
            <w:r>
              <w:rPr>
                <w:rFonts w:hint="eastAsia" w:ascii="宋体" w:hAnsi="宋体" w:cs="宋体"/>
                <w:b/>
                <w:bCs/>
                <w:color w:val="auto"/>
                <w:szCs w:val="21"/>
                <w:highlight w:val="none"/>
              </w:rPr>
              <w:t>（必须提供，否则响应文件按无效响应处理）</w:t>
            </w:r>
          </w:p>
          <w:p w14:paraId="51940D65">
            <w:pPr>
              <w:keepNext w:val="0"/>
              <w:keepLines w:val="0"/>
              <w:pageBreakBefore w:val="0"/>
              <w:widowControl w:val="0"/>
              <w:bidi w:val="0"/>
              <w:spacing w:line="360" w:lineRule="auto"/>
              <w:jc w:val="left"/>
              <w:rPr>
                <w:rFonts w:hint="eastAsia" w:ascii="宋体" w:hAnsi="宋体" w:cs="宋体"/>
                <w:color w:val="auto"/>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w:t>
            </w:r>
            <w:r>
              <w:rPr>
                <w:rFonts w:hint="eastAsia" w:ascii="宋体" w:hAnsi="宋体" w:cs="宋体"/>
                <w:color w:val="auto"/>
                <w:highlight w:val="none"/>
              </w:rPr>
              <w:t>供应商相应有效的</w:t>
            </w:r>
            <w:r>
              <w:rPr>
                <w:rFonts w:hint="eastAsia" w:ascii="宋体" w:hAnsi="宋体" w:cs="宋体"/>
                <w:color w:val="auto"/>
                <w:szCs w:val="21"/>
                <w:highlight w:val="none"/>
              </w:rPr>
              <w:t>《食品经营许可证》</w:t>
            </w:r>
            <w:r>
              <w:rPr>
                <w:rFonts w:hint="eastAsia" w:ascii="宋体" w:hAnsi="宋体" w:cs="宋体"/>
                <w:color w:val="auto"/>
                <w:highlight w:val="none"/>
              </w:rPr>
              <w:t>复印件</w:t>
            </w:r>
            <w:r>
              <w:rPr>
                <w:rFonts w:hint="eastAsia" w:ascii="宋体" w:hAnsi="宋体" w:eastAsia="Arial" w:cs="宋体"/>
                <w:color w:val="auto"/>
                <w:szCs w:val="21"/>
                <w:highlight w:val="none"/>
              </w:rPr>
              <w:t>或扫描件</w:t>
            </w:r>
            <w:r>
              <w:rPr>
                <w:rFonts w:hint="eastAsia" w:ascii="宋体" w:hAnsi="宋体" w:cs="宋体"/>
                <w:color w:val="auto"/>
                <w:highlight w:val="none"/>
              </w:rPr>
              <w:t>；（</w:t>
            </w:r>
            <w:r>
              <w:rPr>
                <w:rFonts w:hint="eastAsia" w:ascii="宋体" w:hAnsi="宋体" w:cs="宋体"/>
                <w:b/>
                <w:bCs/>
                <w:color w:val="auto"/>
                <w:highlight w:val="none"/>
              </w:rPr>
              <w:t>必须提供，否则作无效</w:t>
            </w:r>
            <w:r>
              <w:rPr>
                <w:rFonts w:hint="eastAsia" w:ascii="宋体" w:hAnsi="宋体" w:cs="宋体"/>
                <w:b/>
                <w:bCs/>
                <w:color w:val="auto"/>
                <w:highlight w:val="none"/>
                <w:lang w:eastAsia="zh-CN"/>
              </w:rPr>
              <w:t>竞标</w:t>
            </w:r>
            <w:r>
              <w:rPr>
                <w:rFonts w:hint="eastAsia" w:ascii="宋体" w:hAnsi="宋体" w:cs="宋体"/>
                <w:b/>
                <w:bCs/>
                <w:color w:val="auto"/>
                <w:highlight w:val="none"/>
              </w:rPr>
              <w:t>处理</w:t>
            </w:r>
            <w:r>
              <w:rPr>
                <w:rFonts w:hint="eastAsia" w:ascii="宋体" w:hAnsi="宋体" w:cs="宋体"/>
                <w:color w:val="auto"/>
                <w:highlight w:val="none"/>
              </w:rPr>
              <w:t>）</w:t>
            </w:r>
          </w:p>
          <w:p w14:paraId="509F4279">
            <w:pPr>
              <w:keepNext w:val="0"/>
              <w:keepLines w:val="0"/>
              <w:pageBreakBefore w:val="0"/>
              <w:widowControl w:val="0"/>
              <w:bidi w:val="0"/>
              <w:spacing w:line="360" w:lineRule="auto"/>
              <w:jc w:val="left"/>
              <w:rPr>
                <w:rFonts w:hint="eastAsia" w:ascii="宋体" w:hAnsi="宋体" w:cs="宋体"/>
                <w:color w:val="auto"/>
                <w:szCs w:val="21"/>
                <w:highlight w:val="none"/>
              </w:rPr>
            </w:pPr>
            <w:r>
              <w:rPr>
                <w:rFonts w:hint="eastAsia" w:ascii="宋体" w:hAnsi="宋体" w:cs="宋体"/>
                <w:color w:val="auto"/>
                <w:highlight w:val="none"/>
                <w:lang w:val="en-US" w:eastAsia="zh-CN"/>
              </w:rPr>
              <w:t>6.</w:t>
            </w:r>
            <w:r>
              <w:rPr>
                <w:rFonts w:hint="eastAsia" w:ascii="宋体" w:hAnsi="宋体" w:cs="宋体"/>
                <w:bCs/>
                <w:color w:val="auto"/>
                <w:szCs w:val="21"/>
                <w:highlight w:val="none"/>
              </w:rPr>
              <w:t>除竞争性磋商文件</w:t>
            </w:r>
            <w:r>
              <w:rPr>
                <w:rFonts w:hint="eastAsia" w:ascii="宋体" w:hAnsi="宋体" w:cs="宋体"/>
                <w:color w:val="auto"/>
                <w:szCs w:val="21"/>
                <w:highlight w:val="none"/>
              </w:rPr>
              <w:t>规定必须提供以外，供应商认为需要提供的其他证明材料；</w:t>
            </w:r>
          </w:p>
          <w:p w14:paraId="5BC0BA18">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注：</w:t>
            </w:r>
          </w:p>
          <w:p w14:paraId="53BB1D50">
            <w:pPr>
              <w:keepNext w:val="0"/>
              <w:keepLines w:val="0"/>
              <w:pageBreakBefore w:val="0"/>
              <w:widowControl w:val="0"/>
              <w:bidi w:val="0"/>
              <w:spacing w:line="360" w:lineRule="auto"/>
              <w:ind w:firstLine="413"/>
              <w:jc w:val="left"/>
              <w:rPr>
                <w:rFonts w:hint="eastAsia" w:ascii="宋体" w:hAnsi="宋体" w:cs="宋体"/>
                <w:b/>
                <w:color w:val="auto"/>
                <w:szCs w:val="21"/>
                <w:highlight w:val="none"/>
              </w:rPr>
            </w:pPr>
            <w:r>
              <w:rPr>
                <w:rFonts w:hint="eastAsia" w:ascii="宋体" w:hAnsi="宋体" w:cs="宋体"/>
                <w:b/>
                <w:color w:val="auto"/>
                <w:szCs w:val="21"/>
                <w:highlight w:val="none"/>
              </w:rPr>
              <w:t>1.以上标明“必须提供”的材料属于扫描件或复印件的，必须加盖供应商电子签章，否则响应文件按无效响应处理。</w:t>
            </w:r>
          </w:p>
          <w:p w14:paraId="0FE6D139">
            <w:pPr>
              <w:keepNext w:val="0"/>
              <w:keepLines w:val="0"/>
              <w:pageBreakBefore w:val="0"/>
              <w:widowControl w:val="0"/>
              <w:bidi w:val="0"/>
              <w:spacing w:line="360" w:lineRule="auto"/>
              <w:ind w:firstLine="422"/>
              <w:jc w:val="left"/>
              <w:rPr>
                <w:rFonts w:hint="eastAsia" w:ascii="宋体" w:hAnsi="宋体" w:cs="宋体"/>
                <w:b/>
                <w:color w:val="auto"/>
                <w:szCs w:val="21"/>
                <w:highlight w:val="none"/>
              </w:rPr>
            </w:pPr>
            <w:r>
              <w:rPr>
                <w:rFonts w:hint="eastAsia" w:ascii="宋体" w:hAnsi="宋体" w:cs="宋体"/>
                <w:b/>
                <w:color w:val="auto"/>
                <w:szCs w:val="21"/>
                <w:highlight w:val="none"/>
              </w:rPr>
              <w:t>2.竞标声明、贵港市政府采购项目投标资格承诺函必须由法定代表人在规定签章处签字或盖章或电子签名，并加盖供应商电子签章，否则响应文件按无效响应处理。</w:t>
            </w:r>
          </w:p>
          <w:p w14:paraId="6CF6BEE8">
            <w:pPr>
              <w:keepNext w:val="0"/>
              <w:keepLines w:val="0"/>
              <w:pageBreakBefore w:val="0"/>
              <w:widowControl w:val="0"/>
              <w:bidi w:val="0"/>
              <w:spacing w:line="360" w:lineRule="auto"/>
              <w:ind w:firstLine="422"/>
              <w:jc w:val="left"/>
              <w:rPr>
                <w:rFonts w:hint="eastAsia" w:ascii="宋体" w:hAnsi="宋体" w:cs="宋体"/>
                <w:color w:val="auto"/>
                <w:szCs w:val="21"/>
                <w:highlight w:val="none"/>
              </w:rPr>
            </w:pPr>
            <w:r>
              <w:rPr>
                <w:rFonts w:hint="eastAsia" w:ascii="宋体" w:hAnsi="宋体" w:cs="宋体"/>
                <w:b/>
                <w:color w:val="auto"/>
                <w:szCs w:val="21"/>
                <w:highlight w:val="none"/>
              </w:rPr>
              <w:t>3.供应商直接控股、管理关系信息表必须由法定代表人或委托代理人在规定签章处签字或盖章或电子签名，否则响应文件按无效响应处理。</w:t>
            </w:r>
          </w:p>
        </w:tc>
      </w:tr>
      <w:tr w14:paraId="3FC25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43FFB88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12.1.2</w:t>
            </w:r>
          </w:p>
        </w:tc>
        <w:tc>
          <w:tcPr>
            <w:tcW w:w="8385" w:type="dxa"/>
            <w:tcBorders>
              <w:top w:val="single" w:color="000000" w:sz="4" w:space="0"/>
              <w:left w:val="single" w:color="000000" w:sz="4" w:space="0"/>
              <w:bottom w:val="single" w:color="000000" w:sz="4" w:space="0"/>
              <w:right w:val="single" w:color="000000" w:sz="4" w:space="0"/>
            </w:tcBorders>
            <w:vAlign w:val="center"/>
          </w:tcPr>
          <w:p w14:paraId="364DDBBF">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报价文件</w:t>
            </w:r>
          </w:p>
          <w:p w14:paraId="1F384782">
            <w:pPr>
              <w:keepNext w:val="0"/>
              <w:keepLines w:val="0"/>
              <w:pageBreakBefore w:val="0"/>
              <w:widowControl w:val="0"/>
              <w:bidi w:val="0"/>
              <w:spacing w:line="360" w:lineRule="auto"/>
              <w:jc w:val="left"/>
              <w:rPr>
                <w:rFonts w:ascii="宋体" w:hAnsi="宋体" w:cs="宋体"/>
                <w:color w:val="auto"/>
                <w:szCs w:val="21"/>
                <w:highlight w:val="none"/>
              </w:rPr>
            </w:pPr>
            <w:r>
              <w:rPr>
                <w:rFonts w:hint="eastAsia" w:ascii="宋体" w:hAnsi="宋体" w:cs="宋体"/>
                <w:bCs/>
                <w:color w:val="auto"/>
                <w:szCs w:val="21"/>
                <w:highlight w:val="none"/>
              </w:rPr>
              <w:t>1.竞标报价表（格式后附）；</w:t>
            </w:r>
            <w:r>
              <w:rPr>
                <w:rFonts w:hint="eastAsia" w:ascii="宋体" w:hAnsi="宋体" w:cs="宋体"/>
                <w:b/>
                <w:color w:val="auto"/>
                <w:szCs w:val="21"/>
                <w:highlight w:val="none"/>
              </w:rPr>
              <w:t>（必须提供，否则响应文件按无效处理）</w:t>
            </w:r>
            <w:bookmarkStart w:id="25" w:name="OLE_LINK6"/>
            <w:bookmarkStart w:id="26" w:name="OLE_LINK7"/>
            <w:bookmarkStart w:id="27" w:name="OLE_LINK8"/>
            <w:r>
              <w:rPr>
                <w:rFonts w:hint="eastAsia" w:ascii="宋体" w:hAnsi="宋体" w:cs="宋体"/>
                <w:color w:val="auto"/>
                <w:szCs w:val="21"/>
                <w:highlight w:val="none"/>
              </w:rPr>
              <w:t xml:space="preserve"> </w:t>
            </w:r>
            <w:bookmarkEnd w:id="25"/>
          </w:p>
          <w:p w14:paraId="1E9948CB">
            <w:pPr>
              <w:keepNext w:val="0"/>
              <w:keepLines w:val="0"/>
              <w:pageBreakBefore w:val="0"/>
              <w:widowControl w:val="0"/>
              <w:bidi w:val="0"/>
              <w:spacing w:line="360" w:lineRule="auto"/>
              <w:jc w:val="left"/>
              <w:rPr>
                <w:rFonts w:hint="eastAsia" w:ascii="宋体" w:hAnsi="宋体" w:eastAsia="宋体" w:cs="宋体"/>
                <w:b/>
                <w:color w:val="auto"/>
                <w:szCs w:val="21"/>
                <w:highlight w:val="none"/>
                <w:lang w:eastAsia="zh-CN"/>
              </w:rPr>
            </w:pPr>
            <w:r>
              <w:rPr>
                <w:rFonts w:hint="eastAsia" w:ascii="宋体" w:hAnsi="宋体" w:cs="宋体"/>
                <w:color w:val="auto"/>
                <w:szCs w:val="21"/>
                <w:highlight w:val="none"/>
                <w:lang w:val="en-US" w:eastAsia="zh-CN"/>
              </w:rPr>
              <w:t>2</w:t>
            </w:r>
            <w:r>
              <w:rPr>
                <w:rFonts w:ascii="宋体" w:hAnsi="宋体" w:cs="宋体"/>
                <w:color w:val="auto"/>
                <w:szCs w:val="21"/>
                <w:highlight w:val="none"/>
              </w:rPr>
              <w:t>.</w:t>
            </w:r>
            <w:r>
              <w:rPr>
                <w:rFonts w:hint="eastAsia" w:ascii="宋体" w:hAnsi="宋体" w:cs="宋体"/>
                <w:color w:val="auto"/>
                <w:szCs w:val="21"/>
                <w:highlight w:val="none"/>
                <w:lang w:val="en-US" w:eastAsia="zh-CN"/>
              </w:rPr>
              <w:t>中小企业声明函（格式后附）或残疾人福利性单位声明函（格式后附）或监狱企业的证明文件；</w:t>
            </w:r>
            <w:r>
              <w:rPr>
                <w:rFonts w:hint="eastAsia" w:ascii="宋体" w:hAnsi="宋体" w:cs="宋体"/>
                <w:b w:val="0"/>
                <w:bCs w:val="0"/>
                <w:color w:val="auto"/>
                <w:szCs w:val="21"/>
                <w:highlight w:val="none"/>
                <w:lang w:val="en-US" w:eastAsia="zh-CN"/>
              </w:rPr>
              <w:t>（如有请提供）</w:t>
            </w:r>
          </w:p>
          <w:p w14:paraId="3575447A">
            <w:pPr>
              <w:keepNext w:val="0"/>
              <w:keepLines w:val="0"/>
              <w:pageBreakBefore w:val="0"/>
              <w:widowControl w:val="0"/>
              <w:bidi w:val="0"/>
              <w:spacing w:line="360" w:lineRule="auto"/>
              <w:rPr>
                <w:rFonts w:hint="eastAsia" w:ascii="宋体" w:hAnsi="宋体" w:cs="宋体"/>
                <w:b/>
                <w:bCs/>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《关于符合本国产品标准的声明函》或者财政部会同有关部门规定的有关证明文件；</w:t>
            </w:r>
            <w:r>
              <w:rPr>
                <w:rFonts w:hint="eastAsia" w:ascii="宋体" w:hAnsi="宋体"/>
                <w:b w:val="0"/>
                <w:bCs w:val="0"/>
                <w:color w:val="auto"/>
                <w:szCs w:val="21"/>
                <w:highlight w:val="none"/>
              </w:rPr>
              <w:t>（供应商根据自身响应情况出具）</w:t>
            </w:r>
            <w:bookmarkEnd w:id="26"/>
          </w:p>
          <w:p w14:paraId="41C4A739">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.供应商认为需要提供的其他有关资料。</w:t>
            </w:r>
            <w:bookmarkEnd w:id="27"/>
          </w:p>
          <w:p w14:paraId="20D1F1C3">
            <w:pPr>
              <w:keepNext w:val="0"/>
              <w:keepLines w:val="0"/>
              <w:pageBreakBefore w:val="0"/>
              <w:widowControl w:val="0"/>
              <w:bidi w:val="0"/>
              <w:spacing w:line="360" w:lineRule="auto"/>
              <w:rPr>
                <w:rFonts w:hint="eastAsia" w:ascii="宋体" w:hAnsi="宋体" w:cs="宋体"/>
                <w:bCs/>
                <w:color w:val="auto"/>
                <w:szCs w:val="21"/>
                <w:highlight w:val="none"/>
              </w:rPr>
            </w:pPr>
            <w:r>
              <w:rPr>
                <w:rFonts w:hint="eastAsia" w:ascii="宋体" w:hAnsi="宋体" w:cs="宋体"/>
                <w:b/>
                <w:color w:val="auto"/>
                <w:szCs w:val="21"/>
                <w:highlight w:val="none"/>
              </w:rPr>
              <w:t>注：以上标明“必须提供”材料属于扫描件或复印件的，必须加盖供应商电子签章，否则电子响应文件作无效处理。</w:t>
            </w:r>
          </w:p>
        </w:tc>
      </w:tr>
      <w:tr w14:paraId="5C0E0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34B1287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12.1.3</w:t>
            </w:r>
          </w:p>
        </w:tc>
        <w:tc>
          <w:tcPr>
            <w:tcW w:w="8385" w:type="dxa"/>
            <w:tcBorders>
              <w:top w:val="single" w:color="000000" w:sz="4" w:space="0"/>
              <w:left w:val="single" w:color="000000" w:sz="4" w:space="0"/>
              <w:bottom w:val="single" w:color="000000" w:sz="4" w:space="0"/>
              <w:right w:val="single" w:color="000000" w:sz="4" w:space="0"/>
            </w:tcBorders>
            <w:vAlign w:val="center"/>
          </w:tcPr>
          <w:p w14:paraId="46BEAC47">
            <w:pPr>
              <w:keepNext w:val="0"/>
              <w:keepLines w:val="0"/>
              <w:pageBreakBefore w:val="0"/>
              <w:widowControl w:val="0"/>
              <w:bidi w:val="0"/>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商务技术文件</w:t>
            </w:r>
          </w:p>
          <w:p w14:paraId="2EDF4A58">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E97E56A">
            <w:pPr>
              <w:keepNext w:val="0"/>
              <w:keepLines w:val="0"/>
              <w:pageBreakBefore w:val="0"/>
              <w:widowControl w:val="0"/>
              <w:bidi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2.法定代表人身份证明书及法定代表人有效身份证正反面复印件（格式后附）；（</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E048659">
            <w:pPr>
              <w:keepNext w:val="0"/>
              <w:keepLines w:val="0"/>
              <w:pageBreakBefore w:val="0"/>
              <w:widowControl w:val="0"/>
              <w:bidi w:val="0"/>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3.法定代表人授权委托书及委托代理人有效身份证正反面复印件（格式后附）；（</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2C7B0CDD">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4.技术要求响应偏离表（格式后附）；（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E46F7D7">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5.商务要求响应偏离表（格式后附）；（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A74EAC0">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项目技术方案</w:t>
            </w:r>
            <w:r>
              <w:rPr>
                <w:rFonts w:hint="eastAsia" w:ascii="Arial" w:hAnsi="Arial" w:eastAsia="Arial" w:cs="Arial"/>
                <w:color w:val="auto"/>
                <w:highlight w:val="none"/>
              </w:rPr>
              <w:t>【可包括但不限于</w:t>
            </w:r>
            <w:r>
              <w:rPr>
                <w:rFonts w:hint="eastAsia" w:ascii="Arial" w:hAnsi="Arial" w:eastAsia="Arial" w:cs="Arial"/>
                <w:color w:val="auto"/>
                <w:highlight w:val="none"/>
                <w:lang w:eastAsia="zh-CN"/>
              </w:rPr>
              <w:t>配送方案、食品安全与质量保障、售后服务、管理制度、应急方案</w:t>
            </w:r>
            <w:r>
              <w:rPr>
                <w:rFonts w:hint="eastAsia" w:ascii="Arial" w:hAnsi="Arial" w:eastAsia="Arial" w:cs="Arial"/>
                <w:color w:val="auto"/>
                <w:highlight w:val="none"/>
              </w:rPr>
              <w:t>等内容</w:t>
            </w:r>
            <w:r>
              <w:rPr>
                <w:rFonts w:hint="eastAsia" w:ascii="宋体" w:hAnsi="宋体" w:eastAsia="Arial" w:cs="宋体"/>
                <w:bCs/>
                <w:color w:val="auto"/>
                <w:szCs w:val="21"/>
                <w:highlight w:val="none"/>
              </w:rPr>
              <w:t>】</w:t>
            </w:r>
            <w:r>
              <w:rPr>
                <w:rFonts w:hint="eastAsia" w:ascii="Arial" w:hAnsi="Arial" w:eastAsia="Arial" w:cs="Arial"/>
                <w:color w:val="auto"/>
                <w:highlight w:val="none"/>
              </w:rPr>
              <w:t>；（</w:t>
            </w:r>
            <w:r>
              <w:rPr>
                <w:rFonts w:hint="eastAsia" w:ascii="Arial" w:hAnsi="Arial" w:eastAsia="Arial" w:cs="Arial"/>
                <w:b/>
                <w:bCs/>
                <w:color w:val="auto"/>
                <w:highlight w:val="none"/>
              </w:rPr>
              <w:t>必须提供，</w:t>
            </w:r>
            <w:r>
              <w:rPr>
                <w:rFonts w:hint="eastAsia" w:ascii="宋体" w:hAnsi="宋体" w:cs="宋体"/>
                <w:b/>
                <w:color w:val="auto"/>
                <w:szCs w:val="21"/>
                <w:highlight w:val="none"/>
              </w:rPr>
              <w:t>否则响应文件按无效响应处理</w:t>
            </w:r>
            <w:r>
              <w:rPr>
                <w:rFonts w:hint="eastAsia" w:ascii="Arial" w:hAnsi="Arial" w:eastAsia="Arial" w:cs="Arial"/>
                <w:color w:val="auto"/>
                <w:highlight w:val="none"/>
              </w:rPr>
              <w:t>）</w:t>
            </w:r>
          </w:p>
          <w:p w14:paraId="6EA25E83">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.服务承诺（格式自拟）；</w:t>
            </w:r>
            <w:r>
              <w:rPr>
                <w:rFonts w:hint="eastAsia" w:ascii="宋体" w:hAnsi="宋体" w:cs="宋体"/>
                <w:b/>
                <w:bCs/>
                <w:color w:val="auto"/>
                <w:szCs w:val="21"/>
                <w:highlight w:val="none"/>
              </w:rPr>
              <w:t>（如有请提供）</w:t>
            </w:r>
          </w:p>
          <w:p w14:paraId="3991301D">
            <w:pPr>
              <w:keepNext w:val="0"/>
              <w:keepLines w:val="0"/>
              <w:pageBreakBefore w:val="0"/>
              <w:widowControl w:val="0"/>
              <w:bidi w:val="0"/>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.拟投入项目实施人员一览表（格式后附）；</w:t>
            </w:r>
            <w:r>
              <w:rPr>
                <w:rFonts w:hint="eastAsia" w:ascii="宋体" w:hAnsi="宋体" w:cs="宋体"/>
                <w:b/>
                <w:bCs/>
                <w:color w:val="auto"/>
                <w:szCs w:val="21"/>
                <w:highlight w:val="none"/>
              </w:rPr>
              <w:t>（如有请提供）</w:t>
            </w:r>
          </w:p>
          <w:p w14:paraId="2253A013">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.对应采购需求的商务要求提供的其他文件资料；</w:t>
            </w:r>
          </w:p>
          <w:p w14:paraId="523D2865">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.对应采购需求的技术需求提供的其他文件资料；</w:t>
            </w:r>
          </w:p>
          <w:p w14:paraId="0C7AD9D4">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.供应商认为需要提供的有关资料。</w:t>
            </w:r>
          </w:p>
          <w:p w14:paraId="0564E9F5">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注： </w:t>
            </w:r>
          </w:p>
          <w:p w14:paraId="6D26A37B">
            <w:pPr>
              <w:keepNext w:val="0"/>
              <w:keepLines w:val="0"/>
              <w:pageBreakBefore w:val="0"/>
              <w:widowControl w:val="0"/>
              <w:bidi w:val="0"/>
              <w:spacing w:line="360" w:lineRule="auto"/>
              <w:ind w:firstLine="413"/>
              <w:jc w:val="left"/>
              <w:rPr>
                <w:rFonts w:hint="eastAsia" w:ascii="宋体" w:hAnsi="宋体" w:cs="宋体"/>
                <w:b/>
                <w:color w:val="auto"/>
                <w:szCs w:val="21"/>
                <w:highlight w:val="none"/>
              </w:rPr>
            </w:pPr>
            <w:r>
              <w:rPr>
                <w:rFonts w:hint="eastAsia" w:ascii="宋体" w:hAnsi="宋体" w:cs="宋体"/>
                <w:b/>
                <w:color w:val="auto"/>
                <w:szCs w:val="21"/>
                <w:highlight w:val="none"/>
              </w:rPr>
              <w:t>1.法定代表人授权委托书必须由法定代表人及委托代理人签字或盖章或电子签名，并加盖供应商电子签章，否则响应文件按无效响应处理。</w:t>
            </w:r>
          </w:p>
          <w:p w14:paraId="5CEDE1E4">
            <w:pPr>
              <w:keepNext w:val="0"/>
              <w:keepLines w:val="0"/>
              <w:pageBreakBefore w:val="0"/>
              <w:widowControl w:val="0"/>
              <w:bidi w:val="0"/>
              <w:spacing w:line="360" w:lineRule="auto"/>
              <w:ind w:firstLine="413"/>
              <w:rPr>
                <w:rFonts w:hint="eastAsia" w:ascii="宋体" w:hAnsi="宋体" w:cs="宋体"/>
                <w:b/>
                <w:color w:val="auto"/>
                <w:szCs w:val="21"/>
                <w:highlight w:val="none"/>
              </w:rPr>
            </w:pPr>
            <w:r>
              <w:rPr>
                <w:rFonts w:hint="eastAsia" w:ascii="宋体" w:hAnsi="宋体" w:cs="宋体"/>
                <w:b/>
                <w:color w:val="auto"/>
                <w:szCs w:val="21"/>
                <w:highlight w:val="none"/>
              </w:rPr>
              <w:t>2.以上标明“必须提供”的材料属于扫描件或复印件的，必须加盖供应商电子签章，否则响应文件按无效响应处理。</w:t>
            </w:r>
          </w:p>
          <w:p w14:paraId="0CF605D4">
            <w:pPr>
              <w:keepNext w:val="0"/>
              <w:keepLines w:val="0"/>
              <w:pageBreakBefore w:val="0"/>
              <w:widowControl w:val="0"/>
              <w:bidi w:val="0"/>
              <w:spacing w:line="360" w:lineRule="auto"/>
              <w:ind w:firstLine="413"/>
              <w:rPr>
                <w:rFonts w:hint="eastAsia" w:ascii="宋体" w:hAnsi="宋体" w:cs="宋体"/>
                <w:color w:val="auto"/>
                <w:szCs w:val="21"/>
                <w:highlight w:val="none"/>
              </w:rPr>
            </w:pPr>
            <w:r>
              <w:rPr>
                <w:rFonts w:hint="eastAsia" w:ascii="宋体" w:hAnsi="宋体" w:cs="宋体"/>
                <w:b/>
                <w:color w:val="auto"/>
                <w:szCs w:val="21"/>
                <w:highlight w:val="none"/>
              </w:rPr>
              <w:t>3.以上材料未附格式的，由供应商自行拟定。</w:t>
            </w:r>
          </w:p>
        </w:tc>
      </w:tr>
      <w:tr w14:paraId="1962D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7C5A30F5">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15.2</w:t>
            </w:r>
          </w:p>
        </w:tc>
        <w:tc>
          <w:tcPr>
            <w:tcW w:w="8385" w:type="dxa"/>
            <w:tcBorders>
              <w:top w:val="single" w:color="000000" w:sz="4" w:space="0"/>
              <w:left w:val="single" w:color="000000" w:sz="4" w:space="0"/>
              <w:bottom w:val="single" w:color="000000" w:sz="4" w:space="0"/>
              <w:right w:val="single" w:color="000000" w:sz="4" w:space="0"/>
            </w:tcBorders>
            <w:vAlign w:val="center"/>
          </w:tcPr>
          <w:p w14:paraId="7A9E2778">
            <w:pPr>
              <w:snapToGrid w:val="0"/>
              <w:spacing w:line="360" w:lineRule="auto"/>
              <w:ind w:firstLine="420" w:firstLineChars="200"/>
              <w:rPr>
                <w:rFonts w:hint="eastAsia" w:ascii="宋体" w:hAnsi="宋体" w:cs="宋体"/>
                <w:b/>
                <w:bCs/>
                <w:color w:val="auto"/>
                <w:sz w:val="24"/>
                <w:highlight w:val="none"/>
              </w:rPr>
            </w:pP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报价是履行合同的最终价格，</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报价包含实施和完成本项目全部工作所需的服务期内所需的一切费用，包括但不限于服务、货物成本、运输（含保险）装卸、搬运、检验、保险、利润、税费、</w:t>
            </w:r>
            <w:r>
              <w:rPr>
                <w:rFonts w:hint="eastAsia" w:ascii="宋体" w:hAnsi="宋体" w:cs="宋体"/>
                <w:color w:val="auto"/>
                <w:szCs w:val="21"/>
                <w:highlight w:val="none"/>
                <w:lang w:eastAsia="zh-CN"/>
              </w:rPr>
              <w:t>质保期、售后服务</w:t>
            </w:r>
            <w:r>
              <w:rPr>
                <w:rFonts w:hint="eastAsia" w:ascii="宋体" w:hAnsi="宋体" w:cs="宋体"/>
                <w:color w:val="auto"/>
                <w:szCs w:val="21"/>
                <w:highlight w:val="none"/>
              </w:rPr>
              <w:t>、雇员费、培训、履约验收、招标代理服务费用以及所有的不定因素的风险等全部相关费用</w:t>
            </w:r>
            <w:r>
              <w:rPr>
                <w:rFonts w:hint="eastAsia" w:ascii="宋体" w:hAnsi="宋体" w:cs="宋体"/>
                <w:b/>
                <w:bCs/>
                <w:color w:val="auto"/>
                <w:sz w:val="24"/>
                <w:highlight w:val="none"/>
              </w:rPr>
              <w:t>。</w:t>
            </w:r>
          </w:p>
          <w:p w14:paraId="2256DBA2">
            <w:pPr>
              <w:snapToGrid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rPr>
              <w:t>1.本项目</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应以价格折扣率报价（以%表示，折扣率报价精确到个位数）。</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报价范围：≤</w:t>
            </w:r>
            <w:r>
              <w:rPr>
                <w:rFonts w:hint="eastAsia" w:ascii="宋体" w:hAnsi="宋体" w:cs="宋体"/>
                <w:b/>
                <w:bCs/>
                <w:color w:val="auto"/>
                <w:szCs w:val="21"/>
                <w:highlight w:val="none"/>
                <w:lang w:eastAsia="zh-CN"/>
              </w:rPr>
              <w:t>90%</w:t>
            </w:r>
            <w:r>
              <w:rPr>
                <w:rFonts w:hint="eastAsia" w:ascii="宋体" w:hAnsi="宋体" w:cs="宋体"/>
                <w:b/>
                <w:bCs/>
                <w:color w:val="auto"/>
                <w:szCs w:val="21"/>
                <w:highlight w:val="none"/>
              </w:rPr>
              <w:t>（如：供货产品打九折即</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 xml:space="preserve">折扣率为90%，以此类推），否则，作无效报价处理。 </w:t>
            </w:r>
          </w:p>
          <w:p w14:paraId="2CE78C3F">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2.实际采购时，上述数量仅作</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报价使用，结算时按实际采购数量结算。基准价设定为X，签订的合同折扣率设定为Y%，则该原料供货单价为X×Y%（例如：市场零售价X=100元，合同折扣率Y%=90%，该原料供货单价=100×0.90=90元）。</w:t>
            </w:r>
          </w:p>
          <w:p w14:paraId="4999B963">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必须就《采购需求》中的全部内容作完整唯一报价。否则，其报价将被拒绝。如果</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所填报的内容与</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文件相比较有存在漏项的状况且在评审时被接受，则将被认为该遗漏项目已包含在报价中，</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在服务时应严格按</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文件要求的内容完整提供，不得要求</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对其漏报的款项追加支付货款。</w:t>
            </w:r>
          </w:p>
          <w:p w14:paraId="792B0234">
            <w:pPr>
              <w:snapToGrid w:val="0"/>
              <w:spacing w:line="360" w:lineRule="auto"/>
              <w:jc w:val="left"/>
              <w:rPr>
                <w:color w:val="auto"/>
                <w:highlight w:val="none"/>
              </w:rPr>
            </w:pPr>
            <w:r>
              <w:rPr>
                <w:rFonts w:hint="eastAsia" w:ascii="宋体" w:hAnsi="宋体" w:cs="宋体"/>
                <w:color w:val="auto"/>
                <w:szCs w:val="21"/>
                <w:highlight w:val="none"/>
              </w:rPr>
              <w:t>4.不论</w:t>
            </w:r>
            <w:r>
              <w:rPr>
                <w:rFonts w:hint="eastAsia" w:ascii="宋体" w:hAnsi="宋体" w:cs="宋体"/>
                <w:color w:val="auto"/>
                <w:szCs w:val="21"/>
                <w:highlight w:val="none"/>
                <w:lang w:eastAsia="zh-CN"/>
              </w:rPr>
              <w:t>竞</w:t>
            </w:r>
            <w:r>
              <w:rPr>
                <w:rFonts w:hint="eastAsia" w:ascii="宋体" w:hAnsi="宋体" w:cs="宋体"/>
                <w:color w:val="auto"/>
                <w:szCs w:val="21"/>
                <w:highlight w:val="none"/>
              </w:rPr>
              <w:t>标结果如何，</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均应自行承担所有与</w:t>
            </w:r>
            <w:r>
              <w:rPr>
                <w:rFonts w:hint="eastAsia" w:ascii="宋体" w:hAnsi="宋体" w:cs="宋体"/>
                <w:color w:val="auto"/>
                <w:szCs w:val="21"/>
                <w:highlight w:val="none"/>
                <w:lang w:eastAsia="zh-CN"/>
              </w:rPr>
              <w:t>竞</w:t>
            </w:r>
            <w:r>
              <w:rPr>
                <w:rFonts w:hint="eastAsia" w:ascii="宋体" w:hAnsi="宋体" w:cs="宋体"/>
                <w:color w:val="auto"/>
                <w:szCs w:val="21"/>
                <w:highlight w:val="none"/>
              </w:rPr>
              <w:t>标有关的全部费用。</w:t>
            </w:r>
          </w:p>
        </w:tc>
      </w:tr>
      <w:tr w14:paraId="45BCD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689EEC17">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16.2</w:t>
            </w:r>
          </w:p>
        </w:tc>
        <w:tc>
          <w:tcPr>
            <w:tcW w:w="8385" w:type="dxa"/>
            <w:tcBorders>
              <w:top w:val="single" w:color="000000" w:sz="4" w:space="0"/>
              <w:left w:val="single" w:color="000000" w:sz="4" w:space="0"/>
              <w:bottom w:val="single" w:color="000000" w:sz="4" w:space="0"/>
              <w:right w:val="single" w:color="000000" w:sz="4" w:space="0"/>
            </w:tcBorders>
            <w:vAlign w:val="center"/>
          </w:tcPr>
          <w:p w14:paraId="1B5142E6">
            <w:pPr>
              <w:pStyle w:val="210"/>
              <w:widowControl w:val="0"/>
              <w:spacing w:line="320" w:lineRule="exact"/>
              <w:ind w:left="283" w:hanging="283"/>
              <w:rPr>
                <w:rFonts w:hint="eastAsia" w:ascii="宋体" w:hAnsi="宋体" w:cs="宋体"/>
                <w:color w:val="auto"/>
                <w:sz w:val="21"/>
                <w:szCs w:val="21"/>
                <w:highlight w:val="none"/>
              </w:rPr>
            </w:pPr>
            <w:r>
              <w:rPr>
                <w:rFonts w:hint="eastAsia" w:ascii="宋体" w:hAnsi="宋体" w:cs="宋体"/>
                <w:color w:val="auto"/>
                <w:sz w:val="21"/>
                <w:szCs w:val="21"/>
                <w:highlight w:val="none"/>
              </w:rPr>
              <w:t>竞标有效期：自首次响应文件提交截止之日起90日。</w:t>
            </w:r>
          </w:p>
        </w:tc>
      </w:tr>
      <w:tr w14:paraId="2F986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27B3C7CF">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17.1</w:t>
            </w:r>
          </w:p>
        </w:tc>
        <w:tc>
          <w:tcPr>
            <w:tcW w:w="8385" w:type="dxa"/>
            <w:tcBorders>
              <w:top w:val="single" w:color="000000" w:sz="4" w:space="0"/>
              <w:left w:val="single" w:color="000000" w:sz="4" w:space="0"/>
              <w:bottom w:val="single" w:color="000000" w:sz="4" w:space="0"/>
              <w:right w:val="single" w:color="000000" w:sz="4" w:space="0"/>
            </w:tcBorders>
            <w:vAlign w:val="center"/>
          </w:tcPr>
          <w:p w14:paraId="10473341">
            <w:pPr>
              <w:spacing w:line="320" w:lineRule="exact"/>
              <w:rPr>
                <w:rFonts w:hint="eastAsia" w:ascii="宋体" w:hAnsi="宋体" w:cs="宋体"/>
                <w:color w:val="auto"/>
                <w:szCs w:val="21"/>
                <w:highlight w:val="none"/>
              </w:rPr>
            </w:pPr>
            <w:r>
              <w:rPr>
                <w:rFonts w:hint="eastAsia" w:ascii="宋体" w:hAnsi="宋体" w:cs="宋体"/>
                <w:color w:val="auto"/>
                <w:szCs w:val="21"/>
                <w:highlight w:val="none"/>
              </w:rPr>
              <w:t>磋商保证金：无</w:t>
            </w:r>
          </w:p>
        </w:tc>
      </w:tr>
      <w:tr w14:paraId="06D41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278CD125">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19</w:t>
            </w:r>
          </w:p>
        </w:tc>
        <w:tc>
          <w:tcPr>
            <w:tcW w:w="8385" w:type="dxa"/>
            <w:tcBorders>
              <w:top w:val="single" w:color="000000" w:sz="4" w:space="0"/>
              <w:left w:val="single" w:color="000000" w:sz="4" w:space="0"/>
              <w:bottom w:val="single" w:color="000000" w:sz="4" w:space="0"/>
              <w:right w:val="single" w:color="000000" w:sz="4" w:space="0"/>
            </w:tcBorders>
            <w:vAlign w:val="center"/>
          </w:tcPr>
          <w:p w14:paraId="52B11010">
            <w:pPr>
              <w:spacing w:line="320" w:lineRule="exact"/>
              <w:rPr>
                <w:rFonts w:hint="eastAsia" w:ascii="宋体" w:hAnsi="宋体" w:cs="宋体"/>
                <w:color w:val="auto"/>
                <w:szCs w:val="21"/>
                <w:highlight w:val="none"/>
              </w:rPr>
            </w:pPr>
            <w:r>
              <w:rPr>
                <w:rFonts w:hint="eastAsia" w:ascii="宋体" w:hAnsi="宋体" w:cs="宋体"/>
                <w:color w:val="auto"/>
                <w:szCs w:val="21"/>
                <w:highlight w:val="none"/>
              </w:rPr>
              <w:t>本项目不接受电子备份响应文件</w:t>
            </w:r>
          </w:p>
        </w:tc>
      </w:tr>
      <w:tr w14:paraId="31F84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1"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8D20CE8">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20.1</w:t>
            </w:r>
          </w:p>
        </w:tc>
        <w:tc>
          <w:tcPr>
            <w:tcW w:w="8385" w:type="dxa"/>
            <w:tcBorders>
              <w:top w:val="single" w:color="000000" w:sz="4" w:space="0"/>
              <w:left w:val="single" w:color="000000" w:sz="4" w:space="0"/>
              <w:bottom w:val="single" w:color="000000" w:sz="4" w:space="0"/>
              <w:right w:val="single" w:color="000000" w:sz="4" w:space="0"/>
            </w:tcBorders>
            <w:vAlign w:val="center"/>
          </w:tcPr>
          <w:p w14:paraId="20717CCD">
            <w:pPr>
              <w:spacing w:line="32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rPr>
              <w:t>首次响应文件提交截止时间：详见竞争性磋商公告。</w:t>
            </w:r>
          </w:p>
          <w:p w14:paraId="71C9ADDD">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首次响应文件提交地点：详见竞争性磋商公告。</w:t>
            </w:r>
          </w:p>
        </w:tc>
      </w:tr>
      <w:tr w14:paraId="718E2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53BB49F2">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24.1</w:t>
            </w:r>
          </w:p>
        </w:tc>
        <w:tc>
          <w:tcPr>
            <w:tcW w:w="8385" w:type="dxa"/>
            <w:tcBorders>
              <w:top w:val="single" w:color="000000" w:sz="4" w:space="0"/>
              <w:left w:val="single" w:color="000000" w:sz="4" w:space="0"/>
              <w:bottom w:val="single" w:color="000000" w:sz="4" w:space="0"/>
              <w:right w:val="single" w:color="000000" w:sz="4" w:space="0"/>
            </w:tcBorders>
            <w:vAlign w:val="center"/>
          </w:tcPr>
          <w:p w14:paraId="5ED99546">
            <w:pPr>
              <w:spacing w:line="32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人。</w:t>
            </w:r>
          </w:p>
        </w:tc>
      </w:tr>
      <w:tr w14:paraId="3164D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C0D6A2F">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25</w:t>
            </w:r>
          </w:p>
        </w:tc>
        <w:tc>
          <w:tcPr>
            <w:tcW w:w="8385" w:type="dxa"/>
            <w:tcBorders>
              <w:top w:val="single" w:color="000000" w:sz="4" w:space="0"/>
              <w:left w:val="single" w:color="000000" w:sz="4" w:space="0"/>
              <w:bottom w:val="single" w:color="000000" w:sz="4" w:space="0"/>
              <w:right w:val="single" w:color="000000" w:sz="4" w:space="0"/>
            </w:tcBorders>
            <w:vAlign w:val="center"/>
          </w:tcPr>
          <w:p w14:paraId="3A4F0F5C">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首次响应文件的开启：通过广西政府采购云平台实行在线解密开启</w:t>
            </w:r>
          </w:p>
          <w:p w14:paraId="29255846">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首次响应文件解密时间：</w:t>
            </w:r>
            <w:r>
              <w:rPr>
                <w:rFonts w:hint="eastAsia" w:ascii="宋体" w:hAnsi="宋体" w:cs="宋体"/>
                <w:color w:val="auto"/>
                <w:highlight w:val="none"/>
                <w:u w:val="single"/>
              </w:rPr>
              <w:t xml:space="preserve"> 30 </w:t>
            </w:r>
            <w:r>
              <w:rPr>
                <w:rFonts w:hint="eastAsia" w:ascii="宋体" w:hAnsi="宋体" w:cs="宋体"/>
                <w:color w:val="auto"/>
                <w:highlight w:val="none"/>
              </w:rPr>
              <w:t>分钟</w:t>
            </w:r>
          </w:p>
        </w:tc>
      </w:tr>
      <w:tr w14:paraId="2CDD1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25DC5D64">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26.3</w:t>
            </w:r>
          </w:p>
        </w:tc>
        <w:tc>
          <w:tcPr>
            <w:tcW w:w="8385" w:type="dxa"/>
            <w:tcBorders>
              <w:top w:val="single" w:color="000000" w:sz="4" w:space="0"/>
              <w:left w:val="single" w:color="000000" w:sz="4" w:space="0"/>
              <w:bottom w:val="single" w:color="000000" w:sz="4" w:space="0"/>
              <w:right w:val="single" w:color="000000" w:sz="4" w:space="0"/>
            </w:tcBorders>
            <w:vAlign w:val="center"/>
          </w:tcPr>
          <w:p w14:paraId="1D73B38C">
            <w:pPr>
              <w:spacing w:line="320" w:lineRule="exact"/>
              <w:rPr>
                <w:rFonts w:hint="eastAsia" w:ascii="宋体" w:hAnsi="宋体" w:cs="宋体"/>
                <w:b/>
                <w:bCs/>
                <w:color w:val="auto"/>
                <w:szCs w:val="21"/>
                <w:highlight w:val="none"/>
              </w:rPr>
            </w:pPr>
            <w:r>
              <w:rPr>
                <w:rFonts w:hint="eastAsia" w:ascii="宋体" w:hAnsi="宋体" w:cs="宋体"/>
                <w:b/>
                <w:bCs/>
                <w:color w:val="auto"/>
                <w:szCs w:val="21"/>
                <w:highlight w:val="none"/>
              </w:rPr>
              <w:t>商务要求评审中允许负偏离的条款数为</w:t>
            </w:r>
            <w:r>
              <w:rPr>
                <w:rFonts w:hint="eastAsia" w:ascii="宋体" w:hAnsi="宋体" w:cs="宋体"/>
                <w:b/>
                <w:bCs/>
                <w:color w:val="auto"/>
                <w:szCs w:val="21"/>
                <w:highlight w:val="none"/>
                <w:u w:val="single"/>
              </w:rPr>
              <w:t xml:space="preserve"> 0 </w:t>
            </w:r>
            <w:r>
              <w:rPr>
                <w:rFonts w:hint="eastAsia" w:ascii="宋体" w:hAnsi="宋体" w:cs="宋体"/>
                <w:b/>
                <w:bCs/>
                <w:color w:val="auto"/>
                <w:szCs w:val="21"/>
                <w:highlight w:val="none"/>
              </w:rPr>
              <w:t>项。</w:t>
            </w:r>
          </w:p>
          <w:p w14:paraId="518784D8">
            <w:pPr>
              <w:spacing w:line="320" w:lineRule="exact"/>
              <w:jc w:val="left"/>
              <w:rPr>
                <w:rFonts w:hint="eastAsia" w:ascii="宋体" w:hAnsi="宋体" w:cs="宋体"/>
                <w:color w:val="auto"/>
                <w:szCs w:val="21"/>
                <w:highlight w:val="none"/>
              </w:rPr>
            </w:pPr>
            <w:r>
              <w:rPr>
                <w:rFonts w:hint="eastAsia" w:ascii="宋体" w:hAnsi="宋体" w:cs="宋体"/>
                <w:b/>
                <w:bCs/>
                <w:color w:val="auto"/>
                <w:szCs w:val="21"/>
                <w:highlight w:val="none"/>
              </w:rPr>
              <w:t>技术要求评审中允许负偏离的条款数为</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u w:val="single"/>
                <w:lang w:val="en-US" w:eastAsia="zh-CN"/>
              </w:rPr>
              <w:t>0</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rPr>
              <w:t>项。</w:t>
            </w:r>
          </w:p>
        </w:tc>
      </w:tr>
      <w:tr w14:paraId="36447E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1018F71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28.1</w:t>
            </w:r>
          </w:p>
        </w:tc>
        <w:tc>
          <w:tcPr>
            <w:tcW w:w="8385" w:type="dxa"/>
            <w:tcBorders>
              <w:top w:val="single" w:color="000000" w:sz="4" w:space="0"/>
              <w:left w:val="single" w:color="000000" w:sz="4" w:space="0"/>
              <w:bottom w:val="single" w:color="000000" w:sz="4" w:space="0"/>
              <w:right w:val="single" w:color="000000" w:sz="4" w:space="0"/>
            </w:tcBorders>
            <w:vAlign w:val="center"/>
          </w:tcPr>
          <w:p w14:paraId="40FBF7E7">
            <w:pPr>
              <w:spacing w:line="360" w:lineRule="auto"/>
              <w:rPr>
                <w:rFonts w:ascii="宋体" w:hAnsi="宋体" w:eastAsia="Arial" w:cs="宋体"/>
                <w:color w:val="auto"/>
                <w:highlight w:val="none"/>
              </w:rPr>
            </w:pPr>
            <w:r>
              <w:rPr>
                <w:rFonts w:hint="eastAsia" w:ascii="宋体" w:hAnsi="宋体" w:cs="宋体"/>
                <w:color w:val="auto"/>
                <w:highlight w:val="none"/>
              </w:rPr>
              <w:t>本项目收取履约保证金</w:t>
            </w:r>
            <w:r>
              <w:rPr>
                <w:rFonts w:hint="eastAsia" w:ascii="宋体" w:hAnsi="宋体" w:eastAsia="Arial" w:cs="Arial"/>
                <w:color w:val="auto"/>
                <w:szCs w:val="21"/>
                <w:highlight w:val="none"/>
              </w:rPr>
              <w:t>，具体规定如下：</w:t>
            </w:r>
          </w:p>
          <w:p w14:paraId="121DA2A0">
            <w:pPr>
              <w:spacing w:line="360" w:lineRule="auto"/>
              <w:rPr>
                <w:rFonts w:ascii="宋体" w:hAnsi="宋体" w:eastAsia="Arial" w:cs="宋体"/>
                <w:color w:val="auto"/>
                <w:highlight w:val="none"/>
              </w:rPr>
            </w:pPr>
            <w:r>
              <w:rPr>
                <w:rFonts w:hint="eastAsia" w:ascii="宋体" w:hAnsi="宋体" w:eastAsia="Arial" w:cs="宋体"/>
                <w:color w:val="auto"/>
                <w:highlight w:val="none"/>
              </w:rPr>
              <w:t>履约保证金金额：</w:t>
            </w:r>
            <w:r>
              <w:rPr>
                <w:rFonts w:hint="eastAsia" w:ascii="宋体" w:hAnsi="宋体" w:eastAsia="Arial" w:cs="宋体"/>
                <w:color w:val="auto"/>
                <w:highlight w:val="none"/>
              </w:rPr>
              <w:t>人民币</w:t>
            </w:r>
            <w:r>
              <w:rPr>
                <w:rFonts w:hint="eastAsia" w:ascii="宋体" w:hAnsi="宋体" w:cs="宋体"/>
                <w:color w:val="auto"/>
                <w:highlight w:val="none"/>
                <w:lang w:eastAsia="zh-CN"/>
              </w:rPr>
              <w:t>贰万伍仟元整(¥25000.00）</w:t>
            </w:r>
            <w:r>
              <w:rPr>
                <w:rFonts w:hint="eastAsia" w:ascii="宋体" w:hAnsi="宋体" w:eastAsia="Arial" w:cs="宋体"/>
                <w:color w:val="auto"/>
                <w:highlight w:val="none"/>
              </w:rPr>
              <w:t>。</w:t>
            </w:r>
          </w:p>
          <w:p w14:paraId="7B56A616">
            <w:pPr>
              <w:spacing w:line="360" w:lineRule="auto"/>
              <w:rPr>
                <w:rFonts w:ascii="宋体" w:hAnsi="宋体" w:eastAsia="Arial" w:cs="宋体"/>
                <w:color w:val="auto"/>
                <w:highlight w:val="none"/>
              </w:rPr>
            </w:pPr>
            <w:r>
              <w:rPr>
                <w:rFonts w:hint="eastAsia" w:ascii="宋体" w:hAnsi="宋体" w:eastAsia="Arial" w:cs="宋体"/>
                <w:color w:val="auto"/>
                <w:highlight w:val="none"/>
              </w:rPr>
              <w:t>履约保证金递交方式：转账或电汇</w:t>
            </w:r>
            <w:r>
              <w:rPr>
                <w:rFonts w:hint="eastAsia" w:ascii="宋体" w:hAnsi="宋体" w:eastAsia="Arial" w:cs="宋体"/>
                <w:color w:val="auto"/>
                <w:highlight w:val="none"/>
                <w:lang w:val="en-US" w:eastAsia="zh-CN"/>
              </w:rPr>
              <w:t>等非现金</w:t>
            </w:r>
            <w:r>
              <w:rPr>
                <w:rFonts w:hint="eastAsia" w:ascii="宋体" w:hAnsi="宋体" w:eastAsia="Arial" w:cs="宋体"/>
                <w:color w:val="auto"/>
                <w:highlight w:val="none"/>
              </w:rPr>
              <w:t>形式。</w:t>
            </w:r>
          </w:p>
          <w:p w14:paraId="3FC15A15">
            <w:pPr>
              <w:autoSpaceDE w:val="0"/>
              <w:autoSpaceDN w:val="0"/>
              <w:snapToGrid w:val="0"/>
              <w:spacing w:line="360" w:lineRule="auto"/>
              <w:textAlignment w:val="bottom"/>
              <w:rPr>
                <w:rFonts w:ascii="宋体" w:hAnsi="宋体" w:eastAsia="Arial" w:cs="宋体"/>
                <w:color w:val="auto"/>
                <w:highlight w:val="none"/>
                <w:u w:val="none"/>
              </w:rPr>
            </w:pPr>
            <w:r>
              <w:rPr>
                <w:rFonts w:hint="eastAsia" w:ascii="宋体" w:hAnsi="宋体" w:eastAsia="Arial" w:cs="Arial"/>
                <w:color w:val="auto"/>
                <w:szCs w:val="21"/>
                <w:highlight w:val="none"/>
              </w:rPr>
              <w:t>履约保证金缴纳期限：</w:t>
            </w:r>
            <w:r>
              <w:rPr>
                <w:rFonts w:hint="eastAsia" w:ascii="宋体" w:hAnsi="宋体" w:eastAsia="Arial" w:cs="Arial"/>
                <w:color w:val="auto"/>
                <w:szCs w:val="21"/>
                <w:highlight w:val="none"/>
                <w:u w:val="none"/>
              </w:rPr>
              <w:t>在签订合同之前，</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需把履约保证金足额交到采购人指定账户。未提交履约保证金的，不予签订本项目合同。</w:t>
            </w:r>
          </w:p>
          <w:p w14:paraId="32BD2259">
            <w:pPr>
              <w:spacing w:line="360" w:lineRule="auto"/>
              <w:rPr>
                <w:rFonts w:ascii="宋体" w:hAnsi="宋体" w:eastAsia="Arial" w:cs="Arial"/>
                <w:color w:val="auto"/>
                <w:szCs w:val="21"/>
                <w:highlight w:val="none"/>
                <w:u w:val="none"/>
              </w:rPr>
            </w:pPr>
            <w:r>
              <w:rPr>
                <w:rFonts w:hint="eastAsia" w:ascii="宋体" w:hAnsi="宋体" w:eastAsia="Arial" w:cs="Arial"/>
                <w:color w:val="auto"/>
                <w:szCs w:val="21"/>
                <w:highlight w:val="none"/>
                <w:u w:val="none"/>
              </w:rPr>
              <w:t>履约保证金退付方式、时间及条件：</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履行合同期间违约行为给采购人造成损失的，采购人有权选择</w:t>
            </w:r>
            <w:r>
              <w:rPr>
                <w:rFonts w:hint="eastAsia" w:ascii="宋体" w:hAnsi="宋体" w:eastAsia="Arial" w:cs="Arial"/>
                <w:color w:val="auto"/>
                <w:szCs w:val="21"/>
                <w:highlight w:val="none"/>
                <w:u w:val="none"/>
                <w:lang w:eastAsia="zh-CN"/>
              </w:rPr>
              <w:t>直接从履约保证金中扣除</w:t>
            </w:r>
            <w:r>
              <w:rPr>
                <w:rFonts w:hint="eastAsia" w:ascii="宋体" w:hAnsi="宋体" w:eastAsia="Arial" w:cs="Arial"/>
                <w:color w:val="auto"/>
                <w:szCs w:val="21"/>
                <w:highlight w:val="none"/>
                <w:u w:val="none"/>
              </w:rPr>
              <w:t>，且</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应在收到采购人通知之日起5个工作日内补充因弥补采购人损失而减少的履约保证金；保证金不足以扣除的，采购人有权继续向</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追索。</w:t>
            </w:r>
          </w:p>
          <w:p w14:paraId="3797D570">
            <w:pPr>
              <w:spacing w:line="360" w:lineRule="auto"/>
              <w:ind w:firstLine="420" w:firstLineChars="200"/>
              <w:rPr>
                <w:rFonts w:ascii="宋体" w:hAnsi="宋体" w:eastAsia="Arial" w:cs="宋体"/>
                <w:color w:val="auto"/>
                <w:highlight w:val="none"/>
                <w:u w:val="none"/>
              </w:rPr>
            </w:pPr>
            <w:r>
              <w:rPr>
                <w:rFonts w:hint="eastAsia" w:ascii="宋体" w:hAnsi="宋体" w:eastAsia="Arial" w:cs="Arial"/>
                <w:color w:val="auto"/>
                <w:szCs w:val="21"/>
                <w:highlight w:val="none"/>
                <w:u w:val="none"/>
              </w:rPr>
              <w:t>在履约保证金退还日期前，若</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的开户名称、开户银行、账号有变动的，请以书面形式通知采购人，否则由此产生的后果由</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自行承担</w:t>
            </w:r>
            <w:r>
              <w:rPr>
                <w:rFonts w:hint="eastAsia" w:ascii="宋体" w:hAnsi="宋体" w:eastAsia="Arial" w:cs="宋体"/>
                <w:color w:val="auto"/>
                <w:highlight w:val="none"/>
                <w:u w:val="none"/>
              </w:rPr>
              <w:t>。</w:t>
            </w:r>
          </w:p>
          <w:p w14:paraId="66AD63BD">
            <w:pPr>
              <w:spacing w:line="360" w:lineRule="auto"/>
              <w:rPr>
                <w:rFonts w:hint="eastAsia" w:ascii="宋体" w:hAnsi="宋体" w:eastAsia="Arial" w:cs="宋体"/>
                <w:color w:val="auto"/>
                <w:highlight w:val="none"/>
                <w:lang w:eastAsia="zh-CN"/>
              </w:rPr>
            </w:pPr>
            <w:r>
              <w:rPr>
                <w:rFonts w:hint="eastAsia" w:ascii="宋体" w:hAnsi="宋体" w:eastAsia="Arial" w:cs="宋体"/>
                <w:color w:val="auto"/>
                <w:highlight w:val="none"/>
              </w:rPr>
              <w:t>保证金缴纳的账号信息：</w:t>
            </w:r>
            <w:r>
              <w:rPr>
                <w:rFonts w:hint="eastAsia" w:ascii="宋体" w:hAnsi="宋体" w:eastAsia="Arial" w:cs="宋体"/>
                <w:color w:val="auto"/>
                <w:highlight w:val="none"/>
                <w:lang w:eastAsia="zh-CN"/>
              </w:rPr>
              <w:t>详见合同。</w:t>
            </w:r>
          </w:p>
          <w:p w14:paraId="52524F5D">
            <w:pPr>
              <w:spacing w:line="360" w:lineRule="auto"/>
              <w:jc w:val="left"/>
              <w:rPr>
                <w:rFonts w:hint="eastAsia" w:ascii="宋体" w:hAnsi="宋体" w:cs="宋体"/>
                <w:color w:val="auto"/>
                <w:szCs w:val="21"/>
                <w:highlight w:val="none"/>
              </w:rPr>
            </w:pPr>
            <w:r>
              <w:rPr>
                <w:rFonts w:ascii="宋体" w:hAnsi="宋体" w:eastAsia="Arial" w:cs="Courier New"/>
                <w:b/>
                <w:bCs/>
                <w:color w:val="auto"/>
                <w:szCs w:val="21"/>
                <w:highlight w:val="none"/>
              </w:rPr>
              <w:t>备注：</w:t>
            </w:r>
            <w:bookmarkStart w:id="28" w:name="_Hlk54170335"/>
            <w:r>
              <w:rPr>
                <w:rFonts w:hint="eastAsia" w:ascii="宋体" w:hAnsi="宋体" w:eastAsia="Arial" w:cs="Arial"/>
                <w:b/>
                <w:bCs/>
                <w:color w:val="auto"/>
                <w:szCs w:val="21"/>
                <w:highlight w:val="none"/>
              </w:rPr>
              <w:t>根据《广西壮</w:t>
            </w:r>
            <w:r>
              <w:rPr>
                <w:rFonts w:hint="eastAsia" w:ascii="宋体" w:hAnsi="宋体" w:eastAsia="Arial" w:cs="Arial"/>
                <w:b/>
                <w:color w:val="auto"/>
                <w:szCs w:val="21"/>
                <w:highlight w:val="none"/>
              </w:rPr>
              <w:t>族自治区财政厅关于持续优化政府采购营商环境推动高质量发展的通知》（桂财采〔2024〕55号）的规定，履约保证金数额不得超过政府采购合同金额的5%；对中小企业收取的履约保证金数额不得超过政府采购合同金额的2%</w:t>
            </w:r>
            <w:r>
              <w:rPr>
                <w:rFonts w:hint="eastAsia" w:ascii="宋体" w:hAnsi="宋体" w:eastAsia="Arial" w:cs="宋体"/>
                <w:b/>
                <w:color w:val="auto"/>
                <w:kern w:val="0"/>
                <w:sz w:val="24"/>
                <w:highlight w:val="none"/>
              </w:rPr>
              <w:t>。</w:t>
            </w:r>
            <w:bookmarkEnd w:id="28"/>
          </w:p>
        </w:tc>
      </w:tr>
      <w:tr w14:paraId="68934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20941F1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29.1</w:t>
            </w:r>
          </w:p>
        </w:tc>
        <w:tc>
          <w:tcPr>
            <w:tcW w:w="8385" w:type="dxa"/>
            <w:tcBorders>
              <w:top w:val="single" w:color="000000" w:sz="4" w:space="0"/>
              <w:left w:val="single" w:color="000000" w:sz="4" w:space="0"/>
              <w:bottom w:val="single" w:color="000000" w:sz="4" w:space="0"/>
              <w:right w:val="single" w:color="000000" w:sz="4" w:space="0"/>
            </w:tcBorders>
            <w:vAlign w:val="center"/>
          </w:tcPr>
          <w:p w14:paraId="357B31E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签订合同携带的证明材料： </w:t>
            </w:r>
          </w:p>
          <w:p w14:paraId="45B294B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14:paraId="2086F50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p w14:paraId="1E1CE2AD">
            <w:pPr>
              <w:spacing w:line="360" w:lineRule="auto"/>
              <w:rPr>
                <w:rFonts w:hint="eastAsia" w:ascii="宋体" w:hAnsi="宋体" w:cs="宋体"/>
                <w:color w:val="auto"/>
                <w:szCs w:val="21"/>
                <w:highlight w:val="none"/>
              </w:rPr>
            </w:pPr>
            <w:r>
              <w:rPr>
                <w:rFonts w:hint="eastAsia" w:ascii="宋体" w:hAnsi="宋体" w:cs="宋体"/>
                <w:b/>
                <w:bCs/>
                <w:color w:val="auto"/>
                <w:highlight w:val="none"/>
              </w:rPr>
              <w:t>合同签订时间：自成交通知书发出之日起</w:t>
            </w:r>
            <w:r>
              <w:rPr>
                <w:rFonts w:hint="eastAsia" w:ascii="宋体" w:hAnsi="宋体" w:cs="宋体"/>
                <w:b/>
                <w:bCs/>
                <w:color w:val="auto"/>
                <w:highlight w:val="none"/>
                <w:lang w:val="en-US" w:eastAsia="zh-CN"/>
              </w:rPr>
              <w:t>20</w:t>
            </w:r>
            <w:r>
              <w:rPr>
                <w:rFonts w:hint="eastAsia" w:ascii="宋体" w:hAnsi="宋体" w:cs="宋体"/>
                <w:b/>
                <w:bCs/>
                <w:color w:val="auto"/>
                <w:highlight w:val="none"/>
              </w:rPr>
              <w:t>日内与采购人签订政府采购合同。</w:t>
            </w:r>
          </w:p>
        </w:tc>
      </w:tr>
      <w:tr w14:paraId="1FA99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DB473C8">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31.2</w:t>
            </w:r>
          </w:p>
        </w:tc>
        <w:tc>
          <w:tcPr>
            <w:tcW w:w="8385" w:type="dxa"/>
            <w:tcBorders>
              <w:top w:val="single" w:color="000000" w:sz="4" w:space="0"/>
              <w:left w:val="single" w:color="000000" w:sz="4" w:space="0"/>
              <w:bottom w:val="single" w:color="000000" w:sz="4" w:space="0"/>
              <w:right w:val="single" w:color="000000" w:sz="4" w:space="0"/>
            </w:tcBorders>
            <w:vAlign w:val="center"/>
          </w:tcPr>
          <w:p w14:paraId="5272DBC6">
            <w:pPr>
              <w:pStyle w:val="222"/>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接收质疑函方式：以书面形式</w:t>
            </w:r>
          </w:p>
          <w:p w14:paraId="5CB19863">
            <w:pPr>
              <w:pStyle w:val="222"/>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质疑联系部门：云之龙咨询集团有限公司招标部</w:t>
            </w:r>
          </w:p>
          <w:p w14:paraId="1C4775DA">
            <w:pPr>
              <w:pStyle w:val="222"/>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联系电话：0775-4565100</w:t>
            </w:r>
          </w:p>
          <w:p w14:paraId="4B0A8337">
            <w:pPr>
              <w:pStyle w:val="222"/>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通讯地址：广西贵港市港北区荷城路1132号华泰官邸1栋6楼</w:t>
            </w:r>
          </w:p>
          <w:p w14:paraId="053E9725">
            <w:pPr>
              <w:pStyle w:val="222"/>
              <w:spacing w:line="320" w:lineRule="exact"/>
              <w:rPr>
                <w:rFonts w:hint="eastAsia" w:hAnsi="宋体" w:cs="宋体"/>
                <w:color w:val="auto"/>
                <w:highlight w:val="none"/>
                <w:lang w:val="en-US" w:eastAsia="zh-CN"/>
              </w:rPr>
            </w:pPr>
            <w:r>
              <w:rPr>
                <w:rFonts w:hint="eastAsia" w:hAnsi="宋体" w:cs="宋体"/>
                <w:color w:val="auto"/>
                <w:sz w:val="21"/>
                <w:highlight w:val="none"/>
                <w:lang w:val="en-US" w:eastAsia="zh-CN"/>
              </w:rPr>
              <w:t>业务时间：工作日每天上午8时00分到12时00分，下午3时00分到6时00分。</w:t>
            </w:r>
          </w:p>
        </w:tc>
      </w:tr>
      <w:tr w14:paraId="7C723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638C9297">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32.1</w:t>
            </w:r>
          </w:p>
        </w:tc>
        <w:tc>
          <w:tcPr>
            <w:tcW w:w="8385" w:type="dxa"/>
            <w:tcBorders>
              <w:top w:val="single" w:color="000000" w:sz="4" w:space="0"/>
              <w:left w:val="single" w:color="000000" w:sz="4" w:space="0"/>
              <w:bottom w:val="single" w:color="000000" w:sz="4" w:space="0"/>
              <w:right w:val="single" w:color="000000" w:sz="4" w:space="0"/>
            </w:tcBorders>
            <w:vAlign w:val="center"/>
          </w:tcPr>
          <w:p w14:paraId="6D5B2ABF">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1.采购代理费收取方式：</w:t>
            </w:r>
          </w:p>
          <w:p w14:paraId="76186541">
            <w:pPr>
              <w:pStyle w:val="222"/>
              <w:spacing w:line="360" w:lineRule="auto"/>
              <w:ind w:firstLine="300"/>
              <w:rPr>
                <w:rFonts w:hint="eastAsia" w:hAnsi="宋体" w:cs="宋体"/>
                <w:color w:val="auto"/>
                <w:sz w:val="21"/>
                <w:highlight w:val="none"/>
                <w:lang w:val="en-US" w:eastAsia="zh-CN"/>
              </w:rPr>
            </w:pPr>
            <w:r>
              <w:rPr>
                <w:rFonts w:hint="eastAsia" w:hAnsi="宋体" w:cs="宋体"/>
                <w:color w:val="auto"/>
                <w:highlight w:val="none"/>
                <w:lang w:val="en-US" w:eastAsia="zh-CN"/>
              </w:rPr>
              <w:t>☑</w:t>
            </w:r>
            <w:r>
              <w:rPr>
                <w:rFonts w:hint="eastAsia" w:hAnsi="宋体" w:cs="宋体"/>
                <w:color w:val="auto"/>
                <w:sz w:val="21"/>
                <w:highlight w:val="none"/>
                <w:lang w:val="en-US" w:eastAsia="zh-CN"/>
              </w:rPr>
              <w:t>本项目代理服务费由</w:t>
            </w:r>
            <w:r>
              <w:rPr>
                <w:rFonts w:hint="eastAsia" w:hAnsi="宋体" w:cs="宋体"/>
                <w:color w:val="auto"/>
                <w:sz w:val="21"/>
                <w:highlight w:val="none"/>
                <w:u w:val="single"/>
                <w:lang w:val="en-US" w:eastAsia="zh-CN"/>
              </w:rPr>
              <w:t>成交</w:t>
            </w:r>
            <w:r>
              <w:rPr>
                <w:rFonts w:hint="eastAsia" w:hAnsi="宋体" w:cs="宋体"/>
                <w:color w:val="auto"/>
                <w:sz w:val="21"/>
                <w:highlight w:val="none"/>
                <w:u w:val="single"/>
                <w:lang w:val="en-US" w:eastAsia="zh-CN"/>
              </w:rPr>
              <w:t>供应商</w:t>
            </w:r>
            <w:r>
              <w:rPr>
                <w:rFonts w:hint="eastAsia" w:hAnsi="宋体" w:cs="宋体"/>
                <w:color w:val="auto"/>
                <w:sz w:val="21"/>
                <w:highlight w:val="none"/>
                <w:lang w:val="en-US" w:eastAsia="zh-CN"/>
              </w:rPr>
              <w:t>向采购代理机构支付。</w:t>
            </w:r>
          </w:p>
          <w:p w14:paraId="40F5BF08">
            <w:pPr>
              <w:pStyle w:val="222"/>
              <w:spacing w:line="360" w:lineRule="auto"/>
              <w:ind w:firstLine="210"/>
              <w:rPr>
                <w:rFonts w:hint="eastAsia" w:hAnsi="宋体" w:cs="宋体"/>
                <w:color w:val="auto"/>
                <w:sz w:val="21"/>
                <w:highlight w:val="none"/>
                <w:lang w:val="en-US" w:eastAsia="zh-CN"/>
              </w:rPr>
            </w:pPr>
            <w:r>
              <w:rPr>
                <w:rFonts w:hint="eastAsia" w:hAnsi="宋体" w:cs="宋体"/>
                <w:color w:val="auto"/>
                <w:sz w:val="21"/>
                <w:highlight w:val="none"/>
                <w:lang w:val="en-US" w:eastAsia="zh-CN"/>
              </w:rPr>
              <w:t>□采购人支付。</w:t>
            </w:r>
          </w:p>
          <w:p w14:paraId="09BD0289">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2.采购代理费收取标准：</w:t>
            </w:r>
          </w:p>
          <w:p w14:paraId="7DEF8EC7">
            <w:pPr>
              <w:pStyle w:val="222"/>
              <w:spacing w:line="360" w:lineRule="auto"/>
              <w:ind w:firstLine="420" w:firstLineChars="200"/>
              <w:rPr>
                <w:rFonts w:hint="eastAsia" w:hAnsi="宋体" w:cs="宋体"/>
                <w:color w:val="auto"/>
                <w:sz w:val="21"/>
                <w:highlight w:val="none"/>
                <w:lang w:val="en-US" w:eastAsia="zh-CN"/>
              </w:rPr>
            </w:pPr>
            <w:r>
              <w:rPr>
                <w:rFonts w:hint="eastAsia" w:hAnsi="宋体" w:cs="宋体"/>
                <w:color w:val="auto"/>
                <w:sz w:val="21"/>
                <w:highlight w:val="none"/>
                <w:lang w:val="en-US" w:eastAsia="zh-CN"/>
              </w:rPr>
              <w:t>按国家发展改革委《关于进一步放开建设项目专业服务价格的通知 》发改价格〔2015〕299号文执行，按固定金额收费标准：本项目采购代理费为人民币壹万捌仟贰佰元整（¥18200.00）</w:t>
            </w:r>
            <w:r>
              <w:rPr>
                <w:rFonts w:hint="eastAsia" w:ascii="宋体" w:hAnsi="宋体" w:cs="宋体"/>
                <w:color w:val="auto"/>
                <w:szCs w:val="21"/>
                <w:highlight w:val="none"/>
              </w:rPr>
              <w:t>。</w:t>
            </w:r>
          </w:p>
          <w:p w14:paraId="0E449E34">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3. 采购代理费收取银行账户</w:t>
            </w:r>
          </w:p>
          <w:p w14:paraId="39750492">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单位名称：云之龙咨询集团有限公司贵港分公司  </w:t>
            </w:r>
          </w:p>
          <w:p w14:paraId="0666F9DE">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开户银行：中信银行股份有限公司南宁园湖支行</w:t>
            </w:r>
          </w:p>
          <w:p w14:paraId="1E5863B4">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银行账号：8113001015100158012</w:t>
            </w:r>
          </w:p>
          <w:p w14:paraId="2F94AC9E">
            <w:pPr>
              <w:pStyle w:val="222"/>
              <w:spacing w:line="360" w:lineRule="auto"/>
              <w:rPr>
                <w:rFonts w:hint="eastAsia" w:hAnsi="宋体" w:cs="宋体"/>
                <w:color w:val="auto"/>
                <w:highlight w:val="none"/>
                <w:lang w:val="en-US" w:eastAsia="zh-CN"/>
              </w:rPr>
            </w:pPr>
            <w:r>
              <w:rPr>
                <w:rFonts w:hint="eastAsia" w:hAnsi="宋体" w:cs="宋体"/>
                <w:color w:val="auto"/>
                <w:sz w:val="21"/>
                <w:highlight w:val="none"/>
                <w:lang w:val="en-US" w:eastAsia="zh-CN"/>
              </w:rPr>
              <w:t>行号：302611029137</w:t>
            </w:r>
          </w:p>
        </w:tc>
      </w:tr>
      <w:tr w14:paraId="7E9D5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4275F98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33.1</w:t>
            </w:r>
          </w:p>
        </w:tc>
        <w:tc>
          <w:tcPr>
            <w:tcW w:w="8385" w:type="dxa"/>
            <w:tcBorders>
              <w:top w:val="single" w:color="000000" w:sz="4" w:space="0"/>
              <w:left w:val="single" w:color="000000" w:sz="4" w:space="0"/>
              <w:bottom w:val="single" w:color="000000" w:sz="4" w:space="0"/>
              <w:right w:val="single" w:color="000000" w:sz="4" w:space="0"/>
            </w:tcBorders>
            <w:vAlign w:val="center"/>
          </w:tcPr>
          <w:p w14:paraId="69B58DE9">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解释：构成本磋商文件的各个组成文件应互为解释，互为说明；除磋商文件中有特别规定外，仅适用于竞标阶段的规定，按更正公告（澄清公告）、竞争性磋商公告或者竞标邀请函、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1DD85E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1FD31B8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33.2</w:t>
            </w:r>
          </w:p>
        </w:tc>
        <w:tc>
          <w:tcPr>
            <w:tcW w:w="8385" w:type="dxa"/>
            <w:tcBorders>
              <w:top w:val="single" w:color="000000" w:sz="4" w:space="0"/>
              <w:left w:val="single" w:color="000000" w:sz="4" w:space="0"/>
              <w:bottom w:val="single" w:color="000000" w:sz="4" w:space="0"/>
              <w:right w:val="single" w:color="000000" w:sz="4" w:space="0"/>
            </w:tcBorders>
            <w:vAlign w:val="center"/>
          </w:tcPr>
          <w:p w14:paraId="34D8A09F">
            <w:pPr>
              <w:pStyle w:val="222"/>
              <w:spacing w:line="360" w:lineRule="auto"/>
              <w:rPr>
                <w:rFonts w:hAnsi="宋体" w:cs="宋体"/>
                <w:color w:val="auto"/>
                <w:sz w:val="21"/>
                <w:highlight w:val="none"/>
                <w:lang w:val="en-US" w:eastAsia="zh-CN"/>
              </w:rPr>
            </w:pPr>
            <w:r>
              <w:rPr>
                <w:rFonts w:hint="eastAsia" w:hAnsi="宋体" w:cs="宋体"/>
                <w:color w:val="auto"/>
                <w:sz w:val="21"/>
                <w:highlight w:val="none"/>
                <w:lang w:val="en-US" w:eastAsia="zh-CN"/>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24EA4ACC">
            <w:pPr>
              <w:pStyle w:val="222"/>
              <w:spacing w:line="360" w:lineRule="auto"/>
              <w:rPr>
                <w:rFonts w:hint="eastAsia" w:hAnsi="宋体" w:cs="宋体"/>
                <w:color w:val="auto"/>
                <w:sz w:val="21"/>
                <w:highlight w:val="none"/>
                <w:lang w:val="en-US" w:eastAsia="zh-CN"/>
              </w:rPr>
            </w:pPr>
            <w:r>
              <w:rPr>
                <w:rFonts w:hint="eastAsia" w:hAnsi="宋体" w:cs="宋体"/>
                <w:bCs/>
                <w:color w:val="auto"/>
                <w:sz w:val="21"/>
                <w:highlight w:val="none"/>
                <w:lang w:val="en-US" w:eastAsia="zh-CN"/>
              </w:rPr>
              <w:t>2.本磋商文件所称的“</w:t>
            </w:r>
            <w:r>
              <w:rPr>
                <w:rFonts w:hint="eastAsia" w:hAnsi="宋体"/>
                <w:color w:val="auto"/>
                <w:sz w:val="21"/>
                <w:highlight w:val="none"/>
                <w:lang w:val="en-US" w:eastAsia="zh-CN"/>
              </w:rPr>
              <w:t>电子签章</w:t>
            </w:r>
            <w:r>
              <w:rPr>
                <w:rFonts w:hint="eastAsia" w:hAnsi="宋体" w:cs="宋体"/>
                <w:bCs/>
                <w:color w:val="auto"/>
                <w:sz w:val="21"/>
                <w:highlight w:val="none"/>
                <w:lang w:val="en-US" w:eastAsia="zh-CN"/>
              </w:rPr>
              <w:t>”“电子签名”</w:t>
            </w:r>
            <w:r>
              <w:rPr>
                <w:rFonts w:hint="eastAsia" w:hAnsi="宋体"/>
                <w:color w:val="auto"/>
                <w:sz w:val="21"/>
                <w:highlight w:val="none"/>
                <w:lang w:val="en-US" w:eastAsia="zh-CN"/>
              </w:rPr>
              <w:t>，是指经广西政府采购云平台认可的CA认证的电子签名数据为表现形式的印章，可用于签署电子响应文件，电子印章与实物印章具有同等法律效力，不因其采用电子化表现形式而否定其法律效力。</w:t>
            </w:r>
          </w:p>
          <w:p w14:paraId="25F48E95">
            <w:pPr>
              <w:pStyle w:val="222"/>
              <w:spacing w:line="360" w:lineRule="auto"/>
              <w:rPr>
                <w:rFonts w:hint="eastAsia" w:hAnsi="宋体" w:cs="宋体"/>
                <w:bCs/>
                <w:color w:val="auto"/>
                <w:sz w:val="21"/>
                <w:highlight w:val="none"/>
                <w:lang w:val="en-US" w:eastAsia="zh-CN"/>
              </w:rPr>
            </w:pPr>
            <w:r>
              <w:rPr>
                <w:rFonts w:hAnsi="宋体" w:cs="宋体"/>
                <w:color w:val="auto"/>
                <w:sz w:val="21"/>
                <w:highlight w:val="none"/>
                <w:lang w:val="en-US" w:eastAsia="zh-CN"/>
              </w:rPr>
              <w:t>3</w:t>
            </w:r>
            <w:r>
              <w:rPr>
                <w:rFonts w:hint="eastAsia" w:hAnsi="宋体" w:cs="宋体"/>
                <w:color w:val="auto"/>
                <w:sz w:val="21"/>
                <w:highlight w:val="none"/>
                <w:lang w:val="en-US" w:eastAsia="zh-CN"/>
              </w:rPr>
              <w:t>.供应商为其他组织或者自然人时，本磋商文件规定的法定代表人指负责人或者自然人。本磋商文件所称负责人是指参加竞标的其他组织</w:t>
            </w:r>
            <w:r>
              <w:rPr>
                <w:rFonts w:hint="eastAsia" w:hAnsi="宋体" w:cs="宋体"/>
                <w:bCs/>
                <w:color w:val="auto"/>
                <w:sz w:val="21"/>
                <w:highlight w:val="none"/>
                <w:lang w:val="en-US" w:eastAsia="zh-CN"/>
              </w:rPr>
              <w:t>营业执照或者执业许可证等证照上的</w:t>
            </w:r>
            <w:r>
              <w:rPr>
                <w:rFonts w:hint="eastAsia" w:hAnsi="宋体" w:cs="宋体"/>
                <w:color w:val="auto"/>
                <w:sz w:val="21"/>
                <w:highlight w:val="none"/>
                <w:lang w:val="en-US" w:eastAsia="zh-CN"/>
              </w:rPr>
              <w:t>负责人，本磋商文件所称自然人指参与竞标的自然人本人，</w:t>
            </w:r>
            <w:r>
              <w:rPr>
                <w:rFonts w:hint="eastAsia" w:hAnsi="宋体" w:cs="宋体"/>
                <w:bCs/>
                <w:color w:val="auto"/>
                <w:sz w:val="21"/>
                <w:highlight w:val="none"/>
                <w:lang w:val="en-US" w:eastAsia="zh-CN"/>
              </w:rPr>
              <w:t>且应具备独立承担民事责任能力，自然人应当为年满18岁以上成年人（十六周岁以上的未成年人，以自己的劳动收入为主要生活来源的，视为完全民事行为能力人）。</w:t>
            </w:r>
          </w:p>
          <w:p w14:paraId="281F96E0">
            <w:pPr>
              <w:pStyle w:val="222"/>
              <w:spacing w:line="360" w:lineRule="auto"/>
              <w:rPr>
                <w:rFonts w:hAnsi="宋体" w:cs="宋体"/>
                <w:color w:val="auto"/>
                <w:sz w:val="21"/>
                <w:highlight w:val="none"/>
                <w:lang w:val="en-US" w:eastAsia="zh-CN"/>
              </w:rPr>
            </w:pPr>
            <w:r>
              <w:rPr>
                <w:rFonts w:hAnsi="宋体" w:cs="宋体"/>
                <w:color w:val="auto"/>
                <w:sz w:val="21"/>
                <w:highlight w:val="none"/>
                <w:lang w:val="en-US" w:eastAsia="zh-CN"/>
              </w:rPr>
              <w:t>4.</w:t>
            </w:r>
            <w:r>
              <w:rPr>
                <w:rFonts w:hint="eastAsia" w:hAnsi="宋体" w:cs="宋体"/>
                <w:color w:val="auto"/>
                <w:sz w:val="21"/>
                <w:highlight w:val="none"/>
                <w:lang w:val="en-US" w:eastAsia="zh-CN"/>
              </w:rPr>
              <w:t>本磋商文件中描述供应商的“签字”是指供应商的法定代表人或者委托代理人亲自在文件规定签署处亲笔写上个人的名字的行为，私章、签字章、印鉴、影印等其他形式均不能代替亲笔签字。</w:t>
            </w:r>
          </w:p>
          <w:p w14:paraId="548529D7">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5</w:t>
            </w:r>
            <w:r>
              <w:rPr>
                <w:rFonts w:hAnsi="宋体" w:cs="宋体"/>
                <w:color w:val="auto"/>
                <w:sz w:val="21"/>
                <w:highlight w:val="none"/>
                <w:lang w:val="en-US" w:eastAsia="zh-CN"/>
              </w:rPr>
              <w:t>.</w:t>
            </w:r>
            <w:r>
              <w:rPr>
                <w:rFonts w:hint="eastAsia" w:hAnsi="宋体" w:cs="宋体"/>
                <w:color w:val="auto"/>
                <w:sz w:val="21"/>
                <w:highlight w:val="none"/>
                <w:lang w:val="en-US" w:eastAsia="zh-CN"/>
              </w:rPr>
              <w:t>本磋商文件所称的“以上”“以下”“以内”“届满”，包括本数；所称的“不满”“超过”“以外”，不包括本数。</w:t>
            </w:r>
          </w:p>
        </w:tc>
      </w:tr>
    </w:tbl>
    <w:p w14:paraId="7E0FED99">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clear="all"/>
      </w:r>
    </w:p>
    <w:p w14:paraId="564364F0">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供应商须知正文</w:t>
      </w:r>
    </w:p>
    <w:p w14:paraId="5DBB0DE6">
      <w:pPr>
        <w:spacing w:line="400" w:lineRule="exact"/>
        <w:jc w:val="center"/>
        <w:rPr>
          <w:rFonts w:hint="eastAsia" w:ascii="宋体" w:hAnsi="宋体" w:cs="宋体"/>
          <w:b/>
          <w:color w:val="auto"/>
          <w:sz w:val="32"/>
          <w:szCs w:val="32"/>
          <w:highlight w:val="none"/>
        </w:rPr>
      </w:pPr>
    </w:p>
    <w:p w14:paraId="0D78C80F">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一、总则</w:t>
      </w:r>
    </w:p>
    <w:p w14:paraId="550915C9">
      <w:pPr>
        <w:spacing w:line="400" w:lineRule="exact"/>
        <w:rPr>
          <w:rFonts w:hint="eastAsia" w:ascii="宋体" w:hAnsi="宋体" w:cs="宋体"/>
          <w:color w:val="auto"/>
          <w:szCs w:val="21"/>
          <w:highlight w:val="none"/>
        </w:rPr>
      </w:pPr>
    </w:p>
    <w:p w14:paraId="2EE09CFE">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1.适用范围</w:t>
      </w:r>
    </w:p>
    <w:p w14:paraId="6267597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41BB1C4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5093780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2.定义</w:t>
      </w:r>
    </w:p>
    <w:p w14:paraId="2037B54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7D34D5C3">
      <w:pPr>
        <w:spacing w:line="360" w:lineRule="auto"/>
        <w:ind w:firstLine="420"/>
        <w:rPr>
          <w:rFonts w:hint="eastAsia"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6EDA11B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5F82A50E">
      <w:pPr>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2.4“服务”是指除货物和工程以外的其他政府采购对象。</w:t>
      </w:r>
    </w:p>
    <w:p w14:paraId="21CE462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“竞标”是指供应商按照本项目竞争性磋商公告或者邀请函规定的方式获取磋商文件、提交响应文件并希望获得标的的行为。</w:t>
      </w:r>
    </w:p>
    <w:p w14:paraId="078FA803">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38926801">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2.7“响应文件”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576F2336">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2.8“实质性要求”是指磋商文件中已经指明不满足则响应文件按无效响应处理的条款，或者不能负偏离的条款，或者采购需求中带“▲”的条款。</w:t>
      </w:r>
    </w:p>
    <w:p w14:paraId="7DE1BEDB">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14:paraId="238AD48D">
      <w:pPr>
        <w:spacing w:line="360" w:lineRule="auto"/>
        <w:ind w:firstLine="420"/>
        <w:contextualSpacing/>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10“负偏离”，是指响应文件对磋商文件“采购需求”中有关条款作出的响应不满足条款要求，导致采购人要求不能得到满足的情形。</w:t>
      </w:r>
    </w:p>
    <w:p w14:paraId="736A7E2E">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40FAFBD6">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2“首次报价”是指供应商提交的首次响应文件中的报价。</w:t>
      </w:r>
    </w:p>
    <w:p w14:paraId="72806ADB">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3.供应商的资格条件</w:t>
      </w:r>
    </w:p>
    <w:p w14:paraId="7225242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60BD68A3">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4.竞标费用</w:t>
      </w:r>
    </w:p>
    <w:p w14:paraId="3EB1CBE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404ADB7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5.联合体竞标</w:t>
      </w:r>
    </w:p>
    <w:p w14:paraId="3626B1D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5.1本项目不接受联合体竞标。</w:t>
      </w:r>
    </w:p>
    <w:p w14:paraId="3EF2B49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 xml:space="preserve">6.转包与分包             </w:t>
      </w:r>
    </w:p>
    <w:p w14:paraId="630A5484">
      <w:pPr>
        <w:spacing w:line="360" w:lineRule="auto"/>
        <w:ind w:firstLine="420"/>
        <w:rPr>
          <w:rFonts w:hint="eastAsia" w:ascii="宋体" w:hAnsi="宋体" w:cs="宋体"/>
          <w:color w:val="auto"/>
          <w:szCs w:val="21"/>
          <w:highlight w:val="none"/>
        </w:rPr>
      </w:pPr>
      <w:bookmarkStart w:id="29" w:name="_Toc254970532"/>
      <w:bookmarkStart w:id="30" w:name="_Toc254970673"/>
      <w:r>
        <w:rPr>
          <w:rFonts w:hint="eastAsia" w:ascii="宋体" w:hAnsi="宋体" w:cs="宋体"/>
          <w:color w:val="auto"/>
          <w:szCs w:val="21"/>
          <w:highlight w:val="none"/>
        </w:rPr>
        <w:t>6.1本项目</w:t>
      </w:r>
      <w:r>
        <w:rPr>
          <w:rFonts w:hint="eastAsia" w:ascii="宋体" w:hAnsi="宋体" w:cs="宋体"/>
          <w:color w:val="auto"/>
          <w:szCs w:val="21"/>
          <w:highlight w:val="none"/>
          <w:lang w:val="en-US" w:eastAsia="zh-CN"/>
        </w:rPr>
        <w:t>不</w:t>
      </w:r>
      <w:r>
        <w:rPr>
          <w:rFonts w:hint="eastAsia" w:ascii="宋体" w:hAnsi="宋体" w:cs="宋体"/>
          <w:color w:val="auto"/>
          <w:szCs w:val="21"/>
          <w:highlight w:val="none"/>
        </w:rPr>
        <w:t>允许分包。</w:t>
      </w:r>
    </w:p>
    <w:p w14:paraId="49D087F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7.特别说明</w:t>
      </w:r>
      <w:bookmarkEnd w:id="29"/>
      <w:bookmarkEnd w:id="30"/>
    </w:p>
    <w:p w14:paraId="27E26890">
      <w:pPr>
        <w:spacing w:line="360" w:lineRule="auto"/>
        <w:ind w:firstLine="420"/>
        <w:rPr>
          <w:rFonts w:hint="eastAsia" w:ascii="宋体" w:hAnsi="宋体" w:cs="宋体"/>
          <w:color w:val="auto"/>
          <w:szCs w:val="21"/>
          <w:highlight w:val="none"/>
        </w:rPr>
      </w:pPr>
      <w:bookmarkStart w:id="31" w:name="_8.1提供相同品牌产品且通过资格审查、符合性审查的不同投标人参加同一合"/>
      <w:bookmarkEnd w:id="31"/>
      <w:r>
        <w:rPr>
          <w:rFonts w:hint="eastAsia" w:ascii="宋体" w:hAnsi="宋体" w:cs="宋体"/>
          <w:color w:val="auto"/>
          <w:szCs w:val="21"/>
          <w:highlight w:val="none"/>
        </w:rPr>
        <w:t>7.1</w:t>
      </w:r>
      <w:bookmarkStart w:id="32" w:name="_Hlk65832145"/>
      <w:r>
        <w:rPr>
          <w:rFonts w:hint="eastAsia" w:ascii="宋体" w:hAnsi="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w:t>
      </w:r>
      <w:bookmarkEnd w:id="32"/>
    </w:p>
    <w:p w14:paraId="3F2D2E1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0FFF4B2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74EF00C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1C554AA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6F1998C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74865CF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54EF2C2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1C347AE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4549535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62A0DF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025E610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w:t>
      </w:r>
      <w:r>
        <w:rPr>
          <w:rFonts w:hint="eastAsia" w:ascii="宋体" w:hAnsi="宋体" w:cs="宋体"/>
          <w:color w:val="auto"/>
          <w:szCs w:val="21"/>
          <w:highlight w:val="none"/>
          <w:lang w:eastAsia="zh-CN"/>
        </w:rPr>
        <w:t>，或不同供应商报名的IP地址一致的；</w:t>
      </w:r>
      <w:r>
        <w:rPr>
          <w:rFonts w:hint="eastAsia" w:ascii="宋体" w:hAnsi="宋体" w:cs="宋体"/>
          <w:color w:val="auto"/>
          <w:szCs w:val="21"/>
          <w:highlight w:val="none"/>
        </w:rPr>
        <w:t xml:space="preserve"> </w:t>
      </w:r>
    </w:p>
    <w:p w14:paraId="2160090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216EB85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3D0AE4C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7C55CB9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46C71E75">
      <w:pPr>
        <w:tabs>
          <w:tab w:val="left" w:pos="6931"/>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hint="eastAsia" w:ascii="宋体" w:hAnsi="宋体" w:cs="宋体"/>
          <w:color w:val="auto"/>
          <w:szCs w:val="21"/>
          <w:highlight w:val="none"/>
        </w:rPr>
        <w:tab/>
      </w:r>
    </w:p>
    <w:p w14:paraId="109EDE3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71E94FE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20CAD19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6F55106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774C0FB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4BA4137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69C2283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51319F4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5CC4D3EA">
      <w:pPr>
        <w:pStyle w:val="327"/>
        <w:spacing w:line="360" w:lineRule="auto"/>
        <w:rPr>
          <w:rFonts w:hint="eastAsia" w:ascii="宋体" w:hAnsi="宋体"/>
          <w:color w:val="auto"/>
          <w:highlight w:val="none"/>
        </w:rPr>
      </w:pPr>
      <w:r>
        <w:rPr>
          <w:rFonts w:ascii="宋体" w:hAnsi="宋体"/>
          <w:color w:val="auto"/>
          <w:highlight w:val="none"/>
        </w:rPr>
        <w:t>7.7</w:t>
      </w:r>
      <w:r>
        <w:rPr>
          <w:rFonts w:hint="eastAsia" w:ascii="宋体" w:hAnsi="宋体"/>
          <w:color w:val="auto"/>
          <w:highlight w:val="none"/>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E076B51">
      <w:pPr>
        <w:pStyle w:val="327"/>
        <w:spacing w:line="360" w:lineRule="auto"/>
        <w:rPr>
          <w:rFonts w:hint="eastAsia" w:ascii="宋体" w:hAnsi="宋体"/>
          <w:color w:val="auto"/>
          <w:highlight w:val="none"/>
        </w:rPr>
      </w:pPr>
      <w:r>
        <w:rPr>
          <w:rFonts w:hint="eastAsia" w:ascii="宋体" w:hAnsi="宋体"/>
          <w:color w:val="auto"/>
          <w:highlight w:val="none"/>
        </w:rPr>
        <w:t>产品在中国境内生产的组件成本占比应当达到规定比例，计算公式为：</w:t>
      </w:r>
    </w:p>
    <w:p w14:paraId="1F981554">
      <w:pPr>
        <w:widowControl/>
        <w:shd w:val="clear" w:color="auto" w:fill="FFFFFF"/>
        <w:spacing w:before="30" w:after="30" w:line="360" w:lineRule="auto"/>
        <w:jc w:val="center"/>
        <w:rPr>
          <w:rFonts w:hint="eastAsia" w:ascii="宋体" w:hAnsi="宋体" w:cs="宋体"/>
          <w:color w:val="auto"/>
          <w:sz w:val="24"/>
          <w:highlight w:val="none"/>
        </w:rPr>
      </w:pPr>
      <w:r>
        <w:rPr>
          <w:rFonts w:ascii="宋体" w:hAnsi="宋体" w:cs="宋体"/>
          <w:color w:val="auto"/>
          <w:sz w:val="24"/>
          <w:highlight w:val="none"/>
        </w:rPr>
        <w:drawing>
          <wp:inline distT="0" distB="0" distL="0" distR="0">
            <wp:extent cx="4824095" cy="758825"/>
            <wp:effectExtent l="0" t="0" r="0" b="0"/>
            <wp:docPr id="1026" name="_x0000_i7236"/>
            <wp:cNvGraphicFramePr/>
            <a:graphic xmlns:a="http://schemas.openxmlformats.org/drawingml/2006/main">
              <a:graphicData uri="http://schemas.openxmlformats.org/drawingml/2006/picture">
                <pic:pic xmlns:pic="http://schemas.openxmlformats.org/drawingml/2006/picture">
                  <pic:nvPicPr>
                    <pic:cNvPr id="1026" name="_x0000_i7236"/>
                    <pic:cNvPicPr/>
                  </pic:nvPicPr>
                  <pic:blipFill>
                    <a:blip r:embed="rId11" cstate="print"/>
                    <a:srcRect/>
                    <a:stretch>
                      <a:fillRect/>
                    </a:stretch>
                  </pic:blipFill>
                  <pic:spPr>
                    <a:xfrm>
                      <a:off x="0" y="0"/>
                      <a:ext cx="4824095" cy="758825"/>
                    </a:xfrm>
                    <a:prstGeom prst="rect">
                      <a:avLst/>
                    </a:prstGeom>
                  </pic:spPr>
                </pic:pic>
              </a:graphicData>
            </a:graphic>
          </wp:inline>
        </w:drawing>
      </w:r>
    </w:p>
    <w:p w14:paraId="31E1B760">
      <w:pPr>
        <w:pStyle w:val="327"/>
        <w:spacing w:line="360" w:lineRule="auto"/>
        <w:rPr>
          <w:rFonts w:hint="eastAsia" w:ascii="宋体" w:hAnsi="宋体"/>
          <w:color w:val="auto"/>
          <w:highlight w:val="none"/>
        </w:rPr>
      </w:pPr>
      <w:r>
        <w:rPr>
          <w:rFonts w:hint="eastAsia" w:ascii="宋体" w:hAnsi="宋体"/>
          <w:color w:val="auto"/>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06C06594">
      <w:pPr>
        <w:pStyle w:val="327"/>
        <w:spacing w:line="360" w:lineRule="auto"/>
        <w:rPr>
          <w:rFonts w:hint="eastAsia" w:ascii="宋体" w:hAnsi="宋体"/>
          <w:color w:val="auto"/>
          <w:highlight w:val="none"/>
        </w:rPr>
      </w:pPr>
      <w:r>
        <w:rPr>
          <w:rFonts w:hint="eastAsia" w:ascii="宋体" w:hAnsi="宋体"/>
          <w:color w:val="auto"/>
          <w:highlight w:val="none"/>
        </w:rPr>
        <w:t>政府采购活动中既有本国产品又有非本国产品参与竞争的，依法对本国产品给予价格评审优惠，对本国产品的报价给予20%的价格扣除，用扣除后的价格参与评审。</w:t>
      </w:r>
    </w:p>
    <w:p w14:paraId="4462C211">
      <w:pPr>
        <w:pStyle w:val="327"/>
        <w:spacing w:line="360" w:lineRule="auto"/>
        <w:rPr>
          <w:rFonts w:hint="eastAsia" w:ascii="宋体" w:hAnsi="宋体" w:cs="宋体"/>
          <w:b/>
          <w:bCs/>
          <w:color w:val="auto"/>
          <w:szCs w:val="21"/>
          <w:highlight w:val="none"/>
        </w:rPr>
      </w:pPr>
      <w:r>
        <w:rPr>
          <w:rFonts w:hint="eastAsia" w:ascii="宋体" w:hAnsi="宋体"/>
          <w:b/>
          <w:bCs/>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E9F8045">
      <w:pPr>
        <w:spacing w:line="360" w:lineRule="auto"/>
        <w:ind w:left="1" w:firstLine="417"/>
        <w:jc w:val="center"/>
        <w:rPr>
          <w:rFonts w:hint="eastAsia" w:ascii="宋体" w:hAnsi="宋体" w:cs="宋体"/>
          <w:color w:val="auto"/>
          <w:highlight w:val="none"/>
        </w:rPr>
      </w:pPr>
      <w:bookmarkStart w:id="33" w:name="_Toc254970675"/>
      <w:bookmarkStart w:id="34" w:name="_Toc254970534"/>
    </w:p>
    <w:p w14:paraId="57FB8DB6">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二、磋商文件</w:t>
      </w:r>
      <w:bookmarkEnd w:id="33"/>
      <w:bookmarkEnd w:id="34"/>
    </w:p>
    <w:p w14:paraId="2643CB55">
      <w:pPr>
        <w:spacing w:line="360" w:lineRule="auto"/>
        <w:rPr>
          <w:rFonts w:hint="eastAsia" w:ascii="宋体" w:hAnsi="宋体" w:cs="宋体"/>
          <w:color w:val="auto"/>
          <w:szCs w:val="21"/>
          <w:highlight w:val="none"/>
        </w:rPr>
      </w:pPr>
    </w:p>
    <w:p w14:paraId="55F9AF2C">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8.磋商文件的构成</w:t>
      </w:r>
    </w:p>
    <w:p w14:paraId="32CF7C52">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（1）竞争性磋商公告；</w:t>
      </w:r>
    </w:p>
    <w:p w14:paraId="212DBA07">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 xml:space="preserve">（2）供应商须知； </w:t>
      </w:r>
    </w:p>
    <w:p w14:paraId="1B1D0293">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（3）采购需求；</w:t>
      </w:r>
    </w:p>
    <w:p w14:paraId="272374A5">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（4）评审程序、评审方法和评审标准；</w:t>
      </w:r>
    </w:p>
    <w:p w14:paraId="29885C68">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（5）响应文件格式；</w:t>
      </w:r>
    </w:p>
    <w:p w14:paraId="6861B2B9">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（6）合同文本。</w:t>
      </w:r>
    </w:p>
    <w:p w14:paraId="2DA9A0AD">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9.供应商的询问</w:t>
      </w:r>
    </w:p>
    <w:p w14:paraId="45A49E0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供应商应认真阅读磋商文件的采购需求，如供应商对磋商文件有疑问的，如要求采购人作出澄清或者修改的，供应商尽可能在提交首次响应文件截止之日前，以书面形式向采购人、采购代理机构提出。</w:t>
      </w:r>
    </w:p>
    <w:p w14:paraId="47C8DFEF">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10.磋商文件的澄清和修改</w:t>
      </w:r>
    </w:p>
    <w:p w14:paraId="2A40E38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w:t>
      </w:r>
      <w:r>
        <w:rPr>
          <w:rFonts w:hint="eastAsia" w:ascii="宋体" w:hAnsi="宋体" w:cs="宋体"/>
          <w:b/>
          <w:bCs/>
          <w:color w:val="auto"/>
          <w:szCs w:val="21"/>
          <w:highlight w:val="none"/>
        </w:rPr>
        <w:t>3个工作日</w:t>
      </w:r>
      <w:r>
        <w:rPr>
          <w:rFonts w:hint="eastAsia" w:ascii="宋体" w:hAnsi="宋体" w:cs="宋体"/>
          <w:color w:val="auto"/>
          <w:szCs w:val="21"/>
          <w:highlight w:val="none"/>
        </w:rPr>
        <w:t>前，以书面形式通知所有获取磋商文件的供应商，</w:t>
      </w:r>
      <w:r>
        <w:rPr>
          <w:rFonts w:hint="eastAsia" w:ascii="宋体" w:hAnsi="宋体" w:cs="宋体"/>
          <w:b/>
          <w:bCs/>
          <w:color w:val="auto"/>
          <w:szCs w:val="21"/>
          <w:highlight w:val="none"/>
        </w:rPr>
        <w:t>不足3个工作日</w:t>
      </w:r>
      <w:r>
        <w:rPr>
          <w:rFonts w:hint="eastAsia" w:ascii="宋体" w:hAnsi="宋体" w:cs="宋体"/>
          <w:color w:val="auto"/>
          <w:szCs w:val="21"/>
          <w:highlight w:val="none"/>
        </w:rPr>
        <w:t>的，应当顺延提交首次响应文件截止之日。</w:t>
      </w:r>
    </w:p>
    <w:p w14:paraId="0E8B43B2">
      <w:pPr>
        <w:spacing w:line="360" w:lineRule="auto"/>
        <w:rPr>
          <w:rFonts w:hint="eastAsia" w:ascii="宋体" w:hAnsi="宋体" w:cs="宋体"/>
          <w:color w:val="auto"/>
          <w:szCs w:val="21"/>
          <w:highlight w:val="none"/>
        </w:rPr>
      </w:pPr>
    </w:p>
    <w:p w14:paraId="7F0B3F98">
      <w:pPr>
        <w:spacing w:line="360" w:lineRule="auto"/>
        <w:jc w:val="center"/>
        <w:rPr>
          <w:rFonts w:hint="eastAsia" w:ascii="宋体" w:hAnsi="宋体" w:cs="宋体"/>
          <w:b/>
          <w:bCs/>
          <w:color w:val="auto"/>
          <w:szCs w:val="21"/>
          <w:highlight w:val="none"/>
        </w:rPr>
      </w:pPr>
      <w:r>
        <w:rPr>
          <w:rFonts w:hint="eastAsia" w:ascii="宋体" w:hAnsi="宋体" w:cs="宋体"/>
          <w:b/>
          <w:bCs/>
          <w:color w:val="auto"/>
          <w:sz w:val="32"/>
          <w:szCs w:val="32"/>
          <w:highlight w:val="none"/>
        </w:rPr>
        <w:t>三、响应文件的编制</w:t>
      </w:r>
    </w:p>
    <w:p w14:paraId="4898BD12">
      <w:pPr>
        <w:spacing w:line="360" w:lineRule="auto"/>
        <w:rPr>
          <w:rFonts w:hint="eastAsia" w:ascii="宋体" w:hAnsi="宋体" w:cs="宋体"/>
          <w:color w:val="auto"/>
          <w:szCs w:val="21"/>
          <w:highlight w:val="none"/>
        </w:rPr>
      </w:pPr>
    </w:p>
    <w:p w14:paraId="5A943A7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11.响应文件的编制原则</w:t>
      </w:r>
    </w:p>
    <w:p w14:paraId="08395576">
      <w:pPr>
        <w:spacing w:line="360" w:lineRule="auto"/>
        <w:ind w:firstLine="420"/>
        <w:rPr>
          <w:rFonts w:hint="eastAsia" w:ascii="宋体" w:hAnsi="宋体" w:cs="宋体"/>
          <w:b/>
          <w:bCs/>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w:t>
      </w:r>
      <w:r>
        <w:rPr>
          <w:rFonts w:hint="eastAsia" w:ascii="宋体" w:hAnsi="宋体" w:cs="宋体"/>
          <w:b/>
          <w:bCs/>
          <w:color w:val="auto"/>
          <w:szCs w:val="21"/>
          <w:highlight w:val="none"/>
        </w:rPr>
        <w:t>响应文件必须对磋商文件提出的要求和条件作出明确响应。</w:t>
      </w:r>
    </w:p>
    <w:p w14:paraId="18693E3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12.响应文件的组成</w:t>
      </w:r>
    </w:p>
    <w:p w14:paraId="3B0E5ED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01939C65">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12.1.1资格证明文件：详见“供应商须知前附表”</w:t>
      </w:r>
    </w:p>
    <w:p w14:paraId="4AEAE748">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12.1.2报价文件：详见“供应商须知前附表”</w:t>
      </w:r>
    </w:p>
    <w:p w14:paraId="60AC5CCF">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741EADF5">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13.计量单位</w:t>
      </w:r>
    </w:p>
    <w:p w14:paraId="6F1DF16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551D4823">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14.竞标的风险</w:t>
      </w:r>
    </w:p>
    <w:p w14:paraId="6B3DCCF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5AB4610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15.竞标报价</w:t>
      </w:r>
    </w:p>
    <w:p w14:paraId="6DAC784F">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15.1竞标报价应按磋商文件中“竞标报价表”格式填写。</w:t>
      </w:r>
    </w:p>
    <w:p w14:paraId="1FCC138D">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15.2竞标报价的内容见“供应商须知前附表”。</w:t>
      </w:r>
    </w:p>
    <w:p w14:paraId="0CF4BFEE">
      <w:pPr>
        <w:spacing w:line="360" w:lineRule="auto"/>
        <w:ind w:left="426"/>
        <w:rPr>
          <w:rFonts w:hint="eastAsia" w:ascii="宋体" w:hAnsi="宋体" w:cs="宋体"/>
          <w:color w:val="auto"/>
          <w:szCs w:val="21"/>
          <w:highlight w:val="none"/>
        </w:rPr>
      </w:pPr>
      <w:r>
        <w:rPr>
          <w:rFonts w:hint="eastAsia" w:ascii="宋体" w:hAnsi="宋体" w:cs="宋体"/>
          <w:color w:val="auto"/>
          <w:szCs w:val="21"/>
          <w:highlight w:val="none"/>
        </w:rPr>
        <w:t>15.3竞标报价要求</w:t>
      </w:r>
    </w:p>
    <w:p w14:paraId="7072F7FA">
      <w:pPr>
        <w:spacing w:line="360" w:lineRule="auto"/>
        <w:ind w:firstLine="420"/>
        <w:rPr>
          <w:rFonts w:hint="eastAsia" w:ascii="宋体" w:hAnsi="宋体" w:cs="宋体"/>
          <w:color w:val="auto"/>
          <w:szCs w:val="21"/>
          <w:highlight w:val="none"/>
        </w:rPr>
      </w:pPr>
      <w:r>
        <w:rPr>
          <w:rFonts w:hint="eastAsia" w:ascii="宋体" w:hAnsi="宋体" w:cs="宋体"/>
          <w:b w:val="0"/>
          <w:bCs w:val="0"/>
          <w:color w:val="auto"/>
          <w:szCs w:val="21"/>
          <w:highlight w:val="none"/>
        </w:rPr>
        <w:t>15.3.1供应商的竞标报价应符合以下要求，</w:t>
      </w:r>
      <w:r>
        <w:rPr>
          <w:rFonts w:hint="eastAsia" w:ascii="宋体" w:hAnsi="宋体" w:cs="宋体"/>
          <w:b/>
          <w:bCs/>
          <w:color w:val="auto"/>
          <w:szCs w:val="21"/>
          <w:highlight w:val="none"/>
        </w:rPr>
        <w:t>否则响应文件按无效响应处理：</w:t>
      </w:r>
    </w:p>
    <w:p w14:paraId="1BFD288F">
      <w:pPr>
        <w:spacing w:line="360" w:lineRule="auto"/>
        <w:ind w:left="420"/>
        <w:rPr>
          <w:rFonts w:hint="eastAsia" w:ascii="宋体" w:hAnsi="宋体" w:cs="宋体"/>
          <w:color w:val="auto"/>
          <w:szCs w:val="21"/>
          <w:highlight w:val="none"/>
        </w:rPr>
      </w:pPr>
      <w:r>
        <w:rPr>
          <w:rFonts w:hint="eastAsia" w:ascii="宋体" w:hAnsi="宋体" w:cs="宋体"/>
          <w:color w:val="auto"/>
          <w:szCs w:val="21"/>
          <w:highlight w:val="none"/>
        </w:rPr>
        <w:t>（1）供应商必须就“采购需求”中所竞标的全部内容分别作完整唯一</w:t>
      </w:r>
      <w:r>
        <w:rPr>
          <w:rFonts w:hint="eastAsia" w:ascii="宋体" w:hAnsi="宋体" w:cs="宋体"/>
          <w:color w:val="auto"/>
          <w:szCs w:val="21"/>
          <w:highlight w:val="none"/>
          <w:lang w:eastAsia="zh-CN"/>
        </w:rPr>
        <w:t>单价</w:t>
      </w:r>
      <w:r>
        <w:rPr>
          <w:rFonts w:hint="eastAsia" w:ascii="宋体" w:hAnsi="宋体" w:cs="宋体"/>
          <w:color w:val="auto"/>
          <w:szCs w:val="21"/>
          <w:highlight w:val="none"/>
        </w:rPr>
        <w:t>报价，</w:t>
      </w:r>
    </w:p>
    <w:p w14:paraId="74BA4C0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不得存在漏项报价；</w:t>
      </w:r>
    </w:p>
    <w:p w14:paraId="3717DAD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（2）供应商必须就所竞标的单项内容作唯一报价。</w:t>
      </w:r>
    </w:p>
    <w:p w14:paraId="0F6E1015">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15.3.2竞标报价（包含首次报价、最后报价）超过所竞标规定的采购预算金额或者最高限价的，</w:t>
      </w:r>
      <w:r>
        <w:rPr>
          <w:rFonts w:hint="eastAsia" w:ascii="宋体" w:hAnsi="宋体" w:cs="宋体"/>
          <w:b/>
          <w:bCs/>
          <w:color w:val="auto"/>
          <w:szCs w:val="21"/>
          <w:highlight w:val="none"/>
        </w:rPr>
        <w:t>其响应文件将按无效处理。</w:t>
      </w:r>
    </w:p>
    <w:p w14:paraId="67BBCE29">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15.3.3</w:t>
      </w:r>
      <w:bookmarkStart w:id="35" w:name="_Hlk42592874"/>
      <w:r>
        <w:rPr>
          <w:rFonts w:hint="eastAsia" w:ascii="宋体" w:hAnsi="宋体" w:cs="宋体"/>
          <w:b w:val="0"/>
          <w:bCs w:val="0"/>
          <w:color w:val="auto"/>
          <w:szCs w:val="21"/>
          <w:highlight w:val="none"/>
        </w:rPr>
        <w:t>竞标报价（包含首次报价、最后报价）超过分项采购预算金额或者最高限价的，</w:t>
      </w:r>
      <w:r>
        <w:rPr>
          <w:rFonts w:hint="eastAsia" w:ascii="宋体" w:hAnsi="宋体" w:cs="宋体"/>
          <w:b/>
          <w:bCs/>
          <w:color w:val="auto"/>
          <w:szCs w:val="21"/>
          <w:highlight w:val="none"/>
        </w:rPr>
        <w:t>其响应文件将按无效处理。</w:t>
      </w:r>
      <w:bookmarkEnd w:id="35"/>
    </w:p>
    <w:p w14:paraId="52029563">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16.竞标有效期</w:t>
      </w:r>
    </w:p>
    <w:p w14:paraId="2E50CC7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0D66EF4A">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16.2  竞标有效期应由供应商按“供应商须知前附表”规定的期限作出响应。承诺的竞标有效期低于采购文件规定期限的，</w:t>
      </w:r>
      <w:r>
        <w:rPr>
          <w:rFonts w:hint="eastAsia" w:ascii="宋体" w:hAnsi="宋体" w:cs="宋体"/>
          <w:b/>
          <w:bCs/>
          <w:color w:val="auto"/>
          <w:szCs w:val="21"/>
          <w:highlight w:val="none"/>
        </w:rPr>
        <w:t>供应商的响应文件作无效处理。</w:t>
      </w:r>
    </w:p>
    <w:p w14:paraId="11F8539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188BE35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17.磋商保证金</w:t>
      </w:r>
    </w:p>
    <w:p w14:paraId="6F0BCA42">
      <w:pPr>
        <w:spacing w:line="360" w:lineRule="auto"/>
        <w:ind w:left="420"/>
        <w:rPr>
          <w:rFonts w:hint="eastAsia" w:ascii="宋体" w:hAnsi="宋体" w:cs="宋体"/>
          <w:color w:val="auto"/>
          <w:szCs w:val="21"/>
          <w:highlight w:val="none"/>
        </w:rPr>
      </w:pPr>
      <w:bookmarkStart w:id="36" w:name="_Hlk66782243"/>
      <w:r>
        <w:rPr>
          <w:rFonts w:hint="eastAsia" w:ascii="宋体" w:hAnsi="宋体" w:cs="宋体"/>
          <w:color w:val="auto"/>
          <w:szCs w:val="21"/>
          <w:highlight w:val="none"/>
        </w:rPr>
        <w:t>本项目不收取磋商保证金</w:t>
      </w:r>
      <w:bookmarkEnd w:id="36"/>
      <w:r>
        <w:rPr>
          <w:rFonts w:hint="eastAsia" w:ascii="宋体" w:hAnsi="宋体" w:cs="宋体"/>
          <w:color w:val="auto"/>
          <w:szCs w:val="21"/>
          <w:highlight w:val="none"/>
        </w:rPr>
        <w:t>。</w:t>
      </w:r>
    </w:p>
    <w:p w14:paraId="0B0B3D5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18.响应文件编制的要求</w:t>
      </w:r>
    </w:p>
    <w:p w14:paraId="10B9852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18.1供应商应按照本项目磋商文件规定的格式和顺序和广西政府采购云平台的要求编制响应文件并加密。响应文件内容不完整、编排混乱导致响应文件被误读、漏读或者查找不到相关内容的，由此引发的后果由供应商承担。</w:t>
      </w:r>
    </w:p>
    <w:p w14:paraId="4B5BAB4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18.2为确保网上操作合法、有效和安全，供应商应当在提交响应文件截止时间前完成在广西政府采购云平台的身份认证，确保在电子竞标过程中能够对相关数据电文进行加密和使用电子签章。</w:t>
      </w:r>
    </w:p>
    <w:p w14:paraId="3A71EB96">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18.3响应文件须由供应商在规定位置签字、盖章（具体以供应商须知前附表或响应文件格式规定为准），</w:t>
      </w:r>
      <w:r>
        <w:rPr>
          <w:rFonts w:hint="eastAsia" w:ascii="宋体" w:hAnsi="宋体" w:cs="宋体"/>
          <w:b/>
          <w:bCs/>
          <w:color w:val="auto"/>
          <w:szCs w:val="21"/>
          <w:highlight w:val="none"/>
        </w:rPr>
        <w:t>否则按无效响应处理。</w:t>
      </w:r>
    </w:p>
    <w:p w14:paraId="0C80D31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18.4响应文件中标注的供应商名称应与主体资格证明（如营业执照或者事业单位法人证书或者执业许可证或者登记证书等）及公章一致，</w:t>
      </w:r>
      <w:r>
        <w:rPr>
          <w:rFonts w:hint="eastAsia" w:ascii="宋体" w:hAnsi="宋体"/>
          <w:b/>
          <w:color w:val="auto"/>
          <w:szCs w:val="21"/>
          <w:highlight w:val="none"/>
        </w:rPr>
        <w:t>并与广西政府采购云平台中获取采购文件的供应商名称一致，</w:t>
      </w:r>
      <w:r>
        <w:rPr>
          <w:rFonts w:hint="eastAsia" w:ascii="宋体" w:hAnsi="宋体" w:cs="宋体"/>
          <w:color w:val="auto"/>
          <w:szCs w:val="21"/>
          <w:highlight w:val="none"/>
        </w:rPr>
        <w:t>供应商为自然人的，标注的供应商名称应与身份证姓名及签名一致，</w:t>
      </w:r>
      <w:r>
        <w:rPr>
          <w:rFonts w:hint="eastAsia" w:ascii="宋体" w:hAnsi="宋体" w:cs="宋体"/>
          <w:b/>
          <w:bCs/>
          <w:color w:val="auto"/>
          <w:szCs w:val="21"/>
          <w:highlight w:val="none"/>
        </w:rPr>
        <w:t>否则其响应文件按无效响应处理。</w:t>
      </w:r>
    </w:p>
    <w:p w14:paraId="682D7CC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361B829A">
      <w:pPr>
        <w:spacing w:line="360" w:lineRule="auto"/>
        <w:ind w:firstLine="482"/>
        <w:rPr>
          <w:rFonts w:hint="eastAsia" w:ascii="宋体" w:hAnsi="宋体" w:cs="宋体"/>
          <w:color w:val="auto"/>
          <w:sz w:val="24"/>
          <w:highlight w:val="none"/>
        </w:rPr>
      </w:pPr>
      <w:r>
        <w:rPr>
          <w:rFonts w:hint="eastAsia" w:ascii="宋体" w:hAnsi="宋体" w:cs="宋体"/>
          <w:b/>
          <w:bCs/>
          <w:color w:val="auto"/>
          <w:sz w:val="24"/>
          <w:highlight w:val="none"/>
        </w:rPr>
        <w:t>19.电子</w:t>
      </w:r>
      <w:r>
        <w:rPr>
          <w:rFonts w:hint="eastAsia" w:ascii="宋体" w:hAnsi="宋体" w:cs="宋体"/>
          <w:b/>
          <w:color w:val="auto"/>
          <w:sz w:val="24"/>
          <w:highlight w:val="none"/>
        </w:rPr>
        <w:t>备份响应文件</w:t>
      </w:r>
    </w:p>
    <w:p w14:paraId="32396819">
      <w:pPr>
        <w:spacing w:line="360" w:lineRule="auto"/>
        <w:ind w:firstLine="420"/>
        <w:rPr>
          <w:rFonts w:hint="eastAsia" w:ascii="宋体" w:hAnsi="宋体" w:cs="宋体"/>
          <w:color w:val="auto"/>
          <w:szCs w:val="21"/>
          <w:highlight w:val="none"/>
        </w:rPr>
      </w:pPr>
      <w:r>
        <w:rPr>
          <w:rFonts w:hint="eastAsia" w:ascii="宋体" w:hAnsi="宋体" w:cs="宋体"/>
          <w:bCs/>
          <w:color w:val="auto"/>
          <w:szCs w:val="21"/>
          <w:highlight w:val="none"/>
        </w:rPr>
        <w:t>电子备份响应文件是指通过在线编制生成且后缀名为“bfbs”的文件，是否接受电子备份响应文件详见“供应商须知前附表”。</w:t>
      </w:r>
    </w:p>
    <w:p w14:paraId="36DD9DF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20.响应文件的提交</w:t>
      </w:r>
    </w:p>
    <w:p w14:paraId="181FA2BC">
      <w:pPr>
        <w:spacing w:line="360" w:lineRule="auto"/>
        <w:ind w:firstLine="420"/>
        <w:rPr>
          <w:rFonts w:hint="eastAsia" w:ascii="宋体" w:hAnsi="宋体" w:cs="宋体"/>
          <w:b/>
          <w:color w:val="auto"/>
          <w:highlight w:val="none"/>
        </w:rPr>
      </w:pPr>
      <w:r>
        <w:rPr>
          <w:rFonts w:hint="eastAsia" w:ascii="宋体" w:hAnsi="宋体" w:cs="宋体"/>
          <w:bCs/>
          <w:color w:val="auto"/>
          <w:szCs w:val="21"/>
          <w:highlight w:val="none"/>
        </w:rPr>
        <w:t>20.1供应商必须按“供应商须知前附表”规定的</w:t>
      </w:r>
      <w:r>
        <w:rPr>
          <w:rFonts w:hint="eastAsia" w:ascii="宋体" w:hAnsi="宋体" w:cs="宋体"/>
          <w:color w:val="auto"/>
          <w:szCs w:val="21"/>
          <w:highlight w:val="none"/>
        </w:rPr>
        <w:t>时间及</w:t>
      </w:r>
      <w:r>
        <w:rPr>
          <w:rFonts w:hint="eastAsia" w:ascii="宋体" w:hAnsi="宋体" w:cs="宋体"/>
          <w:bCs/>
          <w:color w:val="auto"/>
          <w:szCs w:val="21"/>
          <w:highlight w:val="none"/>
        </w:rPr>
        <w:t>地点提交响应文件。电子响应文件应在制作完成后，在提交响应文件截止时间前通过有效数字证书（CA认证锁）进行电子签章、加密，然后通过网络将加密的电子响应文件提交至</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 xml:space="preserve">。 </w:t>
      </w:r>
      <w:r>
        <w:rPr>
          <w:rFonts w:hint="eastAsia" w:ascii="宋体" w:hAnsi="宋体" w:cs="宋体"/>
          <w:b/>
          <w:color w:val="auto"/>
          <w:highlight w:val="none"/>
        </w:rPr>
        <w:t xml:space="preserve"> </w:t>
      </w:r>
    </w:p>
    <w:p w14:paraId="26836313">
      <w:pPr>
        <w:spacing w:line="360" w:lineRule="auto"/>
        <w:ind w:firstLine="422"/>
        <w:rPr>
          <w:rFonts w:hint="eastAsia" w:ascii="宋体" w:hAnsi="宋体" w:cs="宋体"/>
          <w:color w:val="auto"/>
          <w:szCs w:val="21"/>
          <w:highlight w:val="none"/>
        </w:rPr>
      </w:pPr>
      <w:r>
        <w:rPr>
          <w:rFonts w:hint="eastAsia" w:ascii="宋体" w:hAnsi="宋体" w:cs="宋体"/>
          <w:b/>
          <w:color w:val="auto"/>
          <w:szCs w:val="21"/>
          <w:highlight w:val="none"/>
        </w:rPr>
        <w:t>20.2未在规定时间内提交或者未按照磋商文件要求加密的电子响应文件，广西政府采购云平台将拒收。</w:t>
      </w:r>
    </w:p>
    <w:p w14:paraId="01A8DEAF">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21.首次响应文件的补充、修改与撤回</w:t>
      </w:r>
    </w:p>
    <w:p w14:paraId="1C8A37B8">
      <w:pPr>
        <w:spacing w:line="360" w:lineRule="auto"/>
        <w:ind w:firstLine="420"/>
        <w:jc w:val="left"/>
        <w:rPr>
          <w:rFonts w:hint="eastAsia" w:ascii="宋体" w:hAnsi="宋体" w:cs="宋体"/>
          <w:color w:val="auto"/>
          <w:szCs w:val="21"/>
          <w:highlight w:val="none"/>
        </w:rPr>
      </w:pPr>
      <w:bookmarkStart w:id="37" w:name="_Toc254970543"/>
      <w:bookmarkStart w:id="38" w:name="_Toc254970684"/>
      <w:r>
        <w:rPr>
          <w:rFonts w:hint="eastAsia" w:ascii="宋体" w:hAnsi="宋体" w:cs="宋体"/>
          <w:color w:val="auto"/>
          <w:szCs w:val="21"/>
          <w:highlight w:val="none"/>
        </w:rPr>
        <w:t>21.1</w:t>
      </w:r>
      <w:r>
        <w:rPr>
          <w:rFonts w:hint="eastAsia" w:ascii="宋体" w:hAnsi="宋体" w:cs="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将予以拒收。</w:t>
      </w:r>
      <w:r>
        <w:rPr>
          <w:rFonts w:hint="eastAsia" w:ascii="宋体" w:hAnsi="宋体" w:cs="宋体"/>
          <w:color w:val="auto"/>
          <w:szCs w:val="21"/>
          <w:highlight w:val="none"/>
        </w:rPr>
        <w:t>（补充、修改或者撤回方式可登录广西政府采购云平台，进入“服务中心”中查看 “电子</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制作与投送教程”）</w:t>
      </w:r>
      <w:bookmarkEnd w:id="37"/>
      <w:bookmarkEnd w:id="38"/>
    </w:p>
    <w:p w14:paraId="236AD39B">
      <w:pPr>
        <w:pStyle w:val="302"/>
        <w:spacing w:before="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21.2在提交响应文件截止时间前，除供应商补充、修改或者撤回响应文件外，任何单位和个人不得解密或提取响应文件。</w:t>
      </w:r>
    </w:p>
    <w:p w14:paraId="7D98AD51">
      <w:pPr>
        <w:spacing w:line="360" w:lineRule="auto"/>
        <w:ind w:firstLine="482"/>
        <w:rPr>
          <w:rFonts w:hint="eastAsia" w:ascii="宋体" w:hAnsi="宋体" w:cs="宋体"/>
          <w:b/>
          <w:bCs/>
          <w:color w:val="auto"/>
          <w:sz w:val="24"/>
          <w:highlight w:val="none"/>
        </w:rPr>
      </w:pPr>
      <w:bookmarkStart w:id="39" w:name="_Hlk45702405"/>
      <w:r>
        <w:rPr>
          <w:rFonts w:hint="eastAsia" w:ascii="宋体" w:hAnsi="宋体" w:cs="宋体"/>
          <w:b/>
          <w:bCs/>
          <w:color w:val="auto"/>
          <w:sz w:val="24"/>
          <w:highlight w:val="none"/>
        </w:rPr>
        <w:t>22.响应文件的退回</w:t>
      </w:r>
    </w:p>
    <w:p w14:paraId="4A6E32A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3E259081">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23.截止时间后的撤回</w:t>
      </w:r>
    </w:p>
    <w:p w14:paraId="35580F93">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供应商在首次电子响应文件提交截止时间后向采购人、采购代理机构书面申请撤回电子响应文件的，除此之外采购人和采购代理机构对已开启的电子响应文件概不退回</w:t>
      </w:r>
      <w:r>
        <w:rPr>
          <w:rFonts w:hint="eastAsia" w:ascii="宋体" w:hAnsi="宋体" w:cs="宋体"/>
          <w:color w:val="auto"/>
          <w:szCs w:val="21"/>
          <w:highlight w:val="none"/>
        </w:rPr>
        <w:t>。</w:t>
      </w:r>
      <w:bookmarkEnd w:id="39"/>
    </w:p>
    <w:p w14:paraId="63165D57">
      <w:pPr>
        <w:spacing w:line="360" w:lineRule="auto"/>
        <w:rPr>
          <w:rFonts w:hint="eastAsia" w:ascii="宋体" w:hAnsi="宋体" w:cs="宋体"/>
          <w:color w:val="auto"/>
          <w:szCs w:val="21"/>
          <w:highlight w:val="none"/>
        </w:rPr>
      </w:pPr>
    </w:p>
    <w:p w14:paraId="21EE759C">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四、评审及磋商</w:t>
      </w:r>
    </w:p>
    <w:p w14:paraId="79A5C657">
      <w:pPr>
        <w:spacing w:line="360" w:lineRule="auto"/>
        <w:ind w:left="420" w:firstLine="420"/>
        <w:rPr>
          <w:rFonts w:hint="eastAsia" w:ascii="宋体" w:hAnsi="宋体" w:cs="宋体"/>
          <w:color w:val="auto"/>
          <w:szCs w:val="21"/>
          <w:highlight w:val="none"/>
        </w:rPr>
      </w:pPr>
    </w:p>
    <w:p w14:paraId="2FC4DD3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24.磋商小组成立</w:t>
      </w:r>
    </w:p>
    <w:p w14:paraId="3C9EA8E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及以上单数组成。</w:t>
      </w:r>
    </w:p>
    <w:p w14:paraId="1178F52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18D0758">
      <w:pPr>
        <w:spacing w:line="360" w:lineRule="auto"/>
        <w:ind w:firstLine="420"/>
        <w:rPr>
          <w:rFonts w:hint="eastAsia" w:hAnsi="宋体"/>
          <w:bCs/>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基于广西政府采购云平台</w:t>
      </w:r>
      <w:r>
        <w:rPr>
          <w:rFonts w:hint="eastAsia" w:hAnsi="宋体"/>
          <w:bCs/>
          <w:color w:val="auto"/>
          <w:highlight w:val="none"/>
        </w:rPr>
        <w:t>抽（选）取</w:t>
      </w:r>
      <w:r>
        <w:rPr>
          <w:rFonts w:hint="eastAsia" w:hAnsi="宋体"/>
          <w:bCs/>
          <w:color w:val="auto"/>
          <w:szCs w:val="21"/>
          <w:highlight w:val="none"/>
        </w:rPr>
        <w:t>评审专家。</w:t>
      </w:r>
    </w:p>
    <w:p w14:paraId="7896994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24.4参加过采购项目前期咨询论证的专家，不得参加该采购项目的评审活动。</w:t>
      </w:r>
    </w:p>
    <w:p w14:paraId="06BB2166">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25.首次响应文件的开启和解密</w:t>
      </w:r>
    </w:p>
    <w:p w14:paraId="47472AFF">
      <w:pPr>
        <w:spacing w:line="360" w:lineRule="auto"/>
        <w:ind w:firstLine="420"/>
        <w:rPr>
          <w:rFonts w:hint="eastAsia" w:ascii="宋体" w:hAnsi="宋体" w:cs="宋体"/>
          <w:color w:val="auto"/>
          <w:szCs w:val="21"/>
          <w:highlight w:val="none"/>
        </w:rPr>
      </w:pPr>
      <w:r>
        <w:rPr>
          <w:rFonts w:hint="eastAsia" w:hAnsi="宋体"/>
          <w:bCs/>
          <w:color w:val="auto"/>
          <w:highlight w:val="none"/>
        </w:rPr>
        <w:t>采购代理机构将在“供应商须知前附表”规定的时</w:t>
      </w:r>
      <w:r>
        <w:rPr>
          <w:rFonts w:hint="eastAsia" w:hAnsi="宋体"/>
          <w:color w:val="auto"/>
          <w:highlight w:val="none"/>
        </w:rPr>
        <w:t>间通过电子交易平台组织响应文件开启，供应商的法定代表人或其委托代理人须携带加密时所用的CA锁，按平台提示和磋商文件的规定登录到广西政府采购云平台电子开标大厅签到，</w:t>
      </w:r>
      <w:r>
        <w:rPr>
          <w:rFonts w:hint="eastAsia"/>
          <w:color w:val="auto"/>
          <w:highlight w:val="none"/>
        </w:rPr>
        <w:t>采购代理机构依托广西政府采购云平台向各供应商发出电子加密响应文件【开始解密】通知，由供应商按</w:t>
      </w:r>
      <w:r>
        <w:rPr>
          <w:rFonts w:hint="eastAsia" w:hAnsi="宋体"/>
          <w:bCs/>
          <w:color w:val="auto"/>
          <w:szCs w:val="21"/>
          <w:highlight w:val="none"/>
        </w:rPr>
        <w:t>“供应商须知前附表”</w:t>
      </w:r>
      <w:r>
        <w:rPr>
          <w:rFonts w:hint="eastAsia"/>
          <w:color w:val="auto"/>
          <w:highlight w:val="none"/>
        </w:rPr>
        <w:t>规定的时间内自行进行响应文件解密</w:t>
      </w:r>
      <w:r>
        <w:rPr>
          <w:rFonts w:hint="eastAsia" w:hAnsi="宋体"/>
          <w:color w:val="auto"/>
          <w:highlight w:val="none"/>
        </w:rPr>
        <w:t>。</w:t>
      </w:r>
      <w:r>
        <w:rPr>
          <w:rFonts w:hint="eastAsia"/>
          <w:b/>
          <w:color w:val="auto"/>
          <w:highlight w:val="none"/>
        </w:rPr>
        <w:t>供应商未在</w:t>
      </w:r>
      <w:r>
        <w:rPr>
          <w:b/>
          <w:color w:val="auto"/>
          <w:highlight w:val="none"/>
        </w:rPr>
        <w:t>规定的时间内解密</w:t>
      </w:r>
      <w:r>
        <w:rPr>
          <w:rFonts w:hint="eastAsia"/>
          <w:b/>
          <w:color w:val="auto"/>
          <w:highlight w:val="none"/>
        </w:rPr>
        <w:t>响应文件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，供应商</w:t>
      </w:r>
      <w:r>
        <w:rPr>
          <w:rFonts w:hint="eastAsia" w:ascii="宋体" w:hAnsi="宋体"/>
          <w:b/>
          <w:color w:val="auto"/>
          <w:szCs w:val="21"/>
          <w:highlight w:val="none"/>
        </w:rPr>
        <w:t>的响应文件作无效处理</w:t>
      </w:r>
      <w:r>
        <w:rPr>
          <w:rFonts w:hint="eastAsia" w:ascii="宋体" w:hAnsi="宋体" w:cs="宋体"/>
          <w:b/>
          <w:color w:val="auto"/>
          <w:highlight w:val="none"/>
        </w:rPr>
        <w:t>。</w:t>
      </w:r>
    </w:p>
    <w:p w14:paraId="12975D38">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26.评审程序、评审方法和评审标准</w:t>
      </w:r>
    </w:p>
    <w:p w14:paraId="2DC0030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26.1本项目的评审方法为综合评分法。</w:t>
      </w:r>
    </w:p>
    <w:p w14:paraId="75AA664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26.2磋商小组按照“第四章 评审程序、评审方法和评审标准”规定的方法、评审因素、标准和程序对响应文件进行评审。</w:t>
      </w:r>
    </w:p>
    <w:p w14:paraId="230CCFF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26.3 商务/技术要求允许负偏离的条款数详见“供应商须知前附表”。</w:t>
      </w:r>
    </w:p>
    <w:p w14:paraId="2EFF3C3E">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26.4磋商小组成员要依法独立评审，并对评审意见承担个人责任。磋商小组成员对需要共同认定的事项存在争议的，按照少数服从多数的原则作出结论。持不同意见的磋商小组成员应当在评审报告上签署不同意见并说明理由，否则视为同意。</w:t>
      </w:r>
    </w:p>
    <w:p w14:paraId="53EB4077">
      <w:pPr>
        <w:spacing w:line="360" w:lineRule="auto"/>
        <w:ind w:firstLine="420"/>
        <w:rPr>
          <w:rFonts w:hint="eastAsia" w:ascii="宋体" w:hAnsi="宋体" w:cs="宋体"/>
          <w:color w:val="auto"/>
          <w:highlight w:val="none"/>
        </w:rPr>
      </w:pPr>
      <w:r>
        <w:rPr>
          <w:rFonts w:hint="eastAsia" w:ascii="宋体" w:hAnsi="宋体" w:cs="宋体"/>
          <w:color w:val="auto"/>
          <w:highlight w:val="none"/>
        </w:rPr>
        <w:t>26.5电子交易活动的</w:t>
      </w:r>
      <w:r>
        <w:rPr>
          <w:rFonts w:hint="eastAsia" w:ascii="宋体" w:hAnsi="宋体" w:cs="宋体"/>
          <w:color w:val="auto"/>
          <w:highlight w:val="none"/>
          <w:lang w:eastAsia="zh-CN"/>
        </w:rPr>
        <w:t>终止</w:t>
      </w:r>
      <w:r>
        <w:rPr>
          <w:rFonts w:hint="eastAsia" w:ascii="宋体" w:hAnsi="宋体" w:cs="宋体"/>
          <w:color w:val="auto"/>
          <w:highlight w:val="none"/>
        </w:rPr>
        <w:t>。采购过程中出现以下情形，导致电子交易平台无法正常运行，或者无法保证电子交易的公平、公正和安全时，采购机构可</w:t>
      </w:r>
      <w:r>
        <w:rPr>
          <w:rFonts w:hint="eastAsia" w:ascii="宋体" w:hAnsi="宋体" w:cs="宋体"/>
          <w:color w:val="auto"/>
          <w:highlight w:val="none"/>
          <w:lang w:eastAsia="zh-CN"/>
        </w:rPr>
        <w:t>终止</w:t>
      </w:r>
      <w:r>
        <w:rPr>
          <w:rFonts w:hint="eastAsia" w:ascii="宋体" w:hAnsi="宋体" w:cs="宋体"/>
          <w:color w:val="auto"/>
          <w:highlight w:val="none"/>
        </w:rPr>
        <w:t>电子交易活动：</w:t>
      </w:r>
    </w:p>
    <w:p w14:paraId="618BCDE8">
      <w:pPr>
        <w:spacing w:line="360" w:lineRule="auto"/>
        <w:ind w:firstLine="420"/>
        <w:rPr>
          <w:rFonts w:hint="eastAsia" w:ascii="宋体" w:hAnsi="宋体" w:cs="宋体"/>
          <w:color w:val="auto"/>
          <w:highlight w:val="none"/>
        </w:rPr>
      </w:pPr>
      <w:r>
        <w:rPr>
          <w:rFonts w:hint="eastAsia" w:ascii="宋体" w:hAnsi="宋体" w:cs="宋体"/>
          <w:color w:val="auto"/>
          <w:highlight w:val="none"/>
        </w:rPr>
        <w:t xml:space="preserve">（1）电子交易平台发生故障而无法登录访问的； </w:t>
      </w:r>
    </w:p>
    <w:p w14:paraId="53B2F85B">
      <w:pPr>
        <w:spacing w:line="360" w:lineRule="auto"/>
        <w:ind w:firstLine="420"/>
        <w:rPr>
          <w:rFonts w:hint="eastAsia"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577CB49F">
      <w:pPr>
        <w:spacing w:line="360" w:lineRule="auto"/>
        <w:ind w:firstLine="420"/>
        <w:rPr>
          <w:rFonts w:hint="eastAsia"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667E5C14">
      <w:pPr>
        <w:spacing w:line="360" w:lineRule="auto"/>
        <w:ind w:firstLine="420"/>
        <w:rPr>
          <w:rFonts w:hint="eastAsia" w:ascii="宋体" w:hAnsi="宋体" w:cs="宋体"/>
          <w:color w:val="auto"/>
          <w:highlight w:val="none"/>
        </w:rPr>
      </w:pPr>
      <w:r>
        <w:rPr>
          <w:rFonts w:hint="eastAsia" w:ascii="宋体" w:hAnsi="宋体" w:cs="宋体"/>
          <w:color w:val="auto"/>
          <w:highlight w:val="none"/>
        </w:rPr>
        <w:t xml:space="preserve">（4）病毒发作导致不能进行正常操作的； </w:t>
      </w:r>
    </w:p>
    <w:p w14:paraId="39C231A4">
      <w:pPr>
        <w:spacing w:line="360" w:lineRule="auto"/>
        <w:ind w:firstLine="420"/>
        <w:rPr>
          <w:rFonts w:hint="eastAsia" w:ascii="宋体" w:hAnsi="宋体" w:cs="宋体"/>
          <w:color w:val="auto"/>
          <w:highlight w:val="none"/>
        </w:rPr>
      </w:pPr>
      <w:r>
        <w:rPr>
          <w:rFonts w:hint="eastAsia" w:ascii="宋体" w:hAnsi="宋体" w:cs="宋体"/>
          <w:color w:val="auto"/>
          <w:highlight w:val="none"/>
        </w:rPr>
        <w:t>（5）其他无法保证电子交易的公平、公正和安全的情况。</w:t>
      </w:r>
    </w:p>
    <w:p w14:paraId="33021E9B">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26.6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08BF46EF">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27.确定成交供应商及结果公告</w:t>
      </w:r>
    </w:p>
    <w:p w14:paraId="2BE914C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27.1 采购代理机构应当在评审结束后2个工作日内将评审报告送采购人确认。采购人应当在收到评审报告后</w:t>
      </w:r>
      <w:r>
        <w:rPr>
          <w:rFonts w:hint="eastAsia" w:ascii="宋体" w:hAnsi="宋体" w:cs="宋体"/>
          <w:b/>
          <w:bCs/>
          <w:color w:val="auto"/>
          <w:szCs w:val="21"/>
          <w:highlight w:val="none"/>
        </w:rPr>
        <w:t>2个工作日</w:t>
      </w:r>
      <w:r>
        <w:rPr>
          <w:rFonts w:hint="eastAsia" w:ascii="宋体" w:hAnsi="宋体" w:cs="宋体"/>
          <w:color w:val="auto"/>
          <w:szCs w:val="21"/>
          <w:highlight w:val="none"/>
        </w:rPr>
        <w:t>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6EC451C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40" w:name="_Hlk66782294"/>
      <w:r>
        <w:rPr>
          <w:rFonts w:hint="eastAsia" w:ascii="宋体" w:hAnsi="宋体" w:cs="宋体"/>
          <w:color w:val="auto"/>
          <w:szCs w:val="21"/>
          <w:highlight w:val="none"/>
        </w:rPr>
        <w:t>成交供应商享受《政府采购促进中小企业发展管理办法》（财库〔2020〕46号）规定的中小企业扶持政策的，采购人、采购代理机构应当随成交结果公开成交供应商的《中小企业声明函》。</w:t>
      </w:r>
      <w:bookmarkEnd w:id="40"/>
    </w:p>
    <w:p w14:paraId="207CA60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27.3出现下列情形之一的，采购人或者采购代理机构应当终止竞争性磋商采购活动，发布项目终止公告并说明原因，重新开展采购活动：</w:t>
      </w:r>
    </w:p>
    <w:p w14:paraId="1092F69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（1）因情况变化，不再符合规定的竞争性磋商采购方式适用情形的；</w:t>
      </w:r>
    </w:p>
    <w:p w14:paraId="10F8F0C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（2）出现影响采购公正的违法、违规行为的；</w:t>
      </w:r>
    </w:p>
    <w:p w14:paraId="7F2CA43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（3）除“第四章 评审程序、评审方法和评审标准”第4.3条规定的情形外，在采购过程中符合要求的供应商或者报价未超过采购预算的供应商不足3家的。</w:t>
      </w:r>
    </w:p>
    <w:p w14:paraId="52BE127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27.4 在采购活动中因重大变故，采购任务取消的，采购人或者采购代理机构应当终止采购活动，通知所有参加采购活动的供应商，并将项目实施情况和采购任务取消原因报送本级财政部门。</w:t>
      </w:r>
    </w:p>
    <w:p w14:paraId="1118E641">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28.履约保证金</w:t>
      </w:r>
    </w:p>
    <w:p w14:paraId="5292172E">
      <w:pPr>
        <w:spacing w:line="360" w:lineRule="auto"/>
        <w:ind w:firstLine="420"/>
        <w:rPr>
          <w:rFonts w:hint="eastAsia" w:ascii="宋体" w:hAnsi="宋体" w:cs="宋体"/>
          <w:color w:val="auto"/>
          <w:highlight w:val="none"/>
        </w:rPr>
      </w:pPr>
      <w:r>
        <w:rPr>
          <w:rFonts w:hint="eastAsia" w:ascii="宋体" w:hAnsi="宋体" w:cs="宋体"/>
          <w:color w:val="auto"/>
          <w:highlight w:val="none"/>
        </w:rPr>
        <w:t>履约保证金金额：</w:t>
      </w:r>
      <w:r>
        <w:rPr>
          <w:rFonts w:hint="eastAsia" w:ascii="宋体" w:hAnsi="宋体" w:cs="宋体"/>
          <w:color w:val="auto"/>
          <w:highlight w:val="none"/>
          <w:lang w:eastAsia="zh-CN"/>
        </w:rPr>
        <w:t>详见采购文件前附表</w:t>
      </w:r>
      <w:r>
        <w:rPr>
          <w:rFonts w:hint="eastAsia" w:ascii="宋体" w:hAnsi="宋体" w:cs="宋体"/>
          <w:color w:val="auto"/>
          <w:highlight w:val="none"/>
        </w:rPr>
        <w:t>。</w:t>
      </w:r>
    </w:p>
    <w:p w14:paraId="4D4569A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29.签订合同</w:t>
      </w:r>
    </w:p>
    <w:p w14:paraId="56B4FBCC">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08342675">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508C02EE">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7F8F978A">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5F68B0A5">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w:t>
      </w:r>
      <w:r>
        <w:rPr>
          <w:rFonts w:hint="eastAsia" w:ascii="宋体" w:hAnsi="宋体" w:cs="宋体"/>
          <w:color w:val="auto"/>
          <w:szCs w:val="21"/>
          <w:highlight w:val="none"/>
          <w:lang w:eastAsia="zh-CN"/>
        </w:rPr>
        <w:t>终止</w:t>
      </w:r>
      <w:r>
        <w:rPr>
          <w:rFonts w:hint="eastAsia" w:ascii="宋体" w:hAnsi="宋体" w:cs="宋体"/>
          <w:color w:val="auto"/>
          <w:szCs w:val="21"/>
          <w:highlight w:val="none"/>
        </w:rPr>
        <w:t>或终止合同。政府采购合同继续履行将损害国家利益和社会公共利益的，双方当事人应当变更、</w:t>
      </w:r>
      <w:r>
        <w:rPr>
          <w:rFonts w:hint="eastAsia" w:ascii="宋体" w:hAnsi="宋体" w:cs="宋体"/>
          <w:color w:val="auto"/>
          <w:szCs w:val="21"/>
          <w:highlight w:val="none"/>
          <w:lang w:eastAsia="zh-CN"/>
        </w:rPr>
        <w:t>终止</w:t>
      </w:r>
      <w:r>
        <w:rPr>
          <w:rFonts w:hint="eastAsia" w:ascii="宋体" w:hAnsi="宋体" w:cs="宋体"/>
          <w:color w:val="auto"/>
          <w:szCs w:val="21"/>
          <w:highlight w:val="none"/>
        </w:rPr>
        <w:t>或终止合同。有过错的一方应当承担赔偿责任，双方都有过错的，各自承担相应的责任。</w:t>
      </w:r>
    </w:p>
    <w:p w14:paraId="2A8BCEB2">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606B478F">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272A1FB2">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77ECB2AE">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30.政府采购合同公告</w:t>
      </w:r>
    </w:p>
    <w:p w14:paraId="07A4FB9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5CF51D46">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31. 询问、质疑和投诉</w:t>
      </w:r>
    </w:p>
    <w:p w14:paraId="231548A7">
      <w:pPr>
        <w:pStyle w:val="200"/>
        <w:spacing w:line="360" w:lineRule="auto"/>
        <w:rPr>
          <w:rFonts w:hint="eastAsia" w:ascii="宋体" w:hAnsi="宋体" w:cs="宋体"/>
          <w:color w:val="auto"/>
          <w:szCs w:val="21"/>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r>
        <w:rPr>
          <w:rFonts w:hint="eastAsia" w:ascii="宋体" w:hAnsi="宋体" w:cs="宋体"/>
          <w:color w:val="auto"/>
          <w:szCs w:val="21"/>
          <w:highlight w:val="none"/>
        </w:rPr>
        <w:t>但答复的内容不得涉及商业秘密</w:t>
      </w:r>
      <w:r>
        <w:rPr>
          <w:rFonts w:hint="eastAsia" w:ascii="宋体" w:hAnsi="宋体" w:cs="宋体"/>
          <w:color w:val="auto"/>
          <w:highlight w:val="none"/>
        </w:rPr>
        <w:t>。</w:t>
      </w:r>
    </w:p>
    <w:p w14:paraId="145FBD0F">
      <w:pPr>
        <w:spacing w:line="360" w:lineRule="auto"/>
        <w:ind w:firstLine="420"/>
        <w:rPr>
          <w:rFonts w:hint="eastAsia" w:ascii="宋体" w:hAnsi="宋体" w:cs="宋体"/>
          <w:color w:val="auto"/>
          <w:highlight w:val="none"/>
        </w:rPr>
      </w:pPr>
      <w:r>
        <w:rPr>
          <w:rFonts w:hint="eastAsia" w:ascii="宋体" w:hAnsi="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auto"/>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color w:val="auto"/>
          <w:highlight w:val="none"/>
        </w:rPr>
        <w:t>。具体质疑起算时间如下：</w:t>
      </w:r>
    </w:p>
    <w:p w14:paraId="1F9B789D">
      <w:pPr>
        <w:spacing w:line="360" w:lineRule="auto"/>
        <w:ind w:firstLine="420"/>
        <w:rPr>
          <w:rFonts w:hint="eastAsia" w:ascii="宋体" w:hAnsi="宋体" w:cs="宋体"/>
          <w:color w:val="auto"/>
          <w:highlight w:val="none"/>
        </w:rPr>
      </w:pPr>
      <w:r>
        <w:rPr>
          <w:rFonts w:hint="eastAsia" w:ascii="宋体" w:hAnsi="宋体" w:cs="宋体"/>
          <w:color w:val="auto"/>
          <w:highlight w:val="none"/>
        </w:rPr>
        <w:t>（1）对可以质疑的磋商文件提出质疑的，为收到磋商文件之日或者竞争性磋商公告期限届满之日；</w:t>
      </w:r>
    </w:p>
    <w:p w14:paraId="2536A876">
      <w:pPr>
        <w:spacing w:line="360" w:lineRule="auto"/>
        <w:ind w:firstLine="420"/>
        <w:rPr>
          <w:rFonts w:hint="eastAsia"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41B708FA">
      <w:pPr>
        <w:spacing w:line="360" w:lineRule="auto"/>
        <w:ind w:firstLine="420"/>
        <w:rPr>
          <w:rFonts w:hint="eastAsia"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0D9DFB1A">
      <w:pPr>
        <w:spacing w:line="360" w:lineRule="auto"/>
        <w:ind w:firstLine="420"/>
        <w:rPr>
          <w:rFonts w:hint="eastAsia"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4DB32FD1">
      <w:pPr>
        <w:spacing w:line="360" w:lineRule="auto"/>
        <w:ind w:firstLine="420"/>
        <w:rPr>
          <w:rFonts w:hint="eastAsia" w:ascii="宋体" w:hAnsi="宋体" w:cs="宋体"/>
          <w:color w:val="auto"/>
          <w:highlight w:val="none"/>
        </w:rPr>
      </w:pPr>
      <w:r>
        <w:rPr>
          <w:rFonts w:hint="eastAsia" w:ascii="宋体" w:hAnsi="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auto"/>
          <w:highlight w:val="none"/>
        </w:rPr>
        <w:t>（质疑函格式后附）</w:t>
      </w:r>
      <w:r>
        <w:rPr>
          <w:rFonts w:hint="eastAsia" w:ascii="宋体" w:hAnsi="宋体" w:cs="宋体"/>
          <w:color w:val="auto"/>
          <w:highlight w:val="none"/>
        </w:rPr>
        <w:t>：</w:t>
      </w:r>
    </w:p>
    <w:p w14:paraId="7E544FFA">
      <w:pPr>
        <w:spacing w:line="360" w:lineRule="auto"/>
        <w:ind w:firstLine="420"/>
        <w:rPr>
          <w:rFonts w:hint="eastAsia"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3FD07B45">
      <w:pPr>
        <w:spacing w:line="360" w:lineRule="auto"/>
        <w:ind w:firstLine="420"/>
        <w:rPr>
          <w:rFonts w:hint="eastAsia" w:ascii="宋体" w:hAnsi="宋体" w:cs="宋体"/>
          <w:color w:val="auto"/>
          <w:highlight w:val="none"/>
        </w:rPr>
      </w:pPr>
      <w:r>
        <w:rPr>
          <w:rFonts w:hint="eastAsia" w:ascii="宋体" w:hAnsi="宋体" w:cs="宋体"/>
          <w:color w:val="auto"/>
          <w:highlight w:val="none"/>
        </w:rPr>
        <w:t>（2）质疑项目的名称、编号；</w:t>
      </w:r>
    </w:p>
    <w:p w14:paraId="7846E891">
      <w:pPr>
        <w:spacing w:line="360" w:lineRule="auto"/>
        <w:ind w:firstLine="420"/>
        <w:rPr>
          <w:rFonts w:hint="eastAsia" w:ascii="宋体" w:hAnsi="宋体" w:cs="宋体"/>
          <w:color w:val="auto"/>
          <w:highlight w:val="none"/>
        </w:rPr>
      </w:pPr>
      <w:r>
        <w:rPr>
          <w:rFonts w:hint="eastAsia" w:ascii="宋体" w:hAnsi="宋体" w:cs="宋体"/>
          <w:color w:val="auto"/>
          <w:highlight w:val="none"/>
        </w:rPr>
        <w:t>（3）具体、明确的质疑事项和与质疑事项相关的请求；</w:t>
      </w:r>
    </w:p>
    <w:p w14:paraId="5B55AF5A">
      <w:pPr>
        <w:spacing w:line="360" w:lineRule="auto"/>
        <w:ind w:firstLine="420"/>
        <w:rPr>
          <w:rFonts w:hint="eastAsia" w:ascii="宋体" w:hAnsi="宋体" w:cs="宋体"/>
          <w:color w:val="auto"/>
          <w:highlight w:val="none"/>
        </w:rPr>
      </w:pPr>
      <w:r>
        <w:rPr>
          <w:rFonts w:hint="eastAsia" w:ascii="宋体" w:hAnsi="宋体" w:cs="宋体"/>
          <w:color w:val="auto"/>
          <w:highlight w:val="none"/>
        </w:rPr>
        <w:t>（4）事实依据；</w:t>
      </w:r>
    </w:p>
    <w:p w14:paraId="4CF14FF1">
      <w:pPr>
        <w:spacing w:line="360" w:lineRule="auto"/>
        <w:ind w:firstLine="420"/>
        <w:rPr>
          <w:rFonts w:hint="eastAsia" w:ascii="宋体" w:hAnsi="宋体" w:cs="宋体"/>
          <w:color w:val="auto"/>
          <w:highlight w:val="none"/>
        </w:rPr>
      </w:pPr>
      <w:r>
        <w:rPr>
          <w:rFonts w:hint="eastAsia" w:ascii="宋体" w:hAnsi="宋体" w:cs="宋体"/>
          <w:color w:val="auto"/>
          <w:highlight w:val="none"/>
        </w:rPr>
        <w:t>（5）必要的法律依据；</w:t>
      </w:r>
    </w:p>
    <w:p w14:paraId="53DE74A9">
      <w:pPr>
        <w:spacing w:line="360" w:lineRule="auto"/>
        <w:ind w:firstLine="420"/>
        <w:rPr>
          <w:rFonts w:hint="eastAsia" w:ascii="宋体" w:hAnsi="宋体" w:cs="宋体"/>
          <w:color w:val="auto"/>
          <w:highlight w:val="none"/>
        </w:rPr>
      </w:pPr>
      <w:r>
        <w:rPr>
          <w:rFonts w:hint="eastAsia" w:ascii="宋体" w:hAnsi="宋体" w:cs="宋体"/>
          <w:color w:val="auto"/>
          <w:highlight w:val="none"/>
        </w:rPr>
        <w:t>（6）提出质疑的日期。</w:t>
      </w:r>
    </w:p>
    <w:p w14:paraId="6FFB476F">
      <w:pPr>
        <w:spacing w:line="360" w:lineRule="auto"/>
        <w:ind w:firstLine="420"/>
        <w:rPr>
          <w:rFonts w:hint="eastAsia"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2D8E2B6C">
      <w:pPr>
        <w:spacing w:line="360" w:lineRule="auto"/>
        <w:ind w:firstLine="420"/>
        <w:rPr>
          <w:rFonts w:hint="eastAsia"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67CB371E">
      <w:pPr>
        <w:spacing w:line="360" w:lineRule="auto"/>
        <w:ind w:firstLine="420"/>
        <w:rPr>
          <w:rFonts w:hint="eastAsia"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720EB92B">
      <w:pPr>
        <w:spacing w:line="360" w:lineRule="auto"/>
        <w:ind w:firstLine="420"/>
        <w:rPr>
          <w:rFonts w:hint="eastAsia"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016A2CDA">
      <w:pPr>
        <w:spacing w:line="360" w:lineRule="auto"/>
        <w:ind w:firstLine="420"/>
        <w:rPr>
          <w:rFonts w:hint="eastAsia"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59E9CC48">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608E31A6">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32.其他内容</w:t>
      </w:r>
    </w:p>
    <w:p w14:paraId="0215D900">
      <w:pPr>
        <w:tabs>
          <w:tab w:val="left" w:pos="2835"/>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代理服务</w:t>
      </w:r>
      <w:r>
        <w:rPr>
          <w:rFonts w:hint="eastAsia" w:ascii="宋体" w:hAnsi="宋体" w:cs="宋体"/>
          <w:color w:val="auto"/>
          <w:szCs w:val="21"/>
          <w:highlight w:val="none"/>
          <w:lang w:eastAsia="zh-CN"/>
        </w:rPr>
        <w:t>费</w:t>
      </w:r>
      <w:r>
        <w:rPr>
          <w:rFonts w:hint="eastAsia" w:ascii="宋体" w:hAnsi="宋体" w:cs="宋体"/>
          <w:color w:val="auto"/>
          <w:szCs w:val="21"/>
          <w:highlight w:val="none"/>
        </w:rPr>
        <w:t>收取标准及缴费账户详见“供应商须知前附表”，供应商为联合体的，可以由联合体中的一方或者多方共同交纳代理服务费。</w:t>
      </w:r>
    </w:p>
    <w:p w14:paraId="59D8A51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33.需要补充的其他内容</w:t>
      </w:r>
    </w:p>
    <w:p w14:paraId="4B4DBE2C">
      <w:pPr>
        <w:pStyle w:val="222"/>
        <w:spacing w:line="360" w:lineRule="auto"/>
        <w:ind w:firstLine="420"/>
        <w:rPr>
          <w:rFonts w:hint="eastAsia"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3.1</w:t>
      </w:r>
      <w:r>
        <w:rPr>
          <w:rFonts w:hint="eastAsia" w:hAnsi="宋体" w:cs="宋体"/>
          <w:color w:val="auto"/>
          <w:sz w:val="21"/>
          <w:highlight w:val="none"/>
        </w:rPr>
        <w:t>本磋商文件解释规则详见“供应商须知前附表”。</w:t>
      </w:r>
    </w:p>
    <w:p w14:paraId="085915DA">
      <w:pPr>
        <w:pStyle w:val="222"/>
        <w:spacing w:line="360" w:lineRule="auto"/>
        <w:ind w:firstLine="420"/>
        <w:rPr>
          <w:rFonts w:hAnsi="宋体" w:cs="宋体"/>
          <w:color w:val="auto"/>
          <w:sz w:val="21"/>
          <w:highlight w:val="none"/>
        </w:rPr>
      </w:pPr>
      <w:r>
        <w:rPr>
          <w:rFonts w:hAnsi="宋体" w:cs="宋体"/>
          <w:color w:val="auto"/>
          <w:sz w:val="21"/>
          <w:highlight w:val="none"/>
        </w:rPr>
        <w:t>33.2</w:t>
      </w:r>
      <w:r>
        <w:rPr>
          <w:rFonts w:hint="eastAsia" w:hAnsi="宋体" w:cs="宋体"/>
          <w:color w:val="auto"/>
          <w:sz w:val="21"/>
          <w:highlight w:val="none"/>
        </w:rPr>
        <w:t xml:space="preserve"> 其他事项详见“供应商须知前附表”。</w:t>
      </w:r>
    </w:p>
    <w:p w14:paraId="75A0DA15">
      <w:pPr>
        <w:pStyle w:val="222"/>
        <w:spacing w:line="360" w:lineRule="auto"/>
        <w:ind w:firstLine="420"/>
        <w:rPr>
          <w:rFonts w:hint="eastAsia"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3.3</w:t>
      </w:r>
      <w:r>
        <w:rPr>
          <w:rFonts w:hint="eastAsia" w:hAnsi="宋体" w:cs="宋体"/>
          <w:color w:val="auto"/>
          <w:sz w:val="21"/>
          <w:highlight w:val="none"/>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5766DEE8">
      <w:pPr>
        <w:pStyle w:val="222"/>
        <w:spacing w:line="360" w:lineRule="auto"/>
        <w:ind w:firstLine="420"/>
        <w:contextualSpacing/>
        <w:rPr>
          <w:rFonts w:hint="eastAsia" w:hAnsi="宋体"/>
          <w:color w:val="auto"/>
          <w:sz w:val="21"/>
          <w:highlight w:val="none"/>
        </w:rPr>
      </w:pPr>
      <w:r>
        <w:rPr>
          <w:rFonts w:hint="eastAsia" w:hAnsi="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17B38469">
      <w:pPr>
        <w:pStyle w:val="222"/>
        <w:spacing w:line="360" w:lineRule="auto"/>
        <w:ind w:firstLine="420"/>
        <w:contextualSpacing/>
        <w:rPr>
          <w:rFonts w:hint="eastAsia" w:hAnsi="宋体"/>
          <w:color w:val="auto"/>
          <w:sz w:val="21"/>
          <w:highlight w:val="none"/>
        </w:rPr>
      </w:pPr>
      <w:r>
        <w:rPr>
          <w:rFonts w:hint="eastAsia" w:hAnsi="宋体"/>
          <w:color w:val="auto"/>
          <w:sz w:val="21"/>
          <w:highlight w:val="none"/>
        </w:rPr>
        <w:t>（2）在工程采购项目中，工程由中小企业承建，即工程施工单位为中小企业，不对其中涉及的货物的制造商和服务的承接商作出要求；</w:t>
      </w:r>
    </w:p>
    <w:p w14:paraId="48E17461">
      <w:pPr>
        <w:pStyle w:val="222"/>
        <w:spacing w:line="360" w:lineRule="auto"/>
        <w:ind w:firstLine="420"/>
        <w:contextualSpacing/>
        <w:rPr>
          <w:rFonts w:hint="eastAsia" w:hAnsi="宋体"/>
          <w:color w:val="auto"/>
          <w:sz w:val="21"/>
          <w:highlight w:val="none"/>
        </w:rPr>
      </w:pPr>
      <w:r>
        <w:rPr>
          <w:rFonts w:hint="eastAsia" w:hAnsi="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50264A8A">
      <w:pPr>
        <w:pStyle w:val="222"/>
        <w:spacing w:line="360" w:lineRule="auto"/>
        <w:ind w:firstLine="420"/>
        <w:rPr>
          <w:rFonts w:hint="eastAsia" w:hAnsi="宋体" w:cs="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22BAE907">
      <w:pPr>
        <w:spacing w:line="312" w:lineRule="auto"/>
        <w:ind w:firstLine="420"/>
        <w:rPr>
          <w:rFonts w:hint="eastAsia" w:ascii="宋体" w:hAnsi="宋体" w:cs="宋体"/>
          <w:color w:val="auto"/>
          <w:highlight w:val="none"/>
        </w:rPr>
      </w:pPr>
      <w:r>
        <w:rPr>
          <w:rFonts w:hint="eastAsia" w:hAnsi="宋体" w:cs="宋体"/>
          <w:color w:val="auto"/>
          <w:highlight w:val="none"/>
        </w:rPr>
        <w:t>依据本磋商文件规定享受扶持政策获得政府采购合同的，小微企业不得将合同分包给大中型企业，中型企业不得将合同分包给大型企业。</w:t>
      </w:r>
      <w:r>
        <w:rPr>
          <w:rFonts w:hint="eastAsia" w:ascii="宋体" w:hAnsi="宋体" w:cs="宋体"/>
          <w:b/>
          <w:color w:val="auto"/>
          <w:highlight w:val="none"/>
        </w:rPr>
        <w:br w:type="page" w:clear="all"/>
      </w:r>
      <w:r>
        <w:rPr>
          <w:rFonts w:hint="eastAsia" w:ascii="宋体" w:hAnsi="宋体" w:cs="宋体"/>
          <w:bCs/>
          <w:color w:val="auto"/>
          <w:sz w:val="32"/>
          <w:szCs w:val="32"/>
          <w:highlight w:val="none"/>
        </w:rPr>
        <w:t>附件1：</w:t>
      </w:r>
    </w:p>
    <w:p w14:paraId="04B5EA4E">
      <w:pPr>
        <w:widowControl/>
        <w:shd w:val="clear" w:color="auto" w:fill="FFFFFF"/>
        <w:spacing w:line="480" w:lineRule="atLeast"/>
        <w:jc w:val="center"/>
        <w:rPr>
          <w:rFonts w:hint="eastAsia" w:ascii="宋体" w:hAnsi="宋体" w:cs="宋体"/>
          <w:color w:val="auto"/>
          <w:sz w:val="32"/>
          <w:szCs w:val="32"/>
          <w:highlight w:val="none"/>
        </w:rPr>
      </w:pPr>
      <w:r>
        <w:rPr>
          <w:rFonts w:hint="eastAsia" w:ascii="宋体" w:hAnsi="宋体" w:cs="宋体"/>
          <w:b/>
          <w:bCs/>
          <w:color w:val="auto"/>
          <w:sz w:val="32"/>
          <w:szCs w:val="32"/>
          <w:highlight w:val="none"/>
        </w:rPr>
        <w:t>广西壮族自治区政府采购项目合同验收书（格式）</w:t>
      </w:r>
    </w:p>
    <w:p w14:paraId="00358C00">
      <w:pPr>
        <w:widowControl/>
        <w:shd w:val="clear" w:color="auto" w:fill="FFFFFF"/>
        <w:spacing w:line="480" w:lineRule="atLeast"/>
        <w:jc w:val="center"/>
        <w:rPr>
          <w:rFonts w:hint="eastAsia" w:ascii="宋体" w:hAnsi="宋体" w:cs="宋体"/>
          <w:color w:val="auto"/>
          <w:sz w:val="32"/>
          <w:szCs w:val="32"/>
          <w:highlight w:val="none"/>
        </w:rPr>
      </w:pPr>
    </w:p>
    <w:p w14:paraId="51F2FBE7">
      <w:pPr>
        <w:widowControl/>
        <w:shd w:val="clear" w:color="auto" w:fill="FFFFFF"/>
        <w:spacing w:line="320" w:lineRule="atLeast"/>
        <w:ind w:firstLine="480"/>
        <w:jc w:val="left"/>
        <w:rPr>
          <w:rFonts w:hint="eastAsia" w:ascii="宋体" w:hAnsi="宋体" w:cs="宋体"/>
          <w:color w:val="auto"/>
          <w:szCs w:val="21"/>
          <w:highlight w:val="none"/>
        </w:rPr>
      </w:pPr>
      <w:r>
        <w:rPr>
          <w:rFonts w:hint="eastAsia" w:ascii="宋体" w:hAnsi="宋体" w:cs="宋体"/>
          <w:color w:val="auto"/>
          <w:szCs w:val="21"/>
          <w:highlight w:val="none"/>
        </w:rPr>
        <w:t>根据政府采购项目（</w:t>
      </w:r>
      <w:r>
        <w:rPr>
          <w:rFonts w:hint="eastAsia" w:ascii="宋体" w:hAnsi="宋体" w:cs="宋体"/>
          <w:color w:val="auto"/>
          <w:szCs w:val="21"/>
          <w:highlight w:val="none"/>
          <w:u w:val="single"/>
        </w:rPr>
        <w:t xml:space="preserve">采购合同编号： </w:t>
      </w:r>
      <w:r>
        <w:rPr>
          <w:rFonts w:hint="eastAsia" w:ascii="宋体" w:hAnsi="宋体" w:cs="宋体"/>
          <w:color w:val="auto"/>
          <w:szCs w:val="21"/>
          <w:highlight w:val="none"/>
        </w:rPr>
        <w:t>）的约定，我单位对（</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 政府采购项目成交供应商（</w:t>
      </w:r>
      <w:r>
        <w:rPr>
          <w:rFonts w:hint="eastAsia" w:ascii="宋体" w:hAnsi="宋体" w:cs="宋体"/>
          <w:color w:val="auto"/>
          <w:szCs w:val="21"/>
          <w:highlight w:val="none"/>
          <w:u w:val="single"/>
        </w:rPr>
        <w:t xml:space="preserve"> 公司名称 </w:t>
      </w:r>
      <w:r>
        <w:rPr>
          <w:rFonts w:hint="eastAsia" w:ascii="宋体" w:hAnsi="宋体" w:cs="宋体"/>
          <w:color w:val="auto"/>
          <w:szCs w:val="21"/>
          <w:highlight w:val="none"/>
        </w:rPr>
        <w:t>） 提供的货物（或工程、服务）进行了验收，验收情况如下：</w:t>
      </w:r>
    </w:p>
    <w:tbl>
      <w:tblPr>
        <w:tblStyle w:val="31"/>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47AEFEFE">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vAlign w:val="center"/>
          </w:tcPr>
          <w:p w14:paraId="5452758B">
            <w:pPr>
              <w:widowControl/>
              <w:spacing w:before="100" w:beforeAutospacing="1" w:after="100" w:afterAutospacing="1" w:line="320" w:lineRule="atLeast"/>
              <w:ind w:firstLine="5"/>
              <w:jc w:val="center"/>
              <w:rPr>
                <w:rFonts w:hint="eastAsia" w:ascii="宋体" w:hAnsi="宋体" w:cs="宋体"/>
                <w:color w:val="auto"/>
                <w:szCs w:val="21"/>
                <w:highlight w:val="none"/>
              </w:rPr>
            </w:pPr>
            <w:r>
              <w:rPr>
                <w:rFonts w:hint="eastAsia" w:ascii="宋体" w:hAnsi="宋体" w:cs="宋体"/>
                <w:color w:val="auto"/>
                <w:szCs w:val="21"/>
                <w:highlight w:val="none"/>
              </w:rPr>
              <w:t>验收方式：</w:t>
            </w:r>
          </w:p>
        </w:tc>
        <w:tc>
          <w:tcPr>
            <w:tcW w:w="5193" w:type="dxa"/>
            <w:gridSpan w:val="6"/>
            <w:tcBorders>
              <w:top w:val="single" w:color="auto" w:sz="8" w:space="0"/>
              <w:left w:val="nil"/>
              <w:bottom w:val="single" w:color="auto" w:sz="8" w:space="0"/>
              <w:right w:val="single" w:color="auto" w:sz="8" w:space="0"/>
            </w:tcBorders>
            <w:vAlign w:val="center"/>
          </w:tcPr>
          <w:p w14:paraId="01DCDC4E">
            <w:pPr>
              <w:widowControl/>
              <w:spacing w:before="100" w:beforeAutospacing="1" w:after="100" w:afterAutospacing="1" w:line="320" w:lineRule="atLeast"/>
              <w:jc w:val="center"/>
              <w:rPr>
                <w:rFonts w:hint="eastAsia" w:ascii="宋体" w:hAnsi="宋体" w:cs="宋体"/>
                <w:color w:val="auto"/>
                <w:szCs w:val="21"/>
                <w:highlight w:val="none"/>
              </w:rPr>
            </w:pPr>
            <w:r>
              <w:rPr>
                <w:rFonts w:ascii="Wingdings 2" w:hAnsi="Wingdings 2" w:eastAsia="Wingdings 2" w:cs="Wingdings 2"/>
                <w:color w:val="auto"/>
                <w:szCs w:val="21"/>
                <w:highlight w:val="none"/>
              </w:rPr>
              <w:sym w:font="Wingdings 2" w:char="00A3"/>
            </w:r>
            <w:r>
              <w:rPr>
                <w:rFonts w:hint="eastAsia" w:ascii="宋体" w:hAnsi="宋体" w:cs="宋体"/>
                <w:color w:val="auto"/>
                <w:szCs w:val="21"/>
                <w:highlight w:val="none"/>
              </w:rPr>
              <w:t xml:space="preserve">自行验收 </w:t>
            </w:r>
            <w:r>
              <w:rPr>
                <w:rFonts w:ascii="Wingdings 2" w:hAnsi="Wingdings 2" w:eastAsia="Wingdings 2" w:cs="Wingdings 2"/>
                <w:color w:val="auto"/>
                <w:szCs w:val="21"/>
                <w:highlight w:val="none"/>
              </w:rPr>
              <w:sym w:font="Wingdings 2" w:char="00A3"/>
            </w:r>
            <w:r>
              <w:rPr>
                <w:rFonts w:hint="eastAsia" w:ascii="宋体" w:hAnsi="宋体" w:cs="宋体"/>
                <w:color w:val="auto"/>
                <w:szCs w:val="21"/>
                <w:highlight w:val="none"/>
              </w:rPr>
              <w:t>委托验收</w:t>
            </w:r>
          </w:p>
        </w:tc>
      </w:tr>
      <w:tr w14:paraId="4EDC2E7B">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vAlign w:val="center"/>
          </w:tcPr>
          <w:p w14:paraId="0A97CC8E">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448" w:type="dxa"/>
            <w:gridSpan w:val="2"/>
            <w:tcBorders>
              <w:top w:val="nil"/>
              <w:left w:val="nil"/>
              <w:bottom w:val="single" w:color="auto" w:sz="8" w:space="0"/>
              <w:right w:val="single" w:color="auto" w:sz="8" w:space="0"/>
            </w:tcBorders>
            <w:vAlign w:val="center"/>
          </w:tcPr>
          <w:p w14:paraId="5D7E9EA0">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名称</w:t>
            </w:r>
          </w:p>
        </w:tc>
        <w:tc>
          <w:tcPr>
            <w:tcW w:w="2902" w:type="dxa"/>
            <w:gridSpan w:val="3"/>
            <w:tcBorders>
              <w:top w:val="nil"/>
              <w:left w:val="nil"/>
              <w:bottom w:val="single" w:color="auto" w:sz="8" w:space="0"/>
              <w:right w:val="single" w:color="auto" w:sz="8" w:space="0"/>
            </w:tcBorders>
            <w:vAlign w:val="center"/>
          </w:tcPr>
          <w:p w14:paraId="52F3A6DF">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货物型号规格、标准及配置等（或技术要求、标准）</w:t>
            </w:r>
          </w:p>
        </w:tc>
        <w:tc>
          <w:tcPr>
            <w:tcW w:w="863" w:type="dxa"/>
            <w:gridSpan w:val="2"/>
            <w:tcBorders>
              <w:top w:val="nil"/>
              <w:left w:val="nil"/>
              <w:bottom w:val="single" w:color="auto" w:sz="8" w:space="0"/>
              <w:right w:val="single" w:color="auto" w:sz="8" w:space="0"/>
            </w:tcBorders>
            <w:vAlign w:val="center"/>
          </w:tcPr>
          <w:p w14:paraId="538AD37C">
            <w:pPr>
              <w:widowControl/>
              <w:spacing w:before="100" w:beforeAutospacing="1" w:after="100" w:afterAutospacing="1" w:line="320" w:lineRule="atLeast"/>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1428" w:type="dxa"/>
            <w:tcBorders>
              <w:top w:val="nil"/>
              <w:left w:val="nil"/>
              <w:bottom w:val="single" w:color="auto" w:sz="8" w:space="0"/>
              <w:right w:val="single" w:color="auto" w:sz="8" w:space="0"/>
            </w:tcBorders>
            <w:vAlign w:val="center"/>
          </w:tcPr>
          <w:p w14:paraId="20846219">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金额</w:t>
            </w:r>
          </w:p>
        </w:tc>
      </w:tr>
      <w:tr w14:paraId="3F69E326">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78E39F24">
            <w:pPr>
              <w:widowControl/>
              <w:spacing w:before="100" w:beforeAutospacing="1" w:after="100" w:afterAutospacing="1" w:line="240" w:lineRule="atLeast"/>
              <w:jc w:val="center"/>
              <w:rPr>
                <w:rFonts w:hint="eastAsia" w:ascii="宋体" w:hAnsi="宋体" w:cs="宋体"/>
                <w:color w:val="auto"/>
                <w:szCs w:val="21"/>
                <w:highlight w:val="none"/>
              </w:rPr>
            </w:pPr>
          </w:p>
        </w:tc>
        <w:tc>
          <w:tcPr>
            <w:tcW w:w="2448" w:type="dxa"/>
            <w:gridSpan w:val="2"/>
            <w:tcBorders>
              <w:top w:val="nil"/>
              <w:left w:val="nil"/>
              <w:bottom w:val="single" w:color="auto" w:sz="8" w:space="0"/>
              <w:right w:val="single" w:color="auto" w:sz="8" w:space="0"/>
            </w:tcBorders>
            <w:vAlign w:val="center"/>
          </w:tcPr>
          <w:p w14:paraId="247333ED">
            <w:pPr>
              <w:widowControl/>
              <w:spacing w:before="100" w:beforeAutospacing="1" w:after="100" w:afterAutospacing="1" w:line="240" w:lineRule="atLeast"/>
              <w:jc w:val="center"/>
              <w:rPr>
                <w:rFonts w:hint="eastAsia" w:ascii="宋体" w:hAnsi="宋体" w:cs="宋体"/>
                <w:color w:val="auto"/>
                <w:szCs w:val="21"/>
                <w:highlight w:val="none"/>
              </w:rPr>
            </w:pPr>
          </w:p>
        </w:tc>
        <w:tc>
          <w:tcPr>
            <w:tcW w:w="2902" w:type="dxa"/>
            <w:gridSpan w:val="3"/>
            <w:tcBorders>
              <w:top w:val="nil"/>
              <w:left w:val="nil"/>
              <w:bottom w:val="single" w:color="auto" w:sz="8" w:space="0"/>
              <w:right w:val="single" w:color="auto" w:sz="8" w:space="0"/>
            </w:tcBorders>
            <w:vAlign w:val="center"/>
          </w:tcPr>
          <w:p w14:paraId="00761F71">
            <w:pPr>
              <w:widowControl/>
              <w:spacing w:before="100" w:beforeAutospacing="1" w:after="100" w:afterAutospacing="1" w:line="240" w:lineRule="atLeast"/>
              <w:jc w:val="center"/>
              <w:rPr>
                <w:rFonts w:hint="eastAsia" w:ascii="宋体" w:hAnsi="宋体" w:cs="宋体"/>
                <w:color w:val="auto"/>
                <w:szCs w:val="21"/>
                <w:highlight w:val="none"/>
              </w:rPr>
            </w:pPr>
          </w:p>
        </w:tc>
        <w:tc>
          <w:tcPr>
            <w:tcW w:w="863" w:type="dxa"/>
            <w:gridSpan w:val="2"/>
            <w:tcBorders>
              <w:top w:val="nil"/>
              <w:left w:val="nil"/>
              <w:bottom w:val="single" w:color="auto" w:sz="8" w:space="0"/>
              <w:right w:val="single" w:color="auto" w:sz="8" w:space="0"/>
            </w:tcBorders>
            <w:vAlign w:val="center"/>
          </w:tcPr>
          <w:p w14:paraId="79368073">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vAlign w:val="center"/>
          </w:tcPr>
          <w:p w14:paraId="2B3C1037">
            <w:pPr>
              <w:widowControl/>
              <w:spacing w:before="100" w:beforeAutospacing="1" w:after="100" w:afterAutospacing="1" w:line="240" w:lineRule="atLeast"/>
              <w:jc w:val="center"/>
              <w:rPr>
                <w:rFonts w:hint="eastAsia" w:ascii="宋体" w:hAnsi="宋体" w:cs="宋体"/>
                <w:color w:val="auto"/>
                <w:szCs w:val="21"/>
                <w:highlight w:val="none"/>
              </w:rPr>
            </w:pPr>
          </w:p>
        </w:tc>
      </w:tr>
      <w:tr w14:paraId="5FE469DE">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72FFEC60">
            <w:pPr>
              <w:widowControl/>
              <w:spacing w:before="100" w:beforeAutospacing="1" w:after="100" w:afterAutospacing="1" w:line="240" w:lineRule="atLeast"/>
              <w:jc w:val="center"/>
              <w:rPr>
                <w:rFonts w:hint="eastAsia" w:ascii="宋体" w:hAnsi="宋体" w:cs="宋体"/>
                <w:color w:val="auto"/>
                <w:szCs w:val="21"/>
                <w:highlight w:val="none"/>
              </w:rPr>
            </w:pPr>
          </w:p>
        </w:tc>
        <w:tc>
          <w:tcPr>
            <w:tcW w:w="2448" w:type="dxa"/>
            <w:gridSpan w:val="2"/>
            <w:tcBorders>
              <w:top w:val="nil"/>
              <w:left w:val="nil"/>
              <w:bottom w:val="single" w:color="auto" w:sz="8" w:space="0"/>
              <w:right w:val="single" w:color="auto" w:sz="8" w:space="0"/>
            </w:tcBorders>
            <w:vAlign w:val="center"/>
          </w:tcPr>
          <w:p w14:paraId="033F8B54">
            <w:pPr>
              <w:widowControl/>
              <w:spacing w:before="100" w:beforeAutospacing="1" w:after="100" w:afterAutospacing="1" w:line="240" w:lineRule="atLeast"/>
              <w:jc w:val="center"/>
              <w:rPr>
                <w:rFonts w:hint="eastAsia" w:ascii="宋体" w:hAnsi="宋体" w:cs="宋体"/>
                <w:color w:val="auto"/>
                <w:szCs w:val="21"/>
                <w:highlight w:val="none"/>
              </w:rPr>
            </w:pPr>
          </w:p>
        </w:tc>
        <w:tc>
          <w:tcPr>
            <w:tcW w:w="2902" w:type="dxa"/>
            <w:gridSpan w:val="3"/>
            <w:tcBorders>
              <w:top w:val="nil"/>
              <w:left w:val="nil"/>
              <w:bottom w:val="single" w:color="auto" w:sz="8" w:space="0"/>
              <w:right w:val="single" w:color="auto" w:sz="8" w:space="0"/>
            </w:tcBorders>
            <w:vAlign w:val="center"/>
          </w:tcPr>
          <w:p w14:paraId="1F146FF8">
            <w:pPr>
              <w:widowControl/>
              <w:spacing w:before="100" w:beforeAutospacing="1" w:after="100" w:afterAutospacing="1" w:line="240" w:lineRule="atLeast"/>
              <w:jc w:val="center"/>
              <w:rPr>
                <w:rFonts w:hint="eastAsia" w:ascii="宋体" w:hAnsi="宋体" w:cs="宋体"/>
                <w:color w:val="auto"/>
                <w:szCs w:val="21"/>
                <w:highlight w:val="none"/>
              </w:rPr>
            </w:pPr>
          </w:p>
        </w:tc>
        <w:tc>
          <w:tcPr>
            <w:tcW w:w="863" w:type="dxa"/>
            <w:gridSpan w:val="2"/>
            <w:tcBorders>
              <w:top w:val="nil"/>
              <w:left w:val="nil"/>
              <w:bottom w:val="single" w:color="auto" w:sz="8" w:space="0"/>
              <w:right w:val="single" w:color="auto" w:sz="8" w:space="0"/>
            </w:tcBorders>
            <w:vAlign w:val="center"/>
          </w:tcPr>
          <w:p w14:paraId="6B5EED08">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vAlign w:val="center"/>
          </w:tcPr>
          <w:p w14:paraId="7AD410DD">
            <w:pPr>
              <w:widowControl/>
              <w:spacing w:before="100" w:beforeAutospacing="1" w:after="100" w:afterAutospacing="1" w:line="240" w:lineRule="atLeast"/>
              <w:jc w:val="center"/>
              <w:rPr>
                <w:rFonts w:hint="eastAsia" w:ascii="宋体" w:hAnsi="宋体" w:cs="宋体"/>
                <w:color w:val="auto"/>
                <w:szCs w:val="21"/>
                <w:highlight w:val="none"/>
              </w:rPr>
            </w:pPr>
          </w:p>
        </w:tc>
      </w:tr>
      <w:tr w14:paraId="1799AB7D">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287E7005">
            <w:pPr>
              <w:widowControl/>
              <w:spacing w:before="100" w:beforeAutospacing="1" w:after="100" w:afterAutospacing="1" w:line="240" w:lineRule="atLeast"/>
              <w:jc w:val="center"/>
              <w:rPr>
                <w:rFonts w:hint="eastAsia" w:ascii="宋体" w:hAnsi="宋体" w:cs="宋体"/>
                <w:color w:val="auto"/>
                <w:szCs w:val="21"/>
                <w:highlight w:val="none"/>
              </w:rPr>
            </w:pPr>
          </w:p>
        </w:tc>
        <w:tc>
          <w:tcPr>
            <w:tcW w:w="2448" w:type="dxa"/>
            <w:gridSpan w:val="2"/>
            <w:tcBorders>
              <w:top w:val="nil"/>
              <w:left w:val="nil"/>
              <w:bottom w:val="single" w:color="auto" w:sz="8" w:space="0"/>
              <w:right w:val="single" w:color="auto" w:sz="8" w:space="0"/>
            </w:tcBorders>
            <w:vAlign w:val="center"/>
          </w:tcPr>
          <w:p w14:paraId="5F10598A">
            <w:pPr>
              <w:widowControl/>
              <w:spacing w:before="100" w:beforeAutospacing="1" w:after="100" w:afterAutospacing="1" w:line="240" w:lineRule="atLeast"/>
              <w:jc w:val="center"/>
              <w:rPr>
                <w:rFonts w:hint="eastAsia" w:ascii="宋体" w:hAnsi="宋体" w:cs="宋体"/>
                <w:color w:val="auto"/>
                <w:szCs w:val="21"/>
                <w:highlight w:val="none"/>
              </w:rPr>
            </w:pPr>
          </w:p>
        </w:tc>
        <w:tc>
          <w:tcPr>
            <w:tcW w:w="2902" w:type="dxa"/>
            <w:gridSpan w:val="3"/>
            <w:tcBorders>
              <w:top w:val="nil"/>
              <w:left w:val="nil"/>
              <w:bottom w:val="single" w:color="auto" w:sz="8" w:space="0"/>
              <w:right w:val="single" w:color="auto" w:sz="8" w:space="0"/>
            </w:tcBorders>
            <w:vAlign w:val="center"/>
          </w:tcPr>
          <w:p w14:paraId="3A991422">
            <w:pPr>
              <w:widowControl/>
              <w:spacing w:before="100" w:beforeAutospacing="1" w:after="100" w:afterAutospacing="1" w:line="240" w:lineRule="atLeast"/>
              <w:jc w:val="center"/>
              <w:rPr>
                <w:rFonts w:hint="eastAsia" w:ascii="宋体" w:hAnsi="宋体" w:cs="宋体"/>
                <w:color w:val="auto"/>
                <w:szCs w:val="21"/>
                <w:highlight w:val="none"/>
              </w:rPr>
            </w:pPr>
          </w:p>
        </w:tc>
        <w:tc>
          <w:tcPr>
            <w:tcW w:w="863" w:type="dxa"/>
            <w:gridSpan w:val="2"/>
            <w:tcBorders>
              <w:top w:val="nil"/>
              <w:left w:val="nil"/>
              <w:bottom w:val="single" w:color="auto" w:sz="8" w:space="0"/>
              <w:right w:val="single" w:color="auto" w:sz="8" w:space="0"/>
            </w:tcBorders>
            <w:vAlign w:val="center"/>
          </w:tcPr>
          <w:p w14:paraId="635F2E9D">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vAlign w:val="center"/>
          </w:tcPr>
          <w:p w14:paraId="33D9735F">
            <w:pPr>
              <w:widowControl/>
              <w:spacing w:before="100" w:beforeAutospacing="1" w:after="100" w:afterAutospacing="1" w:line="240" w:lineRule="atLeast"/>
              <w:jc w:val="center"/>
              <w:rPr>
                <w:rFonts w:hint="eastAsia" w:ascii="宋体" w:hAnsi="宋体" w:cs="宋体"/>
                <w:color w:val="auto"/>
                <w:szCs w:val="21"/>
                <w:highlight w:val="none"/>
              </w:rPr>
            </w:pPr>
          </w:p>
        </w:tc>
      </w:tr>
      <w:tr w14:paraId="49AF9406">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vAlign w:val="center"/>
          </w:tcPr>
          <w:p w14:paraId="0254BE9F">
            <w:pPr>
              <w:widowControl/>
              <w:spacing w:before="100" w:beforeAutospacing="1" w:after="100" w:afterAutospacing="1" w:line="320" w:lineRule="atLeast"/>
              <w:ind w:firstLine="5"/>
              <w:jc w:val="center"/>
              <w:rPr>
                <w:rFonts w:hint="eastAsia" w:ascii="宋体" w:hAnsi="宋体" w:cs="宋体"/>
                <w:color w:val="auto"/>
                <w:szCs w:val="21"/>
                <w:highlight w:val="none"/>
              </w:rPr>
            </w:pPr>
            <w:r>
              <w:rPr>
                <w:rFonts w:hint="eastAsia" w:ascii="宋体" w:hAnsi="宋体" w:cs="宋体"/>
                <w:color w:val="auto"/>
                <w:szCs w:val="21"/>
                <w:highlight w:val="none"/>
              </w:rPr>
              <w:t>合 计</w:t>
            </w:r>
          </w:p>
        </w:tc>
        <w:tc>
          <w:tcPr>
            <w:tcW w:w="863" w:type="dxa"/>
            <w:gridSpan w:val="2"/>
            <w:tcBorders>
              <w:top w:val="nil"/>
              <w:left w:val="nil"/>
              <w:bottom w:val="single" w:color="auto" w:sz="8" w:space="0"/>
              <w:right w:val="single" w:color="auto" w:sz="8" w:space="0"/>
            </w:tcBorders>
            <w:vAlign w:val="center"/>
          </w:tcPr>
          <w:p w14:paraId="75EE1B02">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vAlign w:val="center"/>
          </w:tcPr>
          <w:p w14:paraId="2C804578">
            <w:pPr>
              <w:widowControl/>
              <w:spacing w:before="100" w:beforeAutospacing="1" w:after="100" w:afterAutospacing="1" w:line="240" w:lineRule="atLeast"/>
              <w:jc w:val="center"/>
              <w:rPr>
                <w:rFonts w:hint="eastAsia" w:ascii="宋体" w:hAnsi="宋体" w:cs="宋体"/>
                <w:color w:val="auto"/>
                <w:szCs w:val="21"/>
                <w:highlight w:val="none"/>
              </w:rPr>
            </w:pPr>
          </w:p>
        </w:tc>
      </w:tr>
      <w:tr w14:paraId="21AC2D4A">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vAlign w:val="center"/>
          </w:tcPr>
          <w:p w14:paraId="71322AA9">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合计大写金额：  仟  佰  拾  万  仟  佰  拾  元</w:t>
            </w:r>
          </w:p>
        </w:tc>
      </w:tr>
      <w:tr w14:paraId="100727A0">
        <w:tblPrEx>
          <w:tblCellMar>
            <w:top w:w="0" w:type="dxa"/>
            <w:left w:w="0" w:type="dxa"/>
            <w:bottom w:w="0" w:type="dxa"/>
            <w:right w:w="0" w:type="dxa"/>
          </w:tblCellMar>
        </w:tblPrEx>
        <w:trPr>
          <w:trHeight w:val="521"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4B684BCA">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实际供货日期</w:t>
            </w:r>
          </w:p>
        </w:tc>
        <w:tc>
          <w:tcPr>
            <w:tcW w:w="2421" w:type="dxa"/>
            <w:gridSpan w:val="2"/>
            <w:tcBorders>
              <w:top w:val="nil"/>
              <w:left w:val="nil"/>
              <w:bottom w:val="single" w:color="auto" w:sz="8" w:space="0"/>
              <w:right w:val="single" w:color="auto" w:sz="8" w:space="0"/>
            </w:tcBorders>
            <w:vAlign w:val="center"/>
          </w:tcPr>
          <w:p w14:paraId="0F4DD8C2">
            <w:pPr>
              <w:widowControl/>
              <w:spacing w:before="100" w:beforeAutospacing="1" w:after="100" w:afterAutospacing="1" w:line="240" w:lineRule="atLeast"/>
              <w:jc w:val="center"/>
              <w:rPr>
                <w:rFonts w:hint="eastAsia" w:ascii="宋体" w:hAnsi="宋体" w:cs="宋体"/>
                <w:color w:val="auto"/>
                <w:szCs w:val="21"/>
                <w:highlight w:val="none"/>
              </w:rPr>
            </w:pPr>
          </w:p>
        </w:tc>
        <w:tc>
          <w:tcPr>
            <w:tcW w:w="2282" w:type="dxa"/>
            <w:gridSpan w:val="3"/>
            <w:tcBorders>
              <w:top w:val="nil"/>
              <w:left w:val="nil"/>
              <w:bottom w:val="single" w:color="auto" w:sz="8" w:space="0"/>
              <w:right w:val="single" w:color="auto" w:sz="8" w:space="0"/>
            </w:tcBorders>
            <w:vAlign w:val="center"/>
          </w:tcPr>
          <w:p w14:paraId="407C504E">
            <w:pPr>
              <w:widowControl/>
              <w:spacing w:before="100" w:beforeAutospacing="1" w:after="100" w:afterAutospacing="1" w:line="320" w:lineRule="atLeast"/>
              <w:ind w:firstLine="46"/>
              <w:jc w:val="center"/>
              <w:rPr>
                <w:rFonts w:hint="eastAsia" w:ascii="宋体" w:hAnsi="宋体" w:cs="宋体"/>
                <w:color w:val="auto"/>
                <w:szCs w:val="21"/>
                <w:highlight w:val="none"/>
              </w:rPr>
            </w:pPr>
            <w:r>
              <w:rPr>
                <w:rFonts w:hint="eastAsia" w:ascii="宋体" w:hAnsi="宋体" w:cs="宋体"/>
                <w:color w:val="auto"/>
                <w:szCs w:val="21"/>
                <w:highlight w:val="none"/>
              </w:rPr>
              <w:t>合同交货验收日期</w:t>
            </w:r>
          </w:p>
        </w:tc>
        <w:tc>
          <w:tcPr>
            <w:tcW w:w="2113" w:type="dxa"/>
            <w:gridSpan w:val="2"/>
            <w:tcBorders>
              <w:top w:val="nil"/>
              <w:left w:val="nil"/>
              <w:bottom w:val="single" w:color="auto" w:sz="8" w:space="0"/>
              <w:right w:val="single" w:color="auto" w:sz="8" w:space="0"/>
            </w:tcBorders>
            <w:vAlign w:val="center"/>
          </w:tcPr>
          <w:p w14:paraId="772B8500">
            <w:pPr>
              <w:widowControl/>
              <w:spacing w:before="100" w:beforeAutospacing="1" w:after="100" w:afterAutospacing="1" w:line="240" w:lineRule="atLeast"/>
              <w:jc w:val="center"/>
              <w:rPr>
                <w:rFonts w:hint="eastAsia" w:ascii="宋体" w:hAnsi="宋体" w:cs="宋体"/>
                <w:color w:val="auto"/>
                <w:szCs w:val="21"/>
                <w:highlight w:val="none"/>
              </w:rPr>
            </w:pPr>
          </w:p>
        </w:tc>
      </w:tr>
      <w:tr w14:paraId="02260328">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EE7DF4E">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验收具体内容</w:t>
            </w:r>
          </w:p>
        </w:tc>
        <w:tc>
          <w:tcPr>
            <w:tcW w:w="6816"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15672702">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应按采购合同、竞争性磋商文件、竞标响应文件及验收方案等进行验收；并核对成交供应商在安装调试等方面是否违反合同约定或服务规范要求、提供的质量保证证明材料是否齐全、应有的配件及附件是否达到合同约定等。可</w:t>
            </w:r>
            <w:r>
              <w:rPr>
                <w:rFonts w:hint="eastAsia" w:ascii="宋体" w:hAnsi="宋体" w:cs="宋体"/>
                <w:color w:val="auto"/>
                <w:szCs w:val="21"/>
                <w:highlight w:val="none"/>
                <w:lang w:val="en-US" w:eastAsia="zh-CN"/>
              </w:rPr>
              <w:t>见</w:t>
            </w:r>
            <w:r>
              <w:rPr>
                <w:rFonts w:hint="eastAsia" w:ascii="宋体" w:hAnsi="宋体" w:cs="宋体"/>
                <w:color w:val="auto"/>
                <w:szCs w:val="21"/>
                <w:highlight w:val="none"/>
              </w:rPr>
              <w:t>附件)</w:t>
            </w:r>
          </w:p>
        </w:tc>
      </w:tr>
      <w:tr w14:paraId="1DCA6093">
        <w:tblPrEx>
          <w:tblCellMar>
            <w:top w:w="0" w:type="dxa"/>
            <w:left w:w="0" w:type="dxa"/>
            <w:bottom w:w="0" w:type="dxa"/>
            <w:right w:w="0" w:type="dxa"/>
          </w:tblCellMar>
        </w:tblPrEx>
        <w:trPr>
          <w:trHeight w:val="1011" w:hRule="atLeast"/>
          <w:jc w:val="center"/>
        </w:trPr>
        <w:tc>
          <w:tcPr>
            <w:tcW w:w="1629"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A59969F">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验收小组意见</w:t>
            </w:r>
          </w:p>
        </w:tc>
        <w:tc>
          <w:tcPr>
            <w:tcW w:w="6816" w:type="dxa"/>
            <w:gridSpan w:val="7"/>
            <w:tcBorders>
              <w:top w:val="nil"/>
              <w:left w:val="nil"/>
              <w:bottom w:val="single" w:color="auto" w:sz="8" w:space="0"/>
              <w:right w:val="single" w:color="auto" w:sz="8" w:space="0"/>
            </w:tcBorders>
            <w:vAlign w:val="center"/>
          </w:tcPr>
          <w:p w14:paraId="25B03794">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验收结论性意见：</w:t>
            </w:r>
          </w:p>
        </w:tc>
      </w:tr>
      <w:tr w14:paraId="377FE0E7">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vAlign w:val="center"/>
          </w:tcPr>
          <w:p w14:paraId="6567172C">
            <w:pPr>
              <w:widowControl/>
              <w:jc w:val="left"/>
              <w:rPr>
                <w:rFonts w:hint="eastAsia" w:ascii="宋体" w:hAnsi="宋体" w:cs="宋体"/>
                <w:color w:val="auto"/>
                <w:szCs w:val="21"/>
                <w:highlight w:val="none"/>
              </w:rPr>
            </w:pPr>
          </w:p>
        </w:tc>
        <w:tc>
          <w:tcPr>
            <w:tcW w:w="6816" w:type="dxa"/>
            <w:gridSpan w:val="7"/>
            <w:tcBorders>
              <w:top w:val="nil"/>
              <w:left w:val="nil"/>
              <w:bottom w:val="single" w:color="auto" w:sz="8" w:space="0"/>
              <w:right w:val="single" w:color="auto" w:sz="8" w:space="0"/>
            </w:tcBorders>
            <w:vAlign w:val="center"/>
          </w:tcPr>
          <w:p w14:paraId="170FB3DE">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有异议的意见和说明理由：</w:t>
            </w:r>
          </w:p>
          <w:p w14:paraId="11EFE9C8">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签字：</w:t>
            </w:r>
          </w:p>
        </w:tc>
      </w:tr>
      <w:tr w14:paraId="2237443E">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3BFAD90">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验收小组成员签字：</w:t>
            </w:r>
          </w:p>
        </w:tc>
      </w:tr>
      <w:tr w14:paraId="2FD56044">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4" w:space="0"/>
              <w:right w:val="single" w:color="auto" w:sz="8" w:space="0"/>
            </w:tcBorders>
            <w:tcMar>
              <w:top w:w="0" w:type="dxa"/>
              <w:left w:w="108" w:type="dxa"/>
              <w:bottom w:w="0" w:type="dxa"/>
              <w:right w:w="108" w:type="dxa"/>
            </w:tcMar>
            <w:vAlign w:val="center"/>
          </w:tcPr>
          <w:p w14:paraId="681F010F">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监督人员或其他相关人员签字：</w:t>
            </w:r>
          </w:p>
          <w:p w14:paraId="53F38D5E">
            <w:pPr>
              <w:widowControl/>
              <w:spacing w:before="100" w:beforeAutospacing="1" w:after="100" w:afterAutospacing="1" w:line="320" w:lineRule="atLeast"/>
              <w:ind w:firstLine="74"/>
              <w:jc w:val="left"/>
              <w:rPr>
                <w:rFonts w:hint="eastAsia" w:ascii="宋体" w:hAnsi="宋体" w:cs="宋体"/>
                <w:color w:val="auto"/>
                <w:szCs w:val="21"/>
                <w:highlight w:val="none"/>
              </w:rPr>
            </w:pPr>
            <w:r>
              <w:rPr>
                <w:rFonts w:hint="eastAsia" w:ascii="宋体" w:hAnsi="宋体" w:cs="宋体"/>
                <w:color w:val="auto"/>
                <w:szCs w:val="21"/>
                <w:highlight w:val="none"/>
              </w:rPr>
              <w:t>或受邀机构的意见（盖章）：</w:t>
            </w:r>
          </w:p>
        </w:tc>
      </w:tr>
      <w:tr w14:paraId="1DA6557C">
        <w:tblPrEx>
          <w:tblCellMar>
            <w:top w:w="0" w:type="dxa"/>
            <w:left w:w="0" w:type="dxa"/>
            <w:bottom w:w="0" w:type="dxa"/>
            <w:right w:w="0" w:type="dxa"/>
          </w:tblCellMar>
        </w:tblPrEx>
        <w:trPr>
          <w:trHeight w:val="90" w:hRule="atLeast"/>
          <w:jc w:val="center"/>
        </w:trPr>
        <w:tc>
          <w:tcPr>
            <w:tcW w:w="4152" w:type="dxa"/>
            <w:gridSpan w:val="5"/>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C4912DA">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成交供应商负责人签字或盖章：</w:t>
            </w:r>
          </w:p>
          <w:p w14:paraId="5668FE06">
            <w:pPr>
              <w:widowControl/>
              <w:spacing w:before="100" w:beforeAutospacing="1" w:after="100" w:afterAutospacing="1" w:line="320" w:lineRule="atLeast"/>
              <w:jc w:val="left"/>
              <w:rPr>
                <w:rFonts w:hint="eastAsia" w:ascii="宋体" w:hAnsi="宋体" w:cs="宋体"/>
                <w:color w:val="auto"/>
                <w:szCs w:val="21"/>
                <w:highlight w:val="none"/>
              </w:rPr>
            </w:pPr>
          </w:p>
          <w:p w14:paraId="677FBF5D">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联系电话：                年  月  日</w:t>
            </w:r>
          </w:p>
        </w:tc>
        <w:tc>
          <w:tcPr>
            <w:tcW w:w="4293" w:type="dxa"/>
            <w:gridSpan w:val="4"/>
            <w:tcBorders>
              <w:top w:val="single" w:color="auto" w:sz="4" w:space="0"/>
              <w:left w:val="single" w:color="auto" w:sz="4" w:space="0"/>
              <w:bottom w:val="single" w:color="auto" w:sz="4" w:space="0"/>
              <w:right w:val="single" w:color="auto" w:sz="4" w:space="0"/>
            </w:tcBorders>
            <w:vAlign w:val="center"/>
          </w:tcPr>
          <w:p w14:paraId="4A6D9EBB">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采购人或受托机构的意见（盖章）：</w:t>
            </w:r>
          </w:p>
          <w:p w14:paraId="66451214">
            <w:pPr>
              <w:widowControl/>
              <w:spacing w:before="100" w:beforeAutospacing="1" w:after="100" w:afterAutospacing="1" w:line="320" w:lineRule="atLeast"/>
              <w:ind w:firstLine="210"/>
              <w:jc w:val="left"/>
              <w:rPr>
                <w:rFonts w:hint="eastAsia" w:ascii="宋体" w:hAnsi="宋体" w:cs="宋体"/>
                <w:color w:val="auto"/>
                <w:szCs w:val="21"/>
                <w:highlight w:val="none"/>
              </w:rPr>
            </w:pPr>
          </w:p>
          <w:p w14:paraId="4B0559EC">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联系电话：                  年  月  日</w:t>
            </w:r>
          </w:p>
        </w:tc>
      </w:tr>
    </w:tbl>
    <w:p w14:paraId="2AE3EFE0">
      <w:pPr>
        <w:pStyle w:val="196"/>
        <w:numPr>
          <w:ilvl w:val="0"/>
          <w:numId w:val="2"/>
        </w:numPr>
        <w:jc w:val="center"/>
        <w:rPr>
          <w:rFonts w:hint="eastAsia" w:ascii="宋体" w:hAnsi="宋体" w:cs="宋体"/>
          <w:color w:val="auto"/>
          <w:highlight w:val="none"/>
        </w:rPr>
      </w:pPr>
      <w:bookmarkStart w:id="41" w:name="_Toc6815"/>
      <w:r>
        <w:rPr>
          <w:rFonts w:hint="eastAsia" w:ascii="宋体" w:hAnsi="宋体" w:cs="宋体"/>
          <w:color w:val="auto"/>
          <w:highlight w:val="none"/>
          <w:lang w:eastAsia="zh-CN"/>
        </w:rPr>
        <w:t>采购</w:t>
      </w:r>
      <w:r>
        <w:rPr>
          <w:rFonts w:hint="eastAsia" w:ascii="宋体" w:hAnsi="宋体" w:cs="宋体"/>
          <w:color w:val="auto"/>
          <w:highlight w:val="none"/>
        </w:rPr>
        <w:t>需求</w:t>
      </w:r>
      <w:bookmarkEnd w:id="41"/>
    </w:p>
    <w:p w14:paraId="73896911">
      <w:pPr>
        <w:spacing w:line="360" w:lineRule="auto"/>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说明：1. 为落实政府采购政策需满足的要求</w:t>
      </w:r>
    </w:p>
    <w:p w14:paraId="466A130A">
      <w:pPr>
        <w:numPr>
          <w:ilvl w:val="0"/>
          <w:numId w:val="0"/>
        </w:numPr>
        <w:spacing w:line="360" w:lineRule="auto"/>
        <w:ind w:firstLine="422"/>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 w:val="21"/>
          <w:szCs w:val="21"/>
          <w:highlight w:val="none"/>
          <w:lang w:val="en-US" w:eastAsia="zh-CN" w:bidi="ar-SA"/>
        </w:rPr>
        <w:t>（1）</w:t>
      </w:r>
      <w:r>
        <w:rPr>
          <w:rFonts w:hint="eastAsia" w:ascii="宋体" w:hAnsi="宋体" w:eastAsia="宋体" w:cs="宋体"/>
          <w:b w:val="0"/>
          <w:bCs w:val="0"/>
          <w:color w:val="auto"/>
          <w:szCs w:val="21"/>
          <w:highlight w:val="none"/>
        </w:rPr>
        <w:t>本竞争性磋商采购文件所称中小企业必须符合《政府采购促进中小企业发展管理办法》（财库〔2020〕46号）的规定。</w:t>
      </w:r>
    </w:p>
    <w:p w14:paraId="11D8A074">
      <w:pPr>
        <w:pStyle w:val="40"/>
        <w:numPr>
          <w:ilvl w:val="0"/>
          <w:numId w:val="0"/>
        </w:numPr>
        <w:spacing w:line="360" w:lineRule="auto"/>
        <w:ind w:firstLine="422"/>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w:t>
      </w:r>
      <w:r>
        <w:rPr>
          <w:rFonts w:hint="eastAsia" w:ascii="宋体" w:hAnsi="宋体" w:eastAsia="宋体" w:cs="宋体"/>
          <w:b w:val="0"/>
          <w:bCs w:val="0"/>
          <w:color w:val="auto"/>
          <w:highlight w:val="none"/>
          <w:lang w:val="en-US" w:eastAsia="zh-CN"/>
        </w:rPr>
        <w:t>2</w:t>
      </w:r>
      <w:r>
        <w:rPr>
          <w:rFonts w:hint="eastAsia" w:ascii="宋体" w:hAnsi="宋体" w:eastAsia="宋体" w:cs="宋体"/>
          <w:b w:val="0"/>
          <w:bCs w:val="0"/>
          <w:color w:val="auto"/>
          <w:highlight w:val="none"/>
          <w:lang w:eastAsia="zh-CN"/>
        </w:rPr>
        <w:t>）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858816C">
      <w:pPr>
        <w:spacing w:line="360" w:lineRule="auto"/>
        <w:ind w:firstLine="426"/>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2.“实质性要求”是指采购需求中带“▲”的条款或者不能负偏离的条款或者不满足则按响应文件无效处理的条款。</w:t>
      </w:r>
    </w:p>
    <w:p w14:paraId="703501EA">
      <w:pPr>
        <w:spacing w:line="360" w:lineRule="auto"/>
        <w:ind w:firstLine="424" w:firstLineChars="202"/>
        <w:jc w:val="left"/>
        <w:rPr>
          <w:rFonts w:ascii="宋体" w:hAnsi="宋体" w:eastAsia="Arial" w:cs="宋体"/>
          <w:color w:val="auto"/>
          <w:szCs w:val="21"/>
          <w:highlight w:val="none"/>
        </w:rPr>
      </w:pPr>
      <w:r>
        <w:rPr>
          <w:rFonts w:hint="eastAsia" w:ascii="宋体" w:hAnsi="宋体" w:eastAsia="Arial" w:cs="宋体"/>
          <w:color w:val="auto"/>
          <w:szCs w:val="21"/>
          <w:highlight w:val="none"/>
        </w:rPr>
        <w:t>3</w:t>
      </w:r>
      <w:r>
        <w:rPr>
          <w:rFonts w:ascii="宋体" w:hAnsi="宋体" w:eastAsia="Arial" w:cs="宋体"/>
          <w:color w:val="auto"/>
          <w:szCs w:val="21"/>
          <w:highlight w:val="none"/>
        </w:rPr>
        <w:t>.</w:t>
      </w:r>
      <w:r>
        <w:rPr>
          <w:rFonts w:hint="eastAsia" w:ascii="宋体" w:hAnsi="宋体" w:eastAsia="宋体" w:cs="宋体"/>
          <w:color w:val="auto"/>
          <w:szCs w:val="21"/>
          <w:highlight w:val="none"/>
          <w:lang w:eastAsia="zh-CN"/>
        </w:rPr>
        <w:t>供应商</w:t>
      </w:r>
      <w:r>
        <w:rPr>
          <w:rFonts w:ascii="宋体" w:hAnsi="宋体" w:eastAsia="Arial" w:cs="宋体"/>
          <w:color w:val="auto"/>
          <w:szCs w:val="21"/>
          <w:highlight w:val="none"/>
        </w:rPr>
        <w:t>必须对</w:t>
      </w:r>
      <w:r>
        <w:rPr>
          <w:rFonts w:hint="eastAsia" w:ascii="宋体" w:hAnsi="宋体" w:eastAsia="宋体" w:cs="宋体"/>
          <w:color w:val="auto"/>
          <w:szCs w:val="21"/>
          <w:highlight w:val="none"/>
          <w:lang w:eastAsia="zh-CN"/>
        </w:rPr>
        <w:t>响应</w:t>
      </w:r>
      <w:r>
        <w:rPr>
          <w:rFonts w:ascii="宋体" w:hAnsi="宋体" w:eastAsia="Arial" w:cs="宋体"/>
          <w:color w:val="auto"/>
          <w:szCs w:val="21"/>
          <w:highlight w:val="none"/>
        </w:rPr>
        <w:t>文件中提供的证明材料和资质文件真实性负责，如出现虚假应标情况，</w:t>
      </w:r>
      <w:r>
        <w:rPr>
          <w:rFonts w:hint="eastAsia" w:ascii="宋体" w:hAnsi="宋体" w:eastAsia="宋体" w:cs="宋体"/>
          <w:color w:val="auto"/>
          <w:szCs w:val="21"/>
          <w:highlight w:val="none"/>
          <w:lang w:eastAsia="zh-CN"/>
        </w:rPr>
        <w:t>供应商</w:t>
      </w:r>
      <w:r>
        <w:rPr>
          <w:rFonts w:ascii="宋体" w:hAnsi="宋体" w:eastAsia="Arial" w:cs="宋体"/>
          <w:color w:val="auto"/>
          <w:szCs w:val="21"/>
          <w:highlight w:val="none"/>
        </w:rPr>
        <w:t>除了应接受有关部门的处罚外，还应依据《中华人民共和国民法典》的相关条款来进行赔偿。</w:t>
      </w:r>
    </w:p>
    <w:p w14:paraId="46E0F116">
      <w:pPr>
        <w:spacing w:line="360" w:lineRule="auto"/>
        <w:ind w:firstLine="424" w:firstLineChars="202"/>
        <w:jc w:val="left"/>
        <w:rPr>
          <w:rFonts w:ascii="宋体" w:hAnsi="宋体" w:eastAsia="Arial" w:cs="宋体"/>
          <w:color w:val="auto"/>
          <w:szCs w:val="21"/>
          <w:highlight w:val="none"/>
        </w:rPr>
      </w:pPr>
      <w:r>
        <w:rPr>
          <w:rFonts w:hint="eastAsia" w:ascii="宋体" w:hAnsi="宋体" w:eastAsia="Arial" w:cs="宋体"/>
          <w:color w:val="auto"/>
          <w:szCs w:val="21"/>
          <w:highlight w:val="none"/>
        </w:rPr>
        <w:t>4</w:t>
      </w:r>
      <w:r>
        <w:rPr>
          <w:rFonts w:ascii="宋体" w:hAnsi="宋体" w:eastAsia="Arial" w:cs="宋体"/>
          <w:color w:val="auto"/>
          <w:szCs w:val="21"/>
          <w:highlight w:val="none"/>
        </w:rPr>
        <w:t>.</w:t>
      </w:r>
      <w:r>
        <w:rPr>
          <w:rFonts w:hint="eastAsia" w:ascii="宋体" w:hAnsi="宋体" w:eastAsia="宋体" w:cs="宋体"/>
          <w:color w:val="auto"/>
          <w:szCs w:val="21"/>
          <w:highlight w:val="none"/>
          <w:lang w:eastAsia="zh-CN"/>
        </w:rPr>
        <w:t>供应商</w:t>
      </w:r>
      <w:r>
        <w:rPr>
          <w:rFonts w:ascii="宋体" w:hAnsi="宋体" w:eastAsia="Arial" w:cs="宋体"/>
          <w:color w:val="auto"/>
          <w:szCs w:val="21"/>
          <w:highlight w:val="none"/>
        </w:rPr>
        <w:t>应对</w:t>
      </w:r>
      <w:r>
        <w:rPr>
          <w:rFonts w:hint="eastAsia" w:ascii="宋体" w:hAnsi="宋体" w:eastAsia="宋体" w:cs="宋体"/>
          <w:color w:val="auto"/>
          <w:szCs w:val="21"/>
          <w:highlight w:val="none"/>
          <w:lang w:eastAsia="zh-CN"/>
        </w:rPr>
        <w:t>竞</w:t>
      </w:r>
      <w:r>
        <w:rPr>
          <w:rFonts w:ascii="宋体" w:hAnsi="宋体" w:eastAsia="Arial" w:cs="宋体"/>
          <w:color w:val="auto"/>
          <w:szCs w:val="21"/>
          <w:highlight w:val="none"/>
        </w:rPr>
        <w:t>标内容所涉及的专利承担法律责任，并负责保护</w:t>
      </w:r>
      <w:r>
        <w:rPr>
          <w:rFonts w:hint="eastAsia" w:ascii="宋体" w:hAnsi="宋体" w:eastAsia="Arial" w:cs="宋体"/>
          <w:color w:val="auto"/>
          <w:szCs w:val="21"/>
          <w:highlight w:val="none"/>
        </w:rPr>
        <w:t>采购人</w:t>
      </w:r>
      <w:r>
        <w:rPr>
          <w:rFonts w:ascii="宋体" w:hAnsi="宋体" w:eastAsia="Arial" w:cs="宋体"/>
          <w:color w:val="auto"/>
          <w:szCs w:val="21"/>
          <w:highlight w:val="none"/>
        </w:rPr>
        <w:t>的利益不受任何损害。一切由于文字、商标、技术和软件专利授权引起的法律裁决、诉讼和赔偿费用均由</w:t>
      </w:r>
      <w:r>
        <w:rPr>
          <w:rFonts w:hint="eastAsia" w:ascii="宋体" w:hAnsi="宋体" w:eastAsia="宋体" w:cs="宋体"/>
          <w:color w:val="auto"/>
          <w:szCs w:val="21"/>
          <w:highlight w:val="none"/>
          <w:lang w:eastAsia="zh-CN"/>
        </w:rPr>
        <w:t>供应商</w:t>
      </w:r>
      <w:r>
        <w:rPr>
          <w:rFonts w:ascii="宋体" w:hAnsi="宋体" w:eastAsia="Arial" w:cs="宋体"/>
          <w:color w:val="auto"/>
          <w:szCs w:val="21"/>
          <w:highlight w:val="none"/>
        </w:rPr>
        <w:t>负责。</w:t>
      </w:r>
    </w:p>
    <w:p w14:paraId="6D39B078">
      <w:pPr>
        <w:spacing w:after="120"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.本项目所属行业：批发业。</w:t>
      </w:r>
    </w:p>
    <w:p w14:paraId="7948FEB3">
      <w:pPr>
        <w:spacing w:line="360" w:lineRule="auto"/>
        <w:ind w:firstLine="424" w:firstLineChars="202"/>
        <w:jc w:val="left"/>
        <w:rPr>
          <w:rFonts w:hint="eastAsia" w:ascii="宋体" w:hAnsi="宋体" w:eastAsia="Arial" w:cs="宋体"/>
          <w:color w:val="auto"/>
          <w:szCs w:val="21"/>
          <w:highlight w:val="none"/>
        </w:rPr>
      </w:pPr>
      <w:r>
        <w:rPr>
          <w:rFonts w:hint="eastAsia" w:ascii="宋体" w:hAnsi="宋体" w:eastAsia="Arial" w:cs="宋体"/>
          <w:color w:val="auto"/>
          <w:szCs w:val="21"/>
          <w:highlight w:val="none"/>
        </w:rPr>
        <w:t>6.采购需求中出现的品牌、型号或者生产厂家仅起参考作用，不属于指定品牌、型号或者生产厂家的情形。</w:t>
      </w:r>
      <w:r>
        <w:rPr>
          <w:rFonts w:hint="eastAsia" w:ascii="宋体" w:hAnsi="宋体" w:eastAsia="宋体" w:cs="宋体"/>
          <w:color w:val="auto"/>
          <w:szCs w:val="21"/>
          <w:highlight w:val="none"/>
          <w:lang w:eastAsia="zh-CN"/>
        </w:rPr>
        <w:t>供应商</w:t>
      </w:r>
      <w:r>
        <w:rPr>
          <w:rFonts w:hint="eastAsia" w:ascii="宋体" w:hAnsi="宋体" w:eastAsia="Arial" w:cs="宋体"/>
          <w:color w:val="auto"/>
          <w:szCs w:val="21"/>
          <w:highlight w:val="none"/>
        </w:rPr>
        <w:t>可以参照或者选用其他相当的品牌、型号或者生产厂家替代，但选用的</w:t>
      </w:r>
      <w:r>
        <w:rPr>
          <w:rFonts w:hint="eastAsia" w:ascii="宋体" w:hAnsi="宋体" w:eastAsia="宋体" w:cs="宋体"/>
          <w:color w:val="auto"/>
          <w:szCs w:val="21"/>
          <w:highlight w:val="none"/>
          <w:lang w:eastAsia="zh-CN"/>
        </w:rPr>
        <w:t>竞</w:t>
      </w:r>
      <w:r>
        <w:rPr>
          <w:rFonts w:hint="eastAsia" w:ascii="宋体" w:hAnsi="宋体" w:eastAsia="Arial" w:cs="宋体"/>
          <w:color w:val="auto"/>
          <w:szCs w:val="21"/>
          <w:highlight w:val="none"/>
        </w:rPr>
        <w:t>标产品参数性能必须满足实质性要求。</w:t>
      </w:r>
    </w:p>
    <w:p w14:paraId="7976E170">
      <w:pPr>
        <w:spacing w:line="360" w:lineRule="auto"/>
        <w:ind w:firstLine="424" w:firstLineChars="202"/>
        <w:jc w:val="left"/>
        <w:rPr>
          <w:rFonts w:hint="eastAsia" w:ascii="宋体" w:hAnsi="宋体" w:eastAsia="宋体" w:cs="宋体"/>
          <w:b/>
          <w:bCs/>
          <w:color w:val="auto"/>
          <w:szCs w:val="21"/>
          <w:highlight w:val="none"/>
        </w:rPr>
      </w:pPr>
      <w:r>
        <w:rPr>
          <w:rFonts w:hint="eastAsia" w:ascii="宋体" w:hAnsi="宋体" w:eastAsia="Arial" w:cs="宋体"/>
          <w:color w:val="auto"/>
          <w:szCs w:val="21"/>
          <w:highlight w:val="none"/>
        </w:rPr>
        <w:t>7.根据《关于在政府采购活动中对有关美国企业采取相关措施的通知》（财库〔2026〕10号）的规定，供应商提供的产品不得为财库〔2026〕10号文件附件规定的46家美国企业（不包括在华美资企业）生产的产品。</w:t>
      </w:r>
    </w:p>
    <w:p w14:paraId="2816F350">
      <w:pPr>
        <w:widowControl/>
        <w:jc w:val="left"/>
        <w:rPr>
          <w:rFonts w:hint="eastAsia" w:ascii="黑体" w:hAnsi="黑体" w:eastAsia="黑体" w:cs="黑体"/>
          <w:color w:val="auto"/>
          <w:sz w:val="32"/>
          <w:szCs w:val="32"/>
          <w:highlight w:val="none"/>
        </w:rPr>
      </w:pPr>
    </w:p>
    <w:p w14:paraId="0642E6BB">
      <w:pPr>
        <w:widowControl/>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br w:type="page"/>
      </w:r>
    </w:p>
    <w:p w14:paraId="39C68422">
      <w:pPr>
        <w:keepNext w:val="0"/>
        <w:keepLines w:val="0"/>
        <w:pageBreakBefore w:val="0"/>
        <w:kinsoku/>
        <w:wordWrap/>
        <w:overflowPunct/>
        <w:topLinePunct w:val="0"/>
        <w:bidi w:val="0"/>
        <w:spacing w:line="312" w:lineRule="auto"/>
        <w:ind w:firstLine="310" w:firstLineChars="147"/>
        <w:jc w:val="left"/>
        <w:textAlignment w:val="auto"/>
        <w:rPr>
          <w:rFonts w:hint="eastAsia" w:ascii="宋体" w:hAnsi="宋体" w:eastAsia="宋体" w:cs="宋体"/>
          <w:b/>
          <w:bCs/>
          <w:color w:val="auto"/>
          <w:szCs w:val="21"/>
          <w:highlight w:val="none"/>
          <w:lang w:eastAsia="zh-CN"/>
        </w:rPr>
      </w:pPr>
      <w:r>
        <w:rPr>
          <w:rFonts w:hint="eastAsia" w:ascii="宋体" w:hAnsi="宋体" w:eastAsia="宋体" w:cs="宋体"/>
          <w:b/>
          <w:color w:val="auto"/>
          <w:szCs w:val="21"/>
          <w:highlight w:val="none"/>
        </w:rPr>
        <w:t>采购预算：</w:t>
      </w:r>
      <w:r>
        <w:rPr>
          <w:rFonts w:hint="eastAsia" w:ascii="宋体" w:hAnsi="宋体" w:cs="宋体"/>
          <w:b/>
          <w:color w:val="auto"/>
          <w:szCs w:val="21"/>
          <w:highlight w:val="none"/>
          <w:lang w:val="en-US" w:eastAsia="zh-CN"/>
        </w:rPr>
        <w:t>1400000</w:t>
      </w:r>
      <w:r>
        <w:rPr>
          <w:rFonts w:hint="eastAsia" w:ascii="宋体" w:hAnsi="宋体" w:cs="宋体"/>
          <w:b/>
          <w:color w:val="auto"/>
          <w:szCs w:val="21"/>
          <w:highlight w:val="none"/>
          <w:lang w:eastAsia="zh-CN"/>
        </w:rPr>
        <w:t>.00元</w:t>
      </w:r>
    </w:p>
    <w:tbl>
      <w:tblPr>
        <w:tblStyle w:val="31"/>
        <w:tblW w:w="974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113" w:type="dxa"/>
          <w:left w:w="113" w:type="dxa"/>
          <w:bottom w:w="113" w:type="dxa"/>
          <w:right w:w="113" w:type="dxa"/>
        </w:tblCellMar>
      </w:tblPr>
      <w:tblGrid>
        <w:gridCol w:w="848"/>
        <w:gridCol w:w="1384"/>
        <w:gridCol w:w="716"/>
        <w:gridCol w:w="6799"/>
      </w:tblGrid>
      <w:tr w14:paraId="15BD1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478" w:hRule="atLeast"/>
          <w:jc w:val="center"/>
        </w:trPr>
        <w:tc>
          <w:tcPr>
            <w:tcW w:w="9747" w:type="dxa"/>
            <w:gridSpan w:val="4"/>
            <w:vAlign w:val="center"/>
          </w:tcPr>
          <w:p w14:paraId="4931FA7A">
            <w:pPr>
              <w:keepNext w:val="0"/>
              <w:keepLines w:val="0"/>
              <w:pageBreakBefore w:val="0"/>
              <w:numPr>
                <w:ilvl w:val="0"/>
                <w:numId w:val="3"/>
              </w:numPr>
              <w:kinsoku/>
              <w:wordWrap/>
              <w:overflowPunct/>
              <w:topLinePunct w:val="0"/>
              <w:bidi w:val="0"/>
              <w:spacing w:line="360" w:lineRule="auto"/>
              <w:jc w:val="left"/>
              <w:textAlignment w:val="auto"/>
              <w:rPr>
                <w:rFonts w:hint="eastAsia" w:eastAsia="宋体"/>
                <w:color w:val="auto"/>
                <w:highlight w:val="none"/>
                <w:lang w:eastAsia="zh-CN"/>
              </w:rPr>
            </w:pPr>
            <w:r>
              <w:rPr>
                <w:rFonts w:hint="eastAsia" w:ascii="宋体" w:hAnsi="宋体" w:eastAsia="宋体" w:cs="宋体"/>
                <w:b/>
                <w:color w:val="auto"/>
                <w:szCs w:val="21"/>
                <w:highlight w:val="none"/>
                <w:u w:val="none"/>
                <w:lang w:eastAsia="zh-CN"/>
              </w:rPr>
              <w:t>服务要求</w:t>
            </w:r>
          </w:p>
        </w:tc>
      </w:tr>
      <w:tr w14:paraId="1EE9DF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9747" w:type="dxa"/>
            <w:gridSpan w:val="4"/>
            <w:vAlign w:val="center"/>
          </w:tcPr>
          <w:p w14:paraId="6D587553">
            <w:pPr>
              <w:keepNext w:val="0"/>
              <w:keepLines w:val="0"/>
              <w:pageBreakBefore w:val="0"/>
              <w:kinsoku/>
              <w:wordWrap/>
              <w:overflowPunct/>
              <w:topLinePunct w:val="0"/>
              <w:bidi w:val="0"/>
              <w:spacing w:line="360" w:lineRule="auto"/>
              <w:jc w:val="left"/>
              <w:textAlignment w:val="auto"/>
              <w:rPr>
                <w:rFonts w:hint="eastAsia" w:ascii="宋体" w:hAnsi="宋体" w:eastAsia="宋体" w:cs="宋体"/>
                <w:b/>
                <w:color w:val="auto"/>
                <w:kern w:val="1"/>
                <w:szCs w:val="21"/>
                <w:highlight w:val="none"/>
                <w:lang w:eastAsia="zh-CN"/>
              </w:rPr>
            </w:pPr>
            <w:r>
              <w:rPr>
                <w:rFonts w:hint="eastAsia" w:ascii="宋体" w:hAnsi="宋体" w:eastAsia="宋体" w:cs="宋体"/>
                <w:b/>
                <w:color w:val="auto"/>
                <w:kern w:val="1"/>
                <w:szCs w:val="21"/>
                <w:highlight w:val="none"/>
              </w:rPr>
              <w:t>1</w:t>
            </w:r>
            <w:r>
              <w:rPr>
                <w:rFonts w:hint="eastAsia" w:ascii="宋体" w:hAnsi="宋体" w:cs="宋体"/>
                <w:b/>
                <w:color w:val="auto"/>
                <w:kern w:val="1"/>
                <w:szCs w:val="21"/>
                <w:highlight w:val="none"/>
                <w:lang w:eastAsia="zh-CN"/>
              </w:rPr>
              <w:t>.</w:t>
            </w:r>
            <w:r>
              <w:rPr>
                <w:rFonts w:hint="eastAsia" w:ascii="宋体" w:hAnsi="宋体" w:cs="宋体"/>
                <w:b/>
                <w:color w:val="auto"/>
                <w:kern w:val="1"/>
                <w:szCs w:val="21"/>
                <w:highlight w:val="none"/>
                <w:lang w:val="en-US" w:eastAsia="zh-CN"/>
              </w:rPr>
              <w:t>学校概况及配送范围</w:t>
            </w:r>
          </w:p>
          <w:p w14:paraId="72702358">
            <w:pPr>
              <w:keepNext w:val="0"/>
              <w:keepLines w:val="0"/>
              <w:pageBreakBefore w:val="0"/>
              <w:kinsoku/>
              <w:wordWrap/>
              <w:overflowPunct/>
              <w:topLinePunct w:val="0"/>
              <w:bidi w:val="0"/>
              <w:spacing w:line="360" w:lineRule="auto"/>
              <w:jc w:val="left"/>
              <w:textAlignment w:val="auto"/>
              <w:rPr>
                <w:rFonts w:hint="default"/>
                <w:b/>
                <w:bCs/>
                <w:color w:val="auto"/>
                <w:highlight w:val="none"/>
                <w:lang w:val="en-US" w:eastAsia="zh-CN"/>
              </w:rPr>
            </w:pPr>
            <w:r>
              <w:rPr>
                <w:rFonts w:hint="eastAsia" w:ascii="宋体" w:hAnsi="宋体" w:eastAsia="宋体" w:cs="宋体"/>
                <w:b/>
                <w:bCs/>
                <w:color w:val="auto"/>
                <w:kern w:val="1"/>
                <w:szCs w:val="21"/>
                <w:highlight w:val="none"/>
                <w:lang w:eastAsia="zh-CN"/>
              </w:rPr>
              <w:t>（</w:t>
            </w:r>
            <w:r>
              <w:rPr>
                <w:rFonts w:hint="eastAsia" w:ascii="宋体" w:hAnsi="宋体" w:eastAsia="宋体" w:cs="宋体"/>
                <w:b/>
                <w:bCs/>
                <w:color w:val="auto"/>
                <w:kern w:val="1"/>
                <w:szCs w:val="21"/>
                <w:highlight w:val="none"/>
                <w:lang w:val="en-US" w:eastAsia="zh-CN"/>
              </w:rPr>
              <w:t>1</w:t>
            </w:r>
            <w:r>
              <w:rPr>
                <w:rFonts w:hint="eastAsia" w:ascii="宋体" w:hAnsi="宋体" w:eastAsia="宋体" w:cs="宋体"/>
                <w:b/>
                <w:bCs/>
                <w:color w:val="auto"/>
                <w:kern w:val="1"/>
                <w:szCs w:val="21"/>
                <w:highlight w:val="none"/>
                <w:lang w:eastAsia="zh-CN"/>
              </w:rPr>
              <w:t>）学校概况：</w:t>
            </w:r>
            <w:r>
              <w:rPr>
                <w:rFonts w:hint="eastAsia" w:ascii="宋体" w:hAnsi="宋体" w:eastAsia="宋体" w:cs="宋体"/>
                <w:b/>
                <w:bCs/>
                <w:color w:val="auto"/>
                <w:kern w:val="1"/>
                <w:szCs w:val="21"/>
                <w:highlight w:val="none"/>
                <w:lang w:eastAsia="zh-CN"/>
              </w:rPr>
              <w:t>学校地址在</w:t>
            </w:r>
            <w:r>
              <w:rPr>
                <w:rFonts w:hint="eastAsia" w:ascii="宋体" w:hAnsi="宋体" w:cs="宋体"/>
                <w:b/>
                <w:bCs/>
                <w:color w:val="auto"/>
                <w:kern w:val="1"/>
                <w:szCs w:val="21"/>
                <w:highlight w:val="none"/>
                <w:lang w:eastAsia="zh-CN"/>
              </w:rPr>
              <w:t>平南县马练瑶族乡</w:t>
            </w:r>
            <w:r>
              <w:rPr>
                <w:rFonts w:hint="eastAsia" w:ascii="宋体" w:hAnsi="宋体" w:eastAsia="宋体" w:cs="宋体"/>
                <w:b/>
                <w:bCs/>
                <w:color w:val="auto"/>
                <w:kern w:val="1"/>
                <w:szCs w:val="21"/>
                <w:highlight w:val="none"/>
                <w:lang w:val="en-US" w:eastAsia="zh-CN"/>
              </w:rPr>
              <w:t>。</w:t>
            </w:r>
          </w:p>
          <w:p w14:paraId="2F928F37">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lang w:eastAsia="zh-CN"/>
              </w:rPr>
              <w:t>（</w:t>
            </w:r>
            <w:r>
              <w:rPr>
                <w:rFonts w:hint="eastAsia" w:ascii="宋体" w:hAnsi="宋体" w:eastAsia="宋体" w:cs="宋体"/>
                <w:color w:val="auto"/>
                <w:kern w:val="1"/>
                <w:szCs w:val="21"/>
                <w:highlight w:val="none"/>
                <w:lang w:val="en-US" w:eastAsia="zh-CN"/>
              </w:rPr>
              <w:t>2</w:t>
            </w:r>
            <w:r>
              <w:rPr>
                <w:rFonts w:hint="eastAsia" w:ascii="宋体" w:hAnsi="宋体" w:eastAsia="宋体" w:cs="宋体"/>
                <w:color w:val="auto"/>
                <w:kern w:val="1"/>
                <w:szCs w:val="21"/>
                <w:highlight w:val="none"/>
                <w:lang w:eastAsia="zh-CN"/>
              </w:rPr>
              <w:t>）配送范围：</w:t>
            </w:r>
            <w:r>
              <w:rPr>
                <w:rFonts w:hint="eastAsia" w:ascii="宋体" w:hAnsi="宋体" w:eastAsia="宋体" w:cs="宋体"/>
                <w:color w:val="auto"/>
                <w:kern w:val="1"/>
                <w:szCs w:val="21"/>
                <w:highlight w:val="none"/>
              </w:rPr>
              <w:t>纳入统一配送的食品原材料为学校食堂所需的食材</w:t>
            </w:r>
            <w:r>
              <w:rPr>
                <w:rFonts w:hint="eastAsia" w:ascii="宋体" w:hAnsi="宋体" w:cs="宋体"/>
                <w:color w:val="auto"/>
                <w:kern w:val="1"/>
                <w:szCs w:val="21"/>
                <w:highlight w:val="none"/>
                <w:lang w:eastAsia="zh-CN"/>
              </w:rPr>
              <w:t>，</w:t>
            </w:r>
            <w:r>
              <w:rPr>
                <w:rFonts w:hint="eastAsia" w:ascii="宋体" w:hAnsi="宋体" w:eastAsia="宋体" w:cs="宋体"/>
                <w:color w:val="auto"/>
                <w:kern w:val="1"/>
                <w:szCs w:val="21"/>
                <w:highlight w:val="none"/>
              </w:rPr>
              <w:t>包括（包括但不限于以下品种）：蔬菜，禽蛋类，肉类，鲜活水产类，大米、豆制品、食用油等类，</w:t>
            </w:r>
            <w:r>
              <w:rPr>
                <w:rFonts w:hint="eastAsia" w:ascii="宋体" w:hAnsi="宋体" w:cs="宋体"/>
                <w:color w:val="auto"/>
                <w:szCs w:val="21"/>
                <w:highlight w:val="none"/>
              </w:rPr>
              <w:t>调味品、干杂货食品类</w:t>
            </w:r>
            <w:r>
              <w:rPr>
                <w:rFonts w:hint="eastAsia" w:ascii="宋体" w:hAnsi="宋体" w:eastAsia="宋体" w:cs="宋体"/>
                <w:color w:val="auto"/>
                <w:kern w:val="1"/>
                <w:szCs w:val="21"/>
                <w:highlight w:val="none"/>
              </w:rPr>
              <w:t>，牛奶、面包、糕点类，粉类</w:t>
            </w:r>
            <w:r>
              <w:rPr>
                <w:rFonts w:hint="eastAsia" w:ascii="宋体" w:hAnsi="宋体" w:cs="宋体"/>
                <w:color w:val="auto"/>
                <w:kern w:val="1"/>
                <w:szCs w:val="21"/>
                <w:highlight w:val="none"/>
                <w:lang w:eastAsia="zh-CN"/>
              </w:rPr>
              <w:t>等，供应商每类食品原材料须提供六种以上产品供采购人自主选购</w:t>
            </w:r>
            <w:r>
              <w:rPr>
                <w:rFonts w:hint="eastAsia" w:ascii="宋体" w:hAnsi="宋体" w:eastAsia="宋体" w:cs="宋体"/>
                <w:color w:val="auto"/>
                <w:kern w:val="1"/>
                <w:szCs w:val="21"/>
                <w:highlight w:val="none"/>
              </w:rPr>
              <w:t>。</w:t>
            </w:r>
          </w:p>
          <w:p w14:paraId="3F4835FD">
            <w:pPr>
              <w:keepNext w:val="0"/>
              <w:keepLines w:val="0"/>
              <w:pageBreakBefore w:val="0"/>
              <w:numPr>
                <w:ilvl w:val="0"/>
                <w:numId w:val="0"/>
              </w:numPr>
              <w:kinsoku/>
              <w:wordWrap/>
              <w:overflowPunct/>
              <w:topLinePunct w:val="0"/>
              <w:bidi w:val="0"/>
              <w:spacing w:line="360" w:lineRule="auto"/>
              <w:ind w:left="0" w:leftChars="0" w:firstLine="0" w:firstLineChars="0"/>
              <w:jc w:val="left"/>
              <w:textAlignment w:val="auto"/>
              <w:rPr>
                <w:rFonts w:hint="eastAsia" w:ascii="宋体" w:hAnsi="宋体" w:eastAsia="宋体" w:cs="宋体"/>
                <w:b/>
                <w:bCs/>
                <w:color w:val="auto"/>
                <w:spacing w:val="-3"/>
                <w:szCs w:val="21"/>
                <w:highlight w:val="none"/>
              </w:rPr>
            </w:pPr>
            <w:r>
              <w:rPr>
                <w:rFonts w:hint="default" w:ascii="宋体" w:hAnsi="宋体" w:eastAsia="宋体" w:cs="宋体"/>
                <w:b/>
                <w:bCs/>
                <w:color w:val="auto"/>
                <w:spacing w:val="-3"/>
                <w:kern w:val="2"/>
                <w:sz w:val="21"/>
                <w:szCs w:val="21"/>
                <w:highlight w:val="none"/>
                <w:lang w:val="en-US" w:eastAsia="zh-CN" w:bidi="ar-SA"/>
              </w:rPr>
              <w:t>2</w:t>
            </w:r>
            <w:r>
              <w:rPr>
                <w:rFonts w:hint="eastAsia" w:ascii="宋体" w:hAnsi="宋体" w:cs="宋体"/>
                <w:b/>
                <w:bCs/>
                <w:color w:val="auto"/>
                <w:spacing w:val="-3"/>
                <w:kern w:val="2"/>
                <w:sz w:val="21"/>
                <w:szCs w:val="21"/>
                <w:highlight w:val="none"/>
                <w:lang w:val="en-US" w:eastAsia="zh-CN" w:bidi="ar-SA"/>
              </w:rPr>
              <w:t>.项目整体</w:t>
            </w:r>
            <w:r>
              <w:rPr>
                <w:rFonts w:hint="eastAsia" w:ascii="宋体" w:hAnsi="宋体" w:eastAsia="宋体" w:cs="宋体"/>
                <w:b/>
                <w:bCs/>
                <w:color w:val="auto"/>
                <w:kern w:val="1"/>
                <w:szCs w:val="21"/>
                <w:highlight w:val="none"/>
              </w:rPr>
              <w:t>执行标准：</w:t>
            </w:r>
            <w:r>
              <w:rPr>
                <w:rFonts w:hint="eastAsia" w:ascii="宋体" w:hAnsi="宋体" w:eastAsia="宋体" w:cs="宋体"/>
                <w:color w:val="auto"/>
                <w:kern w:val="1"/>
                <w:szCs w:val="21"/>
                <w:highlight w:val="none"/>
              </w:rPr>
              <w:t>食品中污染物限量应符合GB2762-2022标准，食品中农药残留量符合GB2763-2021标准；不得采购转基因食品或利用转基因食品原料加工的成品；食品原料新鲜、清洁卫生，同时对每批次食品原料进行检测，具有</w:t>
            </w:r>
            <w:r>
              <w:rPr>
                <w:rFonts w:hint="eastAsia" w:ascii="宋体" w:hAnsi="宋体" w:eastAsia="宋体" w:cs="宋体"/>
                <w:color w:val="auto"/>
                <w:kern w:val="1"/>
                <w:szCs w:val="21"/>
                <w:highlight w:val="none"/>
                <w:lang w:eastAsia="zh-CN"/>
              </w:rPr>
              <w:t>食品安监部门或国家承认的检测机构</w:t>
            </w:r>
            <w:r>
              <w:rPr>
                <w:rFonts w:hint="eastAsia" w:ascii="宋体" w:hAnsi="宋体" w:eastAsia="宋体" w:cs="宋体"/>
                <w:color w:val="auto"/>
                <w:kern w:val="1"/>
                <w:szCs w:val="21"/>
                <w:highlight w:val="none"/>
              </w:rPr>
              <w:t>颁发的质量检验报告（同批次），供货时进行提供。</w:t>
            </w:r>
          </w:p>
          <w:p w14:paraId="32F8A198">
            <w:pPr>
              <w:keepNext w:val="0"/>
              <w:keepLines w:val="0"/>
              <w:pageBreakBefore w:val="0"/>
              <w:numPr>
                <w:ilvl w:val="0"/>
                <w:numId w:val="0"/>
              </w:numPr>
              <w:kinsoku/>
              <w:wordWrap/>
              <w:overflowPunct/>
              <w:topLinePunct w:val="0"/>
              <w:bidi w:val="0"/>
              <w:spacing w:line="360" w:lineRule="auto"/>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大宗食材主要技术指标</w:t>
            </w:r>
            <w:r>
              <w:rPr>
                <w:rFonts w:hint="eastAsia" w:ascii="宋体" w:hAnsi="宋体" w:eastAsia="宋体" w:cs="宋体"/>
                <w:b/>
                <w:bCs/>
                <w:color w:val="auto"/>
                <w:szCs w:val="21"/>
                <w:highlight w:val="none"/>
                <w:lang w:eastAsia="zh-CN"/>
              </w:rPr>
              <w:t>：（如下）</w:t>
            </w:r>
          </w:p>
        </w:tc>
      </w:tr>
      <w:tr w14:paraId="422F3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13CB6793">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bCs/>
                <w:color w:val="auto"/>
                <w:spacing w:val="-3"/>
                <w:szCs w:val="21"/>
                <w:highlight w:val="none"/>
              </w:rPr>
              <w:t>序号</w:t>
            </w:r>
          </w:p>
        </w:tc>
        <w:tc>
          <w:tcPr>
            <w:tcW w:w="1384" w:type="dxa"/>
            <w:vAlign w:val="center"/>
          </w:tcPr>
          <w:p w14:paraId="562C2AC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bCs/>
                <w:color w:val="auto"/>
                <w:spacing w:val="-3"/>
                <w:szCs w:val="21"/>
                <w:highlight w:val="none"/>
                <w:lang w:eastAsia="zh-CN"/>
              </w:rPr>
              <w:t>品类</w:t>
            </w:r>
          </w:p>
        </w:tc>
        <w:tc>
          <w:tcPr>
            <w:tcW w:w="716" w:type="dxa"/>
            <w:vAlign w:val="center"/>
          </w:tcPr>
          <w:p w14:paraId="6D2013E8">
            <w:pPr>
              <w:keepNext w:val="0"/>
              <w:keepLines w:val="0"/>
              <w:pageBreakBefore w:val="0"/>
              <w:kinsoku/>
              <w:wordWrap/>
              <w:overflowPunct/>
              <w:topLinePunct w:val="0"/>
              <w:autoSpaceDE w:val="0"/>
              <w:autoSpaceDN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数量及单位</w:t>
            </w:r>
          </w:p>
        </w:tc>
        <w:tc>
          <w:tcPr>
            <w:tcW w:w="6799" w:type="dxa"/>
            <w:vAlign w:val="center"/>
          </w:tcPr>
          <w:p w14:paraId="684BF05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w:t>
            </w:r>
            <w:r>
              <w:rPr>
                <w:rFonts w:hint="eastAsia" w:ascii="宋体" w:hAnsi="宋体" w:eastAsia="宋体" w:cs="宋体"/>
                <w:b/>
                <w:color w:val="auto"/>
                <w:szCs w:val="21"/>
                <w:highlight w:val="none"/>
              </w:rPr>
              <w:t>服务内容</w:t>
            </w:r>
          </w:p>
        </w:tc>
      </w:tr>
      <w:tr w14:paraId="54861F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161FD69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1</w:t>
            </w:r>
          </w:p>
        </w:tc>
        <w:tc>
          <w:tcPr>
            <w:tcW w:w="1384" w:type="dxa"/>
            <w:vAlign w:val="center"/>
          </w:tcPr>
          <w:p w14:paraId="52EB2E6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蔬菜</w:t>
            </w:r>
          </w:p>
        </w:tc>
        <w:tc>
          <w:tcPr>
            <w:tcW w:w="716" w:type="dxa"/>
            <w:vAlign w:val="center"/>
          </w:tcPr>
          <w:p w14:paraId="371B4D9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288F1D5B">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蔬菜保证新鲜并通过快速检测农药残留含量不超过食品安全标准限量，且符合现行《食用农产品市场销售质量安全监督管理办法》（国家市场监督管理总局令第81号）的要求。</w:t>
            </w:r>
          </w:p>
          <w:p w14:paraId="0082DE35">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03783B9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的货物采购清单提供相应数量的货物。</w:t>
            </w:r>
          </w:p>
          <w:p w14:paraId="500B111B">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5B5E7BE8">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75015CBD">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⑴必须符合国家食品安全卫生标准。符合《中华人民共和国食品安全法》要求，尽量采用当地时令新鲜蔬菜。蔬菜可食用率必须达95%以上。</w:t>
            </w:r>
          </w:p>
          <w:p w14:paraId="6F7EF092">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⑵瓜、果、蔬菜必须保证新鲜，绿色环保。无公害、无污染、无农药残留；蔬菜残留农药检测合格，必须提供残留农药检测合格证明。质量符合国家相关规定的要求，每批次有专人负责每天检测并记录。</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对每批次蔬菜进行农药残留进行抽检，如含量超标将要求</w:t>
            </w:r>
            <w:r>
              <w:rPr>
                <w:rFonts w:hint="eastAsia" w:ascii="宋体" w:hAnsi="宋体" w:cs="宋体"/>
                <w:color w:val="auto"/>
                <w:kern w:val="1"/>
                <w:szCs w:val="21"/>
                <w:highlight w:val="none"/>
                <w:lang w:eastAsia="zh-CN"/>
              </w:rPr>
              <w:t>供应商</w:t>
            </w:r>
            <w:r>
              <w:rPr>
                <w:rFonts w:hint="eastAsia" w:ascii="宋体" w:hAnsi="宋体" w:eastAsia="宋体" w:cs="宋体"/>
                <w:color w:val="auto"/>
                <w:kern w:val="1"/>
                <w:szCs w:val="21"/>
                <w:highlight w:val="none"/>
              </w:rPr>
              <w:t>无条件退货或换货。</w:t>
            </w:r>
          </w:p>
          <w:p w14:paraId="230CC88F">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⑶有相对固定的供货渠道，有完善的货物来源记录。</w:t>
            </w:r>
          </w:p>
        </w:tc>
      </w:tr>
      <w:tr w14:paraId="60E191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7313B01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2</w:t>
            </w:r>
          </w:p>
        </w:tc>
        <w:tc>
          <w:tcPr>
            <w:tcW w:w="1384" w:type="dxa"/>
            <w:vAlign w:val="center"/>
          </w:tcPr>
          <w:p w14:paraId="6905231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禽蛋类</w:t>
            </w:r>
          </w:p>
        </w:tc>
        <w:tc>
          <w:tcPr>
            <w:tcW w:w="716" w:type="dxa"/>
            <w:vAlign w:val="center"/>
          </w:tcPr>
          <w:p w14:paraId="65EED2A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3FB1FDE6">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新鲜、无变质、无臭蛋，不得来自疫区。</w:t>
            </w:r>
          </w:p>
          <w:p w14:paraId="6E6C0EBD">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11B3CC0">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65CD1920">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64DDABDA">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4D136482">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⑴必须符合食品安全的相关要求。</w:t>
            </w:r>
          </w:p>
          <w:p w14:paraId="21B914A9">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具有禽蛋固有的色泽。蛋壳清洁无斑点、无污染、无破裂、打开后蛋壳凸起、完整、有韧性，蛋白澄清透明，稀稠分明。无异味。无杂质，内容不得有血块及其他组织异物。符合《食品安全国家标准蛋与蛋制品》（GB2749-2015）相关的要求。达到国家食品标准和卫生标准，无毒害、无腐烂变质，疫苗用药严禁使用违禁药品、无公害无药残无激素。</w:t>
            </w:r>
          </w:p>
          <w:p w14:paraId="3F7F6D16">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⑶必须符合《中华人民共和国食品安全法》要求，供货时提供批次检验合格证</w:t>
            </w:r>
            <w:r>
              <w:rPr>
                <w:rFonts w:hint="eastAsia" w:ascii="宋体" w:hAnsi="宋体" w:cs="宋体"/>
                <w:color w:val="auto"/>
                <w:kern w:val="1"/>
                <w:szCs w:val="21"/>
                <w:highlight w:val="none"/>
                <w:lang w:val="en-US" w:eastAsia="zh-CN"/>
              </w:rPr>
              <w:t>,包装</w:t>
            </w:r>
            <w:r>
              <w:rPr>
                <w:rFonts w:hint="eastAsia" w:ascii="宋体" w:hAnsi="宋体" w:eastAsia="宋体" w:cs="宋体"/>
                <w:bCs/>
                <w:color w:val="auto"/>
                <w:kern w:val="2"/>
                <w:sz w:val="21"/>
                <w:szCs w:val="21"/>
                <w:highlight w:val="none"/>
                <w:lang w:val="en-US" w:eastAsia="zh-CN" w:bidi="ar-SA"/>
              </w:rPr>
              <w:t>清晰标示生产日期（产蛋日期）、保质期、供应商、</w:t>
            </w:r>
            <w:r>
              <w:rPr>
                <w:rFonts w:hint="eastAsia" w:ascii="宋体" w:hAnsi="宋体" w:cs="宋体"/>
                <w:color w:val="auto"/>
                <w:kern w:val="1"/>
                <w:szCs w:val="21"/>
                <w:highlight w:val="none"/>
                <w:lang w:val="en-US" w:eastAsia="zh-CN"/>
              </w:rPr>
              <w:t>产地等信息清晰</w:t>
            </w:r>
            <w:r>
              <w:rPr>
                <w:rFonts w:hint="eastAsia" w:ascii="宋体" w:hAnsi="宋体" w:eastAsia="宋体" w:cs="宋体"/>
                <w:color w:val="auto"/>
                <w:kern w:val="1"/>
                <w:szCs w:val="21"/>
                <w:highlight w:val="none"/>
              </w:rPr>
              <w:t>，是当前市场上正在流通的产品。</w:t>
            </w:r>
          </w:p>
        </w:tc>
      </w:tr>
      <w:tr w14:paraId="606B2F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3CEEBD3D">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3</w:t>
            </w:r>
          </w:p>
        </w:tc>
        <w:tc>
          <w:tcPr>
            <w:tcW w:w="1384" w:type="dxa"/>
            <w:vAlign w:val="center"/>
          </w:tcPr>
          <w:p w14:paraId="05B8DF22">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lang w:eastAsia="zh-CN"/>
              </w:rPr>
            </w:pPr>
            <w:r>
              <w:rPr>
                <w:rFonts w:hint="eastAsia" w:ascii="宋体" w:hAnsi="宋体" w:eastAsia="宋体" w:cs="宋体"/>
                <w:color w:val="auto"/>
                <w:spacing w:val="-3"/>
                <w:kern w:val="1"/>
                <w:szCs w:val="21"/>
                <w:highlight w:val="none"/>
              </w:rPr>
              <w:t>畜</w:t>
            </w:r>
            <w:r>
              <w:rPr>
                <w:rFonts w:hint="eastAsia" w:ascii="宋体" w:hAnsi="宋体" w:eastAsia="宋体" w:cs="宋体"/>
                <w:color w:val="auto"/>
                <w:spacing w:val="-3"/>
                <w:kern w:val="1"/>
                <w:szCs w:val="21"/>
                <w:highlight w:val="none"/>
                <w:lang w:eastAsia="zh-CN"/>
              </w:rPr>
              <w:t>、</w:t>
            </w:r>
            <w:r>
              <w:rPr>
                <w:rFonts w:hint="eastAsia" w:ascii="宋体" w:hAnsi="宋体" w:eastAsia="宋体" w:cs="宋体"/>
                <w:color w:val="auto"/>
                <w:spacing w:val="-3"/>
                <w:kern w:val="1"/>
                <w:szCs w:val="21"/>
                <w:highlight w:val="none"/>
              </w:rPr>
              <w:t>禽肉</w:t>
            </w:r>
            <w:r>
              <w:rPr>
                <w:rFonts w:hint="eastAsia" w:ascii="宋体" w:hAnsi="宋体" w:eastAsia="宋体" w:cs="宋体"/>
                <w:color w:val="auto"/>
                <w:spacing w:val="-3"/>
                <w:kern w:val="1"/>
                <w:szCs w:val="21"/>
                <w:highlight w:val="none"/>
                <w:lang w:eastAsia="zh-CN"/>
              </w:rPr>
              <w:t>类</w:t>
            </w:r>
          </w:p>
        </w:tc>
        <w:tc>
          <w:tcPr>
            <w:tcW w:w="716" w:type="dxa"/>
            <w:vAlign w:val="center"/>
          </w:tcPr>
          <w:p w14:paraId="7BA3AD5D">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31F3BBF7">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3A515C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6A58763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2FCC52FB">
            <w:pPr>
              <w:keepNext w:val="0"/>
              <w:keepLines w:val="0"/>
              <w:pageBreakBefore w:val="0"/>
              <w:kinsoku/>
              <w:wordWrap/>
              <w:overflowPunct/>
              <w:topLinePunct w:val="0"/>
              <w:bidi w:val="0"/>
              <w:spacing w:line="360" w:lineRule="auto"/>
              <w:ind w:firstLine="420"/>
              <w:textAlignment w:val="auto"/>
              <w:rPr>
                <w:rFonts w:hint="default"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rPr>
              <w:t>⑶</w:t>
            </w:r>
            <w:r>
              <w:rPr>
                <w:rFonts w:hint="eastAsia" w:ascii="宋体" w:hAnsi="宋体" w:cs="宋体"/>
                <w:color w:val="auto"/>
                <w:kern w:val="1"/>
                <w:szCs w:val="21"/>
                <w:highlight w:val="none"/>
                <w:lang w:val="en-US" w:eastAsia="zh-CN"/>
              </w:rPr>
              <w:t>所有肉类须按采购人要求分切、包装、标注品名、重量、宰杀日期，</w:t>
            </w:r>
            <w:r>
              <w:rPr>
                <w:rFonts w:hint="eastAsia" w:ascii="宋体" w:hAnsi="宋体" w:eastAsia="宋体" w:cs="宋体"/>
                <w:color w:val="auto"/>
                <w:kern w:val="1"/>
                <w:szCs w:val="21"/>
                <w:highlight w:val="none"/>
                <w:lang w:val="en-US" w:eastAsia="zh-CN"/>
              </w:rPr>
              <w:t>所有肉类（牛肉、猪肉、鸡肉等）均为热鲜肉，不得配送冷冻肉。</w:t>
            </w:r>
          </w:p>
          <w:p w14:paraId="3D58370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D5DC3DF">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spacing w:val="-3"/>
                <w:kern w:val="1"/>
                <w:szCs w:val="21"/>
                <w:highlight w:val="none"/>
              </w:rPr>
              <w:t>猪肉、牛肉</w:t>
            </w:r>
            <w:r>
              <w:rPr>
                <w:rFonts w:hint="eastAsia" w:ascii="宋体" w:hAnsi="宋体" w:eastAsia="宋体" w:cs="宋体"/>
                <w:b/>
                <w:color w:val="auto"/>
                <w:spacing w:val="-3"/>
                <w:kern w:val="1"/>
                <w:szCs w:val="21"/>
                <w:highlight w:val="none"/>
                <w:lang w:eastAsia="zh-CN"/>
              </w:rPr>
              <w:t>、羊肉</w:t>
            </w:r>
            <w:r>
              <w:rPr>
                <w:rFonts w:hint="eastAsia" w:ascii="宋体" w:hAnsi="宋体" w:eastAsia="宋体" w:cs="宋体"/>
                <w:b/>
                <w:color w:val="auto"/>
                <w:spacing w:val="-3"/>
                <w:kern w:val="1"/>
                <w:szCs w:val="21"/>
                <w:highlight w:val="none"/>
              </w:rPr>
              <w:t>：</w:t>
            </w:r>
          </w:p>
          <w:p w14:paraId="52F1E05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⑴肉质新鲜，宰杀至交货时间不得超过12小时，色泽好，有弹性，无变质无异味、</w:t>
            </w:r>
            <w:r>
              <w:rPr>
                <w:rFonts w:hint="eastAsia" w:ascii="宋体" w:hAnsi="宋体" w:eastAsia="宋体" w:cs="宋体"/>
                <w:bCs/>
                <w:color w:val="auto"/>
                <w:kern w:val="1"/>
                <w:highlight w:val="none"/>
              </w:rPr>
              <w:t>无冰冻，无注水或注入其他物质</w:t>
            </w:r>
            <w:r>
              <w:rPr>
                <w:rFonts w:hint="eastAsia" w:ascii="宋体" w:hAnsi="宋体" w:eastAsia="宋体" w:cs="宋体"/>
                <w:color w:val="auto"/>
                <w:kern w:val="1"/>
                <w:szCs w:val="21"/>
                <w:highlight w:val="none"/>
              </w:rPr>
              <w:t>；无传染病和致人中毒的毒素、无危害人体健康的各种有害激素以及大肠杆菌不超标；严禁</w:t>
            </w:r>
            <w:r>
              <w:rPr>
                <w:rFonts w:hint="eastAsia" w:ascii="宋体" w:hAnsi="宋体" w:cs="宋体"/>
                <w:color w:val="auto"/>
                <w:kern w:val="1"/>
                <w:szCs w:val="21"/>
                <w:highlight w:val="none"/>
                <w:lang w:eastAsia="zh-CN"/>
              </w:rPr>
              <w:t>供应</w:t>
            </w:r>
            <w:r>
              <w:rPr>
                <w:rFonts w:hint="eastAsia" w:ascii="宋体" w:hAnsi="宋体" w:eastAsia="宋体" w:cs="宋体"/>
                <w:color w:val="auto"/>
                <w:kern w:val="1"/>
                <w:szCs w:val="21"/>
                <w:highlight w:val="none"/>
              </w:rPr>
              <w:t>病死禽畜肉、</w:t>
            </w:r>
            <w:r>
              <w:rPr>
                <w:rFonts w:hint="eastAsia" w:ascii="宋体" w:hAnsi="宋体" w:cs="宋体"/>
                <w:color w:val="auto"/>
                <w:kern w:val="1"/>
                <w:szCs w:val="21"/>
                <w:highlight w:val="none"/>
                <w:lang w:eastAsia="zh-CN"/>
              </w:rPr>
              <w:t>含</w:t>
            </w:r>
            <w:r>
              <w:rPr>
                <w:rFonts w:hint="eastAsia" w:ascii="宋体" w:hAnsi="宋体" w:eastAsia="宋体" w:cs="宋体"/>
                <w:color w:val="auto"/>
                <w:kern w:val="1"/>
                <w:szCs w:val="21"/>
                <w:highlight w:val="none"/>
              </w:rPr>
              <w:t>瘦肉精等禁用物质</w:t>
            </w:r>
            <w:r>
              <w:rPr>
                <w:rFonts w:hint="eastAsia" w:ascii="宋体" w:hAnsi="宋体" w:cs="宋体"/>
                <w:color w:val="auto"/>
                <w:kern w:val="1"/>
                <w:szCs w:val="21"/>
                <w:highlight w:val="none"/>
                <w:lang w:eastAsia="zh-CN"/>
              </w:rPr>
              <w:t>的</w:t>
            </w:r>
            <w:r>
              <w:rPr>
                <w:rFonts w:hint="eastAsia" w:ascii="宋体" w:hAnsi="宋体" w:eastAsia="宋体" w:cs="宋体"/>
                <w:color w:val="auto"/>
                <w:kern w:val="1"/>
                <w:szCs w:val="21"/>
                <w:highlight w:val="none"/>
              </w:rPr>
              <w:t>禽畜肉。⑵产品必须符合食品卫生生产标准和食品卫生安全要求，必须符合《中华人民共和国食品安全法》相关的要求。肉类必须经防疫部门检验合格。每次供货必须提供《动物检疫合格证明》、《肉品品质检验合格证》等检验检疫证明。</w:t>
            </w:r>
          </w:p>
          <w:p w14:paraId="660E9441">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⑶产品必须经过固定合法牲畜屠宰场所屠宰，符合食品卫生生产标准，符合食品卫生安全要求。</w:t>
            </w:r>
          </w:p>
          <w:p w14:paraId="27CD6C7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 w:val="21"/>
                <w:szCs w:val="21"/>
                <w:highlight w:val="none"/>
                <w:lang w:val="en-US" w:eastAsia="zh-CN" w:bidi="ar-SA"/>
              </w:rPr>
              <w:t>(4)</w:t>
            </w:r>
            <w:r>
              <w:rPr>
                <w:rFonts w:hint="eastAsia" w:ascii="宋体" w:hAnsi="宋体" w:eastAsia="宋体" w:cs="宋体"/>
                <w:color w:val="auto"/>
                <w:kern w:val="1"/>
                <w:szCs w:val="21"/>
                <w:highlight w:val="none"/>
              </w:rPr>
              <w:t>热鲜猪肉须提供两章两证一报告(动物产品检疫合格证、肉品品质检验合格证、胴体上的红色和蓝色滚花检疫验讫印章、非洲猪瘟病毒检测结果报告)</w:t>
            </w:r>
            <w:r>
              <w:rPr>
                <w:rFonts w:hint="eastAsia" w:ascii="宋体" w:hAnsi="宋体" w:eastAsia="宋体" w:cs="宋体"/>
                <w:color w:val="auto"/>
                <w:kern w:val="1"/>
                <w:szCs w:val="21"/>
                <w:highlight w:val="none"/>
                <w:lang w:eastAsia="zh-CN"/>
              </w:rPr>
              <w:t>，</w:t>
            </w:r>
            <w:r>
              <w:rPr>
                <w:rFonts w:hint="eastAsia" w:ascii="宋体" w:hAnsi="宋体" w:eastAsia="宋体" w:cs="宋体"/>
                <w:color w:val="auto"/>
                <w:kern w:val="1"/>
                <w:szCs w:val="21"/>
                <w:highlight w:val="none"/>
              </w:rPr>
              <w:t>热鲜猪肉</w:t>
            </w:r>
            <w:r>
              <w:rPr>
                <w:rFonts w:hint="eastAsia" w:ascii="宋体" w:hAnsi="宋体" w:eastAsia="宋体" w:cs="宋体"/>
                <w:color w:val="auto"/>
                <w:kern w:val="1"/>
                <w:szCs w:val="21"/>
                <w:highlight w:val="none"/>
                <w:lang w:val="en-US" w:eastAsia="zh-CN"/>
              </w:rPr>
              <w:t>为本土长</w:t>
            </w:r>
            <w:r>
              <w:rPr>
                <w:rFonts w:hint="eastAsia" w:ascii="宋体" w:hAnsi="宋体" w:eastAsia="宋体" w:cs="宋体"/>
                <w:color w:val="auto"/>
                <w:kern w:val="1"/>
                <w:szCs w:val="21"/>
                <w:highlight w:val="none"/>
              </w:rPr>
              <w:t>尾</w:t>
            </w:r>
            <w:r>
              <w:rPr>
                <w:rFonts w:hint="eastAsia" w:ascii="宋体" w:hAnsi="宋体" w:eastAsia="宋体" w:cs="宋体"/>
                <w:color w:val="auto"/>
                <w:kern w:val="1"/>
                <w:szCs w:val="21"/>
                <w:highlight w:val="none"/>
                <w:lang w:val="en-US" w:eastAsia="zh-CN"/>
              </w:rPr>
              <w:t>大肥猪肉肉质，猪肌内脂肪高（雪花纹明显），脂肪洁白厚实，肥肉香糯；不得为瘦肉型猪。</w:t>
            </w:r>
            <w:r>
              <w:rPr>
                <w:rFonts w:hint="eastAsia" w:ascii="宋体" w:hAnsi="宋体" w:eastAsia="宋体" w:cs="宋体"/>
                <w:color w:val="auto"/>
                <w:kern w:val="1"/>
                <w:szCs w:val="21"/>
                <w:highlight w:val="none"/>
              </w:rPr>
              <w:t>五花肉肥瘦比例适中价格参考前后腿肉价格。</w:t>
            </w:r>
          </w:p>
          <w:p w14:paraId="189956FB">
            <w:pPr>
              <w:keepNext w:val="0"/>
              <w:keepLines w:val="0"/>
              <w:pageBreakBefore w:val="0"/>
              <w:numPr>
                <w:ilvl w:val="0"/>
                <w:numId w:val="0"/>
              </w:numPr>
              <w:kinsoku/>
              <w:wordWrap/>
              <w:overflowPunct/>
              <w:topLinePunct w:val="0"/>
              <w:bidi w:val="0"/>
              <w:spacing w:line="360" w:lineRule="auto"/>
              <w:ind w:firstLine="420" w:firstLineChars="0"/>
              <w:textAlignment w:val="auto"/>
              <w:rPr>
                <w:rFonts w:hint="eastAsia" w:ascii="宋体" w:hAnsi="宋体" w:eastAsia="宋体" w:cs="宋体"/>
                <w:color w:val="auto"/>
                <w:kern w:val="1"/>
                <w:szCs w:val="21"/>
                <w:highlight w:val="none"/>
                <w:lang w:eastAsia="zh-CN"/>
              </w:rPr>
            </w:pPr>
            <w:r>
              <w:rPr>
                <w:rFonts w:hint="eastAsia" w:ascii="宋体" w:hAnsi="宋体" w:eastAsia="宋体" w:cs="宋体"/>
                <w:color w:val="auto"/>
                <w:kern w:val="1"/>
                <w:sz w:val="21"/>
                <w:szCs w:val="21"/>
                <w:highlight w:val="none"/>
                <w:lang w:val="en-US" w:eastAsia="zh-CN" w:bidi="ar-SA"/>
              </w:rPr>
              <w:t>(5)</w:t>
            </w:r>
            <w:r>
              <w:rPr>
                <w:rFonts w:hint="eastAsia" w:ascii="宋体" w:hAnsi="宋体" w:eastAsia="宋体" w:cs="宋体"/>
                <w:color w:val="auto"/>
                <w:kern w:val="1"/>
                <w:szCs w:val="21"/>
                <w:highlight w:val="none"/>
              </w:rPr>
              <w:t>牛肉须为当日新鲜黄牛肉</w:t>
            </w:r>
            <w:r>
              <w:rPr>
                <w:rFonts w:hint="eastAsia" w:ascii="宋体" w:hAnsi="宋体" w:cs="宋体"/>
                <w:color w:val="auto"/>
                <w:kern w:val="1"/>
                <w:szCs w:val="21"/>
                <w:highlight w:val="none"/>
                <w:lang w:eastAsia="zh-CN"/>
              </w:rPr>
              <w:t>。</w:t>
            </w:r>
          </w:p>
          <w:p w14:paraId="2F7DF1DE">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鸡</w:t>
            </w:r>
            <w:r>
              <w:rPr>
                <w:rFonts w:hint="eastAsia" w:ascii="宋体" w:hAnsi="宋体" w:eastAsia="宋体" w:cs="宋体"/>
                <w:b/>
                <w:color w:val="auto"/>
                <w:spacing w:val="-3"/>
                <w:kern w:val="1"/>
                <w:szCs w:val="21"/>
                <w:highlight w:val="none"/>
                <w:lang w:eastAsia="zh-CN"/>
              </w:rPr>
              <w:t>肉、</w:t>
            </w:r>
            <w:r>
              <w:rPr>
                <w:rFonts w:hint="eastAsia" w:ascii="宋体" w:hAnsi="宋体" w:eastAsia="宋体" w:cs="宋体"/>
                <w:b/>
                <w:color w:val="auto"/>
                <w:spacing w:val="-3"/>
                <w:kern w:val="1"/>
                <w:szCs w:val="21"/>
                <w:highlight w:val="none"/>
              </w:rPr>
              <w:t>鸭</w:t>
            </w:r>
            <w:r>
              <w:rPr>
                <w:rFonts w:hint="eastAsia" w:ascii="宋体" w:hAnsi="宋体" w:eastAsia="宋体" w:cs="宋体"/>
                <w:b/>
                <w:color w:val="auto"/>
                <w:spacing w:val="-3"/>
                <w:kern w:val="1"/>
                <w:szCs w:val="21"/>
                <w:highlight w:val="none"/>
                <w:lang w:eastAsia="zh-CN"/>
              </w:rPr>
              <w:t>肉</w:t>
            </w:r>
            <w:r>
              <w:rPr>
                <w:rFonts w:hint="eastAsia" w:ascii="宋体" w:hAnsi="宋体" w:eastAsia="宋体" w:cs="宋体"/>
                <w:b/>
                <w:color w:val="auto"/>
                <w:spacing w:val="-3"/>
                <w:kern w:val="1"/>
                <w:szCs w:val="21"/>
                <w:highlight w:val="none"/>
              </w:rPr>
              <w:t>：</w:t>
            </w:r>
          </w:p>
          <w:p w14:paraId="6EE9E964">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0992EA07">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⑵新鲜鸡鸭类：</w:t>
            </w:r>
          </w:p>
          <w:p w14:paraId="58A67FFD">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 xml:space="preserve">优先选用优质黄羽肉鸡，避免使用快速白羽肉鸡。饲养天数：鸡≥90天。 </w:t>
            </w:r>
            <w:r>
              <w:rPr>
                <w:rFonts w:hint="eastAsia" w:ascii="宋体" w:hAnsi="宋体" w:eastAsia="宋体" w:cs="宋体"/>
                <w:color w:val="auto"/>
                <w:kern w:val="1"/>
                <w:szCs w:val="21"/>
                <w:highlight w:val="none"/>
              </w:rPr>
              <w:t>肉质新鲜，宰杀至交货时间不得超过12小时，色泽好，有弹性，无变质无异味、无冰冻，无注水或注入其他物质；无传染病和致人中毒的毒素、无危害人体健康的各种有害激素以及大肠杆菌不超标；严禁病死禽畜肉、无瘦肉精等禁用物质。</w:t>
            </w:r>
          </w:p>
          <w:p w14:paraId="24E8DDFD">
            <w:pPr>
              <w:keepNext w:val="0"/>
              <w:keepLines w:val="0"/>
              <w:pageBreakBefore w:val="0"/>
              <w:kinsoku/>
              <w:wordWrap/>
              <w:overflowPunct/>
              <w:topLinePunct w:val="0"/>
              <w:bidi w:val="0"/>
              <w:spacing w:line="360" w:lineRule="auto"/>
              <w:ind w:firstLine="420" w:firstLineChars="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产品必须符合食品卫生生产标准和食品卫生安全要求，必须符合《中华人民共和国食品安全法》相关的要求。肉类必须经防疫部门检验合格。每次供货必须提供《动物检疫合格证明》《肉品品质检验合格证》等检验检疫证明。</w:t>
            </w:r>
          </w:p>
        </w:tc>
      </w:tr>
      <w:tr w14:paraId="159D01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668ABDA9">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4</w:t>
            </w:r>
          </w:p>
        </w:tc>
        <w:tc>
          <w:tcPr>
            <w:tcW w:w="1384" w:type="dxa"/>
            <w:vAlign w:val="center"/>
          </w:tcPr>
          <w:p w14:paraId="571B343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鲜活水产类</w:t>
            </w:r>
          </w:p>
        </w:tc>
        <w:tc>
          <w:tcPr>
            <w:tcW w:w="716" w:type="dxa"/>
            <w:vAlign w:val="center"/>
          </w:tcPr>
          <w:p w14:paraId="6575789A">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5FD80DD0">
            <w:pPr>
              <w:pStyle w:val="20"/>
              <w:keepNext w:val="0"/>
              <w:keepLines w:val="0"/>
              <w:pageBreakBefore w:val="0"/>
              <w:tabs>
                <w:tab w:val="clear" w:pos="4844"/>
                <w:tab w:val="clear" w:pos="9689"/>
              </w:tabs>
              <w:kinsoku/>
              <w:wordWrap/>
              <w:overflowPunct/>
              <w:topLinePunct w:val="0"/>
              <w:bidi w:val="0"/>
              <w:spacing w:line="360" w:lineRule="auto"/>
              <w:ind w:firstLine="410"/>
              <w:textAlignment w:val="auto"/>
              <w:rPr>
                <w:rFonts w:hint="eastAsia" w:ascii="宋体" w:hAnsi="宋体" w:eastAsia="宋体" w:cs="宋体"/>
                <w:b/>
                <w:color w:val="auto"/>
                <w:spacing w:val="-3"/>
                <w:kern w:val="1"/>
                <w:sz w:val="21"/>
                <w:szCs w:val="21"/>
                <w:highlight w:val="none"/>
              </w:rPr>
            </w:pPr>
            <w:r>
              <w:rPr>
                <w:rFonts w:hint="eastAsia" w:ascii="宋体" w:hAnsi="宋体" w:eastAsia="宋体" w:cs="宋体"/>
                <w:b/>
                <w:color w:val="auto"/>
                <w:spacing w:val="-3"/>
                <w:kern w:val="1"/>
                <w:sz w:val="21"/>
                <w:szCs w:val="21"/>
                <w:highlight w:val="none"/>
              </w:rPr>
              <w:t>新鲜、无病毒、不含有害物质；如需剖杀的鱼，要做到鱼鳞刮除干净，去内脏、</w:t>
            </w:r>
            <w:r>
              <w:rPr>
                <w:rFonts w:hint="eastAsia" w:ascii="宋体" w:hAnsi="宋体" w:eastAsia="宋体" w:cs="宋体"/>
                <w:b/>
                <w:color w:val="auto"/>
                <w:spacing w:val="-3"/>
                <w:kern w:val="1"/>
                <w:sz w:val="21"/>
                <w:szCs w:val="21"/>
                <w:highlight w:val="none"/>
                <w:lang w:eastAsia="zh-CN"/>
              </w:rPr>
              <w:t>鱼鳃</w:t>
            </w:r>
            <w:r>
              <w:rPr>
                <w:rFonts w:hint="eastAsia" w:ascii="宋体" w:hAnsi="宋体" w:eastAsia="宋体" w:cs="宋体"/>
                <w:b/>
                <w:color w:val="auto"/>
                <w:spacing w:val="-3"/>
                <w:kern w:val="1"/>
                <w:sz w:val="21"/>
                <w:szCs w:val="21"/>
                <w:highlight w:val="none"/>
              </w:rPr>
              <w:t>、腹内黑膜。</w:t>
            </w:r>
          </w:p>
          <w:p w14:paraId="0DEB9B28">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2A05A53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738844B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34AFDB8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F3955C4">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0C63085">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⑵鲜活鱼：</w:t>
            </w:r>
          </w:p>
          <w:p w14:paraId="1B0351D9">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鱼的形态正常，无畸形，体态匀称，无伤痕；体表具有正常的体色和光泽，鳞片完整紧密，不易脱落，无病灶；眼球明亮饱满，角膜清晰；鳃丝清晰，呈鲜红或紫红色，无异味，无黏液或有少量透明黏液；鱼的肌肉紧密，有弹性，整体有鲜鱼固有的腥气味，无异味。</w:t>
            </w:r>
          </w:p>
          <w:p w14:paraId="3DC70578">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如需剖杀的鱼，要做到鱼鳞刮除干净，去内脏、</w:t>
            </w:r>
            <w:r>
              <w:rPr>
                <w:rFonts w:hint="eastAsia" w:ascii="宋体" w:hAnsi="宋体" w:eastAsia="宋体" w:cs="宋体"/>
                <w:color w:val="auto"/>
                <w:kern w:val="1"/>
                <w:szCs w:val="21"/>
                <w:highlight w:val="none"/>
                <w:lang w:eastAsia="zh-CN"/>
              </w:rPr>
              <w:t>鱼鳃</w:t>
            </w:r>
            <w:r>
              <w:rPr>
                <w:rFonts w:hint="eastAsia" w:ascii="宋体" w:hAnsi="宋体" w:eastAsia="宋体" w:cs="宋体"/>
                <w:color w:val="auto"/>
                <w:kern w:val="1"/>
                <w:szCs w:val="21"/>
                <w:highlight w:val="none"/>
              </w:rPr>
              <w:t>、腹内黑膜，鱼肉无变质情况。</w:t>
            </w:r>
          </w:p>
          <w:p w14:paraId="0E1036AB">
            <w:pPr>
              <w:keepNext w:val="0"/>
              <w:keepLines w:val="0"/>
              <w:pageBreakBefore w:val="0"/>
              <w:kinsoku/>
              <w:wordWrap/>
              <w:overflowPunct/>
              <w:topLinePunct w:val="0"/>
              <w:bidi w:val="0"/>
              <w:spacing w:line="360" w:lineRule="auto"/>
              <w:ind w:firstLine="420"/>
              <w:jc w:val="left"/>
              <w:textAlignment w:val="auto"/>
              <w:rPr>
                <w:rFonts w:hint="default"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rPr>
              <w:t>⑶</w:t>
            </w:r>
            <w:r>
              <w:rPr>
                <w:rFonts w:hint="eastAsia" w:ascii="宋体" w:hAnsi="宋体" w:cs="宋体"/>
                <w:color w:val="auto"/>
                <w:kern w:val="1"/>
                <w:szCs w:val="21"/>
                <w:highlight w:val="none"/>
                <w:lang w:val="en-US" w:eastAsia="zh-CN"/>
              </w:rPr>
              <w:t>虾类必须是鲜活产品，不得有死亡、变质现象。</w:t>
            </w:r>
          </w:p>
          <w:p w14:paraId="350D68E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产品必须符合食品卫生生产标准和食品卫生安全要求，必须符合《中华人民共和国食品安全法》相关的要求。肉类必须经防疫部门检验合格。每次供货必须提供《动物检疫合格证明》、《肉品品质检验合格证》等检验检疫证明。</w:t>
            </w:r>
          </w:p>
        </w:tc>
      </w:tr>
      <w:tr w14:paraId="571FC1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30073F9B">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5</w:t>
            </w:r>
          </w:p>
        </w:tc>
        <w:tc>
          <w:tcPr>
            <w:tcW w:w="1384" w:type="dxa"/>
            <w:vAlign w:val="center"/>
          </w:tcPr>
          <w:p w14:paraId="24C3147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大米、豆制品、食用油类</w:t>
            </w:r>
          </w:p>
        </w:tc>
        <w:tc>
          <w:tcPr>
            <w:tcW w:w="716" w:type="dxa"/>
            <w:vAlign w:val="center"/>
          </w:tcPr>
          <w:p w14:paraId="5F372482">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54C2152B">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生产厂家具有食品生产许可证或小作坊登记证；保证新鲜且符合</w:t>
            </w:r>
            <w:r>
              <w:rPr>
                <w:rFonts w:hint="eastAsia" w:ascii="宋体" w:hAnsi="宋体" w:cs="宋体"/>
                <w:b/>
                <w:color w:val="auto"/>
                <w:spacing w:val="-3"/>
                <w:kern w:val="1"/>
                <w:szCs w:val="21"/>
                <w:highlight w:val="none"/>
                <w:lang w:eastAsia="zh-CN"/>
              </w:rPr>
              <w:t>《中华人民共和国食品安全法》</w:t>
            </w:r>
            <w:r>
              <w:rPr>
                <w:rFonts w:hint="eastAsia" w:ascii="宋体" w:hAnsi="宋体" w:eastAsia="宋体" w:cs="宋体"/>
                <w:b/>
                <w:color w:val="auto"/>
                <w:spacing w:val="-3"/>
                <w:kern w:val="1"/>
                <w:szCs w:val="21"/>
                <w:highlight w:val="none"/>
              </w:rPr>
              <w:t>要求；大米生产用的稻谷原材料储存期不超过1年，符合相应食品类别的执行标准或企业标准；食品包装上有标签，标签符合《中华人民共和国食品安全法》第六十七条规定标明内容；包装用密封性能好、无毒、无害塑料编织袋（直接接触食品的包装必须为食品级），包装的正面需印供货企业名称、地址、联系电话及生产日期等字样。</w:t>
            </w:r>
          </w:p>
          <w:p w14:paraId="3BC6616C">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0A2B24C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⑴实行每批次采购，供应商应按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32D6DE0B">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2C82983A">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C6E7117">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大米：</w:t>
            </w:r>
          </w:p>
          <w:p w14:paraId="41C6B6FE">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⑴每批次产品必须提供</w:t>
            </w:r>
            <w:r>
              <w:rPr>
                <w:rFonts w:hint="eastAsia" w:ascii="宋体" w:hAnsi="宋体" w:eastAsia="宋体" w:cs="宋体"/>
                <w:color w:val="auto"/>
                <w:kern w:val="1"/>
                <w:szCs w:val="21"/>
                <w:highlight w:val="none"/>
                <w:lang w:eastAsia="zh-CN"/>
              </w:rPr>
              <w:t>食品安监部门或国家承认的检测机构检测报告</w:t>
            </w:r>
            <w:r>
              <w:rPr>
                <w:rFonts w:hint="eastAsia" w:ascii="宋体" w:hAnsi="宋体" w:eastAsia="宋体" w:cs="宋体"/>
                <w:color w:val="auto"/>
                <w:kern w:val="1"/>
                <w:szCs w:val="21"/>
                <w:highlight w:val="none"/>
              </w:rPr>
              <w:t>。</w:t>
            </w:r>
          </w:p>
          <w:p w14:paraId="33EA9D2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⑵质量指标：</w:t>
            </w:r>
            <w:r>
              <w:rPr>
                <w:rFonts w:hint="eastAsia" w:ascii="宋体" w:hAnsi="宋体" w:eastAsia="宋体" w:cs="宋体"/>
                <w:color w:val="auto"/>
                <w:kern w:val="1"/>
                <w:szCs w:val="21"/>
                <w:highlight w:val="none"/>
                <w:lang w:val="en-US" w:eastAsia="zh-CN"/>
              </w:rPr>
              <w:t>大米等级要求为一级大米</w:t>
            </w:r>
            <w:r>
              <w:rPr>
                <w:rFonts w:hint="eastAsia" w:ascii="宋体" w:hAnsi="宋体" w:eastAsia="宋体" w:cs="宋体"/>
                <w:color w:val="auto"/>
                <w:kern w:val="1"/>
                <w:szCs w:val="21"/>
                <w:highlight w:val="none"/>
                <w:lang w:val="en-US" w:eastAsia="zh-CN"/>
              </w:rPr>
              <w:t>，</w:t>
            </w:r>
            <w:r>
              <w:rPr>
                <w:rFonts w:hint="eastAsia" w:ascii="宋体" w:hAnsi="宋体" w:eastAsia="宋体" w:cs="宋体"/>
                <w:color w:val="auto"/>
                <w:kern w:val="1"/>
                <w:szCs w:val="21"/>
                <w:highlight w:val="none"/>
              </w:rPr>
              <w:t>有“SC”食品生产许可证编号，必须符合GB/T1354-2018标准，</w:t>
            </w:r>
            <w:r>
              <w:rPr>
                <w:rFonts w:hint="eastAsia" w:ascii="宋体" w:hAnsi="宋体" w:eastAsia="宋体" w:cs="宋体"/>
                <w:color w:val="auto"/>
                <w:kern w:val="1"/>
                <w:szCs w:val="21"/>
                <w:highlight w:val="none"/>
              </w:rPr>
              <w:t>重金属检测合格报告</w:t>
            </w:r>
            <w:r>
              <w:rPr>
                <w:rFonts w:hint="eastAsia" w:ascii="宋体" w:hAnsi="宋体" w:cs="宋体"/>
                <w:color w:val="auto"/>
                <w:kern w:val="1"/>
                <w:szCs w:val="21"/>
                <w:highlight w:val="none"/>
                <w:lang w:eastAsia="zh-CN"/>
              </w:rPr>
              <w:t>，</w:t>
            </w:r>
            <w:r>
              <w:rPr>
                <w:rFonts w:hint="eastAsia" w:ascii="宋体" w:hAnsi="宋体" w:eastAsia="宋体" w:cs="宋体"/>
                <w:color w:val="auto"/>
                <w:kern w:val="1"/>
                <w:szCs w:val="21"/>
                <w:highlight w:val="none"/>
              </w:rPr>
              <w:t>呈清白色或精白色，具有光泽呈半透明状，大小均匀，颗粒饱满，表面光滑、完整，无虫，不含杂物（如沙石、色素等异物）。</w:t>
            </w:r>
          </w:p>
          <w:p w14:paraId="6445F92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⑶包装：产品包装要求机械封装，印上产品名称、生产厂家、生产日期、保质期，外包装必须符合《中华人民共和国食品安全法》的相关规定。</w:t>
            </w:r>
          </w:p>
          <w:p w14:paraId="4FE031F0">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w:t>
            </w:r>
            <w:r>
              <w:rPr>
                <w:rFonts w:hint="eastAsia" w:ascii="宋体" w:hAnsi="宋体" w:cs="宋体"/>
                <w:color w:val="auto"/>
                <w:kern w:val="1"/>
                <w:szCs w:val="21"/>
                <w:highlight w:val="none"/>
                <w:lang w:eastAsia="zh-CN"/>
              </w:rPr>
              <w:t>（大米须为当季新米）</w:t>
            </w:r>
            <w:r>
              <w:rPr>
                <w:rFonts w:hint="eastAsia" w:ascii="宋体" w:hAnsi="宋体" w:eastAsia="宋体" w:cs="宋体"/>
                <w:color w:val="auto"/>
                <w:kern w:val="1"/>
                <w:szCs w:val="21"/>
                <w:highlight w:val="none"/>
              </w:rPr>
              <w:t>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DDFB37D">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豆制品：</w:t>
            </w:r>
          </w:p>
          <w:p w14:paraId="3403EDA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⑴豆制品必须符合《中华人民共和国食品安全法》要求，必须是当前市场上正在流通的产品。</w:t>
            </w:r>
          </w:p>
          <w:p w14:paraId="19E8305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⑵豆腐呈均匀的乳白色或淡黄色，稍有光泽，块形完整，软硬适度，富有弹性，质地细嫩，结构均匀，无杂质，具有豆腐特有的香味，取样品品尝时口感细腻鲜嫩，味道纯正清香。</w:t>
            </w:r>
          </w:p>
          <w:p w14:paraId="029E894E">
            <w:pPr>
              <w:pStyle w:val="20"/>
              <w:keepNext w:val="0"/>
              <w:keepLines w:val="0"/>
              <w:pageBreakBefore w:val="0"/>
              <w:tabs>
                <w:tab w:val="clear" w:pos="4844"/>
                <w:tab w:val="clear" w:pos="9689"/>
              </w:tabs>
              <w:kinsoku/>
              <w:wordWrap/>
              <w:overflowPunct/>
              <w:topLinePunct w:val="0"/>
              <w:bidi w:val="0"/>
              <w:spacing w:line="360" w:lineRule="auto"/>
              <w:ind w:firstLine="422" w:firstLineChars="200"/>
              <w:textAlignment w:val="auto"/>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食用油：</w:t>
            </w:r>
          </w:p>
          <w:p w14:paraId="285705D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⑴每批次产品必须提供</w:t>
            </w:r>
            <w:r>
              <w:rPr>
                <w:rFonts w:hint="eastAsia" w:ascii="宋体" w:hAnsi="宋体" w:eastAsia="宋体" w:cs="宋体"/>
                <w:color w:val="auto"/>
                <w:kern w:val="1"/>
                <w:szCs w:val="21"/>
                <w:highlight w:val="none"/>
                <w:lang w:eastAsia="zh-CN"/>
              </w:rPr>
              <w:t>食品安监部门或国家承认的检测机构检测报告</w:t>
            </w:r>
            <w:r>
              <w:rPr>
                <w:rFonts w:hint="eastAsia" w:ascii="宋体" w:hAnsi="宋体" w:eastAsia="宋体" w:cs="宋体"/>
                <w:color w:val="auto"/>
                <w:kern w:val="1"/>
                <w:szCs w:val="21"/>
                <w:highlight w:val="none"/>
              </w:rPr>
              <w:t>。</w:t>
            </w:r>
          </w:p>
          <w:p w14:paraId="4B999A50">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⑵食用油必须取得食品生产许可证和产品合格证、外包装标明保质期及生产日期</w:t>
            </w:r>
            <w:r>
              <w:rPr>
                <w:rFonts w:hint="eastAsia" w:ascii="宋体" w:hAnsi="宋体" w:cs="宋体"/>
                <w:color w:val="auto"/>
                <w:kern w:val="1"/>
                <w:szCs w:val="21"/>
                <w:highlight w:val="none"/>
                <w:lang w:eastAsia="zh-CN"/>
              </w:rPr>
              <w:t>，</w:t>
            </w:r>
            <w:r>
              <w:rPr>
                <w:rFonts w:hint="eastAsia" w:ascii="宋体" w:hAnsi="宋体" w:eastAsia="宋体" w:cs="宋体"/>
                <w:color w:val="auto"/>
                <w:kern w:val="1"/>
                <w:szCs w:val="21"/>
                <w:highlight w:val="none"/>
              </w:rPr>
              <w:t>产品原料必须为非转基因原料。</w:t>
            </w:r>
          </w:p>
          <w:p w14:paraId="71B9B693">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⑶符合（GB/T1534-2017）标准要求。</w:t>
            </w:r>
          </w:p>
          <w:p w14:paraId="658417F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⑷食用油必须符合GB/T1534-2017标准，为花生油或调和油，产品包装要求机械封装，外包装必须符合《中华人民共和国食品安全法》的相关规定。</w:t>
            </w:r>
          </w:p>
          <w:p w14:paraId="34CD03C9">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⑸保质期：达到国家规定要求，剩余保存期时间不得少于保质期的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tc>
      </w:tr>
      <w:tr w14:paraId="7CF529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0DF3D7CF">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6</w:t>
            </w:r>
          </w:p>
        </w:tc>
        <w:tc>
          <w:tcPr>
            <w:tcW w:w="1384" w:type="dxa"/>
            <w:vAlign w:val="center"/>
          </w:tcPr>
          <w:p w14:paraId="5F4D10E4">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lang w:eastAsia="zh-CN"/>
              </w:rPr>
            </w:pPr>
            <w:r>
              <w:rPr>
                <w:rFonts w:hint="eastAsia" w:ascii="宋体" w:hAnsi="宋体" w:eastAsia="宋体" w:cs="宋体"/>
                <w:color w:val="auto"/>
                <w:spacing w:val="-3"/>
                <w:kern w:val="1"/>
                <w:szCs w:val="21"/>
                <w:highlight w:val="none"/>
              </w:rPr>
              <w:t>调味品</w:t>
            </w:r>
            <w:r>
              <w:rPr>
                <w:rFonts w:hint="eastAsia" w:ascii="宋体" w:hAnsi="宋体" w:eastAsia="宋体" w:cs="宋体"/>
                <w:color w:val="auto"/>
                <w:spacing w:val="-3"/>
                <w:kern w:val="1"/>
                <w:szCs w:val="21"/>
                <w:highlight w:val="none"/>
                <w:lang w:eastAsia="zh-CN"/>
              </w:rPr>
              <w:t>、干杂货食品类</w:t>
            </w:r>
          </w:p>
        </w:tc>
        <w:tc>
          <w:tcPr>
            <w:tcW w:w="716" w:type="dxa"/>
            <w:vAlign w:val="center"/>
          </w:tcPr>
          <w:p w14:paraId="1AA02F14">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724003EF">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正规厂商生产，品质良好，食品包装上有标签，标签符合《中华人民共和国食品安全法》第六十七条规定标明内容；包装用密封性能好、无毒、无害塑料编织袋（直接接触食品的包装必须为食品级），包装的正面需印有供货企业名称、地址、联系电话及生产日期等字样；产品在保质期内且生产日期新近。</w:t>
            </w:r>
          </w:p>
          <w:p w14:paraId="79995E4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C07A13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⑴实行每批次采购，供应商应按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3059D14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highlight w:val="none"/>
                <w:u w:val="single"/>
              </w:rPr>
            </w:pPr>
            <w:r>
              <w:rPr>
                <w:rFonts w:hint="eastAsia" w:ascii="宋体" w:hAnsi="宋体" w:eastAsia="宋体" w:cs="宋体"/>
                <w:color w:val="auto"/>
                <w:kern w:val="1"/>
                <w:szCs w:val="21"/>
                <w:highlight w:val="none"/>
              </w:rPr>
              <w:t>⑵结算时按实际采购数量结算。</w:t>
            </w:r>
          </w:p>
          <w:p w14:paraId="7B2FCEA3">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6C7986B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⑴必须是在市场上流通的，产品符合国家及行业相关标准，有“SC”食品生产许可证编号。</w:t>
            </w:r>
          </w:p>
          <w:p w14:paraId="72A8C9A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⑵必须定型包装、有明显的标签、生产日期、生产厂家、保质期、产品合格证、贮存条件、执行产品标准号等。</w:t>
            </w:r>
          </w:p>
          <w:p w14:paraId="0CDFE29A">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⑶保质期：达到国家规定要求，剩余保存期时间不得少于保质期的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tc>
      </w:tr>
      <w:tr w14:paraId="0FB15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17CA4A7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7</w:t>
            </w:r>
          </w:p>
        </w:tc>
        <w:tc>
          <w:tcPr>
            <w:tcW w:w="1384" w:type="dxa"/>
            <w:vAlign w:val="center"/>
          </w:tcPr>
          <w:p w14:paraId="16502957">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牛奶、面包、糕点类</w:t>
            </w:r>
          </w:p>
        </w:tc>
        <w:tc>
          <w:tcPr>
            <w:tcW w:w="716" w:type="dxa"/>
            <w:vAlign w:val="center"/>
          </w:tcPr>
          <w:p w14:paraId="67767BE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483866B2">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符合相应食品类别的执行标准或企业标准；保证新鲜且符合《中华人民共和国食品安全法》要求；食品包装上有标签，标签符合《中华人民共和国食品安全法》第六十七条规定标明内容；包装用密封性能好、无毒、无害塑料编织袋（直接接触食品的包装必须为食品级），包装的正面需印有供货企业名称、地址、联系电话及生产日期等字样。</w:t>
            </w:r>
          </w:p>
          <w:p w14:paraId="79C7AA25">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50CF1B68">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473E8097">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6C516002">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04D23EB">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highlight w:val="none"/>
              </w:rPr>
            </w:pPr>
            <w:r>
              <w:rPr>
                <w:rFonts w:hint="eastAsia" w:ascii="宋体" w:hAnsi="宋体" w:eastAsia="宋体" w:cs="宋体"/>
                <w:b/>
                <w:color w:val="auto"/>
                <w:kern w:val="1"/>
                <w:highlight w:val="none"/>
              </w:rPr>
              <w:t>牛奶：</w:t>
            </w:r>
          </w:p>
          <w:p w14:paraId="6D68E27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w:t>
            </w:r>
            <w:r>
              <w:rPr>
                <w:rFonts w:hint="eastAsia" w:ascii="宋体" w:hAnsi="宋体" w:cs="宋体"/>
                <w:color w:val="auto"/>
                <w:kern w:val="1"/>
                <w:szCs w:val="21"/>
                <w:highlight w:val="none"/>
                <w:lang w:eastAsia="zh-CN"/>
              </w:rPr>
              <w:t>为纯牛奶，</w:t>
            </w:r>
            <w:r>
              <w:rPr>
                <w:rFonts w:hint="eastAsia" w:ascii="宋体" w:hAnsi="宋体" w:eastAsia="宋体" w:cs="宋体"/>
                <w:color w:val="auto"/>
                <w:kern w:val="1"/>
                <w:szCs w:val="21"/>
                <w:highlight w:val="none"/>
              </w:rPr>
              <w:t>定型包装、有明显的标签、生产日期、生产厂家、保质期、产品合格证</w:t>
            </w:r>
            <w:r>
              <w:rPr>
                <w:rFonts w:hint="eastAsia" w:ascii="宋体" w:hAnsi="宋体" w:eastAsia="宋体" w:cs="宋体"/>
                <w:bCs/>
                <w:color w:val="auto"/>
                <w:kern w:val="1"/>
                <w:szCs w:val="21"/>
                <w:highlight w:val="none"/>
              </w:rPr>
              <w:t>、贮存条件、执行产品标准号等，且</w:t>
            </w:r>
            <w:r>
              <w:rPr>
                <w:rFonts w:hint="eastAsia" w:ascii="宋体" w:hAnsi="宋体" w:eastAsia="宋体" w:cs="宋体"/>
                <w:color w:val="auto"/>
                <w:kern w:val="1"/>
                <w:szCs w:val="21"/>
                <w:highlight w:val="none"/>
              </w:rPr>
              <w:t>必须符合《中华人民共和国食品安全法》的相关规定。</w:t>
            </w:r>
          </w:p>
          <w:p w14:paraId="39FC37E2">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⑵保质期：达到国家规定要求，剩余保存期时间不得少于保质期的</w:t>
            </w:r>
            <w:r>
              <w:rPr>
                <w:rFonts w:hint="eastAsia" w:ascii="宋体" w:hAnsi="宋体" w:eastAsia="宋体" w:cs="宋体"/>
                <w:color w:val="auto"/>
                <w:kern w:val="1"/>
                <w:szCs w:val="21"/>
                <w:highlight w:val="none"/>
                <w:lang w:val="en-US" w:eastAsia="zh-CN"/>
              </w:rPr>
              <w:t>三</w:t>
            </w:r>
            <w:r>
              <w:rPr>
                <w:rFonts w:hint="eastAsia" w:ascii="宋体" w:hAnsi="宋体" w:eastAsia="宋体" w:cs="宋体"/>
                <w:color w:val="auto"/>
                <w:kern w:val="1"/>
                <w:szCs w:val="21"/>
                <w:highlight w:val="none"/>
                <w:lang w:eastAsia="zh-CN"/>
              </w:rPr>
              <w:t>分之一</w:t>
            </w:r>
            <w:r>
              <w:rPr>
                <w:rFonts w:hint="eastAsia" w:ascii="宋体" w:hAnsi="宋体" w:eastAsia="宋体" w:cs="宋体"/>
                <w:color w:val="auto"/>
                <w:kern w:val="1"/>
                <w:szCs w:val="21"/>
                <w:highlight w:val="none"/>
              </w:rPr>
              <w:t>。</w:t>
            </w:r>
          </w:p>
          <w:p w14:paraId="3BF81E8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⑶必须符合《中华人民共和国食品安全法》要求，供货时提供食品生产许可证、批次检验合格证，是当前市场上正在流通的产品。</w:t>
            </w:r>
          </w:p>
          <w:p w14:paraId="09224277">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highlight w:val="none"/>
              </w:rPr>
            </w:pPr>
            <w:r>
              <w:rPr>
                <w:rFonts w:hint="eastAsia" w:ascii="宋体" w:hAnsi="宋体" w:eastAsia="宋体" w:cs="宋体"/>
                <w:b/>
                <w:color w:val="auto"/>
                <w:kern w:val="1"/>
                <w:highlight w:val="none"/>
              </w:rPr>
              <w:t>面包：</w:t>
            </w:r>
          </w:p>
          <w:p w14:paraId="6C875884">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⑴必须具有生产许可证和产品合格证、外包装标明保质期及生产日期。面包（蒸包烤包）应具备生产资质，且每批次必须附带出厂合格报告。包装应符合GB7718-2011预包装食品标签通则要求。</w:t>
            </w:r>
          </w:p>
          <w:p w14:paraId="4C068EEA">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1AF29CD">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⑶符合GB/T20981-2021标准要求。</w:t>
            </w:r>
          </w:p>
          <w:p w14:paraId="5844877E">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b/>
                <w:bCs/>
                <w:color w:val="auto"/>
                <w:kern w:val="1"/>
                <w:szCs w:val="21"/>
                <w:highlight w:val="none"/>
              </w:rPr>
            </w:pPr>
            <w:r>
              <w:rPr>
                <w:rFonts w:hint="eastAsia" w:ascii="宋体" w:hAnsi="宋体" w:eastAsia="宋体" w:cs="宋体"/>
                <w:color w:val="auto"/>
                <w:kern w:val="1"/>
                <w:szCs w:val="21"/>
                <w:highlight w:val="none"/>
              </w:rPr>
              <w:t>⑷包装用密封性能好、无毒、无害塑料袋（直接接触食品的包装必须为食品级），包装的正面需印有供货企业名称、地址、联系电话及生产日期等字样。</w:t>
            </w:r>
          </w:p>
          <w:p w14:paraId="037E365E">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糕点：</w:t>
            </w:r>
          </w:p>
          <w:p w14:paraId="1E3D44D9">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⑴保证生产日期新鲜且符合食品安全国家标准和《中华人民共和国食品安全法》要求，具有生产许可证编号及“SC”食品生产许可证编号。</w:t>
            </w:r>
          </w:p>
          <w:p w14:paraId="34B9537D">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包装用机械封装、无毒、无害塑料袋（直接接触食品的包装必须为食品级），包装的正面需印有产品名称及生产日期和保质期，外包装必须符合《中华人民共和国食品安全法》的相关规定，产品要求为即产即销。</w:t>
            </w:r>
          </w:p>
          <w:p w14:paraId="5C328101">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bCs/>
                <w:color w:val="auto"/>
                <w:szCs w:val="21"/>
                <w:highlight w:val="none"/>
              </w:rPr>
              <w:t>总体要求</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糕点和烤包等包装类食品必须是当天的产品，面包（生鲜包）、馒头等供应的必须是24小时内生产的产品。生产厂家具有食品生产许可证或小作坊登记证；符合相应食品类别的执行标准或企业标准。</w:t>
            </w:r>
            <w:r>
              <w:rPr>
                <w:rFonts w:hint="eastAsia" w:ascii="宋体" w:hAnsi="宋体" w:eastAsia="宋体" w:cs="宋体"/>
                <w:color w:val="auto"/>
                <w:szCs w:val="21"/>
                <w:highlight w:val="none"/>
              </w:rPr>
              <w:t xml:space="preserve">            </w:t>
            </w:r>
          </w:p>
        </w:tc>
      </w:tr>
      <w:tr w14:paraId="7F6A03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55A09E34">
            <w:pPr>
              <w:keepNext w:val="0"/>
              <w:keepLines w:val="0"/>
              <w:pageBreakBefore w:val="0"/>
              <w:kinsoku/>
              <w:wordWrap/>
              <w:overflowPunct/>
              <w:topLinePunct w:val="0"/>
              <w:bidi w:val="0"/>
              <w:spacing w:line="360" w:lineRule="auto"/>
              <w:jc w:val="center"/>
              <w:textAlignment w:val="auto"/>
              <w:rPr>
                <w:rFonts w:hint="default" w:ascii="宋体" w:hAnsi="宋体" w:eastAsia="宋体" w:cs="宋体"/>
                <w:b/>
                <w:color w:val="auto"/>
                <w:spacing w:val="-3"/>
                <w:kern w:val="1"/>
                <w:szCs w:val="21"/>
                <w:highlight w:val="none"/>
                <w:lang w:val="en-US" w:eastAsia="zh-CN"/>
              </w:rPr>
            </w:pPr>
            <w:r>
              <w:rPr>
                <w:rFonts w:hint="eastAsia" w:ascii="宋体" w:hAnsi="宋体" w:eastAsia="宋体" w:cs="宋体"/>
                <w:b/>
                <w:color w:val="auto"/>
                <w:spacing w:val="-3"/>
                <w:kern w:val="1"/>
                <w:szCs w:val="21"/>
                <w:highlight w:val="none"/>
                <w:lang w:val="en-US" w:eastAsia="zh-CN"/>
              </w:rPr>
              <w:t>8</w:t>
            </w:r>
          </w:p>
        </w:tc>
        <w:tc>
          <w:tcPr>
            <w:tcW w:w="1384" w:type="dxa"/>
            <w:vAlign w:val="center"/>
          </w:tcPr>
          <w:p w14:paraId="38B75EE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kern w:val="1"/>
                <w:szCs w:val="21"/>
                <w:highlight w:val="none"/>
              </w:rPr>
            </w:pPr>
            <w:r>
              <w:rPr>
                <w:rFonts w:hint="eastAsia" w:ascii="宋体" w:hAnsi="宋体" w:cs="宋体"/>
                <w:color w:val="auto"/>
                <w:szCs w:val="21"/>
                <w:highlight w:val="none"/>
              </w:rPr>
              <w:t>粉类</w:t>
            </w:r>
          </w:p>
        </w:tc>
        <w:tc>
          <w:tcPr>
            <w:tcW w:w="716" w:type="dxa"/>
            <w:vAlign w:val="center"/>
          </w:tcPr>
          <w:p w14:paraId="1FBAF49B">
            <w:pPr>
              <w:spacing w:line="360" w:lineRule="auto"/>
              <w:jc w:val="center"/>
              <w:rPr>
                <w:rFonts w:hint="eastAsia" w:ascii="宋体" w:hAnsi="宋体" w:eastAsia="宋体" w:cs="宋体"/>
                <w:color w:val="auto"/>
                <w:spacing w:val="-3"/>
                <w:kern w:val="1"/>
                <w:szCs w:val="21"/>
                <w:highlight w:val="none"/>
                <w:lang w:val="en-US" w:eastAsia="zh-CN"/>
              </w:rPr>
            </w:pPr>
            <w:r>
              <w:rPr>
                <w:rFonts w:hint="eastAsia" w:ascii="宋体" w:hAnsi="宋体" w:eastAsia="宋体" w:cs="宋体"/>
                <w:color w:val="auto"/>
                <w:spacing w:val="-3"/>
                <w:kern w:val="1"/>
                <w:szCs w:val="21"/>
                <w:highlight w:val="none"/>
                <w:lang w:val="en-US" w:eastAsia="zh-CN"/>
              </w:rPr>
              <w:t>1项</w:t>
            </w:r>
          </w:p>
        </w:tc>
        <w:tc>
          <w:tcPr>
            <w:tcW w:w="6799" w:type="dxa"/>
            <w:vAlign w:val="center"/>
          </w:tcPr>
          <w:p w14:paraId="78EE5D49">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采购需求</w:t>
            </w:r>
          </w:p>
          <w:p w14:paraId="1E3E001A">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（1）实行每日采购，供应商每日应按</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的</w:t>
            </w:r>
            <w:r>
              <w:rPr>
                <w:rFonts w:hint="eastAsia" w:ascii="宋体" w:hAnsi="宋体" w:cs="宋体"/>
                <w:color w:val="auto"/>
                <w:szCs w:val="21"/>
                <w:highlight w:val="none"/>
                <w:lang w:eastAsia="zh-CN"/>
              </w:rPr>
              <w:t>货物采购清单</w:t>
            </w:r>
            <w:r>
              <w:rPr>
                <w:rFonts w:hint="eastAsia" w:ascii="宋体" w:hAnsi="宋体" w:cs="宋体"/>
                <w:color w:val="auto"/>
                <w:szCs w:val="21"/>
                <w:highlight w:val="none"/>
              </w:rPr>
              <w:t>提供相应数量的货物。</w:t>
            </w:r>
          </w:p>
          <w:p w14:paraId="2937DA41">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（2）结算时按实际采购数量结算。</w:t>
            </w:r>
          </w:p>
          <w:p w14:paraId="0C283010">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2.</w:t>
            </w:r>
            <w:r>
              <w:rPr>
                <w:rFonts w:hint="eastAsia" w:ascii="宋体" w:hAnsi="宋体" w:cs="宋体"/>
                <w:b/>
                <w:bCs/>
                <w:color w:val="auto"/>
                <w:szCs w:val="21"/>
                <w:highlight w:val="none"/>
              </w:rPr>
              <w:t>质量要求</w:t>
            </w:r>
          </w:p>
          <w:p w14:paraId="77906B39">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（1）保证生产日期新鲜且符合食品安全国家标准和《</w:t>
            </w:r>
            <w:r>
              <w:rPr>
                <w:rFonts w:hint="eastAsia" w:ascii="宋体" w:hAnsi="宋体" w:eastAsia="宋体" w:cs="宋体"/>
                <w:b/>
                <w:bCs/>
                <w:color w:val="auto"/>
                <w:kern w:val="1"/>
                <w:szCs w:val="21"/>
                <w:highlight w:val="none"/>
              </w:rPr>
              <w:t>中华人民共和国食品安全法</w:t>
            </w:r>
            <w:r>
              <w:rPr>
                <w:rFonts w:hint="eastAsia" w:ascii="宋体" w:hAnsi="宋体" w:cs="宋体"/>
                <w:b/>
                <w:bCs/>
                <w:color w:val="auto"/>
                <w:szCs w:val="21"/>
                <w:highlight w:val="none"/>
              </w:rPr>
              <w:t>》要求，具有生产许可证编号或具有“SC”食品生产许可证编号。</w:t>
            </w:r>
          </w:p>
          <w:p w14:paraId="7999C423">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生产厂家具有食品有效生产资质；符合相应食品类别的执行标准或企业标准；保证新鲜且符合《中华人民共和国食品安全法》要求；预包装食品，标签符合《中华人民共和国食品安全法》第六十七条规定标明内容；包装用密封性能好、无毒、无害塑料编织袋（直接接触食品的包装必须为食品级），包装的正面需印有供货企业名称、地址、联系电话、保质期及生产日期等字样，外包装必须符合《</w:t>
            </w:r>
            <w:r>
              <w:rPr>
                <w:rFonts w:hint="eastAsia" w:ascii="宋体" w:hAnsi="宋体" w:eastAsia="宋体" w:cs="宋体"/>
                <w:b/>
                <w:bCs/>
                <w:color w:val="auto"/>
                <w:kern w:val="1"/>
                <w:szCs w:val="21"/>
                <w:highlight w:val="none"/>
              </w:rPr>
              <w:t>中华人民共和国食品安全法</w:t>
            </w:r>
            <w:r>
              <w:rPr>
                <w:rFonts w:hint="eastAsia" w:ascii="宋体" w:hAnsi="宋体" w:cs="宋体"/>
                <w:b/>
                <w:bCs/>
                <w:color w:val="auto"/>
                <w:szCs w:val="21"/>
                <w:highlight w:val="none"/>
              </w:rPr>
              <w:t>》的相关规定，产品要求为即产即销。</w:t>
            </w:r>
          </w:p>
          <w:p w14:paraId="2FEDD39A">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w:t>
            </w:r>
            <w:r>
              <w:rPr>
                <w:rFonts w:hint="eastAsia"/>
                <w:b/>
                <w:bCs/>
                <w:color w:val="auto"/>
                <w:highlight w:val="none"/>
              </w:rPr>
              <w:t>湿</w:t>
            </w:r>
            <w:r>
              <w:rPr>
                <w:rFonts w:hint="eastAsia" w:ascii="宋体" w:hAnsi="宋体" w:cs="宋体"/>
                <w:b/>
                <w:bCs/>
                <w:color w:val="auto"/>
                <w:szCs w:val="21"/>
                <w:highlight w:val="none"/>
              </w:rPr>
              <w:t>（河）</w:t>
            </w:r>
            <w:r>
              <w:rPr>
                <w:rFonts w:hint="eastAsia"/>
                <w:b/>
                <w:bCs/>
                <w:color w:val="auto"/>
                <w:highlight w:val="none"/>
              </w:rPr>
              <w:t>粉</w:t>
            </w:r>
            <w:r>
              <w:rPr>
                <w:rFonts w:hint="eastAsia" w:ascii="宋体" w:hAnsi="宋体" w:cs="宋体"/>
                <w:b/>
                <w:bCs/>
                <w:color w:val="auto"/>
                <w:szCs w:val="21"/>
                <w:highlight w:val="none"/>
              </w:rPr>
              <w:t>必须是当天或前一天生产的产品，湿（河）粉等供应的必须是24小时内生产的产品。生产厂家具有食品生产许可证或小作坊登记证；符合相应食品类别的执行标准或企业标准。</w:t>
            </w:r>
          </w:p>
          <w:p w14:paraId="26618E72">
            <w:pPr>
              <w:autoSpaceDE w:val="0"/>
              <w:autoSpaceDN w:val="0"/>
              <w:spacing w:line="360" w:lineRule="auto"/>
              <w:ind w:firstLine="422" w:firstLineChars="200"/>
              <w:rPr>
                <w:rFonts w:hint="eastAsia" w:ascii="宋体" w:hAnsi="宋体" w:eastAsia="宋体" w:cs="宋体"/>
                <w:bCs/>
                <w:color w:val="auto"/>
                <w:szCs w:val="21"/>
                <w:highlight w:val="none"/>
              </w:rPr>
            </w:pPr>
            <w:r>
              <w:rPr>
                <w:rFonts w:hint="eastAsia" w:ascii="宋体" w:hAnsi="宋体" w:cs="宋体"/>
                <w:b/>
                <w:bCs/>
                <w:color w:val="auto"/>
                <w:szCs w:val="21"/>
                <w:highlight w:val="none"/>
              </w:rPr>
              <w:t>（4）保质期：达到国家规定要求，供货时的剩余保存期时间不得少于保质期的四分之三。</w:t>
            </w:r>
          </w:p>
        </w:tc>
      </w:tr>
    </w:tbl>
    <w:p w14:paraId="1F4A13B5">
      <w:pPr>
        <w:keepNext w:val="0"/>
        <w:keepLines w:val="0"/>
        <w:pageBreakBefore w:val="0"/>
        <w:numPr>
          <w:ilvl w:val="0"/>
          <w:numId w:val="0"/>
        </w:numPr>
        <w:kinsoku/>
        <w:wordWrap/>
        <w:overflowPunct/>
        <w:topLinePunct w:val="0"/>
        <w:bidi w:val="0"/>
        <w:spacing w:line="312" w:lineRule="auto"/>
        <w:jc w:val="left"/>
        <w:textAlignment w:val="auto"/>
        <w:rPr>
          <w:rFonts w:hint="eastAsia" w:ascii="宋体" w:hAnsi="宋体" w:eastAsia="宋体" w:cs="宋体"/>
          <w:b/>
          <w:color w:val="auto"/>
          <w:szCs w:val="21"/>
          <w:highlight w:val="none"/>
          <w:u w:val="none"/>
          <w:lang w:eastAsia="zh-CN"/>
        </w:rPr>
      </w:pPr>
      <w:r>
        <w:rPr>
          <w:rFonts w:hint="eastAsia" w:ascii="宋体" w:hAnsi="宋体" w:eastAsia="宋体" w:cs="宋体"/>
          <w:b/>
          <w:color w:val="auto"/>
          <w:szCs w:val="21"/>
          <w:highlight w:val="none"/>
          <w:u w:val="none"/>
          <w:lang w:eastAsia="zh-CN"/>
        </w:rPr>
        <w:br w:type="page"/>
      </w:r>
    </w:p>
    <w:tbl>
      <w:tblPr>
        <w:tblStyle w:val="31"/>
        <w:tblW w:w="974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41"/>
        <w:gridCol w:w="7600"/>
      </w:tblGrid>
      <w:tr w14:paraId="6F743C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741" w:type="dxa"/>
            <w:gridSpan w:val="2"/>
            <w:tcBorders>
              <w:top w:val="single" w:color="auto" w:sz="4" w:space="0"/>
              <w:left w:val="single" w:color="auto" w:sz="4" w:space="0"/>
              <w:bottom w:val="single" w:color="auto" w:sz="4" w:space="0"/>
              <w:right w:val="single" w:color="auto" w:sz="4" w:space="0"/>
            </w:tcBorders>
          </w:tcPr>
          <w:p w14:paraId="7E4A4B43">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lang w:eastAsia="zh-CN"/>
              </w:rPr>
              <w:t>二</w:t>
            </w:r>
            <w:r>
              <w:rPr>
                <w:rFonts w:hint="eastAsia" w:ascii="宋体" w:hAnsi="宋体" w:eastAsia="宋体" w:cs="宋体"/>
                <w:b/>
                <w:color w:val="auto"/>
                <w:szCs w:val="21"/>
                <w:highlight w:val="none"/>
              </w:rPr>
              <w:t>、商务要求</w:t>
            </w:r>
          </w:p>
        </w:tc>
      </w:tr>
      <w:tr w14:paraId="0A183D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71BCB16C">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▲交付（实施）的时间（期限）和地点（范围）</w:t>
            </w:r>
          </w:p>
        </w:tc>
        <w:tc>
          <w:tcPr>
            <w:tcW w:w="7600" w:type="dxa"/>
            <w:tcBorders>
              <w:top w:val="single" w:color="auto" w:sz="4" w:space="0"/>
              <w:left w:val="single" w:color="auto" w:sz="4" w:space="0"/>
              <w:bottom w:val="single" w:color="auto" w:sz="4" w:space="0"/>
              <w:right w:val="single" w:color="auto" w:sz="4" w:space="0"/>
            </w:tcBorders>
            <w:vAlign w:val="center"/>
          </w:tcPr>
          <w:p w14:paraId="288B0203">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交付（实施）的时间（期限）：</w:t>
            </w:r>
            <w:r>
              <w:rPr>
                <w:rFonts w:hint="eastAsia" w:ascii="宋体" w:hAnsi="宋体" w:cs="宋体"/>
                <w:color w:val="auto"/>
                <w:szCs w:val="21"/>
                <w:highlight w:val="none"/>
                <w:lang w:eastAsia="zh-CN"/>
              </w:rPr>
              <w:t>自签订合同日期起至</w:t>
            </w:r>
            <w:r>
              <w:rPr>
                <w:rFonts w:hint="eastAsia" w:ascii="宋体" w:hAnsi="宋体" w:cs="宋体"/>
                <w:color w:val="auto"/>
                <w:szCs w:val="21"/>
                <w:highlight w:val="none"/>
                <w:lang w:eastAsia="zh-CN"/>
              </w:rPr>
              <w:t>2027年8月20日止</w:t>
            </w:r>
            <w:r>
              <w:rPr>
                <w:rFonts w:hint="eastAsia" w:ascii="宋体" w:hAnsi="宋体" w:eastAsia="宋体" w:cs="宋体"/>
                <w:color w:val="auto"/>
                <w:szCs w:val="21"/>
                <w:highlight w:val="none"/>
              </w:rPr>
              <w:t>。</w:t>
            </w:r>
          </w:p>
          <w:p w14:paraId="7DD73F5C">
            <w:pPr>
              <w:keepNext w:val="0"/>
              <w:keepLines w:val="0"/>
              <w:pageBreakBefore w:val="0"/>
              <w:kinsoku/>
              <w:wordWrap/>
              <w:overflowPunct/>
              <w:topLinePunct w:val="0"/>
              <w:bidi w:val="0"/>
              <w:snapToGrid w:val="0"/>
              <w:spacing w:line="360" w:lineRule="auto"/>
              <w:jc w:val="left"/>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交付（实施）的地点（范</w:t>
            </w:r>
            <w:r>
              <w:rPr>
                <w:rFonts w:hint="eastAsia" w:ascii="宋体" w:hAnsi="宋体" w:cs="宋体"/>
                <w:color w:val="auto"/>
                <w:szCs w:val="21"/>
                <w:highlight w:val="none"/>
                <w:lang w:eastAsia="zh-CN"/>
              </w:rPr>
              <w:t>围）：</w:t>
            </w:r>
            <w:r>
              <w:rPr>
                <w:rFonts w:hint="eastAsia" w:ascii="宋体" w:hAnsi="宋体" w:cs="宋体"/>
                <w:color w:val="auto"/>
                <w:szCs w:val="21"/>
                <w:highlight w:val="none"/>
                <w:lang w:val="en-US" w:eastAsia="zh-CN"/>
              </w:rPr>
              <w:t>平南县马练瑶族乡初级中学</w:t>
            </w:r>
            <w:r>
              <w:rPr>
                <w:rFonts w:hint="eastAsia" w:ascii="宋体" w:hAnsi="宋体" w:cs="宋体"/>
                <w:color w:val="auto"/>
                <w:szCs w:val="21"/>
                <w:highlight w:val="none"/>
                <w:lang w:val="en-US" w:eastAsia="zh-CN"/>
              </w:rPr>
              <w:t>。</w:t>
            </w:r>
          </w:p>
        </w:tc>
      </w:tr>
      <w:tr w14:paraId="5921B8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55DF9553">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▲合同签订时间</w:t>
            </w:r>
          </w:p>
        </w:tc>
        <w:tc>
          <w:tcPr>
            <w:tcW w:w="7600" w:type="dxa"/>
            <w:tcBorders>
              <w:top w:val="single" w:color="auto" w:sz="4" w:space="0"/>
              <w:left w:val="single" w:color="auto" w:sz="4" w:space="0"/>
              <w:bottom w:val="single" w:color="auto" w:sz="4" w:space="0"/>
              <w:right w:val="single" w:color="auto" w:sz="4" w:space="0"/>
            </w:tcBorders>
          </w:tcPr>
          <w:p w14:paraId="24B2CF7A">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w:t>
            </w:r>
            <w:r>
              <w:rPr>
                <w:rFonts w:hint="eastAsia" w:ascii="宋体" w:hAnsi="宋体" w:cs="宋体"/>
                <w:color w:val="auto"/>
                <w:szCs w:val="21"/>
                <w:highlight w:val="none"/>
                <w:lang w:eastAsia="zh-CN"/>
              </w:rPr>
              <w:t>成交</w:t>
            </w:r>
            <w:r>
              <w:rPr>
                <w:rFonts w:hint="eastAsia" w:ascii="宋体" w:hAnsi="宋体" w:eastAsia="宋体" w:cs="宋体"/>
                <w:color w:val="auto"/>
                <w:szCs w:val="21"/>
                <w:highlight w:val="none"/>
              </w:rPr>
              <w:t>通知书发出之日起</w:t>
            </w:r>
            <w:r>
              <w:rPr>
                <w:rFonts w:hint="eastAsia" w:ascii="宋体" w:hAnsi="宋体" w:cs="宋体"/>
                <w:color w:val="auto"/>
                <w:szCs w:val="21"/>
                <w:highlight w:val="none"/>
                <w:lang w:eastAsia="zh-CN"/>
              </w:rPr>
              <w:t>20日</w:t>
            </w:r>
            <w:r>
              <w:rPr>
                <w:rFonts w:hint="eastAsia" w:ascii="宋体" w:hAnsi="宋体" w:eastAsia="宋体" w:cs="宋体"/>
                <w:color w:val="auto"/>
                <w:szCs w:val="21"/>
                <w:highlight w:val="none"/>
              </w:rPr>
              <w:t>内。</w:t>
            </w:r>
          </w:p>
        </w:tc>
      </w:tr>
      <w:tr w14:paraId="150739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38E8CDBC">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▲付款条件</w:t>
            </w:r>
          </w:p>
        </w:tc>
        <w:tc>
          <w:tcPr>
            <w:tcW w:w="7600" w:type="dxa"/>
            <w:tcBorders>
              <w:top w:val="single" w:color="auto" w:sz="4" w:space="0"/>
              <w:left w:val="single" w:color="auto" w:sz="4" w:space="0"/>
              <w:bottom w:val="single" w:color="auto" w:sz="4" w:space="0"/>
              <w:right w:val="single" w:color="auto" w:sz="4" w:space="0"/>
            </w:tcBorders>
            <w:vAlign w:val="center"/>
          </w:tcPr>
          <w:p w14:paraId="3E669405">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bCs/>
                <w:color w:val="auto"/>
                <w:highlight w:val="none"/>
              </w:rPr>
              <w:t>一般情况下</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按月进行结算，采购资金由</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财务账户转入</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账户。每月</w:t>
            </w:r>
            <w:r>
              <w:rPr>
                <w:rFonts w:hint="eastAsia" w:ascii="宋体" w:hAnsi="宋体" w:cs="宋体"/>
                <w:bCs/>
                <w:color w:val="auto"/>
                <w:highlight w:val="none"/>
                <w:lang w:val="en-US" w:eastAsia="zh-CN"/>
              </w:rPr>
              <w:t>15</w:t>
            </w:r>
            <w:r>
              <w:rPr>
                <w:rFonts w:hint="eastAsia" w:ascii="宋体" w:hAnsi="宋体" w:eastAsia="宋体" w:cs="宋体"/>
                <w:bCs/>
                <w:color w:val="auto"/>
                <w:highlight w:val="none"/>
              </w:rPr>
              <w:t>日前，</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向</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开具上一月份月度供货相应数额的发票（农副产品免税的开具免税发票），</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收到发票后15个工作日内支付。特殊情况，需临时改变结算方式，双方可通过协商解决。</w:t>
            </w:r>
          </w:p>
        </w:tc>
      </w:tr>
      <w:tr w14:paraId="69340A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29F28592">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▲服务总体要求</w:t>
            </w:r>
          </w:p>
        </w:tc>
        <w:tc>
          <w:tcPr>
            <w:tcW w:w="7600" w:type="dxa"/>
            <w:tcBorders>
              <w:top w:val="single" w:color="auto" w:sz="4" w:space="0"/>
              <w:left w:val="single" w:color="auto" w:sz="4" w:space="0"/>
              <w:bottom w:val="single" w:color="auto" w:sz="4" w:space="0"/>
              <w:right w:val="single" w:color="auto" w:sz="4" w:space="0"/>
            </w:tcBorders>
            <w:vAlign w:val="center"/>
          </w:tcPr>
          <w:p w14:paraId="7D039F53">
            <w:pPr>
              <w:keepNext w:val="0"/>
              <w:keepLines w:val="0"/>
              <w:pageBreakBefore w:val="0"/>
              <w:kinsoku/>
              <w:wordWrap/>
              <w:overflowPunct/>
              <w:topLinePunct w:val="0"/>
              <w:bidi w:val="0"/>
              <w:adjustRightInd w:val="0"/>
              <w:spacing w:line="360" w:lineRule="auto"/>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1.供货服务</w:t>
            </w:r>
            <w:r>
              <w:rPr>
                <w:rFonts w:hint="eastAsia" w:ascii="宋体" w:hAnsi="宋体" w:eastAsia="宋体" w:cs="宋体"/>
                <w:color w:val="auto"/>
                <w:highlight w:val="none"/>
              </w:rPr>
              <w:t>对象：</w:t>
            </w:r>
            <w:r>
              <w:rPr>
                <w:rFonts w:hint="eastAsia" w:ascii="宋体" w:hAnsi="宋体" w:cs="宋体"/>
                <w:color w:val="auto"/>
                <w:szCs w:val="21"/>
                <w:highlight w:val="none"/>
                <w:lang w:val="en-US" w:eastAsia="zh-CN"/>
              </w:rPr>
              <w:t>平南县马练瑶族乡初级中学</w:t>
            </w:r>
          </w:p>
          <w:p w14:paraId="18298671">
            <w:pPr>
              <w:keepNext w:val="0"/>
              <w:keepLines w:val="0"/>
              <w:pageBreakBefore w:val="0"/>
              <w:kinsoku/>
              <w:wordWrap/>
              <w:overflowPunct/>
              <w:topLinePunct w:val="0"/>
              <w:bidi w:val="0"/>
              <w:adjustRightInd w:val="0"/>
              <w:spacing w:line="360" w:lineRule="auto"/>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严禁配送预制菜，杜绝配送散装食用油、散装食盐</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散装糕点</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冷荤类食品。</w:t>
            </w:r>
            <w:r>
              <w:rPr>
                <w:rFonts w:hint="eastAsia" w:ascii="宋体" w:hAnsi="宋体" w:cs="宋体"/>
                <w:b/>
                <w:bCs/>
                <w:color w:val="auto"/>
                <w:szCs w:val="21"/>
                <w:highlight w:val="none"/>
                <w:lang w:eastAsia="zh-CN"/>
              </w:rPr>
              <w:t>供应商成交</w:t>
            </w:r>
            <w:r>
              <w:rPr>
                <w:rFonts w:hint="eastAsia" w:ascii="宋体" w:hAnsi="宋体" w:eastAsia="宋体" w:cs="宋体"/>
                <w:b/>
                <w:bCs/>
                <w:color w:val="auto"/>
                <w:szCs w:val="21"/>
                <w:highlight w:val="none"/>
              </w:rPr>
              <w:t>后配置统一配送中心和全链条可溯源信息化监管系统。</w:t>
            </w:r>
          </w:p>
          <w:p w14:paraId="22E75FE9">
            <w:pPr>
              <w:keepNext w:val="0"/>
              <w:keepLines w:val="0"/>
              <w:pageBreakBefore w:val="0"/>
              <w:numPr>
                <w:ilvl w:val="0"/>
                <w:numId w:val="0"/>
              </w:numPr>
              <w:kinsoku/>
              <w:wordWrap/>
              <w:overflowPunct/>
              <w:topLinePunct w:val="0"/>
              <w:bidi w:val="0"/>
              <w:spacing w:line="360" w:lineRule="auto"/>
              <w:ind w:left="782" w:leftChars="0" w:hanging="360" w:firstLineChars="0"/>
              <w:textAlignment w:val="auto"/>
              <w:rPr>
                <w:rFonts w:hint="eastAsia" w:ascii="宋体" w:hAnsi="宋体" w:eastAsia="宋体" w:cs="宋体"/>
                <w:color w:val="auto"/>
                <w:highlight w:val="none"/>
              </w:rPr>
            </w:pPr>
            <w:r>
              <w:rPr>
                <w:rFonts w:hint="eastAsia" w:ascii="宋体" w:hAnsi="宋体" w:cs="宋体"/>
                <w:b w:val="0"/>
                <w:color w:val="auto"/>
                <w:kern w:val="2"/>
                <w:sz w:val="21"/>
                <w:szCs w:val="24"/>
                <w:highlight w:val="none"/>
                <w:lang w:val="en-US" w:eastAsia="zh-CN" w:bidi="ar-SA"/>
              </w:rPr>
              <w:t>2</w:t>
            </w:r>
            <w:r>
              <w:rPr>
                <w:rFonts w:hint="eastAsia" w:ascii="宋体" w:hAnsi="宋体" w:eastAsia="宋体" w:cs="宋体"/>
                <w:b w:val="0"/>
                <w:color w:val="auto"/>
                <w:kern w:val="2"/>
                <w:sz w:val="21"/>
                <w:szCs w:val="24"/>
                <w:highlight w:val="none"/>
                <w:lang w:val="en-US" w:eastAsia="zh-CN" w:bidi="ar-SA"/>
              </w:rPr>
              <w:t>.</w:t>
            </w:r>
            <w:r>
              <w:rPr>
                <w:rFonts w:hint="eastAsia" w:ascii="宋体" w:hAnsi="宋体" w:eastAsia="宋体" w:cs="宋体"/>
                <w:color w:val="auto"/>
                <w:highlight w:val="none"/>
              </w:rPr>
              <w:t>采购量：实际数量以</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根据实际需要为准，结算时按实际采购数量结</w:t>
            </w:r>
          </w:p>
          <w:p w14:paraId="33A6324B">
            <w:pPr>
              <w:keepNext w:val="0"/>
              <w:keepLines w:val="0"/>
              <w:pageBreakBefore w:val="0"/>
              <w:numPr>
                <w:ilvl w:val="0"/>
                <w:numId w:val="0"/>
              </w:numPr>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算。</w:t>
            </w:r>
            <w:r>
              <w:rPr>
                <w:rFonts w:hint="eastAsia" w:ascii="宋体" w:hAnsi="宋体" w:cs="宋体"/>
                <w:color w:val="auto"/>
                <w:highlight w:val="none"/>
                <w:lang w:eastAsia="zh-CN"/>
              </w:rPr>
              <w:t>供应商</w:t>
            </w:r>
            <w:r>
              <w:rPr>
                <w:rFonts w:hint="eastAsia" w:ascii="宋体" w:hAnsi="宋体" w:eastAsia="宋体" w:cs="宋体"/>
                <w:color w:val="auto"/>
                <w:highlight w:val="none"/>
              </w:rPr>
              <w:t>不得因实际供应量与</w:t>
            </w:r>
            <w:r>
              <w:rPr>
                <w:rFonts w:hint="eastAsia" w:ascii="宋体" w:hAnsi="宋体" w:cs="宋体"/>
                <w:color w:val="auto"/>
                <w:highlight w:val="none"/>
                <w:lang w:eastAsia="zh-CN"/>
              </w:rPr>
              <w:t>成交</w:t>
            </w:r>
            <w:r>
              <w:rPr>
                <w:rFonts w:hint="eastAsia" w:ascii="宋体" w:hAnsi="宋体" w:eastAsia="宋体" w:cs="宋体"/>
                <w:color w:val="auto"/>
                <w:highlight w:val="none"/>
              </w:rPr>
              <w:t>数量不一致提出异议。</w:t>
            </w:r>
          </w:p>
          <w:p w14:paraId="06858D78">
            <w:pPr>
              <w:keepNext w:val="0"/>
              <w:keepLines w:val="0"/>
              <w:pageBreakBefore w:val="0"/>
              <w:kinsoku/>
              <w:wordWrap/>
              <w:overflowPunct/>
              <w:topLinePunct w:val="0"/>
              <w:bidi w:val="0"/>
              <w:spacing w:line="360" w:lineRule="auto"/>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3.</w:t>
            </w:r>
            <w:r>
              <w:rPr>
                <w:rFonts w:hint="eastAsia" w:ascii="宋体" w:hAnsi="宋体" w:cs="宋体"/>
                <w:b/>
                <w:bCs/>
                <w:color w:val="auto"/>
                <w:highlight w:val="none"/>
                <w:lang w:eastAsia="zh-CN"/>
              </w:rPr>
              <w:t>供应商</w:t>
            </w:r>
            <w:r>
              <w:rPr>
                <w:rFonts w:hint="eastAsia" w:ascii="宋体" w:hAnsi="宋体" w:eastAsia="宋体" w:cs="宋体"/>
                <w:b/>
                <w:bCs/>
                <w:color w:val="auto"/>
                <w:highlight w:val="none"/>
              </w:rPr>
              <w:t>不得将</w:t>
            </w:r>
            <w:r>
              <w:rPr>
                <w:rFonts w:hint="eastAsia" w:ascii="宋体" w:hAnsi="宋体" w:cs="宋体"/>
                <w:b/>
                <w:bCs/>
                <w:color w:val="auto"/>
                <w:highlight w:val="none"/>
                <w:lang w:eastAsia="zh-CN"/>
              </w:rPr>
              <w:t>成交</w:t>
            </w:r>
            <w:r>
              <w:rPr>
                <w:rFonts w:hint="eastAsia" w:ascii="宋体" w:hAnsi="宋体" w:eastAsia="宋体" w:cs="宋体"/>
                <w:b/>
                <w:bCs/>
                <w:color w:val="auto"/>
                <w:highlight w:val="none"/>
              </w:rPr>
              <w:t>货物转包或分包给第三方，</w:t>
            </w:r>
            <w:r>
              <w:rPr>
                <w:rFonts w:hint="eastAsia" w:ascii="宋体" w:hAnsi="宋体" w:eastAsia="宋体" w:cs="宋体"/>
                <w:b/>
                <w:bCs/>
                <w:color w:val="auto"/>
                <w:highlight w:val="none"/>
                <w:lang w:eastAsia="zh-CN"/>
              </w:rPr>
              <w:t>采购人</w:t>
            </w:r>
            <w:r>
              <w:rPr>
                <w:rFonts w:hint="eastAsia" w:ascii="宋体" w:hAnsi="宋体" w:eastAsia="宋体" w:cs="宋体"/>
                <w:b/>
                <w:bCs/>
                <w:color w:val="auto"/>
                <w:highlight w:val="none"/>
              </w:rPr>
              <w:t>发现则有权单方</w:t>
            </w:r>
            <w:r>
              <w:rPr>
                <w:rFonts w:hint="eastAsia" w:ascii="宋体" w:hAnsi="宋体" w:cs="宋体"/>
                <w:b/>
                <w:bCs/>
                <w:color w:val="auto"/>
                <w:highlight w:val="none"/>
                <w:lang w:eastAsia="zh-CN"/>
              </w:rPr>
              <w:t>依法</w:t>
            </w:r>
            <w:r>
              <w:rPr>
                <w:rFonts w:hint="eastAsia" w:ascii="宋体" w:hAnsi="宋体" w:eastAsia="宋体" w:cs="宋体"/>
                <w:b/>
                <w:bCs/>
                <w:color w:val="auto"/>
                <w:highlight w:val="none"/>
              </w:rPr>
              <w:t>终止合同。由此产生的一切经济损失由</w:t>
            </w:r>
            <w:r>
              <w:rPr>
                <w:rFonts w:hint="eastAsia" w:ascii="宋体" w:hAnsi="宋体" w:cs="宋体"/>
                <w:b/>
                <w:bCs/>
                <w:color w:val="auto"/>
                <w:highlight w:val="none"/>
                <w:lang w:eastAsia="zh-CN"/>
              </w:rPr>
              <w:t>供应商</w:t>
            </w:r>
            <w:r>
              <w:rPr>
                <w:rFonts w:hint="eastAsia" w:ascii="宋体" w:hAnsi="宋体" w:eastAsia="宋体" w:cs="宋体"/>
                <w:b/>
                <w:bCs/>
                <w:color w:val="auto"/>
                <w:highlight w:val="none"/>
              </w:rPr>
              <w:t>自行承担。</w:t>
            </w:r>
          </w:p>
          <w:p w14:paraId="222C002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cs="宋体"/>
                <w:color w:val="auto"/>
                <w:highlight w:val="none"/>
                <w:lang w:eastAsia="zh-CN"/>
              </w:rPr>
              <w:t>供应商</w:t>
            </w:r>
            <w:r>
              <w:rPr>
                <w:rFonts w:hint="eastAsia" w:ascii="宋体" w:hAnsi="宋体" w:eastAsia="宋体" w:cs="宋体"/>
                <w:color w:val="auto"/>
                <w:highlight w:val="none"/>
              </w:rPr>
              <w:t>在合同履行期间保证对</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的货物供应，</w:t>
            </w:r>
            <w:r>
              <w:rPr>
                <w:rFonts w:hint="eastAsia" w:ascii="宋体" w:hAnsi="宋体" w:cs="宋体"/>
                <w:color w:val="auto"/>
                <w:highlight w:val="none"/>
                <w:lang w:eastAsia="zh-CN"/>
              </w:rPr>
              <w:t>成交</w:t>
            </w:r>
            <w:r>
              <w:rPr>
                <w:rFonts w:hint="eastAsia" w:ascii="宋体" w:hAnsi="宋体" w:eastAsia="宋体" w:cs="宋体"/>
                <w:color w:val="auto"/>
                <w:highlight w:val="none"/>
              </w:rPr>
              <w:t>后不得拒绝</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分配的任务。</w:t>
            </w:r>
            <w:r>
              <w:rPr>
                <w:rFonts w:hint="eastAsia" w:ascii="宋体" w:hAnsi="宋体" w:cs="宋体"/>
                <w:color w:val="auto"/>
                <w:highlight w:val="none"/>
                <w:lang w:eastAsia="zh-CN"/>
              </w:rPr>
              <w:t>供应商</w:t>
            </w:r>
            <w:r>
              <w:rPr>
                <w:rFonts w:hint="eastAsia" w:ascii="宋体" w:hAnsi="宋体" w:eastAsia="宋体" w:cs="宋体"/>
                <w:color w:val="auto"/>
                <w:highlight w:val="none"/>
              </w:rPr>
              <w:t>在服务期内没能达到</w:t>
            </w:r>
            <w:r>
              <w:rPr>
                <w:rFonts w:hint="eastAsia" w:ascii="宋体" w:hAnsi="宋体" w:cs="宋体"/>
                <w:color w:val="auto"/>
                <w:highlight w:val="none"/>
                <w:lang w:eastAsia="zh-CN"/>
              </w:rPr>
              <w:t>竞标</w:t>
            </w:r>
            <w:r>
              <w:rPr>
                <w:rFonts w:hint="eastAsia" w:ascii="宋体" w:hAnsi="宋体" w:eastAsia="宋体" w:cs="宋体"/>
                <w:color w:val="auto"/>
                <w:highlight w:val="none"/>
              </w:rPr>
              <w:t>文件承诺的服务要求的，</w:t>
            </w:r>
            <w:r>
              <w:rPr>
                <w:rFonts w:hint="eastAsia" w:ascii="宋体" w:hAnsi="宋体" w:cs="宋体"/>
                <w:color w:val="auto"/>
                <w:highlight w:val="none"/>
                <w:lang w:eastAsia="zh-CN"/>
              </w:rPr>
              <w:t>供应商</w:t>
            </w:r>
            <w:r>
              <w:rPr>
                <w:rFonts w:hint="eastAsia" w:ascii="宋体" w:hAnsi="宋体" w:eastAsia="宋体" w:cs="宋体"/>
                <w:color w:val="auto"/>
                <w:highlight w:val="none"/>
              </w:rPr>
              <w:t>未按要求履行协议义务的或</w:t>
            </w:r>
            <w:r>
              <w:rPr>
                <w:rFonts w:hint="eastAsia" w:ascii="宋体" w:hAnsi="宋体" w:cs="宋体"/>
                <w:color w:val="auto"/>
                <w:highlight w:val="none"/>
                <w:lang w:eastAsia="zh-CN"/>
              </w:rPr>
              <w:t>供应商</w:t>
            </w:r>
            <w:r>
              <w:rPr>
                <w:rFonts w:hint="eastAsia" w:ascii="宋体" w:hAnsi="宋体" w:eastAsia="宋体" w:cs="宋体"/>
                <w:color w:val="auto"/>
                <w:highlight w:val="none"/>
              </w:rPr>
              <w:t>的资质在服务期内发生变化不再符合要求的，</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均有权单方</w:t>
            </w:r>
            <w:r>
              <w:rPr>
                <w:rFonts w:hint="eastAsia" w:ascii="宋体" w:hAnsi="宋体" w:cs="宋体"/>
                <w:color w:val="auto"/>
                <w:highlight w:val="none"/>
                <w:lang w:eastAsia="zh-CN"/>
              </w:rPr>
              <w:t>依法</w:t>
            </w:r>
            <w:r>
              <w:rPr>
                <w:rFonts w:hint="eastAsia" w:ascii="宋体" w:hAnsi="宋体" w:eastAsia="宋体" w:cs="宋体"/>
                <w:color w:val="auto"/>
                <w:highlight w:val="none"/>
              </w:rPr>
              <w:t>终止合同，由此产生的一切经济损失由</w:t>
            </w:r>
            <w:r>
              <w:rPr>
                <w:rFonts w:hint="eastAsia" w:ascii="宋体" w:hAnsi="宋体" w:cs="宋体"/>
                <w:color w:val="auto"/>
                <w:highlight w:val="none"/>
                <w:lang w:eastAsia="zh-CN"/>
              </w:rPr>
              <w:t>供应商</w:t>
            </w:r>
            <w:r>
              <w:rPr>
                <w:rFonts w:hint="eastAsia" w:ascii="宋体" w:hAnsi="宋体" w:eastAsia="宋体" w:cs="宋体"/>
                <w:color w:val="auto"/>
                <w:highlight w:val="none"/>
              </w:rPr>
              <w:t>自行承担。</w:t>
            </w:r>
          </w:p>
          <w:p w14:paraId="3B6A1157">
            <w:pPr>
              <w:keepNext w:val="0"/>
              <w:keepLines w:val="0"/>
              <w:pageBreakBefore w:val="0"/>
              <w:kinsoku/>
              <w:wordWrap/>
              <w:overflowPunct/>
              <w:topLinePunct w:val="0"/>
              <w:bidi w:val="0"/>
              <w:spacing w:line="360" w:lineRule="auto"/>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highlight w:val="none"/>
              </w:rPr>
              <w:t>5.对于外观无异常，但采购人在食材加工制作过程中发现质量问题的，</w:t>
            </w:r>
            <w:r>
              <w:rPr>
                <w:rFonts w:hint="eastAsia" w:ascii="宋体" w:hAnsi="宋体" w:cs="宋体"/>
                <w:color w:val="auto"/>
                <w:highlight w:val="none"/>
                <w:lang w:eastAsia="zh-CN"/>
              </w:rPr>
              <w:t>供应商</w:t>
            </w:r>
            <w:r>
              <w:rPr>
                <w:rFonts w:hint="eastAsia" w:ascii="宋体" w:hAnsi="宋体" w:eastAsia="宋体" w:cs="宋体"/>
                <w:color w:val="auto"/>
                <w:highlight w:val="none"/>
              </w:rPr>
              <w:t>也需在采购人提出退换时间起30 分钟内完成退换，若供应商不能及时退换，导致采购人在校学生不能按时进餐，每</w:t>
            </w:r>
            <w:r>
              <w:rPr>
                <w:rFonts w:hint="eastAsia" w:ascii="宋体" w:hAnsi="宋体" w:cs="宋体"/>
                <w:color w:val="auto"/>
                <w:highlight w:val="none"/>
                <w:lang w:eastAsia="zh-CN"/>
              </w:rPr>
              <w:t>学</w:t>
            </w:r>
            <w:r>
              <w:rPr>
                <w:rFonts w:hint="eastAsia" w:ascii="宋体" w:hAnsi="宋体" w:eastAsia="宋体" w:cs="宋体"/>
                <w:color w:val="auto"/>
                <w:highlight w:val="none"/>
              </w:rPr>
              <w:t>期达到2 次（含2 次），</w:t>
            </w:r>
            <w:r>
              <w:rPr>
                <w:rFonts w:hint="eastAsia" w:ascii="宋体" w:hAnsi="宋体" w:eastAsia="宋体" w:cs="宋体"/>
                <w:color w:val="auto"/>
                <w:szCs w:val="21"/>
                <w:highlight w:val="none"/>
                <w:lang w:val="en-US" w:eastAsia="zh-CN"/>
              </w:rPr>
              <w:t>采购人有权单方面拒付当批次货物货款及提出终止合同。</w:t>
            </w:r>
          </w:p>
          <w:p w14:paraId="0F0B6F5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必须遵守国家的法律法规及</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的规章制度。</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必须服从</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的监督、管理。进入校园出现与学生私自接触、捎带物品和利益交易等违规行为的，直接</w:t>
            </w:r>
            <w:r>
              <w:rPr>
                <w:rFonts w:hint="eastAsia" w:ascii="宋体" w:hAnsi="宋体" w:cs="宋体"/>
                <w:color w:val="auto"/>
                <w:highlight w:val="none"/>
                <w:lang w:eastAsia="zh-CN"/>
              </w:rPr>
              <w:t>依法终止</w:t>
            </w:r>
            <w:r>
              <w:rPr>
                <w:rFonts w:hint="eastAsia" w:ascii="宋体" w:hAnsi="宋体" w:eastAsia="宋体" w:cs="宋体"/>
                <w:color w:val="auto"/>
                <w:highlight w:val="none"/>
              </w:rPr>
              <w:t>合同，并追究</w:t>
            </w:r>
            <w:r>
              <w:rPr>
                <w:rFonts w:hint="eastAsia" w:ascii="宋体" w:hAnsi="宋体" w:cs="宋体"/>
                <w:color w:val="auto"/>
                <w:highlight w:val="none"/>
                <w:lang w:eastAsia="zh-CN"/>
              </w:rPr>
              <w:t>供应商</w:t>
            </w:r>
            <w:r>
              <w:rPr>
                <w:rFonts w:hint="eastAsia" w:ascii="宋体" w:hAnsi="宋体" w:eastAsia="宋体" w:cs="宋体"/>
                <w:color w:val="auto"/>
                <w:highlight w:val="none"/>
              </w:rPr>
              <w:t>相关责任。</w:t>
            </w:r>
          </w:p>
          <w:p w14:paraId="33DE1B8D">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7</w:t>
            </w:r>
            <w:r>
              <w:rPr>
                <w:rFonts w:hint="eastAsia" w:ascii="宋体" w:hAnsi="宋体" w:eastAsia="宋体" w:cs="宋体"/>
                <w:color w:val="auto"/>
                <w:highlight w:val="none"/>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应保证所提供的产品必须是合格安全的产品，供应的货物因产品质量问题造成食品安全事故的，直接取消</w:t>
            </w:r>
            <w:r>
              <w:rPr>
                <w:rFonts w:hint="eastAsia" w:ascii="宋体" w:hAnsi="宋体" w:cs="宋体"/>
                <w:color w:val="auto"/>
                <w:highlight w:val="none"/>
                <w:lang w:eastAsia="zh-CN"/>
              </w:rPr>
              <w:t>供应商</w:t>
            </w:r>
            <w:r>
              <w:rPr>
                <w:rFonts w:hint="eastAsia" w:ascii="宋体" w:hAnsi="宋体" w:eastAsia="宋体" w:cs="宋体"/>
                <w:color w:val="auto"/>
                <w:highlight w:val="none"/>
              </w:rPr>
              <w:t>的供货资格，由</w:t>
            </w:r>
            <w:r>
              <w:rPr>
                <w:rFonts w:hint="eastAsia" w:ascii="宋体" w:hAnsi="宋体" w:cs="宋体"/>
                <w:color w:val="auto"/>
                <w:highlight w:val="none"/>
                <w:lang w:eastAsia="zh-CN"/>
              </w:rPr>
              <w:t>供应商</w:t>
            </w:r>
            <w:r>
              <w:rPr>
                <w:rFonts w:hint="eastAsia" w:ascii="宋体" w:hAnsi="宋体" w:eastAsia="宋体" w:cs="宋体"/>
                <w:color w:val="auto"/>
                <w:highlight w:val="none"/>
              </w:rPr>
              <w:t>承担全部经济赔偿责任及其他法律责任。</w:t>
            </w:r>
          </w:p>
          <w:p w14:paraId="151E267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8</w:t>
            </w:r>
            <w:r>
              <w:rPr>
                <w:rFonts w:hint="eastAsia" w:ascii="宋体" w:hAnsi="宋体" w:eastAsia="宋体" w:cs="宋体"/>
                <w:color w:val="auto"/>
                <w:highlight w:val="none"/>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提供符合工商食卫等部门的有效证明材料。如有效的营业执照、产品合格证、食品原材料采购供应渠道等。建立完备的冷藏、分割、包装、检测、留样、监控系统。</w:t>
            </w:r>
          </w:p>
          <w:p w14:paraId="2C0C41A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9</w:t>
            </w:r>
            <w:r>
              <w:rPr>
                <w:rFonts w:hint="eastAsia" w:ascii="宋体" w:hAnsi="宋体" w:eastAsia="宋体" w:cs="宋体"/>
                <w:color w:val="auto"/>
                <w:highlight w:val="none"/>
              </w:rPr>
              <w:t>.</w:t>
            </w:r>
            <w:r>
              <w:rPr>
                <w:rFonts w:hint="eastAsia" w:ascii="宋体" w:hAnsi="宋体" w:cs="宋体"/>
                <w:color w:val="auto"/>
                <w:highlight w:val="none"/>
                <w:lang w:val="en-US" w:eastAsia="zh-CN"/>
              </w:rPr>
              <w:t>由于学校食材供应事关学生健康，</w:t>
            </w:r>
            <w:r>
              <w:rPr>
                <w:rFonts w:hint="eastAsia" w:ascii="宋体" w:hAnsi="宋体" w:eastAsia="宋体" w:cs="宋体"/>
                <w:color w:val="auto"/>
                <w:highlight w:val="none"/>
              </w:rPr>
              <w:t>为保障食材供应安全、及时，供应商必须承诺</w:t>
            </w:r>
            <w:r>
              <w:rPr>
                <w:rFonts w:hint="eastAsia" w:ascii="宋体" w:hAnsi="宋体" w:cs="宋体"/>
                <w:color w:val="auto"/>
                <w:highlight w:val="none"/>
                <w:lang w:eastAsia="zh-CN"/>
              </w:rPr>
              <w:t>成交</w:t>
            </w:r>
            <w:r>
              <w:rPr>
                <w:rFonts w:hint="eastAsia" w:ascii="宋体" w:hAnsi="宋体" w:eastAsia="宋体" w:cs="宋体"/>
                <w:color w:val="auto"/>
                <w:highlight w:val="none"/>
              </w:rPr>
              <w:t>后在平南县县域范围内建立仓库进行配送，配送点在平南县域范围内，</w:t>
            </w:r>
            <w:r>
              <w:rPr>
                <w:rFonts w:hint="eastAsia" w:ascii="宋体" w:hAnsi="宋体" w:cs="宋体"/>
                <w:color w:val="auto"/>
                <w:highlight w:val="none"/>
                <w:lang w:eastAsia="zh-CN"/>
              </w:rPr>
              <w:t>响应</w:t>
            </w:r>
            <w:r>
              <w:rPr>
                <w:rFonts w:hint="eastAsia" w:ascii="宋体" w:hAnsi="宋体" w:eastAsia="宋体" w:cs="宋体"/>
                <w:color w:val="auto"/>
                <w:highlight w:val="none"/>
              </w:rPr>
              <w:t>文件中提供承诺函，格式自拟。</w:t>
            </w:r>
          </w:p>
          <w:p w14:paraId="050A616A">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承诺函大体内容是：</w:t>
            </w:r>
          </w:p>
          <w:p w14:paraId="553F837C">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w:t>
            </w:r>
            <w:r>
              <w:rPr>
                <w:rFonts w:hint="eastAsia" w:ascii="宋体" w:hAnsi="宋体" w:eastAsia="宋体" w:cs="宋体"/>
                <w:color w:val="auto"/>
                <w:highlight w:val="none"/>
              </w:rPr>
              <w:t>1</w:t>
            </w:r>
            <w:r>
              <w:rPr>
                <w:rFonts w:hint="eastAsia" w:ascii="宋体" w:hAnsi="宋体" w:cs="宋体"/>
                <w:color w:val="auto"/>
                <w:highlight w:val="none"/>
                <w:lang w:eastAsia="zh-CN"/>
              </w:rPr>
              <w:t>）</w:t>
            </w:r>
            <w:r>
              <w:rPr>
                <w:rFonts w:hint="eastAsia" w:ascii="宋体" w:hAnsi="宋体" w:eastAsia="宋体" w:cs="宋体"/>
                <w:color w:val="auto"/>
                <w:highlight w:val="none"/>
              </w:rPr>
              <w:t>为保障食材供应安全及时，</w:t>
            </w:r>
            <w:r>
              <w:rPr>
                <w:rFonts w:hint="eastAsia" w:ascii="宋体" w:hAnsi="宋体" w:cs="宋体"/>
                <w:color w:val="auto"/>
                <w:highlight w:val="none"/>
                <w:lang w:val="en-US" w:eastAsia="zh-CN"/>
              </w:rPr>
              <w:t>供应商成交</w:t>
            </w:r>
            <w:r>
              <w:rPr>
                <w:rFonts w:hint="eastAsia" w:ascii="宋体" w:hAnsi="宋体" w:eastAsia="宋体" w:cs="宋体"/>
                <w:color w:val="auto"/>
                <w:highlight w:val="none"/>
                <w:lang w:val="en-US" w:eastAsia="zh-CN"/>
              </w:rPr>
              <w:t>后必须在</w:t>
            </w:r>
            <w:r>
              <w:rPr>
                <w:rFonts w:hint="eastAsia" w:ascii="宋体" w:hAnsi="宋体" w:eastAsia="宋体" w:cs="宋体"/>
                <w:color w:val="auto"/>
                <w:highlight w:val="none"/>
              </w:rPr>
              <w:t>项目</w:t>
            </w:r>
            <w:r>
              <w:rPr>
                <w:rFonts w:hint="eastAsia" w:ascii="宋体" w:hAnsi="宋体" w:eastAsia="宋体" w:cs="宋体"/>
                <w:color w:val="auto"/>
                <w:highlight w:val="none"/>
                <w:lang w:val="en-US" w:eastAsia="zh-CN"/>
              </w:rPr>
              <w:t>所在地</w:t>
            </w:r>
            <w:r>
              <w:rPr>
                <w:rFonts w:hint="eastAsia" w:ascii="宋体" w:hAnsi="宋体" w:eastAsia="宋体" w:cs="宋体"/>
                <w:color w:val="auto"/>
                <w:highlight w:val="none"/>
              </w:rPr>
              <w:t>投入一定的经营场所（包括仓库、冷藏室、快检室），车辆和人员，承诺</w:t>
            </w:r>
            <w:r>
              <w:rPr>
                <w:rFonts w:hint="eastAsia" w:ascii="宋体" w:hAnsi="宋体" w:cs="宋体"/>
                <w:color w:val="auto"/>
                <w:highlight w:val="none"/>
                <w:lang w:eastAsia="zh-CN"/>
              </w:rPr>
              <w:t>成交</w:t>
            </w:r>
            <w:r>
              <w:rPr>
                <w:rFonts w:hint="eastAsia" w:ascii="宋体" w:hAnsi="宋体" w:eastAsia="宋体" w:cs="宋体"/>
                <w:color w:val="auto"/>
                <w:highlight w:val="none"/>
              </w:rPr>
              <w:t>通知书发放后</w:t>
            </w:r>
            <w:r>
              <w:rPr>
                <w:rFonts w:hint="eastAsia" w:ascii="宋体" w:hAnsi="宋体" w:eastAsia="宋体" w:cs="宋体"/>
                <w:color w:val="auto"/>
                <w:highlight w:val="none"/>
                <w:lang w:eastAsia="zh-CN"/>
              </w:rPr>
              <w:t>合同实施前</w:t>
            </w:r>
            <w:r>
              <w:rPr>
                <w:rFonts w:hint="eastAsia" w:ascii="宋体" w:hAnsi="宋体" w:eastAsia="宋体" w:cs="宋体"/>
                <w:color w:val="auto"/>
                <w:highlight w:val="none"/>
              </w:rPr>
              <w:t>，在平南县内建成能满足本项目服务所需的统一配送的经营场所，经营场所配备的条件须与评标标准得分一致（厢式配送冷藏专用车、足够的正式员工、大型仓储、分拣中心、冷链仓库及其它履行合同能力的设备设施）</w:t>
            </w:r>
            <w:r>
              <w:rPr>
                <w:rFonts w:hint="eastAsia" w:ascii="宋体" w:hAnsi="宋体" w:eastAsia="宋体" w:cs="宋体"/>
                <w:color w:val="auto"/>
                <w:highlight w:val="none"/>
                <w:lang w:eastAsia="zh-CN"/>
              </w:rPr>
              <w:t>。</w:t>
            </w:r>
          </w:p>
          <w:p w14:paraId="02879C5D">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w:t>
            </w:r>
            <w:r>
              <w:rPr>
                <w:rFonts w:hint="eastAsia" w:ascii="宋体" w:hAnsi="宋体" w:eastAsia="宋体" w:cs="宋体"/>
                <w:color w:val="auto"/>
                <w:highlight w:val="none"/>
              </w:rPr>
              <w:t>2</w:t>
            </w:r>
            <w:r>
              <w:rPr>
                <w:rFonts w:hint="eastAsia" w:ascii="宋体" w:hAnsi="宋体" w:cs="宋体"/>
                <w:color w:val="auto"/>
                <w:highlight w:val="none"/>
                <w:lang w:val="en-US" w:eastAsia="zh-CN"/>
              </w:rPr>
              <w:t>)</w:t>
            </w:r>
            <w:r>
              <w:rPr>
                <w:rFonts w:hint="eastAsia" w:ascii="宋体" w:hAnsi="宋体" w:eastAsia="宋体" w:cs="宋体"/>
                <w:color w:val="auto"/>
                <w:highlight w:val="none"/>
              </w:rPr>
              <w:t>接受平南县教育局、市场监督管理等相关部门监督，执行贵港市教育</w:t>
            </w:r>
            <w:r>
              <w:rPr>
                <w:rFonts w:hint="eastAsia" w:ascii="宋体" w:hAnsi="宋体" w:eastAsia="宋体" w:cs="宋体"/>
                <w:color w:val="auto"/>
                <w:highlight w:val="none"/>
                <w:lang w:val="en-US" w:eastAsia="zh-CN"/>
              </w:rPr>
              <w:t xml:space="preserve">局   </w:t>
            </w:r>
            <w:r>
              <w:rPr>
                <w:rFonts w:hint="eastAsia" w:ascii="宋体" w:hAnsi="宋体" w:eastAsia="宋体" w:cs="宋体"/>
                <w:color w:val="auto"/>
                <w:highlight w:val="none"/>
              </w:rPr>
              <w:t>贵港市市场监督管理局关于《印发贵港市中小学食材</w:t>
            </w:r>
            <w:r>
              <w:rPr>
                <w:rFonts w:hint="eastAsia" w:ascii="宋体" w:hAnsi="宋体" w:cs="宋体"/>
                <w:color w:val="auto"/>
                <w:highlight w:val="none"/>
                <w:lang w:eastAsia="zh-CN"/>
              </w:rPr>
              <w:t>供应商</w:t>
            </w:r>
            <w:r>
              <w:rPr>
                <w:rFonts w:hint="eastAsia" w:ascii="宋体" w:hAnsi="宋体" w:eastAsia="宋体" w:cs="宋体"/>
                <w:color w:val="auto"/>
                <w:highlight w:val="none"/>
              </w:rPr>
              <w:t>准入和退出条件》的通知（贵教通【2024】22号）的规定。</w:t>
            </w:r>
          </w:p>
          <w:p w14:paraId="136A94E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w:t>
            </w:r>
            <w:r>
              <w:rPr>
                <w:rFonts w:hint="eastAsia" w:ascii="宋体" w:hAnsi="宋体" w:eastAsia="宋体" w:cs="宋体"/>
                <w:color w:val="auto"/>
                <w:highlight w:val="none"/>
              </w:rPr>
              <w:t>3</w:t>
            </w:r>
            <w:r>
              <w:rPr>
                <w:rFonts w:hint="eastAsia" w:ascii="宋体" w:hAnsi="宋体" w:cs="宋体"/>
                <w:color w:val="auto"/>
                <w:highlight w:val="none"/>
                <w:lang w:val="en-US" w:eastAsia="zh-CN"/>
              </w:rPr>
              <w:t>)</w:t>
            </w:r>
            <w:r>
              <w:rPr>
                <w:rFonts w:hint="eastAsia" w:ascii="宋体" w:hAnsi="宋体" w:eastAsia="宋体" w:cs="宋体"/>
                <w:color w:val="auto"/>
                <w:highlight w:val="none"/>
              </w:rPr>
              <w:t>若供应商未在</w:t>
            </w:r>
            <w:r>
              <w:rPr>
                <w:rFonts w:hint="eastAsia" w:ascii="宋体" w:hAnsi="宋体" w:eastAsia="宋体" w:cs="宋体"/>
                <w:color w:val="auto"/>
                <w:highlight w:val="none"/>
                <w:lang w:eastAsia="zh-CN"/>
              </w:rPr>
              <w:t>签订合同后</w:t>
            </w:r>
            <w:r>
              <w:rPr>
                <w:rFonts w:hint="eastAsia" w:ascii="宋体" w:hAnsi="宋体" w:eastAsia="宋体" w:cs="宋体"/>
                <w:color w:val="auto"/>
                <w:highlight w:val="none"/>
              </w:rPr>
              <w:t>建成经营场所的或设备达不到要求的，导致</w:t>
            </w:r>
            <w:r>
              <w:rPr>
                <w:rFonts w:hint="eastAsia" w:ascii="宋体" w:hAnsi="宋体" w:eastAsia="宋体" w:cs="宋体"/>
                <w:color w:val="auto"/>
                <w:highlight w:val="none"/>
                <w:lang w:val="en-US" w:eastAsia="zh-CN"/>
              </w:rPr>
              <w:t>采购人</w:t>
            </w:r>
            <w:r>
              <w:rPr>
                <w:rFonts w:hint="eastAsia" w:ascii="宋体" w:hAnsi="宋体" w:eastAsia="宋体" w:cs="宋体"/>
                <w:color w:val="auto"/>
                <w:highlight w:val="none"/>
              </w:rPr>
              <w:t>无法现场核验或现场核验不达标的，采购单位有权</w:t>
            </w:r>
            <w:r>
              <w:rPr>
                <w:rFonts w:hint="eastAsia" w:ascii="宋体" w:hAnsi="宋体" w:eastAsia="宋体" w:cs="宋体"/>
                <w:color w:val="auto"/>
                <w:highlight w:val="none"/>
                <w:lang w:eastAsia="zh-CN"/>
              </w:rPr>
              <w:t>上报监督部门</w:t>
            </w:r>
            <w:r>
              <w:rPr>
                <w:rFonts w:hint="eastAsia" w:ascii="宋体" w:hAnsi="宋体" w:eastAsia="宋体" w:cs="宋体"/>
                <w:color w:val="auto"/>
                <w:highlight w:val="none"/>
              </w:rPr>
              <w:t>取消其</w:t>
            </w:r>
            <w:r>
              <w:rPr>
                <w:rFonts w:hint="eastAsia" w:ascii="宋体" w:hAnsi="宋体" w:eastAsia="宋体" w:cs="宋体"/>
                <w:color w:val="auto"/>
                <w:highlight w:val="none"/>
                <w:lang w:eastAsia="zh-CN"/>
              </w:rPr>
              <w:t>供货</w:t>
            </w:r>
            <w:r>
              <w:rPr>
                <w:rFonts w:hint="eastAsia" w:ascii="宋体" w:hAnsi="宋体" w:eastAsia="宋体" w:cs="宋体"/>
                <w:color w:val="auto"/>
                <w:highlight w:val="none"/>
              </w:rPr>
              <w:t>资格。</w:t>
            </w:r>
          </w:p>
        </w:tc>
      </w:tr>
      <w:tr w14:paraId="5D948D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63455A6F">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eastAsia="zh-CN"/>
              </w:rPr>
              <w:t>价格要求</w:t>
            </w:r>
          </w:p>
        </w:tc>
        <w:tc>
          <w:tcPr>
            <w:tcW w:w="7600" w:type="dxa"/>
            <w:tcBorders>
              <w:top w:val="single" w:color="auto" w:sz="4" w:space="0"/>
              <w:left w:val="single" w:color="auto" w:sz="4" w:space="0"/>
              <w:bottom w:val="single" w:color="auto" w:sz="4" w:space="0"/>
              <w:right w:val="single" w:color="auto" w:sz="4" w:space="0"/>
            </w:tcBorders>
            <w:vAlign w:val="center"/>
          </w:tcPr>
          <w:p w14:paraId="06DB11B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1.供货价格须包含提供食品原材料的</w:t>
            </w:r>
            <w:r>
              <w:rPr>
                <w:rFonts w:hint="eastAsia" w:ascii="宋体" w:hAnsi="宋体" w:cs="宋体"/>
                <w:color w:val="auto"/>
                <w:highlight w:val="none"/>
                <w:lang w:eastAsia="zh-CN"/>
              </w:rPr>
              <w:t>成本、生产、加工、检验检测、包装、运输、仓储、配送、服务、利润、</w:t>
            </w:r>
            <w:r>
              <w:rPr>
                <w:rFonts w:hint="eastAsia" w:ascii="宋体" w:hAnsi="宋体" w:eastAsia="宋体" w:cs="宋体"/>
                <w:color w:val="auto"/>
                <w:highlight w:val="none"/>
              </w:rPr>
              <w:t>税金、政策性规费、保险、劳保等一切相关费用。所产生的费用由</w:t>
            </w:r>
            <w:r>
              <w:rPr>
                <w:rFonts w:hint="eastAsia" w:ascii="宋体" w:hAnsi="宋体" w:cs="宋体"/>
                <w:color w:val="auto"/>
                <w:highlight w:val="none"/>
                <w:lang w:eastAsia="zh-CN"/>
              </w:rPr>
              <w:t>供应商</w:t>
            </w:r>
            <w:r>
              <w:rPr>
                <w:rFonts w:hint="eastAsia" w:ascii="宋体" w:hAnsi="宋体" w:eastAsia="宋体" w:cs="宋体"/>
                <w:color w:val="auto"/>
                <w:highlight w:val="none"/>
              </w:rPr>
              <w:t>负责。</w:t>
            </w:r>
          </w:p>
          <w:p w14:paraId="5936BE17">
            <w:pPr>
              <w:keepNext w:val="0"/>
              <w:keepLines w:val="0"/>
              <w:pageBreakBefore w:val="0"/>
              <w:kinsoku/>
              <w:wordWrap/>
              <w:overflowPunct/>
              <w:topLinePunct w:val="0"/>
              <w:bidi w:val="0"/>
              <w:spacing w:line="360" w:lineRule="auto"/>
              <w:ind w:left="420" w:left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2.供货结算价格要随着市场的价格变化而变化，食品原料市场价格调查时间</w:t>
            </w:r>
          </w:p>
          <w:p w14:paraId="23862A45">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安排按照以下流程：</w:t>
            </w:r>
          </w:p>
          <w:p w14:paraId="1CE4BFB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)平南县物价部门每月发布的监测价格表上有对应品种价格的，</w:t>
            </w:r>
            <w:r>
              <w:rPr>
                <w:rFonts w:hint="eastAsia" w:ascii="宋体" w:hAnsi="宋体" w:cs="宋体"/>
                <w:color w:val="auto"/>
                <w:highlight w:val="none"/>
                <w:lang w:eastAsia="zh-CN"/>
              </w:rPr>
              <w:t>采购人有启动应急预案的权利（遇不可</w:t>
            </w:r>
            <w:r>
              <w:rPr>
                <w:rFonts w:hint="eastAsia" w:ascii="宋体" w:hAnsi="宋体" w:eastAsia="宋体" w:cs="宋体"/>
                <w:color w:val="auto"/>
                <w:highlight w:val="none"/>
              </w:rPr>
              <w:t>与配送企业当月对应品种采购价格的结算按照县物价部门上一个月发布的监测价格表执行，结算时配送企业附上县物价部门上一个月发布的监测价格表给学校存档。</w:t>
            </w:r>
          </w:p>
          <w:p w14:paraId="227DADC6">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)平南县物价部门每月发布的监测价格表没有公布的食品和食材实行多方询价小组询价。教育局组织由教育局、市监局、配送企业代表、学校代表(每次</w:t>
            </w:r>
            <w:r>
              <w:rPr>
                <w:rFonts w:hint="eastAsia" w:ascii="宋体" w:hAnsi="宋体" w:cs="宋体"/>
                <w:color w:val="auto"/>
                <w:highlight w:val="none"/>
                <w:lang w:eastAsia="zh-CN"/>
              </w:rPr>
              <w:t>有三所以上</w:t>
            </w:r>
            <w:r>
              <w:rPr>
                <w:rFonts w:hint="eastAsia" w:ascii="宋体" w:hAnsi="宋体" w:eastAsia="宋体" w:cs="宋体"/>
                <w:color w:val="auto"/>
                <w:highlight w:val="none"/>
              </w:rPr>
              <w:t>学校派出的代表)、学校膳食安全委员会代表(每次不少于3人)组成的多方询价小组，可不定期邀请人大代表和政协委员代表监督到城区内大型超市对重要商品的价格进行采价，特价及促销价除外</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如大型超市没有配送的商品，则到城区的大型农贸市场采价。每月询价二次，上下半月不定期各询一次取二次询价的平均值作为学校和配送企业确定下一个月食材结算价格且实行全县统一价格。</w:t>
            </w:r>
          </w:p>
          <w:p w14:paraId="275E2D4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配送企业</w:t>
            </w:r>
            <w:r>
              <w:rPr>
                <w:rFonts w:hint="eastAsia" w:ascii="宋体" w:hAnsi="宋体" w:eastAsia="宋体" w:cs="宋体"/>
                <w:color w:val="auto"/>
                <w:highlight w:val="none"/>
                <w:lang w:eastAsia="zh-CN"/>
              </w:rPr>
              <w:t>以</w:t>
            </w:r>
            <w:r>
              <w:rPr>
                <w:rFonts w:hint="eastAsia" w:ascii="宋体" w:hAnsi="宋体" w:eastAsia="宋体" w:cs="宋体"/>
                <w:color w:val="auto"/>
                <w:highlight w:val="none"/>
              </w:rPr>
              <w:t>平南县物价部门每月发布的监测价格和平南县城大型超市、农贸市场同品质价格为参照依据</w:t>
            </w:r>
            <w:r>
              <w:rPr>
                <w:rFonts w:hint="eastAsia" w:ascii="宋体" w:hAnsi="宋体" w:cs="宋体"/>
                <w:color w:val="auto"/>
                <w:highlight w:val="none"/>
                <w:lang w:eastAsia="zh-CN"/>
              </w:rPr>
              <w:t>（</w:t>
            </w:r>
            <w:r>
              <w:rPr>
                <w:rFonts w:hint="eastAsia" w:ascii="宋体" w:hAnsi="宋体" w:eastAsia="宋体" w:cs="宋体"/>
                <w:color w:val="auto"/>
                <w:highlight w:val="none"/>
              </w:rPr>
              <w:t>上级部门相关规定除外</w:t>
            </w:r>
            <w:r>
              <w:rPr>
                <w:rFonts w:hint="eastAsia" w:ascii="宋体" w:hAnsi="宋体" w:cs="宋体"/>
                <w:color w:val="auto"/>
                <w:highlight w:val="none"/>
                <w:lang w:eastAsia="zh-CN"/>
              </w:rPr>
              <w:t>）</w:t>
            </w:r>
            <w:r>
              <w:rPr>
                <w:rFonts w:hint="eastAsia" w:ascii="宋体" w:hAnsi="宋体" w:eastAsia="宋体" w:cs="宋体"/>
                <w:color w:val="auto"/>
                <w:highlight w:val="none"/>
              </w:rPr>
              <w:t>，</w:t>
            </w:r>
            <w:r>
              <w:rPr>
                <w:rFonts w:hint="eastAsia" w:ascii="宋体" w:hAnsi="宋体" w:eastAsia="宋体" w:cs="宋体"/>
                <w:color w:val="auto"/>
                <w:highlight w:val="none"/>
              </w:rPr>
              <w:t>并根据规定在参考价格的基础上进行</w:t>
            </w:r>
            <w:r>
              <w:rPr>
                <w:rFonts w:hint="eastAsia" w:ascii="宋体" w:hAnsi="宋体" w:eastAsia="宋体" w:cs="宋体"/>
                <w:b/>
                <w:bCs/>
                <w:color w:val="auto"/>
                <w:highlight w:val="none"/>
                <w:lang w:eastAsia="zh-CN"/>
              </w:rPr>
              <w:t>“价格</w:t>
            </w:r>
            <w:r>
              <w:rPr>
                <w:rFonts w:hint="eastAsia" w:ascii="宋体" w:hAnsi="宋体" w:cs="宋体"/>
                <w:b/>
                <w:bCs/>
                <w:color w:val="auto"/>
                <w:highlight w:val="none"/>
                <w:lang w:eastAsia="zh-CN"/>
              </w:rPr>
              <w:t>90%</w:t>
            </w:r>
            <w:r>
              <w:rPr>
                <w:rFonts w:hint="eastAsia" w:ascii="宋体" w:hAnsi="宋体" w:eastAsia="宋体" w:cs="宋体"/>
                <w:b/>
                <w:bCs/>
                <w:color w:val="auto"/>
                <w:highlight w:val="none"/>
                <w:lang w:eastAsia="zh-CN"/>
              </w:rPr>
              <w:t>以下折扣”（按实际</w:t>
            </w:r>
            <w:r>
              <w:rPr>
                <w:rFonts w:hint="eastAsia" w:ascii="宋体" w:hAnsi="宋体" w:cs="宋体"/>
                <w:b/>
                <w:bCs/>
                <w:color w:val="auto"/>
                <w:highlight w:val="none"/>
                <w:lang w:eastAsia="zh-CN"/>
              </w:rPr>
              <w:t>成交</w:t>
            </w:r>
            <w:r>
              <w:rPr>
                <w:rFonts w:hint="eastAsia" w:ascii="宋体" w:hAnsi="宋体" w:eastAsia="宋体" w:cs="宋体"/>
                <w:b/>
                <w:bCs/>
                <w:color w:val="auto"/>
                <w:highlight w:val="none"/>
                <w:lang w:eastAsia="zh-CN"/>
              </w:rPr>
              <w:t>折扣率为准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报价范围：≤</w:t>
            </w:r>
            <w:r>
              <w:rPr>
                <w:rFonts w:hint="eastAsia" w:ascii="宋体" w:hAnsi="宋体" w:cs="宋体"/>
                <w:b/>
                <w:bCs/>
                <w:color w:val="auto"/>
                <w:szCs w:val="21"/>
                <w:highlight w:val="none"/>
                <w:lang w:eastAsia="zh-CN"/>
              </w:rPr>
              <w:t>90%</w:t>
            </w:r>
            <w:r>
              <w:rPr>
                <w:rFonts w:hint="eastAsia" w:ascii="宋体" w:hAnsi="宋体" w:cs="宋体"/>
                <w:b/>
                <w:bCs/>
                <w:color w:val="auto"/>
                <w:szCs w:val="21"/>
                <w:highlight w:val="none"/>
              </w:rPr>
              <w:t>（如：供货产品打九折即</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折扣率为90%，以此类推），否则，作无效报价处理。</w:t>
            </w:r>
            <w:r>
              <w:rPr>
                <w:rFonts w:hint="eastAsia" w:ascii="宋体" w:hAnsi="宋体" w:eastAsia="宋体" w:cs="宋体"/>
                <w:color w:val="auto"/>
                <w:highlight w:val="none"/>
              </w:rPr>
              <w:t>在</w:t>
            </w:r>
            <w:r>
              <w:rPr>
                <w:rFonts w:hint="eastAsia" w:ascii="宋体" w:hAnsi="宋体" w:eastAsia="宋体" w:cs="宋体"/>
                <w:color w:val="auto"/>
                <w:highlight w:val="none"/>
                <w:lang w:eastAsia="zh-CN"/>
              </w:rPr>
              <w:t>每</w:t>
            </w:r>
            <w:r>
              <w:rPr>
                <w:rFonts w:hint="eastAsia" w:ascii="宋体" w:hAnsi="宋体" w:eastAsia="宋体" w:cs="宋体"/>
                <w:color w:val="auto"/>
                <w:highlight w:val="none"/>
              </w:rPr>
              <w:t>月30</w:t>
            </w:r>
            <w:r>
              <w:rPr>
                <w:rFonts w:hint="eastAsia" w:ascii="宋体" w:hAnsi="宋体" w:eastAsia="宋体" w:cs="宋体"/>
                <w:color w:val="auto"/>
                <w:highlight w:val="none"/>
                <w:lang w:eastAsia="zh-CN"/>
              </w:rPr>
              <w:t>日前形成下一个月学校学生食</w:t>
            </w:r>
            <w:r>
              <w:rPr>
                <w:rFonts w:hint="eastAsia" w:ascii="宋体" w:hAnsi="宋体" w:eastAsia="宋体" w:cs="宋体"/>
                <w:color w:val="auto"/>
                <w:highlight w:val="none"/>
              </w:rPr>
              <w:t>堂食品及食材结算价格表。基准价不能高于市场上的最高价，如果价格不能协商确定的，供应商暂停供应该食材，对不按时、不按质、不按量、不按单配送到位的</w:t>
            </w:r>
            <w:r>
              <w:rPr>
                <w:rFonts w:hint="eastAsia" w:ascii="宋体" w:hAnsi="宋体" w:cs="宋体"/>
                <w:color w:val="auto"/>
                <w:highlight w:val="none"/>
                <w:lang w:eastAsia="zh-CN"/>
              </w:rPr>
              <w:t>，</w:t>
            </w:r>
            <w:r>
              <w:rPr>
                <w:rFonts w:hint="eastAsia" w:ascii="宋体" w:hAnsi="宋体" w:cs="宋体"/>
                <w:color w:val="auto"/>
                <w:highlight w:val="none"/>
                <w:lang w:val="en-US" w:eastAsia="zh-CN"/>
              </w:rPr>
              <w:t>采购人可不支付相应货款</w:t>
            </w:r>
            <w:r>
              <w:rPr>
                <w:rFonts w:hint="eastAsia" w:ascii="宋体" w:hAnsi="宋体" w:eastAsia="宋体" w:cs="宋体"/>
                <w:color w:val="auto"/>
                <w:highlight w:val="none"/>
              </w:rPr>
              <w:t>，</w:t>
            </w:r>
            <w:r>
              <w:rPr>
                <w:rFonts w:hint="eastAsia" w:ascii="宋体" w:hAnsi="宋体" w:cs="宋体"/>
                <w:color w:val="auto"/>
                <w:highlight w:val="none"/>
                <w:lang w:val="en-US" w:eastAsia="zh-CN"/>
              </w:rPr>
              <w:t>且</w:t>
            </w:r>
            <w:r>
              <w:rPr>
                <w:rFonts w:hint="eastAsia" w:ascii="宋体" w:hAnsi="宋体" w:cs="宋体"/>
                <w:color w:val="auto"/>
                <w:highlight w:val="none"/>
                <w:lang w:eastAsia="zh-CN"/>
              </w:rPr>
              <w:t>采购人有启动应急预案的权利（遇不可</w:t>
            </w:r>
            <w:r>
              <w:rPr>
                <w:rFonts w:hint="eastAsia" w:ascii="宋体" w:hAnsi="宋体" w:eastAsia="宋体" w:cs="宋体"/>
                <w:color w:val="auto"/>
                <w:highlight w:val="none"/>
                <w:lang w:eastAsia="zh-CN"/>
              </w:rPr>
              <w:t>抗力除外</w:t>
            </w:r>
            <w:r>
              <w:rPr>
                <w:rFonts w:hint="eastAsia" w:ascii="宋体" w:hAnsi="宋体" w:eastAsia="宋体" w:cs="宋体"/>
                <w:color w:val="auto"/>
                <w:highlight w:val="none"/>
              </w:rPr>
              <w:t>），从其他</w:t>
            </w:r>
            <w:r>
              <w:rPr>
                <w:rFonts w:hint="eastAsia" w:ascii="宋体" w:hAnsi="宋体" w:cs="宋体"/>
                <w:color w:val="auto"/>
                <w:highlight w:val="none"/>
                <w:lang w:eastAsia="zh-CN"/>
              </w:rPr>
              <w:t>供应商</w:t>
            </w:r>
            <w:r>
              <w:rPr>
                <w:rFonts w:hint="eastAsia" w:ascii="宋体" w:hAnsi="宋体" w:eastAsia="宋体" w:cs="宋体"/>
                <w:color w:val="auto"/>
                <w:highlight w:val="none"/>
              </w:rPr>
              <w:t>或具有保证食品安全的供应商采购</w:t>
            </w:r>
            <w:r>
              <w:rPr>
                <w:rFonts w:hint="eastAsia" w:ascii="宋体" w:hAnsi="宋体" w:cs="宋体"/>
                <w:color w:val="auto"/>
                <w:highlight w:val="none"/>
                <w:lang w:eastAsia="zh-CN"/>
              </w:rPr>
              <w:t>，</w:t>
            </w:r>
            <w:r>
              <w:rPr>
                <w:rFonts w:hint="eastAsia" w:ascii="宋体" w:hAnsi="宋体" w:cs="宋体"/>
                <w:color w:val="auto"/>
                <w:highlight w:val="none"/>
                <w:lang w:val="en-US" w:eastAsia="zh-CN"/>
              </w:rPr>
              <w:t>相应责任及损失由供应商自行承担</w:t>
            </w:r>
            <w:r>
              <w:rPr>
                <w:rFonts w:hint="eastAsia" w:ascii="宋体" w:hAnsi="宋体" w:eastAsia="宋体" w:cs="宋体"/>
                <w:color w:val="auto"/>
                <w:highlight w:val="none"/>
              </w:rPr>
              <w:t>。</w:t>
            </w:r>
          </w:p>
          <w:p w14:paraId="21CE9FE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3.基准价设定为X，签订的合同折扣率设定为Y%，则该原料供货单价为X×Y%（</w:t>
            </w:r>
            <w:r>
              <w:rPr>
                <w:rFonts w:hint="eastAsia" w:ascii="宋体" w:hAnsi="宋体" w:eastAsia="宋体" w:cs="宋体"/>
                <w:b/>
                <w:bCs/>
                <w:color w:val="auto"/>
                <w:highlight w:val="none"/>
              </w:rPr>
              <w:t>例如：市场零售价X＝100元，合同折扣率Y%=90%，该原料供货单价=100×0.90＝90元</w:t>
            </w:r>
            <w:r>
              <w:rPr>
                <w:rFonts w:hint="eastAsia" w:ascii="宋体" w:hAnsi="宋体" w:eastAsia="宋体" w:cs="宋体"/>
                <w:color w:val="auto"/>
                <w:highlight w:val="none"/>
              </w:rPr>
              <w:t>），第一</w:t>
            </w:r>
            <w:r>
              <w:rPr>
                <w:rFonts w:hint="eastAsia" w:ascii="宋体" w:hAnsi="宋体" w:cs="宋体"/>
                <w:color w:val="auto"/>
                <w:highlight w:val="none"/>
                <w:lang w:eastAsia="zh-CN"/>
              </w:rPr>
              <w:t>成交候选人</w:t>
            </w:r>
            <w:r>
              <w:rPr>
                <w:rFonts w:hint="eastAsia" w:ascii="宋体" w:hAnsi="宋体" w:eastAsia="宋体" w:cs="宋体"/>
                <w:color w:val="auto"/>
                <w:highlight w:val="none"/>
              </w:rPr>
              <w:t>不认可该供货价的视为自动放弃</w:t>
            </w:r>
            <w:r>
              <w:rPr>
                <w:rFonts w:hint="eastAsia" w:ascii="宋体" w:hAnsi="宋体" w:cs="宋体"/>
                <w:color w:val="auto"/>
                <w:highlight w:val="none"/>
                <w:lang w:eastAsia="zh-CN"/>
              </w:rPr>
              <w:t>成交</w:t>
            </w:r>
            <w:r>
              <w:rPr>
                <w:rFonts w:hint="eastAsia" w:ascii="宋体" w:hAnsi="宋体" w:eastAsia="宋体" w:cs="宋体"/>
                <w:color w:val="auto"/>
                <w:highlight w:val="none"/>
              </w:rPr>
              <w:t>权利，由下一</w:t>
            </w:r>
            <w:r>
              <w:rPr>
                <w:rFonts w:hint="eastAsia" w:ascii="宋体" w:hAnsi="宋体" w:cs="宋体"/>
                <w:color w:val="auto"/>
                <w:highlight w:val="none"/>
                <w:lang w:eastAsia="zh-CN"/>
              </w:rPr>
              <w:t>成交候选人</w:t>
            </w:r>
            <w:r>
              <w:rPr>
                <w:rFonts w:hint="eastAsia" w:ascii="宋体" w:hAnsi="宋体" w:eastAsia="宋体" w:cs="宋体"/>
                <w:color w:val="auto"/>
                <w:highlight w:val="none"/>
              </w:rPr>
              <w:t>递补。</w:t>
            </w:r>
          </w:p>
        </w:tc>
      </w:tr>
      <w:tr w14:paraId="48EA40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7FFDA0D1">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配送服务要求</w:t>
            </w:r>
          </w:p>
        </w:tc>
        <w:tc>
          <w:tcPr>
            <w:tcW w:w="7600" w:type="dxa"/>
            <w:tcBorders>
              <w:top w:val="single" w:color="auto" w:sz="4" w:space="0"/>
              <w:left w:val="single" w:color="auto" w:sz="4" w:space="0"/>
              <w:bottom w:val="single" w:color="auto" w:sz="4" w:space="0"/>
              <w:right w:val="single" w:color="auto" w:sz="4" w:space="0"/>
            </w:tcBorders>
            <w:vAlign w:val="center"/>
          </w:tcPr>
          <w:p w14:paraId="6337EED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应当根据</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实际情况，按照与</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的约定，在规定的时间内将预定的货物保质保量送到指定地点。</w:t>
            </w:r>
          </w:p>
          <w:p w14:paraId="28B5C597">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一般供货要求：</w:t>
            </w:r>
            <w:r>
              <w:rPr>
                <w:rFonts w:hint="eastAsia" w:ascii="宋体" w:hAnsi="宋体" w:cs="宋体"/>
                <w:color w:val="auto"/>
                <w:highlight w:val="none"/>
                <w:lang w:eastAsia="zh-CN"/>
              </w:rPr>
              <w:t>采购人学校</w:t>
            </w:r>
            <w:r>
              <w:rPr>
                <w:rFonts w:hint="eastAsia" w:ascii="宋体" w:hAnsi="宋体" w:eastAsia="宋体" w:cs="宋体"/>
                <w:color w:val="auto"/>
                <w:highlight w:val="none"/>
              </w:rPr>
              <w:t>提前一周向配送企业预订货物的品种和数量，配送企业接受配送任务后，向学校提供优质、新鲜的货物，食品原材料必须根据学校食堂的需要提前到位。配送的食品原材料应取得食品生产许可证、质量检验报告，未列入生产许可目录的应符合国家有关标准要求。紧急供货要求：在收到</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发出紧急供货通知后，</w:t>
            </w:r>
            <w:r>
              <w:rPr>
                <w:rFonts w:hint="eastAsia" w:ascii="宋体" w:hAnsi="宋体" w:cs="宋体"/>
                <w:color w:val="auto"/>
                <w:highlight w:val="none"/>
                <w:lang w:val="en-US" w:eastAsia="zh-CN"/>
              </w:rPr>
              <w:t>供应商</w:t>
            </w:r>
            <w:r>
              <w:rPr>
                <w:rFonts w:hint="eastAsia" w:ascii="宋体" w:hAnsi="宋体" w:eastAsia="宋体" w:cs="宋体"/>
                <w:color w:val="auto"/>
                <w:highlight w:val="none"/>
              </w:rPr>
              <w:t>最迟</w:t>
            </w:r>
            <w:r>
              <w:rPr>
                <w:rFonts w:hint="eastAsia" w:ascii="宋体" w:hAnsi="宋体" w:cs="宋体"/>
                <w:color w:val="auto"/>
                <w:highlight w:val="none"/>
                <w:lang w:val="en-US" w:eastAsia="zh-CN"/>
              </w:rPr>
              <w:t>30分钟</w:t>
            </w:r>
            <w:r>
              <w:rPr>
                <w:rFonts w:hint="eastAsia" w:ascii="宋体" w:hAnsi="宋体" w:eastAsia="宋体" w:cs="宋体"/>
                <w:color w:val="auto"/>
                <w:highlight w:val="none"/>
              </w:rPr>
              <w:t>内完成当次现场供货。</w:t>
            </w:r>
            <w:r>
              <w:rPr>
                <w:rFonts w:hint="eastAsia" w:ascii="宋体" w:hAnsi="宋体" w:cs="宋体"/>
                <w:color w:val="auto"/>
                <w:highlight w:val="none"/>
                <w:lang w:eastAsia="zh-CN"/>
              </w:rPr>
              <w:t>配送时间要求：</w:t>
            </w:r>
            <w:r>
              <w:rPr>
                <w:rFonts w:hint="eastAsia" w:ascii="宋体" w:hAnsi="宋体" w:cs="宋体"/>
                <w:color w:val="auto"/>
                <w:highlight w:val="none"/>
                <w:lang w:eastAsia="zh-CN"/>
              </w:rPr>
              <w:t>每日</w:t>
            </w:r>
            <w:r>
              <w:rPr>
                <w:rFonts w:hint="eastAsia" w:ascii="宋体" w:hAnsi="宋体" w:cs="宋体"/>
                <w:color w:val="auto"/>
                <w:highlight w:val="none"/>
                <w:lang w:val="en-US" w:eastAsia="zh-CN"/>
              </w:rPr>
              <w:t>7</w:t>
            </w:r>
            <w:r>
              <w:rPr>
                <w:rFonts w:hint="eastAsia" w:ascii="宋体" w:hAnsi="宋体" w:cs="宋体"/>
                <w:color w:val="auto"/>
                <w:highlight w:val="none"/>
                <w:lang w:eastAsia="zh-CN"/>
              </w:rPr>
              <w:t>：</w:t>
            </w:r>
            <w:r>
              <w:rPr>
                <w:rFonts w:hint="eastAsia" w:ascii="宋体" w:hAnsi="宋体" w:cs="宋体"/>
                <w:color w:val="auto"/>
                <w:highlight w:val="none"/>
                <w:lang w:val="en-US" w:eastAsia="zh-CN"/>
              </w:rPr>
              <w:t>0</w:t>
            </w:r>
            <w:r>
              <w:rPr>
                <w:rFonts w:hint="eastAsia" w:ascii="宋体" w:hAnsi="宋体" w:cs="宋体"/>
                <w:color w:val="auto"/>
                <w:highlight w:val="none"/>
                <w:lang w:eastAsia="zh-CN"/>
              </w:rPr>
              <w:t>0提</w:t>
            </w:r>
            <w:r>
              <w:rPr>
                <w:rFonts w:hint="eastAsia" w:ascii="宋体" w:hAnsi="宋体" w:cs="宋体"/>
                <w:color w:val="auto"/>
                <w:highlight w:val="none"/>
                <w:lang w:eastAsia="zh-CN"/>
              </w:rPr>
              <w:t>供当日使用鲜肉类、粉类、禽蛋类、蔬果类、干杂货食品等食材；</w:t>
            </w:r>
            <w:r>
              <w:rPr>
                <w:rFonts w:hint="eastAsia" w:ascii="宋体" w:hAnsi="宋体" w:cs="宋体"/>
                <w:color w:val="auto"/>
                <w:highlight w:val="none"/>
                <w:lang w:eastAsia="zh-CN"/>
              </w:rPr>
              <w:t>无特殊约定或不可抗力因素，配送时间不得延误。如有特殊原因延误未提前告知采购人或无故延误影响采购人正常活动开展的，采购人有权单方面拒付当天所有订单货物货款。每学期无故延误达2次（含）以上，采购人有权单方面终止协议。</w:t>
            </w:r>
          </w:p>
          <w:p w14:paraId="4D51B33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供应商成交</w:t>
            </w:r>
            <w:r>
              <w:rPr>
                <w:rFonts w:hint="eastAsia" w:ascii="宋体" w:hAnsi="宋体" w:eastAsia="宋体" w:cs="宋体"/>
                <w:color w:val="auto"/>
                <w:highlight w:val="none"/>
              </w:rPr>
              <w:t>后要配置可全程电子监控的“配送厢式冷藏专用车”，凭专用通行证进出学校。蔬菜水果、鲜肉类、面包、糕点、</w:t>
            </w:r>
            <w:r>
              <w:rPr>
                <w:rFonts w:hint="eastAsia" w:ascii="宋体" w:hAnsi="宋体" w:eastAsia="宋体" w:cs="宋体"/>
                <w:color w:val="auto"/>
                <w:highlight w:val="none"/>
                <w:lang w:eastAsia="zh-CN"/>
              </w:rPr>
              <w:t>粉类</w:t>
            </w:r>
            <w:r>
              <w:rPr>
                <w:rFonts w:hint="eastAsia" w:ascii="宋体" w:hAnsi="宋体" w:eastAsia="宋体" w:cs="宋体"/>
                <w:color w:val="auto"/>
                <w:highlight w:val="none"/>
              </w:rPr>
              <w:t>等鲜活食品必须当日配送，其余食品原材料可视学校实际需求配送，确保学校食品新鲜、优质、安全可靠。</w:t>
            </w:r>
            <w:r>
              <w:rPr>
                <w:rFonts w:hint="eastAsia" w:ascii="宋体" w:hAnsi="宋体" w:cs="宋体"/>
                <w:color w:val="auto"/>
                <w:highlight w:val="none"/>
                <w:lang w:eastAsia="zh-CN"/>
              </w:rPr>
              <w:t>为确保食品安全，配送的牛奶、糕点、水果等无法进行二次加工烹煮的食物与鲜肉类食材分开配送，不得混装在同一箱体内，否则采购人有权拒收该批次食材，造成一切损失由供应商承担。供应商</w:t>
            </w:r>
            <w:r>
              <w:rPr>
                <w:rFonts w:hint="eastAsia" w:ascii="宋体" w:hAnsi="宋体" w:eastAsia="宋体" w:cs="宋体"/>
                <w:color w:val="auto"/>
                <w:highlight w:val="none"/>
              </w:rPr>
              <w:t>要全程监控配送车辆送货情况，严禁途中调货换货现象发生。</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必须按照</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通知的时间、数量、品种、品质要求及协定的价格准时送货，经验收合格后签字确认，不能以任何理由</w:t>
            </w:r>
            <w:r>
              <w:rPr>
                <w:rFonts w:hint="eastAsia" w:ascii="宋体" w:hAnsi="宋体" w:eastAsia="宋体" w:cs="宋体"/>
                <w:color w:val="auto"/>
                <w:highlight w:val="none"/>
                <w:lang w:val="en-US" w:eastAsia="zh-CN"/>
              </w:rPr>
              <w:t>推脱</w:t>
            </w:r>
            <w:r>
              <w:rPr>
                <w:rFonts w:hint="eastAsia" w:ascii="宋体" w:hAnsi="宋体" w:eastAsia="宋体" w:cs="宋体"/>
                <w:color w:val="auto"/>
                <w:highlight w:val="none"/>
              </w:rPr>
              <w:t>，一旦影响到</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食堂的正常运转，</w:t>
            </w:r>
            <w:r>
              <w:rPr>
                <w:rFonts w:hint="eastAsia" w:ascii="宋体" w:hAnsi="宋体" w:cs="宋体"/>
                <w:color w:val="auto"/>
                <w:highlight w:val="none"/>
                <w:lang w:eastAsia="zh-CN"/>
              </w:rPr>
              <w:t>供应商</w:t>
            </w:r>
            <w:r>
              <w:rPr>
                <w:rFonts w:hint="eastAsia" w:ascii="宋体" w:hAnsi="宋体" w:eastAsia="宋体" w:cs="宋体"/>
                <w:color w:val="auto"/>
                <w:highlight w:val="none"/>
              </w:rPr>
              <w:t>应承担相应的经济赔偿。</w:t>
            </w:r>
          </w:p>
          <w:p w14:paraId="11E703F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不能满足供货要求时，应提前1个月通知</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同意后方可</w:t>
            </w:r>
            <w:r>
              <w:rPr>
                <w:rFonts w:hint="eastAsia" w:ascii="宋体" w:hAnsi="宋体" w:cs="宋体"/>
                <w:color w:val="auto"/>
                <w:highlight w:val="none"/>
                <w:lang w:val="en-US" w:eastAsia="zh-CN"/>
              </w:rPr>
              <w:t>依法终止</w:t>
            </w:r>
            <w:r>
              <w:rPr>
                <w:rFonts w:hint="eastAsia" w:ascii="宋体" w:hAnsi="宋体" w:eastAsia="宋体" w:cs="宋体"/>
                <w:color w:val="auto"/>
                <w:highlight w:val="none"/>
              </w:rPr>
              <w:t>合同。</w:t>
            </w:r>
          </w:p>
          <w:p w14:paraId="005A171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5</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送货地点：</w:t>
            </w:r>
            <w:r>
              <w:rPr>
                <w:rFonts w:hint="eastAsia" w:ascii="宋体" w:hAnsi="宋体" w:cs="宋体"/>
                <w:color w:val="auto"/>
                <w:highlight w:val="none"/>
                <w:lang w:val="en-US" w:eastAsia="zh-CN"/>
              </w:rPr>
              <w:t>平南县马练瑶族乡初级中学</w:t>
            </w:r>
            <w:r>
              <w:rPr>
                <w:rFonts w:hint="eastAsia" w:ascii="宋体" w:hAnsi="宋体" w:eastAsia="宋体" w:cs="宋体"/>
                <w:b/>
                <w:color w:val="auto"/>
                <w:highlight w:val="none"/>
              </w:rPr>
              <w:t>（</w:t>
            </w:r>
            <w:r>
              <w:rPr>
                <w:rFonts w:hint="eastAsia" w:ascii="宋体" w:hAnsi="宋体" w:eastAsia="宋体" w:cs="宋体"/>
                <w:color w:val="auto"/>
                <w:szCs w:val="21"/>
                <w:highlight w:val="none"/>
              </w:rPr>
              <w:t>交货地点如有变动，</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不另行支付配送交通费用</w:t>
            </w:r>
            <w:r>
              <w:rPr>
                <w:rFonts w:hint="eastAsia" w:ascii="宋体" w:hAnsi="宋体" w:eastAsia="宋体" w:cs="宋体"/>
                <w:b/>
                <w:color w:val="auto"/>
                <w:highlight w:val="none"/>
              </w:rPr>
              <w:t>）</w:t>
            </w:r>
          </w:p>
          <w:p w14:paraId="746004BF">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6</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在</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签收之前，货物的所有权和风险属于</w:t>
            </w:r>
            <w:r>
              <w:rPr>
                <w:rFonts w:hint="eastAsia" w:ascii="宋体" w:hAnsi="宋体" w:cs="宋体"/>
                <w:color w:val="auto"/>
                <w:highlight w:val="none"/>
                <w:lang w:eastAsia="zh-CN"/>
              </w:rPr>
              <w:t>供应商</w:t>
            </w:r>
            <w:r>
              <w:rPr>
                <w:rFonts w:hint="eastAsia" w:ascii="宋体" w:hAnsi="宋体" w:eastAsia="宋体" w:cs="宋体"/>
                <w:color w:val="auto"/>
                <w:highlight w:val="none"/>
              </w:rPr>
              <w:t>，货物的数量、质量、遗失、损坏由</w:t>
            </w:r>
            <w:r>
              <w:rPr>
                <w:rFonts w:hint="eastAsia" w:ascii="宋体" w:hAnsi="宋体" w:cs="宋体"/>
                <w:color w:val="auto"/>
                <w:highlight w:val="none"/>
                <w:lang w:eastAsia="zh-CN"/>
              </w:rPr>
              <w:t>供应商</w:t>
            </w:r>
            <w:r>
              <w:rPr>
                <w:rFonts w:hint="eastAsia" w:ascii="宋体" w:hAnsi="宋体" w:eastAsia="宋体" w:cs="宋体"/>
                <w:color w:val="auto"/>
                <w:highlight w:val="none"/>
              </w:rPr>
              <w:t>负责。</w:t>
            </w:r>
          </w:p>
          <w:p w14:paraId="04785A4D">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7</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必须严格按照</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的指令配送货物的数量，不得随意增减，否则，</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有权拒收。</w:t>
            </w:r>
          </w:p>
          <w:p w14:paraId="4474B6D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8</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除客观不可抗力外，</w:t>
            </w:r>
            <w:r>
              <w:rPr>
                <w:rFonts w:hint="eastAsia" w:ascii="宋体" w:hAnsi="宋体" w:cs="宋体"/>
                <w:color w:val="auto"/>
                <w:highlight w:val="none"/>
                <w:lang w:eastAsia="zh-CN"/>
              </w:rPr>
              <w:t>供应商</w:t>
            </w:r>
            <w:r>
              <w:rPr>
                <w:rFonts w:hint="eastAsia" w:ascii="宋体" w:hAnsi="宋体" w:eastAsia="宋体" w:cs="宋体"/>
                <w:color w:val="auto"/>
                <w:highlight w:val="none"/>
              </w:rPr>
              <w:t>不得更改送货内容。如因市场流通问题确实需要变更供货内容的，</w:t>
            </w:r>
            <w:r>
              <w:rPr>
                <w:rFonts w:hint="eastAsia" w:ascii="宋体" w:hAnsi="宋体" w:cs="宋体"/>
                <w:color w:val="auto"/>
                <w:highlight w:val="none"/>
                <w:lang w:eastAsia="zh-CN"/>
              </w:rPr>
              <w:t>供应商</w:t>
            </w:r>
            <w:r>
              <w:rPr>
                <w:rFonts w:hint="eastAsia" w:ascii="宋体" w:hAnsi="宋体" w:eastAsia="宋体" w:cs="宋体"/>
                <w:color w:val="auto"/>
                <w:highlight w:val="none"/>
              </w:rPr>
              <w:t>应书面告知</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，并经</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同意后方可改变。经发现</w:t>
            </w:r>
            <w:r>
              <w:rPr>
                <w:rFonts w:hint="eastAsia" w:ascii="宋体" w:hAnsi="宋体" w:cs="宋体"/>
                <w:color w:val="auto"/>
                <w:highlight w:val="none"/>
                <w:lang w:eastAsia="zh-CN"/>
              </w:rPr>
              <w:t>供应商私自更改菜</w:t>
            </w:r>
            <w:r>
              <w:rPr>
                <w:rFonts w:hint="eastAsia" w:ascii="宋体" w:hAnsi="宋体" w:eastAsia="宋体" w:cs="宋体"/>
                <w:color w:val="auto"/>
                <w:highlight w:val="none"/>
              </w:rPr>
              <w:t>单中货品时以违约论处，由此产生的一切损失和费用由</w:t>
            </w:r>
            <w:r>
              <w:rPr>
                <w:rFonts w:hint="eastAsia" w:ascii="宋体" w:hAnsi="宋体" w:cs="宋体"/>
                <w:color w:val="auto"/>
                <w:highlight w:val="none"/>
                <w:lang w:eastAsia="zh-CN"/>
              </w:rPr>
              <w:t>供应商</w:t>
            </w:r>
            <w:r>
              <w:rPr>
                <w:rFonts w:hint="eastAsia" w:ascii="宋体" w:hAnsi="宋体" w:eastAsia="宋体" w:cs="宋体"/>
                <w:color w:val="auto"/>
                <w:highlight w:val="none"/>
              </w:rPr>
              <w:t>承担。</w:t>
            </w:r>
          </w:p>
          <w:p w14:paraId="17277398">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9</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发现采购货物不能正常食用的，</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必须无条件退货。</w:t>
            </w:r>
            <w:r>
              <w:rPr>
                <w:rFonts w:hint="eastAsia" w:ascii="宋体" w:hAnsi="宋体" w:cs="宋体"/>
                <w:color w:val="auto"/>
                <w:highlight w:val="none"/>
                <w:lang w:eastAsia="zh-CN"/>
              </w:rPr>
              <w:t>供应商</w:t>
            </w:r>
            <w:r>
              <w:rPr>
                <w:rFonts w:hint="eastAsia" w:ascii="宋体" w:hAnsi="宋体" w:eastAsia="宋体" w:cs="宋体"/>
                <w:color w:val="auto"/>
                <w:highlight w:val="none"/>
              </w:rPr>
              <w:t>未能履行</w:t>
            </w:r>
            <w:r>
              <w:rPr>
                <w:rFonts w:hint="eastAsia" w:ascii="宋体" w:hAnsi="宋体" w:cs="宋体"/>
                <w:color w:val="auto"/>
                <w:highlight w:val="none"/>
                <w:lang w:eastAsia="zh-CN"/>
              </w:rPr>
              <w:t>采购文件</w:t>
            </w:r>
            <w:r>
              <w:rPr>
                <w:rFonts w:hint="eastAsia" w:ascii="宋体" w:hAnsi="宋体" w:eastAsia="宋体" w:cs="宋体"/>
                <w:color w:val="auto"/>
                <w:highlight w:val="none"/>
              </w:rPr>
              <w:t>和合同所定事项，或供应不合格的、假冒虚伪、以次充好的货物，</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退货后记录在案，并对</w:t>
            </w:r>
            <w:r>
              <w:rPr>
                <w:rFonts w:hint="eastAsia" w:ascii="宋体" w:hAnsi="宋体" w:cs="宋体"/>
                <w:color w:val="auto"/>
                <w:highlight w:val="none"/>
                <w:lang w:eastAsia="zh-CN"/>
              </w:rPr>
              <w:t>供应商</w:t>
            </w:r>
            <w:r>
              <w:rPr>
                <w:rFonts w:hint="eastAsia" w:ascii="宋体" w:hAnsi="宋体" w:eastAsia="宋体" w:cs="宋体"/>
                <w:color w:val="auto"/>
                <w:highlight w:val="none"/>
              </w:rPr>
              <w:t>予以处罚</w:t>
            </w:r>
            <w:r>
              <w:rPr>
                <w:rFonts w:hint="eastAsia" w:ascii="宋体" w:hAnsi="宋体" w:eastAsia="宋体" w:cs="宋体"/>
                <w:color w:val="auto"/>
                <w:highlight w:val="none"/>
                <w:lang w:eastAsia="zh-CN"/>
              </w:rPr>
              <w:t>，每次没收履约保证金</w:t>
            </w:r>
            <w:r>
              <w:rPr>
                <w:rFonts w:hint="eastAsia" w:ascii="宋体" w:hAnsi="宋体" w:eastAsia="宋体" w:cs="宋体"/>
                <w:color w:val="auto"/>
                <w:highlight w:val="none"/>
                <w:lang w:val="en-US" w:eastAsia="zh-CN"/>
              </w:rPr>
              <w:t>1万元</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且</w:t>
            </w:r>
            <w:r>
              <w:rPr>
                <w:rFonts w:hint="eastAsia" w:ascii="宋体" w:hAnsi="宋体" w:eastAsia="宋体" w:cs="宋体"/>
                <w:color w:val="auto"/>
                <w:highlight w:val="none"/>
              </w:rPr>
              <w:t>除要承担因此产生的一切损失和费用，情节严重的可取消供应资格。</w:t>
            </w:r>
          </w:p>
          <w:p w14:paraId="0869C74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10</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不能按核定的供货价</w:t>
            </w:r>
            <w:r>
              <w:rPr>
                <w:rFonts w:hint="eastAsia" w:ascii="宋体" w:hAnsi="宋体" w:eastAsia="宋体" w:cs="宋体"/>
                <w:color w:val="auto"/>
                <w:highlight w:val="none"/>
                <w:lang w:eastAsia="zh-CN"/>
              </w:rPr>
              <w:t>交付某些货物</w:t>
            </w:r>
            <w:r>
              <w:rPr>
                <w:rFonts w:hint="eastAsia" w:ascii="宋体" w:hAnsi="宋体" w:eastAsia="宋体" w:cs="宋体"/>
                <w:color w:val="auto"/>
                <w:highlight w:val="none"/>
              </w:rPr>
              <w:t>、不能提供与其承诺相符的服务或</w:t>
            </w:r>
            <w:r>
              <w:rPr>
                <w:rFonts w:hint="eastAsia" w:ascii="宋体" w:hAnsi="宋体" w:cs="宋体"/>
                <w:color w:val="auto"/>
                <w:highlight w:val="none"/>
                <w:lang w:eastAsia="zh-CN"/>
              </w:rPr>
              <w:t>供应商</w:t>
            </w:r>
            <w:r>
              <w:rPr>
                <w:rFonts w:hint="eastAsia" w:ascii="宋体" w:hAnsi="宋体" w:eastAsia="宋体" w:cs="宋体"/>
                <w:color w:val="auto"/>
                <w:highlight w:val="none"/>
              </w:rPr>
              <w:t>存在违反</w:t>
            </w:r>
            <w:r>
              <w:rPr>
                <w:rFonts w:hint="eastAsia" w:ascii="宋体" w:hAnsi="宋体" w:cs="宋体"/>
                <w:color w:val="auto"/>
                <w:highlight w:val="none"/>
                <w:lang w:eastAsia="zh-CN"/>
              </w:rPr>
              <w:t>采购文件</w:t>
            </w:r>
            <w:r>
              <w:rPr>
                <w:rFonts w:hint="eastAsia" w:ascii="宋体" w:hAnsi="宋体" w:eastAsia="宋体" w:cs="宋体"/>
                <w:color w:val="auto"/>
                <w:highlight w:val="none"/>
              </w:rPr>
              <w:t>和合同的行为，并且不予纠正的，将取消其</w:t>
            </w:r>
            <w:r>
              <w:rPr>
                <w:rFonts w:hint="eastAsia" w:ascii="宋体" w:hAnsi="宋体" w:cs="宋体"/>
                <w:color w:val="auto"/>
                <w:highlight w:val="none"/>
                <w:lang w:eastAsia="zh-CN"/>
              </w:rPr>
              <w:t>成交</w:t>
            </w:r>
            <w:r>
              <w:rPr>
                <w:rFonts w:hint="eastAsia" w:ascii="宋体" w:hAnsi="宋体" w:eastAsia="宋体" w:cs="宋体"/>
                <w:color w:val="auto"/>
                <w:highlight w:val="none"/>
              </w:rPr>
              <w:t>资格。此项违约责任包括但不限于下列各项：</w:t>
            </w:r>
          </w:p>
          <w:p w14:paraId="1B829ED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⑴</w:t>
            </w:r>
            <w:r>
              <w:rPr>
                <w:rFonts w:hint="eastAsia" w:ascii="宋体" w:hAnsi="宋体" w:cs="宋体"/>
                <w:color w:val="auto"/>
                <w:highlight w:val="none"/>
                <w:lang w:eastAsia="zh-CN"/>
              </w:rPr>
              <w:t>供应商</w:t>
            </w:r>
            <w:r>
              <w:rPr>
                <w:rFonts w:hint="eastAsia" w:ascii="宋体" w:hAnsi="宋体" w:eastAsia="宋体" w:cs="宋体"/>
                <w:color w:val="auto"/>
                <w:highlight w:val="none"/>
              </w:rPr>
              <w:t>在收到</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订货要求后，在承诺的供货时间内不能供货的。</w:t>
            </w:r>
          </w:p>
          <w:p w14:paraId="5F47072F">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⑵</w:t>
            </w:r>
            <w:r>
              <w:rPr>
                <w:rFonts w:hint="eastAsia" w:ascii="宋体" w:hAnsi="宋体" w:cs="宋体"/>
                <w:color w:val="auto"/>
                <w:highlight w:val="none"/>
                <w:lang w:eastAsia="zh-CN"/>
              </w:rPr>
              <w:t>供应商</w:t>
            </w:r>
            <w:r>
              <w:rPr>
                <w:rFonts w:hint="eastAsia" w:ascii="宋体" w:hAnsi="宋体" w:eastAsia="宋体" w:cs="宋体"/>
                <w:color w:val="auto"/>
                <w:highlight w:val="none"/>
              </w:rPr>
              <w:t>未能提供承诺的服务的。</w:t>
            </w:r>
          </w:p>
          <w:p w14:paraId="4852B9AD">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⑶</w:t>
            </w:r>
            <w:r>
              <w:rPr>
                <w:rFonts w:hint="eastAsia" w:ascii="宋体" w:hAnsi="宋体" w:cs="宋体"/>
                <w:color w:val="auto"/>
                <w:highlight w:val="none"/>
                <w:lang w:eastAsia="zh-CN"/>
              </w:rPr>
              <w:t>成交</w:t>
            </w:r>
            <w:r>
              <w:rPr>
                <w:rFonts w:hint="eastAsia" w:ascii="宋体" w:hAnsi="宋体" w:eastAsia="宋体" w:cs="宋体"/>
                <w:color w:val="auto"/>
                <w:highlight w:val="none"/>
              </w:rPr>
              <w:t>货物在保质期内出现损坏的，</w:t>
            </w:r>
            <w:r>
              <w:rPr>
                <w:rFonts w:hint="eastAsia" w:ascii="宋体" w:hAnsi="宋体" w:cs="宋体"/>
                <w:color w:val="auto"/>
                <w:highlight w:val="none"/>
                <w:lang w:eastAsia="zh-CN"/>
              </w:rPr>
              <w:t>供应商</w:t>
            </w:r>
            <w:r>
              <w:rPr>
                <w:rFonts w:hint="eastAsia" w:ascii="宋体" w:hAnsi="宋体" w:eastAsia="宋体" w:cs="宋体"/>
                <w:color w:val="auto"/>
                <w:highlight w:val="none"/>
              </w:rPr>
              <w:t>应承诺替换服务，因替换货物产生的费用由</w:t>
            </w:r>
            <w:r>
              <w:rPr>
                <w:rFonts w:hint="eastAsia" w:ascii="宋体" w:hAnsi="宋体" w:cs="宋体"/>
                <w:color w:val="auto"/>
                <w:highlight w:val="none"/>
                <w:lang w:eastAsia="zh-CN"/>
              </w:rPr>
              <w:t>供应商</w:t>
            </w:r>
            <w:r>
              <w:rPr>
                <w:rFonts w:hint="eastAsia" w:ascii="宋体" w:hAnsi="宋体" w:eastAsia="宋体" w:cs="宋体"/>
                <w:color w:val="auto"/>
                <w:highlight w:val="none"/>
              </w:rPr>
              <w:t>负责。</w:t>
            </w:r>
          </w:p>
          <w:p w14:paraId="39D9FCE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⑷</w:t>
            </w:r>
            <w:r>
              <w:rPr>
                <w:rFonts w:hint="eastAsia" w:ascii="宋体" w:hAnsi="宋体" w:cs="宋体"/>
                <w:color w:val="auto"/>
                <w:highlight w:val="none"/>
                <w:lang w:eastAsia="zh-CN"/>
              </w:rPr>
              <w:t>供应商</w:t>
            </w:r>
            <w:r>
              <w:rPr>
                <w:rFonts w:hint="eastAsia" w:ascii="宋体" w:hAnsi="宋体" w:eastAsia="宋体" w:cs="宋体"/>
                <w:color w:val="auto"/>
                <w:highlight w:val="none"/>
              </w:rPr>
              <w:t>的送货单必须详细注明货物的名称、品种、单价、数量，不得涂改。标记不清的，</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将拒绝签字。</w:t>
            </w:r>
            <w:r>
              <w:rPr>
                <w:rFonts w:hint="eastAsia" w:ascii="宋体" w:hAnsi="宋体" w:eastAsia="宋体" w:cs="宋体"/>
                <w:color w:val="auto"/>
                <w:highlight w:val="none"/>
                <w:lang w:val="en-US" w:eastAsia="zh-CN"/>
              </w:rPr>
              <w:t>期末</w:t>
            </w:r>
            <w:r>
              <w:rPr>
                <w:rFonts w:hint="eastAsia" w:ascii="宋体" w:hAnsi="宋体" w:eastAsia="宋体" w:cs="宋体"/>
                <w:color w:val="auto"/>
                <w:highlight w:val="none"/>
              </w:rPr>
              <w:t>结算</w:t>
            </w:r>
            <w:r>
              <w:rPr>
                <w:rFonts w:hint="eastAsia" w:ascii="宋体" w:hAnsi="宋体" w:cs="宋体"/>
                <w:color w:val="auto"/>
                <w:highlight w:val="none"/>
                <w:lang w:eastAsia="zh-CN"/>
              </w:rPr>
              <w:t>供应商</w:t>
            </w:r>
            <w:r>
              <w:rPr>
                <w:rFonts w:hint="eastAsia" w:ascii="宋体" w:hAnsi="宋体" w:eastAsia="宋体" w:cs="宋体"/>
                <w:color w:val="auto"/>
                <w:highlight w:val="none"/>
              </w:rPr>
              <w:t>还应提供送货单供</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结算。</w:t>
            </w:r>
          </w:p>
          <w:p w14:paraId="237F18E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⑸</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必须指定专人送货，并经健康体检合格。送货专员在</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lang w:val="en-US" w:eastAsia="zh-CN"/>
              </w:rPr>
              <w:t>学校场所</w:t>
            </w:r>
            <w:r>
              <w:rPr>
                <w:rFonts w:hint="eastAsia" w:ascii="宋体" w:hAnsi="宋体" w:eastAsia="宋体" w:cs="宋体"/>
                <w:color w:val="auto"/>
                <w:highlight w:val="none"/>
              </w:rPr>
              <w:t>活动</w:t>
            </w:r>
            <w:r>
              <w:rPr>
                <w:rFonts w:hint="eastAsia" w:ascii="宋体" w:hAnsi="宋体" w:eastAsia="宋体" w:cs="宋体"/>
                <w:color w:val="auto"/>
                <w:highlight w:val="none"/>
                <w:lang w:val="en-US" w:eastAsia="zh-CN"/>
              </w:rPr>
              <w:t>时</w:t>
            </w:r>
            <w:r>
              <w:rPr>
                <w:rFonts w:hint="eastAsia" w:ascii="宋体" w:hAnsi="宋体" w:eastAsia="宋体" w:cs="宋体"/>
                <w:color w:val="auto"/>
                <w:highlight w:val="none"/>
              </w:rPr>
              <w:t>必须穿着便于辨认的工衣和佩戴出入证。并严格遵守</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的各项规章制度，否则</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有权</w:t>
            </w:r>
            <w:r>
              <w:rPr>
                <w:rFonts w:hint="eastAsia" w:ascii="宋体" w:hAnsi="宋体" w:cs="宋体"/>
                <w:color w:val="auto"/>
                <w:highlight w:val="none"/>
                <w:lang w:eastAsia="zh-CN"/>
              </w:rPr>
              <w:t>依法终止</w:t>
            </w:r>
            <w:r>
              <w:rPr>
                <w:rFonts w:hint="eastAsia" w:ascii="宋体" w:hAnsi="宋体" w:eastAsia="宋体" w:cs="宋体"/>
                <w:color w:val="auto"/>
                <w:highlight w:val="none"/>
              </w:rPr>
              <w:t>合同。</w:t>
            </w:r>
          </w:p>
          <w:p w14:paraId="1573DC6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⑹</w:t>
            </w:r>
            <w:r>
              <w:rPr>
                <w:rFonts w:hint="eastAsia" w:ascii="宋体" w:hAnsi="宋体" w:cs="宋体"/>
                <w:color w:val="auto"/>
                <w:highlight w:val="none"/>
                <w:lang w:eastAsia="zh-CN"/>
              </w:rPr>
              <w:t>供应商</w:t>
            </w:r>
            <w:r>
              <w:rPr>
                <w:rFonts w:hint="eastAsia" w:ascii="宋体" w:hAnsi="宋体" w:eastAsia="宋体" w:cs="宋体"/>
                <w:color w:val="auto"/>
                <w:highlight w:val="none"/>
              </w:rPr>
              <w:t>不得泄露</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的秘密。泄密造成</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损失的，</w:t>
            </w:r>
            <w:r>
              <w:rPr>
                <w:rFonts w:hint="eastAsia" w:ascii="宋体" w:hAnsi="宋体" w:cs="宋体"/>
                <w:color w:val="auto"/>
                <w:highlight w:val="none"/>
                <w:lang w:eastAsia="zh-CN"/>
              </w:rPr>
              <w:t>供应商</w:t>
            </w:r>
            <w:r>
              <w:rPr>
                <w:rFonts w:hint="eastAsia" w:ascii="宋体" w:hAnsi="宋体" w:eastAsia="宋体" w:cs="宋体"/>
                <w:color w:val="auto"/>
                <w:highlight w:val="none"/>
              </w:rPr>
              <w:t>将承担由此产生的一切损失和法律责任。</w:t>
            </w:r>
          </w:p>
          <w:p w14:paraId="04907332">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在合同有效期内，因自然灾害或不可抗力事件无法履行合同的行为不作为违约情形，双方均无责任。</w:t>
            </w:r>
          </w:p>
          <w:p w14:paraId="2A54167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食品价格严格执行</w:t>
            </w:r>
            <w:r>
              <w:rPr>
                <w:rFonts w:hint="eastAsia" w:ascii="宋体" w:hAnsi="宋体" w:cs="宋体"/>
                <w:color w:val="auto"/>
                <w:highlight w:val="none"/>
                <w:lang w:eastAsia="zh-CN"/>
              </w:rPr>
              <w:t>成交</w:t>
            </w:r>
            <w:r>
              <w:rPr>
                <w:rFonts w:hint="eastAsia" w:ascii="宋体" w:hAnsi="宋体" w:eastAsia="宋体" w:cs="宋体"/>
                <w:color w:val="auto"/>
                <w:highlight w:val="none"/>
              </w:rPr>
              <w:t>时约定的折扣，对于质量有问题的食品要保证退货，并及时更换符合质量标准的食品。要努力提高有关工作人员的服务水平，不得强制向学校配送不符合质量标准的食品，对出现有关质量问题的按合同相关事宜处理。</w:t>
            </w:r>
          </w:p>
        </w:tc>
      </w:tr>
      <w:tr w14:paraId="24914B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5DB515B4">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auto"/>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安全质量要求</w:t>
            </w:r>
          </w:p>
        </w:tc>
        <w:tc>
          <w:tcPr>
            <w:tcW w:w="7600" w:type="dxa"/>
            <w:tcBorders>
              <w:top w:val="single" w:color="auto" w:sz="4" w:space="0"/>
              <w:left w:val="single" w:color="auto" w:sz="4" w:space="0"/>
              <w:bottom w:val="single" w:color="auto" w:sz="4" w:space="0"/>
              <w:right w:val="single" w:color="auto" w:sz="4" w:space="0"/>
            </w:tcBorders>
            <w:vAlign w:val="center"/>
          </w:tcPr>
          <w:p w14:paraId="3A942ECA">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1</w:t>
            </w:r>
            <w:r>
              <w:rPr>
                <w:rFonts w:hint="eastAsia" w:ascii="宋体" w:hAnsi="宋体" w:eastAsia="宋体" w:cs="宋体"/>
                <w:bCs/>
                <w:color w:val="auto"/>
                <w:highlight w:val="none"/>
                <w:lang w:eastAsia="zh-CN"/>
              </w:rPr>
              <w:t>.</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应充分理解并认真遵循本</w:t>
            </w:r>
            <w:r>
              <w:rPr>
                <w:rFonts w:hint="eastAsia" w:ascii="宋体" w:hAnsi="宋体" w:cs="宋体"/>
                <w:bCs/>
                <w:color w:val="auto"/>
                <w:highlight w:val="none"/>
                <w:lang w:eastAsia="zh-CN"/>
              </w:rPr>
              <w:t>采购文件</w:t>
            </w:r>
            <w:r>
              <w:rPr>
                <w:rFonts w:hint="eastAsia" w:ascii="宋体" w:hAnsi="宋体" w:eastAsia="宋体" w:cs="宋体"/>
                <w:bCs/>
                <w:color w:val="auto"/>
                <w:highlight w:val="none"/>
              </w:rPr>
              <w:t>的要求。所提供的货物必须满足</w:t>
            </w:r>
            <w:r>
              <w:rPr>
                <w:rFonts w:hint="eastAsia" w:ascii="宋体" w:hAnsi="宋体" w:cs="宋体"/>
                <w:bCs/>
                <w:color w:val="auto"/>
                <w:highlight w:val="none"/>
                <w:lang w:eastAsia="zh-CN"/>
              </w:rPr>
              <w:t>采购文件</w:t>
            </w:r>
            <w:r>
              <w:rPr>
                <w:rFonts w:hint="eastAsia" w:ascii="宋体" w:hAnsi="宋体" w:eastAsia="宋体" w:cs="宋体"/>
                <w:bCs/>
                <w:color w:val="auto"/>
                <w:highlight w:val="none"/>
              </w:rPr>
              <w:t>要求，并可追溯，检验合格、无毒、无害、无辐射、无侵权，符合国家有关卫生、质量、包装和保质标准。</w:t>
            </w:r>
          </w:p>
          <w:p w14:paraId="16638DD7">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2</w:t>
            </w:r>
            <w:r>
              <w:rPr>
                <w:rFonts w:hint="eastAsia" w:ascii="宋体" w:hAnsi="宋体" w:eastAsia="宋体" w:cs="宋体"/>
                <w:bCs/>
                <w:color w:val="auto"/>
                <w:highlight w:val="none"/>
                <w:lang w:eastAsia="zh-CN"/>
              </w:rPr>
              <w:t>.</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提供的蔬菜必须保证每日新鲜，且取得无公害认证优先选择，并符合食品卫生安全法要求。</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每天对每批次蔬菜进行</w:t>
            </w:r>
            <w:r>
              <w:rPr>
                <w:rFonts w:hint="eastAsia" w:ascii="宋体" w:hAnsi="宋体" w:eastAsia="宋体" w:cs="宋体"/>
                <w:bCs/>
                <w:color w:val="auto"/>
                <w:highlight w:val="none"/>
                <w:lang w:eastAsia="zh-CN"/>
              </w:rPr>
              <w:t>农药残留进行抽检</w:t>
            </w:r>
            <w:r>
              <w:rPr>
                <w:rFonts w:hint="eastAsia" w:ascii="宋体" w:hAnsi="宋体" w:eastAsia="宋体" w:cs="宋体"/>
                <w:bCs/>
                <w:color w:val="auto"/>
                <w:highlight w:val="none"/>
              </w:rPr>
              <w:t>，如含量超标将要求</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无条件退货或换货。出现1次含量超标情况的，处以</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人民币1000元罚款，罚款由当月供货结算款中扣除。合同期内出现3次以上含量超标情况的，</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有权</w:t>
            </w:r>
            <w:r>
              <w:rPr>
                <w:rFonts w:hint="eastAsia" w:ascii="宋体" w:hAnsi="宋体" w:cs="宋体"/>
                <w:bCs/>
                <w:color w:val="auto"/>
                <w:highlight w:val="none"/>
                <w:lang w:eastAsia="zh-CN"/>
              </w:rPr>
              <w:t>依法终止</w:t>
            </w:r>
            <w:r>
              <w:rPr>
                <w:rFonts w:hint="eastAsia" w:ascii="宋体" w:hAnsi="宋体" w:eastAsia="宋体" w:cs="宋体"/>
                <w:bCs/>
                <w:color w:val="auto"/>
                <w:highlight w:val="none"/>
              </w:rPr>
              <w:t>合同。</w:t>
            </w:r>
          </w:p>
          <w:p w14:paraId="093348F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3</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依据产品质量监督检验所提供的质量标准，供应商提供的产品必须是经过</w:t>
            </w:r>
            <w:r>
              <w:rPr>
                <w:rFonts w:hint="eastAsia" w:ascii="宋体" w:hAnsi="宋体" w:cs="宋体"/>
                <w:bCs/>
                <w:color w:val="auto"/>
                <w:highlight w:val="none"/>
                <w:lang w:eastAsia="zh-CN"/>
              </w:rPr>
              <w:t>市场</w:t>
            </w:r>
            <w:r>
              <w:rPr>
                <w:rFonts w:hint="eastAsia" w:ascii="宋体" w:hAnsi="宋体" w:eastAsia="宋体" w:cs="宋体"/>
                <w:bCs/>
                <w:color w:val="auto"/>
                <w:highlight w:val="none"/>
              </w:rPr>
              <w:t>监督管理部门检验并取得合格证明的产品，每批次货物提供时应交存货物质量合格证明、产品质量检测合格报告或检疫报告复印件。鲜猪肉、鲜鸡鸭等禽畜产品必须具有动物检验检疫证明。</w:t>
            </w:r>
          </w:p>
          <w:p w14:paraId="179BA55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4</w:t>
            </w:r>
            <w:r>
              <w:rPr>
                <w:rFonts w:hint="eastAsia" w:ascii="宋体" w:hAnsi="宋体" w:eastAsia="宋体" w:cs="宋体"/>
                <w:bCs/>
                <w:color w:val="auto"/>
                <w:highlight w:val="none"/>
                <w:lang w:eastAsia="zh-CN"/>
              </w:rPr>
              <w:t>.</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应严格遵守《</w:t>
            </w:r>
            <w:r>
              <w:rPr>
                <w:rFonts w:hint="eastAsia" w:ascii="宋体" w:hAnsi="宋体" w:eastAsia="宋体" w:cs="宋体"/>
                <w:color w:val="auto"/>
                <w:kern w:val="1"/>
                <w:szCs w:val="21"/>
                <w:highlight w:val="none"/>
              </w:rPr>
              <w:t>中华人民共和国食品安全法</w:t>
            </w:r>
            <w:r>
              <w:rPr>
                <w:rFonts w:hint="eastAsia" w:ascii="宋体" w:hAnsi="宋体" w:eastAsia="宋体" w:cs="宋体"/>
                <w:bCs/>
                <w:color w:val="auto"/>
                <w:highlight w:val="none"/>
              </w:rPr>
              <w:t>》和《中华人民共和国动物防疫法》等相关规定，所提供的产品是合格安全的产品，一经发现供应以下食品，</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除全部退货外，</w:t>
            </w:r>
            <w:r>
              <w:rPr>
                <w:rFonts w:hint="eastAsia" w:ascii="宋体" w:hAnsi="宋体" w:cs="宋体"/>
                <w:bCs/>
                <w:color w:val="auto"/>
                <w:highlight w:val="none"/>
                <w:lang w:val="en-US" w:eastAsia="zh-CN"/>
              </w:rPr>
              <w:t>采购人有权依法解除合同，</w:t>
            </w:r>
            <w:r>
              <w:rPr>
                <w:rFonts w:hint="eastAsia" w:ascii="宋体" w:hAnsi="宋体" w:eastAsia="宋体" w:cs="宋体"/>
                <w:bCs/>
                <w:color w:val="auto"/>
                <w:highlight w:val="none"/>
              </w:rPr>
              <w:t>取消</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的供货资格，</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并承担由此造成的经济责任和法律责任。</w:t>
            </w:r>
          </w:p>
          <w:p w14:paraId="330809A9">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(1)腐败变质、油脂酸败、霉变、生虫、污秽不洁、混有异物或者其他感官性状异常，对人体健康有害的；</w:t>
            </w:r>
          </w:p>
          <w:p w14:paraId="203A38AE">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(2)含有毒、有害物质或者被有害物质污染，对人体健康有害的；</w:t>
            </w:r>
          </w:p>
          <w:p w14:paraId="4D3F0530">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(3)含有致病性寄生虫、微生物或者微生物含量超过国家限定标准的；</w:t>
            </w:r>
          </w:p>
          <w:p w14:paraId="2D126257">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(4)未经动物检疫部门检疫、检验或者检疫、检验不合格的肉类及其制品；</w:t>
            </w:r>
          </w:p>
          <w:p w14:paraId="2E0680F4">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(5)病死、毒死或者死因不明的禽、</w:t>
            </w:r>
            <w:r>
              <w:rPr>
                <w:rFonts w:hint="eastAsia" w:ascii="宋体" w:hAnsi="宋体" w:eastAsia="宋体" w:cs="宋体"/>
                <w:bCs/>
                <w:color w:val="auto"/>
                <w:highlight w:val="none"/>
                <w:lang w:val="en-US" w:eastAsia="zh-CN"/>
              </w:rPr>
              <w:t>畜</w:t>
            </w:r>
            <w:r>
              <w:rPr>
                <w:rFonts w:hint="eastAsia" w:ascii="宋体" w:hAnsi="宋体" w:eastAsia="宋体" w:cs="宋体"/>
                <w:bCs/>
                <w:color w:val="auto"/>
                <w:highlight w:val="none"/>
              </w:rPr>
              <w:t>、兽、水产动物等及其制品；</w:t>
            </w:r>
          </w:p>
          <w:p w14:paraId="063B2D8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(6)掺假、掺杂、伪造，影响营养、卫生的；</w:t>
            </w:r>
          </w:p>
          <w:p w14:paraId="4B35961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(7)用非食品原料加工的，加入非食品用化学物质或者将非食品当作食品的；</w:t>
            </w:r>
          </w:p>
          <w:p w14:paraId="5822CA5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(8)超过保质期限的。</w:t>
            </w:r>
          </w:p>
          <w:p w14:paraId="3763856C">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5</w:t>
            </w:r>
            <w:r>
              <w:rPr>
                <w:rFonts w:hint="eastAsia" w:ascii="宋体" w:hAnsi="宋体" w:eastAsia="宋体" w:cs="宋体"/>
                <w:bCs/>
                <w:color w:val="auto"/>
                <w:highlight w:val="none"/>
                <w:lang w:eastAsia="zh-CN"/>
              </w:rPr>
              <w:t>.</w:t>
            </w:r>
            <w:r>
              <w:rPr>
                <w:rFonts w:hint="eastAsia"/>
                <w:bCs/>
                <w:color w:val="auto"/>
                <w:highlight w:val="none"/>
                <w:lang w:eastAsia="zh-CN"/>
              </w:rPr>
              <w:t>供应商</w:t>
            </w:r>
            <w:r>
              <w:rPr>
                <w:rFonts w:hint="eastAsia"/>
                <w:bCs/>
                <w:color w:val="auto"/>
                <w:highlight w:val="none"/>
              </w:rPr>
              <w:t>在</w:t>
            </w:r>
            <w:r>
              <w:rPr>
                <w:rFonts w:hint="eastAsia"/>
                <w:bCs/>
                <w:color w:val="auto"/>
                <w:highlight w:val="none"/>
                <w:lang w:eastAsia="zh-CN"/>
              </w:rPr>
              <w:t>成交</w:t>
            </w:r>
            <w:r>
              <w:rPr>
                <w:rFonts w:hint="eastAsia"/>
                <w:bCs/>
                <w:color w:val="auto"/>
                <w:highlight w:val="none"/>
              </w:rPr>
              <w:t>前未购买</w:t>
            </w:r>
            <w:r>
              <w:rPr>
                <w:rFonts w:hint="eastAsia" w:ascii="宋体" w:hAnsi="宋体" w:cs="宋体"/>
                <w:color w:val="auto"/>
                <w:szCs w:val="21"/>
                <w:highlight w:val="none"/>
              </w:rPr>
              <w:t>食品安全责任保险的，</w:t>
            </w:r>
            <w:r>
              <w:rPr>
                <w:rFonts w:hint="eastAsia"/>
                <w:bCs/>
                <w:color w:val="auto"/>
                <w:highlight w:val="none"/>
                <w:lang w:eastAsia="zh-CN"/>
              </w:rPr>
              <w:t>供应商</w:t>
            </w:r>
            <w:r>
              <w:rPr>
                <w:rFonts w:hint="eastAsia"/>
                <w:bCs/>
                <w:color w:val="auto"/>
                <w:highlight w:val="none"/>
              </w:rPr>
              <w:t>在签订合同后一个月内必须到相关的保险公司进行投保，投保险种为食品安全责任保险</w:t>
            </w:r>
            <w:r>
              <w:rPr>
                <w:rFonts w:hint="eastAsia"/>
                <w:bCs/>
                <w:color w:val="auto"/>
                <w:highlight w:val="none"/>
                <w:lang w:eastAsia="zh-CN"/>
              </w:rPr>
              <w:t>，</w:t>
            </w:r>
            <w:r>
              <w:rPr>
                <w:rFonts w:hint="eastAsia" w:ascii="宋体" w:hAnsi="宋体" w:cs="宋体"/>
                <w:color w:val="auto"/>
                <w:szCs w:val="21"/>
                <w:highlight w:val="none"/>
              </w:rPr>
              <w:t>保额</w:t>
            </w:r>
            <w:r>
              <w:rPr>
                <w:rFonts w:hint="eastAsia" w:ascii="宋体" w:hAnsi="宋体" w:cs="宋体"/>
                <w:color w:val="auto"/>
                <w:szCs w:val="21"/>
                <w:highlight w:val="none"/>
                <w:lang w:eastAsia="zh-CN"/>
              </w:rPr>
              <w:t>不少于</w:t>
            </w:r>
            <w:r>
              <w:rPr>
                <w:rFonts w:hint="eastAsia" w:ascii="宋体" w:hAnsi="宋体" w:cs="宋体"/>
                <w:color w:val="auto"/>
                <w:szCs w:val="21"/>
                <w:highlight w:val="none"/>
                <w:lang w:val="en-US" w:eastAsia="zh-CN"/>
              </w:rPr>
              <w:t>500</w:t>
            </w:r>
            <w:r>
              <w:rPr>
                <w:rFonts w:hint="eastAsia" w:ascii="宋体" w:hAnsi="宋体" w:cs="宋体"/>
                <w:color w:val="auto"/>
                <w:szCs w:val="21"/>
                <w:highlight w:val="none"/>
              </w:rPr>
              <w:t>万</w:t>
            </w:r>
            <w:r>
              <w:rPr>
                <w:rFonts w:hint="eastAsia" w:ascii="宋体" w:hAnsi="宋体" w:cs="宋体"/>
                <w:color w:val="auto"/>
                <w:szCs w:val="21"/>
                <w:highlight w:val="none"/>
                <w:lang w:eastAsia="zh-CN"/>
              </w:rPr>
              <w:t>元</w:t>
            </w:r>
            <w:r>
              <w:rPr>
                <w:rFonts w:hint="eastAsia"/>
                <w:bCs/>
                <w:color w:val="auto"/>
                <w:highlight w:val="none"/>
              </w:rPr>
              <w:t>，否则</w:t>
            </w:r>
            <w:r>
              <w:rPr>
                <w:rFonts w:hint="eastAsia"/>
                <w:bCs/>
                <w:color w:val="auto"/>
                <w:highlight w:val="none"/>
                <w:lang w:eastAsia="zh-CN"/>
              </w:rPr>
              <w:t>采购人</w:t>
            </w:r>
            <w:r>
              <w:rPr>
                <w:rFonts w:hint="eastAsia"/>
                <w:bCs/>
                <w:color w:val="auto"/>
                <w:highlight w:val="none"/>
              </w:rPr>
              <w:t>有权</w:t>
            </w:r>
            <w:r>
              <w:rPr>
                <w:rFonts w:hint="eastAsia"/>
                <w:bCs/>
                <w:color w:val="auto"/>
                <w:highlight w:val="none"/>
                <w:lang w:eastAsia="zh-CN"/>
              </w:rPr>
              <w:t>依法终止</w:t>
            </w:r>
            <w:r>
              <w:rPr>
                <w:rFonts w:hint="eastAsia"/>
                <w:bCs/>
                <w:color w:val="auto"/>
                <w:highlight w:val="none"/>
              </w:rPr>
              <w:t>合同。</w:t>
            </w:r>
          </w:p>
          <w:p w14:paraId="054467B7">
            <w:pPr>
              <w:keepNext w:val="0"/>
              <w:keepLines w:val="0"/>
              <w:pageBreakBefore w:val="0"/>
              <w:numPr>
                <w:ilvl w:val="0"/>
                <w:numId w:val="0"/>
              </w:numPr>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kern w:val="2"/>
                <w:sz w:val="21"/>
                <w:szCs w:val="24"/>
                <w:highlight w:val="none"/>
                <w:lang w:val="en-US" w:eastAsia="zh-CN" w:bidi="ar-SA"/>
              </w:rPr>
              <w:t>6.</w:t>
            </w:r>
            <w:r>
              <w:rPr>
                <w:rFonts w:hint="eastAsia" w:ascii="宋体" w:hAnsi="宋体" w:eastAsia="宋体" w:cs="宋体"/>
                <w:bCs/>
                <w:color w:val="auto"/>
                <w:highlight w:val="none"/>
              </w:rPr>
              <w:t>安全监管要求：（1）建立健全并严格执行各项食品卫生安全管理制度。严格执行原材料进货查验制度、购销登记制度、索证索票制度、商品质量承诺制度、检测检验制度以及其他按照行业管理规定必须健全的各项管理制度。（2）如因供应商的食材质量问题，导致学校发生食品安全事故，因此造成的损失和责任由供应商全部承担；造成重大食品安全事故的，</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可以单方解除合同，供应商要赔偿因此造成的全部损失并依法承担有关责任。</w:t>
            </w:r>
          </w:p>
          <w:p w14:paraId="3EA97AB1">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bCs/>
                <w:color w:val="auto"/>
                <w:highlight w:val="none"/>
              </w:rPr>
              <w:t>7</w:t>
            </w:r>
            <w:r>
              <w:rPr>
                <w:rFonts w:hint="eastAsia" w:ascii="宋体" w:hAnsi="宋体" w:eastAsia="宋体" w:cs="宋体"/>
                <w:bCs/>
                <w:color w:val="auto"/>
                <w:highlight w:val="none"/>
                <w:lang w:eastAsia="zh-CN"/>
              </w:rPr>
              <w:t>.采购人</w:t>
            </w:r>
            <w:r>
              <w:rPr>
                <w:rFonts w:hint="eastAsia" w:ascii="宋体" w:hAnsi="宋体" w:cs="宋体"/>
                <w:bCs/>
                <w:color w:val="auto"/>
                <w:highlight w:val="none"/>
                <w:lang w:val="en-US" w:eastAsia="zh-CN"/>
              </w:rPr>
              <w:t>将</w:t>
            </w:r>
            <w:r>
              <w:rPr>
                <w:rFonts w:hint="eastAsia" w:ascii="宋体" w:hAnsi="宋体" w:eastAsia="宋体" w:cs="宋体"/>
                <w:bCs/>
                <w:color w:val="auto"/>
                <w:highlight w:val="none"/>
              </w:rPr>
              <w:t>组织相关单位和人员对</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进行实地考察，</w:t>
            </w:r>
            <w:r>
              <w:rPr>
                <w:rFonts w:hint="eastAsia" w:ascii="宋?" w:hAnsi="宋?" w:cs="宋?"/>
                <w:color w:val="auto"/>
                <w:highlight w:val="none"/>
              </w:rPr>
              <w:t>实地考察无误后</w:t>
            </w:r>
            <w:r>
              <w:rPr>
                <w:rFonts w:hint="eastAsia" w:ascii="宋?" w:hAnsi="宋?" w:cs="宋?"/>
                <w:color w:val="auto"/>
                <w:highlight w:val="none"/>
                <w:lang w:eastAsia="zh-CN"/>
              </w:rPr>
              <w:t>供应商</w:t>
            </w:r>
            <w:r>
              <w:rPr>
                <w:rFonts w:hint="eastAsia" w:ascii="宋?" w:hAnsi="宋?" w:eastAsia="宋体" w:cs="宋?"/>
                <w:color w:val="auto"/>
                <w:highlight w:val="none"/>
                <w:lang w:val="en-US" w:eastAsia="zh-CN"/>
              </w:rPr>
              <w:t>可</w:t>
            </w:r>
            <w:r>
              <w:rPr>
                <w:rFonts w:hint="eastAsia" w:ascii="宋?" w:hAnsi="宋?" w:cs="宋?"/>
                <w:color w:val="auto"/>
                <w:highlight w:val="none"/>
              </w:rPr>
              <w:t>进行配送</w:t>
            </w:r>
            <w:r>
              <w:rPr>
                <w:rFonts w:hint="eastAsia" w:ascii="宋体" w:hAnsi="宋体" w:eastAsia="宋体" w:cs="宋体"/>
                <w:bCs/>
                <w:color w:val="auto"/>
                <w:highlight w:val="none"/>
                <w:lang w:eastAsia="zh-CN"/>
              </w:rPr>
              <w:t>，若供应商经营场所或设备达不到要求的，采购</w:t>
            </w:r>
            <w:r>
              <w:rPr>
                <w:rFonts w:hint="eastAsia" w:ascii="宋体" w:hAnsi="宋体" w:eastAsia="宋体" w:cs="宋体"/>
                <w:bCs/>
                <w:color w:val="auto"/>
                <w:highlight w:val="none"/>
                <w:lang w:val="en-US" w:eastAsia="zh-CN"/>
              </w:rPr>
              <w:t>人</w:t>
            </w:r>
            <w:r>
              <w:rPr>
                <w:rFonts w:hint="eastAsia" w:ascii="宋体" w:hAnsi="宋体" w:eastAsia="宋体" w:cs="宋体"/>
                <w:bCs/>
                <w:color w:val="auto"/>
                <w:highlight w:val="none"/>
                <w:lang w:eastAsia="zh-CN"/>
              </w:rPr>
              <w:t>有权上报监督部门</w:t>
            </w:r>
            <w:r>
              <w:rPr>
                <w:rFonts w:hint="eastAsia" w:ascii="宋体" w:hAnsi="宋体" w:cs="宋体"/>
                <w:bCs/>
                <w:color w:val="auto"/>
                <w:highlight w:val="none"/>
                <w:lang w:eastAsia="zh-CN"/>
              </w:rPr>
              <w:t>，</w:t>
            </w:r>
            <w:r>
              <w:rPr>
                <w:rFonts w:hint="eastAsia" w:ascii="宋体" w:hAnsi="宋体" w:cs="宋体"/>
                <w:bCs/>
                <w:color w:val="auto"/>
                <w:highlight w:val="none"/>
                <w:lang w:val="en-US" w:eastAsia="zh-CN"/>
              </w:rPr>
              <w:t>取消其供货资格</w:t>
            </w:r>
            <w:r>
              <w:rPr>
                <w:rFonts w:hint="eastAsia" w:ascii="宋体" w:hAnsi="宋体" w:eastAsia="宋体" w:cs="宋体"/>
                <w:bCs/>
                <w:color w:val="auto"/>
                <w:highlight w:val="none"/>
              </w:rPr>
              <w:t>。同时</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须向</w:t>
            </w:r>
            <w:r>
              <w:rPr>
                <w:rFonts w:hint="eastAsia" w:ascii="宋体" w:hAnsi="宋体" w:eastAsia="宋体" w:cs="宋体"/>
                <w:bCs/>
                <w:color w:val="auto"/>
                <w:highlight w:val="none"/>
                <w:lang w:eastAsia="zh-CN"/>
              </w:rPr>
              <w:t>采购人</w:t>
            </w:r>
            <w:r>
              <w:rPr>
                <w:rFonts w:hint="eastAsia" w:ascii="宋体" w:hAnsi="宋体" w:eastAsia="宋体" w:cs="宋体"/>
                <w:b/>
                <w:bCs w:val="0"/>
                <w:color w:val="auto"/>
                <w:highlight w:val="none"/>
              </w:rPr>
              <w:t>缴纳履约保证金人民币</w:t>
            </w:r>
            <w:r>
              <w:rPr>
                <w:rFonts w:hint="eastAsia" w:ascii="宋体" w:hAnsi="宋体" w:cs="宋体"/>
                <w:b/>
                <w:bCs w:val="0"/>
                <w:color w:val="auto"/>
                <w:highlight w:val="none"/>
                <w:lang w:eastAsia="zh-CN"/>
              </w:rPr>
              <w:t>贰万伍仟元整(¥25000.00）</w:t>
            </w:r>
            <w:r>
              <w:rPr>
                <w:rFonts w:hint="eastAsia" w:ascii="宋体" w:hAnsi="宋体" w:eastAsia="宋体" w:cs="宋体"/>
                <w:bCs/>
                <w:color w:val="auto"/>
                <w:highlight w:val="none"/>
              </w:rPr>
              <w:t>，期间发生食品卫生安全事故，</w:t>
            </w:r>
            <w:r>
              <w:rPr>
                <w:rFonts w:hint="eastAsia" w:ascii="宋体" w:hAnsi="宋体" w:cs="宋体"/>
                <w:bCs/>
                <w:color w:val="auto"/>
                <w:highlight w:val="none"/>
                <w:lang w:eastAsia="zh-CN"/>
              </w:rPr>
              <w:t>采购人</w:t>
            </w:r>
            <w:r>
              <w:rPr>
                <w:rFonts w:hint="eastAsia" w:ascii="宋体" w:hAnsi="宋体" w:eastAsia="宋体" w:cs="宋体"/>
                <w:bCs/>
                <w:color w:val="auto"/>
                <w:highlight w:val="none"/>
              </w:rPr>
              <w:t>可将此笔</w:t>
            </w:r>
            <w:r>
              <w:rPr>
                <w:rFonts w:hint="eastAsia" w:ascii="宋体" w:hAnsi="宋体" w:eastAsia="宋体" w:cs="宋体"/>
                <w:bCs/>
                <w:color w:val="auto"/>
                <w:highlight w:val="none"/>
                <w:lang w:eastAsia="zh-CN"/>
              </w:rPr>
              <w:t>履约保证金</w:t>
            </w:r>
            <w:r>
              <w:rPr>
                <w:rFonts w:hint="eastAsia" w:ascii="宋体" w:hAnsi="宋体" w:eastAsia="宋体" w:cs="宋体"/>
                <w:bCs/>
                <w:color w:val="auto"/>
                <w:highlight w:val="none"/>
              </w:rPr>
              <w:t>用于应急处置工作，合同期满后按实际结余额退还</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(不计利息)；如果</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合同期间单方面</w:t>
            </w:r>
            <w:r>
              <w:rPr>
                <w:rFonts w:hint="eastAsia" w:ascii="宋体" w:hAnsi="宋体" w:cs="宋体"/>
                <w:bCs/>
                <w:color w:val="auto"/>
                <w:highlight w:val="none"/>
                <w:lang w:eastAsia="zh-CN"/>
              </w:rPr>
              <w:t>依法终止</w:t>
            </w:r>
            <w:r>
              <w:rPr>
                <w:rFonts w:hint="eastAsia" w:ascii="宋体" w:hAnsi="宋体" w:eastAsia="宋体" w:cs="宋体"/>
                <w:bCs/>
                <w:color w:val="auto"/>
                <w:highlight w:val="none"/>
              </w:rPr>
              <w:t>合同，</w:t>
            </w:r>
            <w:r>
              <w:rPr>
                <w:rFonts w:hint="eastAsia" w:ascii="宋体" w:hAnsi="宋体" w:cs="宋体"/>
                <w:bCs/>
                <w:color w:val="auto"/>
                <w:highlight w:val="none"/>
                <w:lang w:eastAsia="zh-CN"/>
              </w:rPr>
              <w:t>采购人</w:t>
            </w:r>
            <w:r>
              <w:rPr>
                <w:rFonts w:hint="eastAsia" w:ascii="宋体" w:hAnsi="宋体" w:eastAsia="宋体" w:cs="宋体"/>
                <w:bCs/>
                <w:color w:val="auto"/>
                <w:highlight w:val="none"/>
              </w:rPr>
              <w:t>按实际结余额退还</w:t>
            </w:r>
            <w:r>
              <w:rPr>
                <w:rFonts w:hint="eastAsia" w:ascii="宋体" w:hAnsi="宋体" w:eastAsia="宋体" w:cs="宋体"/>
                <w:bCs/>
                <w:color w:val="auto"/>
                <w:highlight w:val="none"/>
                <w:lang w:eastAsia="zh-CN"/>
              </w:rPr>
              <w:t>履约保证金</w:t>
            </w:r>
            <w:r>
              <w:rPr>
                <w:rFonts w:hint="eastAsia" w:ascii="宋体" w:hAnsi="宋体" w:eastAsia="宋体" w:cs="宋体"/>
                <w:bCs/>
                <w:color w:val="auto"/>
                <w:highlight w:val="none"/>
              </w:rPr>
              <w:t>(不计利息)。</w:t>
            </w:r>
          </w:p>
        </w:tc>
      </w:tr>
      <w:tr w14:paraId="0CC98E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43D93C7D">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auto"/>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对</w:t>
            </w:r>
            <w:r>
              <w:rPr>
                <w:rFonts w:hint="eastAsia" w:ascii="宋体" w:hAnsi="宋体" w:cs="宋体"/>
                <w:b/>
                <w:bCs/>
                <w:color w:val="auto"/>
                <w:highlight w:val="none"/>
                <w:lang w:eastAsia="zh-CN"/>
              </w:rPr>
              <w:t>供应商</w:t>
            </w:r>
            <w:r>
              <w:rPr>
                <w:rFonts w:hint="eastAsia" w:ascii="宋体" w:hAnsi="宋体" w:eastAsia="宋体" w:cs="宋体"/>
                <w:b/>
                <w:bCs/>
                <w:color w:val="auto"/>
                <w:highlight w:val="none"/>
              </w:rPr>
              <w:t>供应能力要求</w:t>
            </w:r>
          </w:p>
        </w:tc>
        <w:tc>
          <w:tcPr>
            <w:tcW w:w="7600" w:type="dxa"/>
            <w:tcBorders>
              <w:top w:val="single" w:color="auto" w:sz="4" w:space="0"/>
              <w:left w:val="single" w:color="auto" w:sz="4" w:space="0"/>
              <w:bottom w:val="single" w:color="auto" w:sz="4" w:space="0"/>
              <w:right w:val="single" w:color="auto" w:sz="4" w:space="0"/>
            </w:tcBorders>
            <w:vAlign w:val="center"/>
          </w:tcPr>
          <w:p w14:paraId="297E68F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须具备较强的基地生产或稳定食品原材料采购供应渠道。</w:t>
            </w:r>
          </w:p>
          <w:p w14:paraId="737F0916">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要求每天配送一次，</w:t>
            </w:r>
            <w:r>
              <w:rPr>
                <w:rFonts w:hint="eastAsia" w:ascii="宋体" w:hAnsi="宋体" w:cs="宋体"/>
                <w:color w:val="auto"/>
                <w:highlight w:val="none"/>
                <w:lang w:val="en-US" w:eastAsia="zh-CN"/>
              </w:rPr>
              <w:t>根据采购人学校学生规模数量及应急要求，要求供应商</w:t>
            </w:r>
            <w:r>
              <w:rPr>
                <w:rFonts w:hint="eastAsia" w:ascii="宋体" w:hAnsi="宋体" w:eastAsia="宋体" w:cs="宋体"/>
                <w:color w:val="auto"/>
                <w:highlight w:val="none"/>
              </w:rPr>
              <w:t>具备</w:t>
            </w:r>
            <w:r>
              <w:rPr>
                <w:rFonts w:hint="eastAsia" w:ascii="宋体" w:hAnsi="宋体" w:cs="宋体"/>
                <w:color w:val="auto"/>
                <w:highlight w:val="none"/>
                <w:lang w:val="en-US" w:eastAsia="zh-CN"/>
              </w:rPr>
              <w:t>不少于</w:t>
            </w:r>
            <w:r>
              <w:rPr>
                <w:rFonts w:hint="eastAsia" w:ascii="宋体" w:hAnsi="宋体" w:cs="宋体"/>
                <w:color w:val="auto"/>
                <w:highlight w:val="none"/>
                <w:lang w:val="en-US" w:eastAsia="zh-CN"/>
              </w:rPr>
              <w:t>3辆</w:t>
            </w:r>
            <w:r>
              <w:rPr>
                <w:rFonts w:hint="eastAsia" w:ascii="宋体" w:hAnsi="宋体" w:eastAsia="宋体" w:cs="宋体"/>
                <w:color w:val="auto"/>
                <w:highlight w:val="none"/>
              </w:rPr>
              <w:t>的符合安全卫生标准的封闭厢式保鲜专用配送车辆</w:t>
            </w:r>
            <w:r>
              <w:rPr>
                <w:rFonts w:hint="eastAsia" w:ascii="宋体" w:hAnsi="宋体" w:cs="宋体"/>
                <w:color w:val="auto"/>
                <w:highlight w:val="none"/>
                <w:lang w:eastAsia="zh-CN"/>
              </w:rPr>
              <w:t>，项目实施人员至少</w:t>
            </w:r>
            <w:r>
              <w:rPr>
                <w:rFonts w:hint="eastAsia" w:ascii="宋体" w:hAnsi="宋体" w:cs="宋体"/>
                <w:color w:val="auto"/>
                <w:highlight w:val="none"/>
                <w:lang w:val="en-US" w:eastAsia="zh-CN"/>
              </w:rPr>
              <w:t>6</w:t>
            </w:r>
            <w:r>
              <w:rPr>
                <w:rFonts w:hint="eastAsia" w:ascii="宋体" w:hAnsi="宋体" w:cs="宋体"/>
                <w:color w:val="auto"/>
                <w:highlight w:val="none"/>
                <w:lang w:eastAsia="zh-CN"/>
              </w:rPr>
              <w:t>人</w:t>
            </w:r>
            <w:r>
              <w:rPr>
                <w:rFonts w:hint="eastAsia" w:ascii="宋体" w:hAnsi="宋体" w:cs="宋体"/>
                <w:color w:val="auto"/>
                <w:highlight w:val="none"/>
                <w:lang w:eastAsia="zh-CN"/>
              </w:rPr>
              <w:t>，</w:t>
            </w:r>
            <w:r>
              <w:rPr>
                <w:rFonts w:hint="eastAsia" w:ascii="宋体" w:hAnsi="宋体" w:cs="宋体"/>
                <w:color w:val="auto"/>
                <w:highlight w:val="none"/>
                <w:lang w:val="en-US" w:eastAsia="zh-CN"/>
              </w:rPr>
              <w:t>有</w:t>
            </w:r>
            <w:r>
              <w:rPr>
                <w:rFonts w:hint="eastAsia" w:ascii="宋体" w:hAnsi="宋体" w:eastAsia="宋体" w:cs="宋体"/>
                <w:color w:val="auto"/>
                <w:highlight w:val="none"/>
              </w:rPr>
              <w:t>符合食品运输要求的固定司机。司机相关证照、健康证等报主管部门备案。</w:t>
            </w:r>
          </w:p>
          <w:p w14:paraId="3AF1CDB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可追溯体系和监管体系要求。</w:t>
            </w:r>
          </w:p>
          <w:p w14:paraId="7A5A1E2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bCs/>
                <w:color w:val="auto"/>
                <w:highlight w:val="none"/>
              </w:rPr>
            </w:pPr>
            <w:r>
              <w:rPr>
                <w:rFonts w:hint="eastAsia" w:ascii="宋体" w:hAnsi="宋体" w:cs="宋体"/>
                <w:color w:val="auto"/>
                <w:highlight w:val="none"/>
                <w:lang w:eastAsia="zh-CN"/>
              </w:rPr>
              <w:t>供应商</w:t>
            </w:r>
            <w:r>
              <w:rPr>
                <w:rFonts w:hint="eastAsia" w:ascii="宋体" w:hAnsi="宋体" w:eastAsia="宋体" w:cs="宋体"/>
                <w:color w:val="auto"/>
                <w:highlight w:val="none"/>
              </w:rPr>
              <w:t>能够对生产和销售的食品材料追溯种植源头，对原材料从生产到加工每个环节实行实时监督。实行商品质量责任制，有严格的质量管理、质量监督、质量保证体系，有稳定的进货渠道。销售商品在保质期内。商品质量、卫生检测合格，符合国家标准、行业标准。</w:t>
            </w:r>
          </w:p>
        </w:tc>
      </w:tr>
      <w:tr w14:paraId="7E0E5C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170A3882">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val="0"/>
                <w:bCs/>
                <w:color w:val="auto"/>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监督办法与退出机制</w:t>
            </w:r>
          </w:p>
        </w:tc>
        <w:tc>
          <w:tcPr>
            <w:tcW w:w="7600" w:type="dxa"/>
            <w:tcBorders>
              <w:top w:val="single" w:color="auto" w:sz="4" w:space="0"/>
              <w:left w:val="single" w:color="auto" w:sz="4" w:space="0"/>
              <w:bottom w:val="single" w:color="auto" w:sz="4" w:space="0"/>
              <w:right w:val="single" w:color="auto" w:sz="4" w:space="0"/>
            </w:tcBorders>
            <w:vAlign w:val="center"/>
          </w:tcPr>
          <w:p w14:paraId="3B6C90C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有下列第（</w:t>
            </w:r>
            <w:r>
              <w:rPr>
                <w:rFonts w:hint="eastAsia" w:ascii="宋体" w:hAnsi="宋体" w:cs="宋体"/>
                <w:color w:val="auto"/>
                <w:szCs w:val="21"/>
                <w:highlight w:val="none"/>
                <w:lang w:eastAsia="zh-CN"/>
              </w:rPr>
              <w:t>1）、（2）、（3）、（12）、（13）、（14）</w:t>
            </w:r>
            <w:r>
              <w:rPr>
                <w:rFonts w:hint="eastAsia" w:ascii="宋体" w:hAnsi="宋体" w:cs="宋体"/>
                <w:color w:val="auto"/>
                <w:szCs w:val="21"/>
                <w:highlight w:val="none"/>
              </w:rPr>
              <w:t>情况之一的，</w:t>
            </w:r>
            <w:r>
              <w:rPr>
                <w:rFonts w:hint="eastAsia" w:ascii="宋体" w:hAnsi="宋体" w:cs="宋体"/>
                <w:color w:val="auto"/>
                <w:szCs w:val="21"/>
                <w:highlight w:val="none"/>
                <w:lang w:eastAsia="zh-CN"/>
              </w:rPr>
              <w:t>采购人学校</w:t>
            </w:r>
            <w:r>
              <w:rPr>
                <w:rFonts w:hint="eastAsia" w:ascii="宋体" w:hAnsi="宋体" w:cs="宋体"/>
                <w:color w:val="auto"/>
                <w:szCs w:val="21"/>
                <w:highlight w:val="none"/>
              </w:rPr>
              <w:t>停止</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供应资格，有除上述序号以外其他下列情况之一的，</w:t>
            </w:r>
            <w:r>
              <w:rPr>
                <w:rFonts w:hint="eastAsia" w:ascii="宋体" w:hAnsi="宋体" w:eastAsia="宋体" w:cs="宋体"/>
                <w:color w:val="auto"/>
                <w:szCs w:val="21"/>
                <w:highlight w:val="none"/>
              </w:rPr>
              <w:t>经核查属实，学校约谈</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，责令整改，整改不到位或一个学期同一问题发生达二次（含二次）以上的，学校有权单方面解除与</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签订的采购协议并由</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承担由此造成</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一切损失，学校启动应急预案。</w:t>
            </w:r>
          </w:p>
          <w:p w14:paraId="08798E57">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（1）违反食品安全法律法规，被市场监管部门吊销或注销食品生产或食品经营许可证的</w:t>
            </w:r>
            <w:r>
              <w:rPr>
                <w:rFonts w:hint="eastAsia" w:ascii="宋体" w:hAnsi="宋体" w:eastAsia="宋体" w:cs="宋体"/>
                <w:color w:val="auto"/>
                <w:szCs w:val="21"/>
                <w:highlight w:val="none"/>
                <w:lang w:eastAsia="zh-CN"/>
              </w:rPr>
              <w:t>停止供应资格</w:t>
            </w:r>
            <w:r>
              <w:rPr>
                <w:rFonts w:hint="eastAsia" w:ascii="宋体" w:hAnsi="宋体" w:eastAsia="宋体" w:cs="宋体"/>
                <w:color w:val="auto"/>
                <w:szCs w:val="21"/>
                <w:highlight w:val="none"/>
              </w:rPr>
              <w:t>；违反相关法律法规，被登记机构吊销营业执照的。</w:t>
            </w:r>
          </w:p>
          <w:p w14:paraId="233AA80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（2）供货期内因食品安全质量问题引发食品安全事故的。</w:t>
            </w:r>
          </w:p>
          <w:p w14:paraId="21C27CE1">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（3）给学校配送《</w:t>
            </w:r>
            <w:r>
              <w:rPr>
                <w:rFonts w:hint="eastAsia" w:ascii="宋体" w:hAnsi="宋体" w:eastAsia="宋体" w:cs="宋体"/>
                <w:color w:val="auto"/>
                <w:kern w:val="1"/>
                <w:szCs w:val="21"/>
                <w:highlight w:val="none"/>
              </w:rPr>
              <w:t>中华人民共和国食品安全法</w:t>
            </w:r>
            <w:r>
              <w:rPr>
                <w:rFonts w:hint="eastAsia" w:ascii="宋体" w:hAnsi="宋体" w:eastAsia="宋体" w:cs="宋体"/>
                <w:color w:val="auto"/>
                <w:szCs w:val="21"/>
                <w:highlight w:val="none"/>
              </w:rPr>
              <w:t>》规定禁止生产经营食品的。</w:t>
            </w:r>
          </w:p>
          <w:p w14:paraId="20F1229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（4）生产、经营者的生产经营条件发生变化，不符合生产经营要求，有发生食品安全事故潜在风险，所配送产品不符合食品安全标准的。</w:t>
            </w:r>
          </w:p>
          <w:p w14:paraId="434B938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（5）出现降低供货质量标准，擅自更换履约人等其他违反法律法规或合同的行为的。</w:t>
            </w:r>
          </w:p>
          <w:p w14:paraId="6BFE34D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配送的食材价格高于县(市、区)及周边地区的同期市场价格(市场实际交易价)并拒绝调整的；擅自更换采购合同约定的品牌、型号、规格的；擅自更换和学校约定的食谱所需食材品种的；供货时无正当理由拒绝供货或不按约定时间、地点送货的。</w:t>
            </w:r>
          </w:p>
          <w:p w14:paraId="542B3CF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（7）供货期间存在克扣、减量、延时、拒绝供货或服务态度恶劣等行为，情节较为严重的。</w:t>
            </w:r>
          </w:p>
          <w:p w14:paraId="18D4597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（8）未按照供货合同规定按时向学校提供相关证件、食材抽检报告、分批次自检报告、检疫证明、销售凭证等资料的。</w:t>
            </w:r>
          </w:p>
          <w:p w14:paraId="5C7F6C7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（9）在供货期间除不可抗力因素外不能按时交货，且给学校造成损失的。</w:t>
            </w:r>
          </w:p>
          <w:p w14:paraId="205F1ED1">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（10）未按供货合同规定按时缴纳履约保证金，未按时提供发票、未履行服务承诺和食品安全保证书的。</w:t>
            </w:r>
          </w:p>
          <w:p w14:paraId="751001D2">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（11）拒绝接受</w:t>
            </w:r>
            <w:r>
              <w:rPr>
                <w:rFonts w:hint="eastAsia" w:ascii="宋体" w:hAnsi="宋体" w:eastAsia="宋体" w:cs="宋体"/>
                <w:color w:val="auto"/>
                <w:szCs w:val="21"/>
                <w:highlight w:val="none"/>
                <w:lang w:eastAsia="zh-CN"/>
              </w:rPr>
              <w:t>政府相关职能部门监督检查要</w:t>
            </w:r>
            <w:r>
              <w:rPr>
                <w:rFonts w:hint="eastAsia" w:ascii="宋体" w:hAnsi="宋体" w:eastAsia="宋体" w:cs="宋体"/>
                <w:color w:val="auto"/>
                <w:szCs w:val="21"/>
                <w:highlight w:val="none"/>
              </w:rPr>
              <w:t>求的；向学校虚开销售凭证、发票的。</w:t>
            </w:r>
          </w:p>
          <w:p w14:paraId="4DDE510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（12）因供货商自身原因不能继续履行合同的或在每一个合同期内二次评议不合格的。</w:t>
            </w:r>
          </w:p>
          <w:p w14:paraId="74F878D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食品价格不执行</w:t>
            </w:r>
            <w:r>
              <w:rPr>
                <w:rFonts w:hint="eastAsia" w:ascii="宋体" w:hAnsi="宋体" w:cs="宋体"/>
                <w:color w:val="auto"/>
                <w:szCs w:val="21"/>
                <w:highlight w:val="none"/>
                <w:lang w:eastAsia="zh-CN"/>
              </w:rPr>
              <w:t>成交</w:t>
            </w:r>
            <w:r>
              <w:rPr>
                <w:rFonts w:hint="eastAsia" w:ascii="宋体" w:hAnsi="宋体" w:eastAsia="宋体" w:cs="宋体"/>
                <w:color w:val="auto"/>
                <w:szCs w:val="21"/>
                <w:highlight w:val="none"/>
              </w:rPr>
              <w:t>时约定的折扣。</w:t>
            </w:r>
          </w:p>
          <w:p w14:paraId="6B92FA1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配送的食材</w:t>
            </w:r>
            <w:r>
              <w:rPr>
                <w:rFonts w:hint="eastAsia" w:ascii="宋体" w:hAnsi="宋体" w:eastAsia="宋体" w:cs="宋体"/>
                <w:color w:val="auto"/>
                <w:kern w:val="0"/>
                <w:szCs w:val="21"/>
                <w:highlight w:val="none"/>
              </w:rPr>
              <w:t>不经教育局同意就向学校</w:t>
            </w:r>
            <w:r>
              <w:rPr>
                <w:rFonts w:hint="eastAsia" w:ascii="宋体" w:hAnsi="宋体" w:eastAsia="宋体" w:cs="宋体"/>
                <w:color w:val="auto"/>
                <w:kern w:val="0"/>
                <w:szCs w:val="21"/>
                <w:highlight w:val="none"/>
                <w:lang w:eastAsia="zh-CN"/>
              </w:rPr>
              <w:t>供应</w:t>
            </w:r>
            <w:r>
              <w:rPr>
                <w:rFonts w:hint="eastAsia" w:ascii="宋体" w:hAnsi="宋体" w:eastAsia="宋体" w:cs="宋体"/>
                <w:color w:val="auto"/>
                <w:kern w:val="0"/>
                <w:szCs w:val="21"/>
                <w:highlight w:val="none"/>
              </w:rPr>
              <w:t>，</w:t>
            </w:r>
            <w:r>
              <w:rPr>
                <w:rFonts w:hint="eastAsia" w:ascii="宋体" w:hAnsi="宋体" w:eastAsia="宋体" w:cs="宋体"/>
                <w:color w:val="auto"/>
                <w:szCs w:val="21"/>
                <w:highlight w:val="none"/>
              </w:rPr>
              <w:t>或不服从教育局、市监局等相关部门常规管理，影响学校食材采购工作的。</w:t>
            </w:r>
          </w:p>
          <w:p w14:paraId="23C586D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配送超过保质期、腐败变质、不经检验检疫的食品。</w:t>
            </w:r>
          </w:p>
          <w:p w14:paraId="55874CE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存在严重食品安全隐患，被相关管理部门责令整改。</w:t>
            </w:r>
          </w:p>
          <w:p w14:paraId="34DE23A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17）</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不按时按质按量配送或拒绝配送，以次充好，短斤缺两，服务态度恶劣。</w:t>
            </w:r>
          </w:p>
          <w:p w14:paraId="1E8CE36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不经学校同意，擅自改变学校采购清单的种类、品牌、质量和数量。</w:t>
            </w:r>
          </w:p>
          <w:p w14:paraId="009B2E8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条件运用(条件运用适用于日常管理，已满足退出条件的，不适用条件运用）</w:t>
            </w:r>
          </w:p>
          <w:p w14:paraId="511EBF08">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（1）定期测评。</w:t>
            </w:r>
            <w:r>
              <w:rPr>
                <w:rFonts w:hint="eastAsia" w:ascii="宋体" w:hAnsi="宋体" w:cs="宋体"/>
                <w:color w:val="auto"/>
                <w:szCs w:val="21"/>
                <w:highlight w:val="none"/>
                <w:lang w:eastAsia="zh-CN"/>
              </w:rPr>
              <w:t>每月</w:t>
            </w:r>
            <w:r>
              <w:rPr>
                <w:rFonts w:hint="eastAsia" w:ascii="宋体" w:hAnsi="宋体" w:eastAsia="宋体" w:cs="宋体"/>
                <w:color w:val="auto"/>
                <w:szCs w:val="21"/>
                <w:highlight w:val="none"/>
              </w:rPr>
              <w:t>学校</w:t>
            </w:r>
            <w:r>
              <w:rPr>
                <w:rFonts w:hint="eastAsia" w:ascii="宋体" w:hAnsi="宋体" w:eastAsia="宋体" w:cs="宋体"/>
                <w:color w:val="auto"/>
                <w:szCs w:val="21"/>
                <w:highlight w:val="none"/>
                <w:lang w:eastAsia="zh-CN"/>
              </w:rPr>
              <w:t>根据《供应商测评体</w:t>
            </w:r>
            <w:r>
              <w:rPr>
                <w:rFonts w:hint="eastAsia" w:ascii="宋体" w:hAnsi="宋体" w:eastAsia="宋体" w:cs="宋体"/>
                <w:color w:val="auto"/>
                <w:szCs w:val="21"/>
                <w:highlight w:val="none"/>
              </w:rPr>
              <w:t>系》对供应商进行综合测评</w:t>
            </w:r>
            <w:r>
              <w:rPr>
                <w:rFonts w:hint="eastAsia" w:ascii="宋体" w:hAnsi="宋体" w:cs="宋体"/>
                <w:color w:val="auto"/>
                <w:szCs w:val="21"/>
                <w:highlight w:val="none"/>
                <w:lang w:val="en-US" w:eastAsia="zh-CN"/>
              </w:rPr>
              <w:t>，《供应商测评体系》包括</w:t>
            </w:r>
            <w:r>
              <w:rPr>
                <w:rFonts w:hint="eastAsia" w:ascii="宋体" w:hAnsi="宋体" w:eastAsia="宋体" w:cs="宋体"/>
                <w:color w:val="auto"/>
                <w:szCs w:val="21"/>
                <w:highlight w:val="none"/>
              </w:rPr>
              <w:t>食材质量、服务水平、价格、协议执行情况、承诺兑现等方面因素，对测评</w:t>
            </w:r>
            <w:r>
              <w:rPr>
                <w:rFonts w:hint="eastAsia" w:ascii="宋体" w:hAnsi="宋体" w:cs="宋体"/>
                <w:color w:val="auto"/>
                <w:szCs w:val="21"/>
                <w:highlight w:val="none"/>
                <w:lang w:val="en-US" w:eastAsia="zh-CN"/>
              </w:rPr>
              <w:t>不合格即</w:t>
            </w:r>
            <w:r>
              <w:rPr>
                <w:rFonts w:hint="eastAsia" w:ascii="宋体" w:hAnsi="宋体" w:eastAsia="宋体" w:cs="宋体"/>
                <w:color w:val="auto"/>
                <w:szCs w:val="21"/>
                <w:highlight w:val="none"/>
              </w:rPr>
              <w:t>分数低于95分的供应商进行约谈整改，测评分数低于90分的供应商暂停供货一个月，测评分数低于85分的供应商</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其供货合同。违反食品安全法律法规、发生食品安全事故的供应商，</w:t>
            </w:r>
            <w:r>
              <w:rPr>
                <w:rFonts w:hint="eastAsia" w:ascii="宋体" w:hAnsi="宋体" w:cs="宋体"/>
                <w:color w:val="auto"/>
                <w:szCs w:val="21"/>
                <w:highlight w:val="none"/>
                <w:lang w:eastAsia="zh-CN"/>
              </w:rPr>
              <w:t>要报监管部门列入“黑名单”</w:t>
            </w:r>
            <w:r>
              <w:rPr>
                <w:rFonts w:hint="eastAsia" w:ascii="宋体" w:hAnsi="宋体" w:eastAsia="宋体" w:cs="宋体"/>
                <w:color w:val="auto"/>
                <w:szCs w:val="21"/>
                <w:highlight w:val="none"/>
              </w:rPr>
              <w:t>，学校有权单方面解除与</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签订的采购协议。</w:t>
            </w:r>
          </w:p>
          <w:p w14:paraId="2B68C1A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（2）投诉运用。</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经营过程中，在国务院互联网+督查平台被投诉举报(核查属实)1次的停止其供货一个月，2次的</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在12345政务服务便民热线平台被投诉举报(核查属实)1次的进行约谈整改，2次的停止其供货一个月，3次的</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被学校师生投诉举报(核查属实)1次的进行提醒教育，2次的进行约谈，3次的停止其供货一个月，4次的</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w:t>
            </w:r>
          </w:p>
          <w:p w14:paraId="7059BC2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利用不正当手段拉拢学校管理人员、</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员、或验收人员的，发现一次，当月学校货款按50%结算，发现两次的，扣除当月学校货款并</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合同。</w:t>
            </w:r>
          </w:p>
          <w:p w14:paraId="78BA5FFF">
            <w:pPr>
              <w:keepNext w:val="0"/>
              <w:keepLines w:val="0"/>
              <w:pageBreakBefore w:val="0"/>
              <w:kinsoku/>
              <w:wordWrap/>
              <w:overflowPunct/>
              <w:topLinePunct w:val="0"/>
              <w:bidi w:val="0"/>
              <w:spacing w:line="360" w:lineRule="auto"/>
              <w:ind w:firstLine="308" w:firstLineChars="147"/>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在履约期间，</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及其法人，被相关部门列入失信被执行人、列为重大税收违法失信主体和政府采购严重违法失信行为记录名单，或者被有关部门列为黑名单，学校有权单方面解除与</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签订的采购协议。</w:t>
            </w:r>
          </w:p>
        </w:tc>
      </w:tr>
      <w:tr w14:paraId="3B97FA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vAlign w:val="center"/>
          </w:tcPr>
          <w:p w14:paraId="485573B8">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eastAsia="zh-CN"/>
              </w:rPr>
              <w:t>三</w:t>
            </w:r>
            <w:r>
              <w:rPr>
                <w:rFonts w:hint="eastAsia" w:ascii="宋体" w:hAnsi="宋体" w:eastAsia="宋体" w:cs="宋体"/>
                <w:b/>
                <w:bCs/>
                <w:color w:val="auto"/>
                <w:szCs w:val="21"/>
                <w:highlight w:val="none"/>
              </w:rPr>
              <w:t>、与实现项目目标相关的其他要求</w:t>
            </w:r>
          </w:p>
        </w:tc>
      </w:tr>
      <w:tr w14:paraId="3FEA47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vAlign w:val="center"/>
          </w:tcPr>
          <w:p w14:paraId="4A6FB248">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rPr>
              <w:t>（一）</w:t>
            </w:r>
            <w:r>
              <w:rPr>
                <w:rFonts w:hint="eastAsia" w:ascii="宋体" w:hAnsi="宋体" w:cs="宋体"/>
                <w:b/>
                <w:color w:val="auto"/>
                <w:szCs w:val="21"/>
                <w:highlight w:val="none"/>
                <w:lang w:eastAsia="zh-CN"/>
              </w:rPr>
              <w:t>供应商</w:t>
            </w:r>
            <w:r>
              <w:rPr>
                <w:rFonts w:hint="eastAsia" w:ascii="宋体" w:hAnsi="宋体" w:eastAsia="宋体" w:cs="宋体"/>
                <w:b/>
                <w:color w:val="auto"/>
                <w:szCs w:val="21"/>
                <w:highlight w:val="none"/>
              </w:rPr>
              <w:t>的履约能力要求</w:t>
            </w:r>
          </w:p>
        </w:tc>
      </w:tr>
      <w:tr w14:paraId="467E19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5B036433">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管理体系要求</w:t>
            </w:r>
          </w:p>
        </w:tc>
        <w:tc>
          <w:tcPr>
            <w:tcW w:w="7600" w:type="dxa"/>
            <w:tcBorders>
              <w:top w:val="single" w:color="auto" w:sz="4" w:space="0"/>
              <w:left w:val="single" w:color="auto" w:sz="4" w:space="0"/>
              <w:bottom w:val="single" w:color="auto" w:sz="4" w:space="0"/>
              <w:right w:val="single" w:color="auto" w:sz="4" w:space="0"/>
            </w:tcBorders>
            <w:vAlign w:val="center"/>
          </w:tcPr>
          <w:p w14:paraId="798FA433">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05C5AA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5741B53C">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业绩要求</w:t>
            </w:r>
          </w:p>
        </w:tc>
        <w:tc>
          <w:tcPr>
            <w:tcW w:w="7600" w:type="dxa"/>
            <w:tcBorders>
              <w:top w:val="single" w:color="auto" w:sz="4" w:space="0"/>
              <w:left w:val="single" w:color="auto" w:sz="4" w:space="0"/>
              <w:bottom w:val="single" w:color="auto" w:sz="4" w:space="0"/>
              <w:right w:val="single" w:color="auto" w:sz="4" w:space="0"/>
            </w:tcBorders>
            <w:vAlign w:val="center"/>
          </w:tcPr>
          <w:p w14:paraId="67898D73">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714680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4920B0DF">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包装和运输（如有）</w:t>
            </w:r>
          </w:p>
        </w:tc>
        <w:tc>
          <w:tcPr>
            <w:tcW w:w="7600" w:type="dxa"/>
            <w:tcBorders>
              <w:top w:val="single" w:color="auto" w:sz="4" w:space="0"/>
              <w:left w:val="single" w:color="auto" w:sz="4" w:space="0"/>
              <w:bottom w:val="single" w:color="auto" w:sz="4" w:space="0"/>
              <w:right w:val="single" w:color="auto" w:sz="4" w:space="0"/>
            </w:tcBorders>
            <w:vAlign w:val="center"/>
          </w:tcPr>
          <w:p w14:paraId="3EF05765">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2AD80C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4AA07D6B">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保险（如有）</w:t>
            </w:r>
          </w:p>
        </w:tc>
        <w:tc>
          <w:tcPr>
            <w:tcW w:w="7600" w:type="dxa"/>
            <w:tcBorders>
              <w:top w:val="single" w:color="auto" w:sz="4" w:space="0"/>
              <w:left w:val="single" w:color="auto" w:sz="4" w:space="0"/>
              <w:bottom w:val="single" w:color="auto" w:sz="4" w:space="0"/>
              <w:right w:val="single" w:color="auto" w:sz="4" w:space="0"/>
            </w:tcBorders>
            <w:vAlign w:val="center"/>
          </w:tcPr>
          <w:p w14:paraId="096ED38A">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16EB01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vAlign w:val="center"/>
          </w:tcPr>
          <w:p w14:paraId="4FFFC850">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（二）验收标准</w:t>
            </w:r>
          </w:p>
        </w:tc>
      </w:tr>
      <w:tr w14:paraId="7FA6BA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08532B1A">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验收标准</w:t>
            </w:r>
          </w:p>
        </w:tc>
        <w:tc>
          <w:tcPr>
            <w:tcW w:w="7600" w:type="dxa"/>
            <w:tcBorders>
              <w:top w:val="single" w:color="auto" w:sz="4" w:space="0"/>
              <w:left w:val="single" w:color="auto" w:sz="4" w:space="0"/>
              <w:bottom w:val="single" w:color="auto" w:sz="4" w:space="0"/>
              <w:right w:val="single" w:color="auto" w:sz="4" w:space="0"/>
            </w:tcBorders>
            <w:vAlign w:val="center"/>
          </w:tcPr>
          <w:p w14:paraId="00B1667F">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（一）物料验收</w:t>
            </w:r>
            <w:r>
              <w:rPr>
                <w:rFonts w:hint="eastAsia" w:ascii="宋体" w:hAnsi="宋体" w:cs="宋体"/>
                <w:color w:val="auto"/>
                <w:highlight w:val="none"/>
                <w:lang w:eastAsia="zh-CN"/>
              </w:rPr>
              <w:t>标准</w:t>
            </w:r>
          </w:p>
          <w:p w14:paraId="565ADA11">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1.凡是</w:t>
            </w:r>
            <w:r>
              <w:rPr>
                <w:rFonts w:hint="eastAsia" w:ascii="宋体" w:hAnsi="宋体" w:cs="宋体"/>
                <w:color w:val="auto"/>
                <w:highlight w:val="none"/>
                <w:lang w:eastAsia="zh-CN"/>
              </w:rPr>
              <w:t>《中华人民共和国食品安全法》</w:t>
            </w:r>
            <w:r>
              <w:rPr>
                <w:rFonts w:hint="eastAsia" w:ascii="宋体" w:hAnsi="宋体" w:eastAsia="宋体" w:cs="宋体"/>
                <w:color w:val="auto"/>
                <w:highlight w:val="none"/>
              </w:rPr>
              <w:t>禁止经营的食品一律不得采购和使用，</w:t>
            </w:r>
            <w:r>
              <w:rPr>
                <w:rFonts w:hint="eastAsia" w:ascii="宋体" w:hAnsi="宋体" w:eastAsia="宋体" w:cs="宋体"/>
                <w:color w:val="auto"/>
                <w:highlight w:val="none"/>
              </w:rPr>
              <w:t>严禁配送“三无"食品、有毒、有害、过期、变质、假冒伪劣等不合格食品。禁止提供冷荤熟食制品，禁止提供三高食品、禁止提供野生蘑菇、发芽马铃薯、四季豆等高风险食材给学校加工食用。</w:t>
            </w:r>
          </w:p>
          <w:p w14:paraId="7CA7C154">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2.</w:t>
            </w:r>
            <w:r>
              <w:rPr>
                <w:rFonts w:hint="eastAsia" w:ascii="宋体" w:hAnsi="宋体" w:eastAsia="宋体" w:cs="宋体"/>
                <w:color w:val="auto"/>
                <w:highlight w:val="none"/>
              </w:rPr>
              <w:t>物料的验收工作由</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和</w:t>
            </w:r>
            <w:r>
              <w:rPr>
                <w:rFonts w:hint="eastAsia" w:ascii="宋体" w:hAnsi="宋体" w:cs="宋体"/>
                <w:color w:val="auto"/>
                <w:highlight w:val="none"/>
                <w:lang w:eastAsia="zh-CN"/>
              </w:rPr>
              <w:t>供应商</w:t>
            </w:r>
            <w:r>
              <w:rPr>
                <w:rFonts w:hint="eastAsia" w:ascii="宋体" w:hAnsi="宋体" w:eastAsia="宋体" w:cs="宋体"/>
                <w:color w:val="auto"/>
                <w:highlight w:val="none"/>
              </w:rPr>
              <w:t>共同进行。</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提供的产品须经过食堂验收人员的感官检验、外观检验和试用检验，若产品外观、包装、形式不符合要求、感官检验不能达到食品卫生要求，当即拒收；</w:t>
            </w:r>
            <w:r>
              <w:rPr>
                <w:rFonts w:hint="eastAsia" w:ascii="宋体" w:hAnsi="宋体" w:cs="宋体"/>
                <w:color w:val="auto"/>
                <w:highlight w:val="none"/>
                <w:lang w:eastAsia="zh-CN"/>
              </w:rPr>
              <w:t>供应商</w:t>
            </w:r>
            <w:r>
              <w:rPr>
                <w:rFonts w:hint="eastAsia" w:ascii="宋体" w:hAnsi="宋体" w:eastAsia="宋体" w:cs="宋体"/>
                <w:color w:val="auto"/>
                <w:highlight w:val="none"/>
              </w:rPr>
              <w:t>不能满足食品的质量及售后服务要求时，</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有权进行处罚或</w:t>
            </w:r>
            <w:r>
              <w:rPr>
                <w:rFonts w:hint="eastAsia" w:ascii="宋体" w:hAnsi="宋体" w:cs="宋体"/>
                <w:color w:val="auto"/>
                <w:highlight w:val="none"/>
                <w:lang w:eastAsia="zh-CN"/>
              </w:rPr>
              <w:t>依法终止</w:t>
            </w:r>
            <w:r>
              <w:rPr>
                <w:rFonts w:hint="eastAsia" w:ascii="宋体" w:hAnsi="宋体" w:eastAsia="宋体" w:cs="宋体"/>
                <w:color w:val="auto"/>
                <w:highlight w:val="none"/>
              </w:rPr>
              <w:t>合同。</w:t>
            </w:r>
          </w:p>
          <w:p w14:paraId="64108DF2">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3.</w:t>
            </w:r>
            <w:r>
              <w:rPr>
                <w:rFonts w:hint="eastAsia" w:ascii="宋体" w:hAnsi="宋体" w:eastAsia="宋体" w:cs="宋体"/>
                <w:color w:val="auto"/>
                <w:highlight w:val="none"/>
              </w:rPr>
              <w:t>验收工作的一般程序为：根据食品采购清单的具体要求，对所购物料进行清点、外观检查以及对物料的各项指标和性能进行实测，并逐项记录。检测结束后，验收人员在验收单上签字。对未能通过验收的，一律退货、更换直至验收合格。</w:t>
            </w:r>
          </w:p>
          <w:p w14:paraId="4504AE7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（二）安全责任</w:t>
            </w:r>
          </w:p>
          <w:p w14:paraId="2816860E">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1.配送到学校食堂的原材料食材必须符合新的</w:t>
            </w:r>
            <w:r>
              <w:rPr>
                <w:rFonts w:hint="eastAsia" w:ascii="宋体" w:hAnsi="宋体" w:cs="宋体"/>
                <w:color w:val="auto"/>
                <w:highlight w:val="none"/>
                <w:lang w:eastAsia="zh-CN"/>
              </w:rPr>
              <w:t>《中华人民共和国食品安全法》</w:t>
            </w:r>
            <w:r>
              <w:rPr>
                <w:rFonts w:hint="eastAsia" w:ascii="宋体" w:hAnsi="宋体" w:eastAsia="宋体" w:cs="宋体"/>
                <w:color w:val="auto"/>
                <w:highlight w:val="none"/>
              </w:rPr>
              <w:t>中的规定。不得采购转基因食品或利用转基因食品原料加工的成品。食品原料新鲜、清洁卫生，同时对每批次食品原料进行检测，具有质量技术监督部门颁发的质量检验报告（同批次）。</w:t>
            </w:r>
          </w:p>
          <w:p w14:paraId="4441040C">
            <w:pPr>
              <w:keepNext w:val="0"/>
              <w:keepLines w:val="0"/>
              <w:pageBreakBefore w:val="0"/>
              <w:kinsoku/>
              <w:wordWrap/>
              <w:overflowPunct/>
              <w:topLinePunct w:val="0"/>
              <w:bidi w:val="0"/>
              <w:spacing w:line="360" w:lineRule="auto"/>
              <w:textAlignment w:val="auto"/>
              <w:rPr>
                <w:rFonts w:hint="eastAsia"/>
                <w:color w:val="auto"/>
                <w:highlight w:val="none"/>
              </w:rPr>
            </w:pPr>
            <w:r>
              <w:rPr>
                <w:rFonts w:hint="eastAsia" w:ascii="宋体" w:hAnsi="宋体" w:eastAsia="宋体" w:cs="宋体"/>
                <w:color w:val="auto"/>
                <w:highlight w:val="none"/>
              </w:rPr>
              <w:t xml:space="preserve">2. </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提供的蔬菜必须保证每日新鲜，并符合食品卫生安全法要求并出具有效的《农产品检验报告》。</w:t>
            </w:r>
          </w:p>
        </w:tc>
      </w:tr>
      <w:tr w14:paraId="0E5CFE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110E40AB">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违约责任</w:t>
            </w:r>
          </w:p>
        </w:tc>
        <w:tc>
          <w:tcPr>
            <w:tcW w:w="7600" w:type="dxa"/>
            <w:tcBorders>
              <w:top w:val="single" w:color="auto" w:sz="4" w:space="0"/>
              <w:left w:val="single" w:color="auto" w:sz="4" w:space="0"/>
              <w:bottom w:val="single" w:color="auto" w:sz="4" w:space="0"/>
              <w:right w:val="single" w:color="auto" w:sz="4" w:space="0"/>
            </w:tcBorders>
            <w:vAlign w:val="center"/>
          </w:tcPr>
          <w:p w14:paraId="48DC73F9">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违约责任</w:t>
            </w:r>
          </w:p>
          <w:p w14:paraId="144D9E95">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提供假冒伪劣、过期、变质食品的，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有权要求无条件退货并及时换货，首次发现违约行为的</w:t>
            </w:r>
            <w:r>
              <w:rPr>
                <w:rFonts w:hint="eastAsia" w:ascii="宋体" w:hAnsi="宋体" w:cs="宋体"/>
                <w:color w:val="auto"/>
                <w:highlight w:val="none"/>
                <w:lang w:eastAsia="zh-CN"/>
              </w:rPr>
              <w:t>供应商</w:t>
            </w:r>
            <w:r>
              <w:rPr>
                <w:rFonts w:hint="eastAsia" w:ascii="宋体" w:hAnsi="宋体" w:eastAsia="宋体" w:cs="宋体"/>
                <w:color w:val="auto"/>
                <w:highlight w:val="none"/>
              </w:rPr>
              <w:t>按违约货款额 5% 收取违约金并赔偿经济损失；第二次发现违约行为的</w:t>
            </w:r>
            <w:r>
              <w:rPr>
                <w:rFonts w:hint="eastAsia" w:ascii="宋体" w:hAnsi="宋体" w:cs="宋体"/>
                <w:color w:val="auto"/>
                <w:highlight w:val="none"/>
                <w:lang w:eastAsia="zh-CN"/>
              </w:rPr>
              <w:t>供应商</w:t>
            </w:r>
            <w:r>
              <w:rPr>
                <w:rFonts w:hint="eastAsia" w:ascii="宋体" w:hAnsi="宋体" w:eastAsia="宋体" w:cs="宋体"/>
                <w:color w:val="auto"/>
                <w:highlight w:val="none"/>
              </w:rPr>
              <w:t>按违约货款额 10% 收取违约金并赔偿经济损失，由</w:t>
            </w:r>
            <w:r>
              <w:rPr>
                <w:rFonts w:hint="eastAsia" w:ascii="宋体" w:hAnsi="宋体" w:cs="宋体"/>
                <w:color w:val="auto"/>
                <w:highlight w:val="none"/>
                <w:lang w:eastAsia="zh-CN"/>
              </w:rPr>
              <w:t>采购人</w:t>
            </w:r>
            <w:r>
              <w:rPr>
                <w:rFonts w:hint="eastAsia" w:ascii="宋体" w:hAnsi="宋体" w:eastAsia="宋体" w:cs="宋体"/>
                <w:color w:val="auto"/>
                <w:highlight w:val="none"/>
              </w:rPr>
              <w:t>在履约保证金扣除，履约保证金不足的可以从</w:t>
            </w:r>
            <w:r>
              <w:rPr>
                <w:rFonts w:hint="eastAsia" w:ascii="宋体" w:hAnsi="宋体" w:cs="宋体"/>
                <w:color w:val="auto"/>
                <w:highlight w:val="none"/>
                <w:lang w:eastAsia="zh-CN"/>
              </w:rPr>
              <w:t>供应商</w:t>
            </w:r>
            <w:r>
              <w:rPr>
                <w:rFonts w:hint="eastAsia" w:ascii="宋体" w:hAnsi="宋体" w:eastAsia="宋体" w:cs="宋体"/>
                <w:color w:val="auto"/>
                <w:highlight w:val="none"/>
              </w:rPr>
              <w:t>货款中扣除，同时</w:t>
            </w:r>
            <w:r>
              <w:rPr>
                <w:rFonts w:hint="eastAsia" w:ascii="宋体" w:hAnsi="宋体" w:cs="宋体"/>
                <w:color w:val="auto"/>
                <w:highlight w:val="none"/>
                <w:lang w:eastAsia="zh-CN"/>
              </w:rPr>
              <w:t>采购人</w:t>
            </w:r>
            <w:r>
              <w:rPr>
                <w:rFonts w:hint="eastAsia" w:ascii="宋体" w:hAnsi="宋体" w:eastAsia="宋体" w:cs="宋体"/>
                <w:color w:val="auto"/>
                <w:highlight w:val="none"/>
              </w:rPr>
              <w:t>可以解除合同。</w:t>
            </w:r>
            <w:r>
              <w:rPr>
                <w:rFonts w:hint="eastAsia" w:ascii="宋体" w:hAnsi="宋体" w:cs="宋体"/>
                <w:color w:val="auto"/>
                <w:highlight w:val="none"/>
                <w:lang w:eastAsia="zh-CN"/>
              </w:rPr>
              <w:t>供应商</w:t>
            </w:r>
            <w:r>
              <w:rPr>
                <w:rFonts w:hint="eastAsia" w:ascii="宋体" w:hAnsi="宋体" w:eastAsia="宋体" w:cs="宋体"/>
                <w:color w:val="auto"/>
                <w:highlight w:val="none"/>
              </w:rPr>
              <w:t>累计发生3次违约行为或</w:t>
            </w:r>
            <w:r>
              <w:rPr>
                <w:rFonts w:hint="eastAsia" w:ascii="宋体" w:hAnsi="宋体" w:cs="宋体"/>
                <w:color w:val="auto"/>
                <w:highlight w:val="none"/>
                <w:lang w:eastAsia="zh-CN"/>
              </w:rPr>
              <w:t>供应商</w:t>
            </w:r>
            <w:r>
              <w:rPr>
                <w:rFonts w:hint="eastAsia" w:ascii="宋体" w:hAnsi="宋体" w:eastAsia="宋体" w:cs="宋体"/>
                <w:color w:val="auto"/>
                <w:highlight w:val="none"/>
              </w:rPr>
              <w:t>因重大过错给</w:t>
            </w:r>
            <w:r>
              <w:rPr>
                <w:rFonts w:hint="eastAsia" w:ascii="宋体" w:hAnsi="宋体" w:cs="宋体"/>
                <w:color w:val="auto"/>
                <w:highlight w:val="none"/>
                <w:lang w:eastAsia="zh-CN"/>
              </w:rPr>
              <w:t>采购人</w:t>
            </w:r>
            <w:r>
              <w:rPr>
                <w:rFonts w:hint="eastAsia" w:ascii="宋体" w:hAnsi="宋体" w:eastAsia="宋体" w:cs="宋体"/>
                <w:color w:val="auto"/>
                <w:highlight w:val="none"/>
              </w:rPr>
              <w:t>造成损失的，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有权解除合同，履约保证金不予退还，且</w:t>
            </w:r>
            <w:r>
              <w:rPr>
                <w:rFonts w:hint="eastAsia" w:ascii="宋体" w:hAnsi="宋体" w:cs="宋体"/>
                <w:color w:val="auto"/>
                <w:highlight w:val="none"/>
                <w:lang w:eastAsia="zh-CN"/>
              </w:rPr>
              <w:t>供应商</w:t>
            </w:r>
            <w:r>
              <w:rPr>
                <w:rFonts w:hint="eastAsia" w:ascii="宋体" w:hAnsi="宋体" w:eastAsia="宋体" w:cs="宋体"/>
                <w:color w:val="auto"/>
                <w:highlight w:val="none"/>
              </w:rPr>
              <w:t>应赔偿</w:t>
            </w:r>
            <w:r>
              <w:rPr>
                <w:rFonts w:hint="eastAsia" w:ascii="宋体" w:hAnsi="宋体" w:cs="宋体"/>
                <w:color w:val="auto"/>
                <w:highlight w:val="none"/>
                <w:lang w:eastAsia="zh-CN"/>
              </w:rPr>
              <w:t>采购人</w:t>
            </w:r>
            <w:r>
              <w:rPr>
                <w:rFonts w:hint="eastAsia" w:ascii="宋体" w:hAnsi="宋体" w:eastAsia="宋体" w:cs="宋体"/>
                <w:color w:val="auto"/>
                <w:highlight w:val="none"/>
              </w:rPr>
              <w:t>损失。</w:t>
            </w:r>
            <w:r>
              <w:rPr>
                <w:rFonts w:hint="eastAsia" w:ascii="宋体" w:hAnsi="宋体" w:cs="宋体"/>
                <w:color w:val="auto"/>
                <w:highlight w:val="none"/>
                <w:lang w:eastAsia="zh-CN"/>
              </w:rPr>
              <w:t>采购人</w:t>
            </w:r>
            <w:r>
              <w:rPr>
                <w:rFonts w:hint="eastAsia" w:ascii="宋体" w:hAnsi="宋体" w:eastAsia="宋体" w:cs="宋体"/>
                <w:color w:val="auto"/>
                <w:highlight w:val="none"/>
              </w:rPr>
              <w:t>因合同解除需重新组织采购的，在采购人确定新的供应商前，</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有权向第三方临时采购货物，期间采购货物所增加的费用（高于原</w:t>
            </w:r>
            <w:r>
              <w:rPr>
                <w:rFonts w:hint="eastAsia" w:ascii="宋体" w:hAnsi="宋体" w:cs="宋体"/>
                <w:color w:val="auto"/>
                <w:highlight w:val="none"/>
                <w:lang w:eastAsia="zh-CN"/>
              </w:rPr>
              <w:t>成交</w:t>
            </w:r>
            <w:r>
              <w:rPr>
                <w:rFonts w:hint="eastAsia" w:ascii="宋体" w:hAnsi="宋体" w:eastAsia="宋体" w:cs="宋体"/>
                <w:color w:val="auto"/>
                <w:highlight w:val="none"/>
              </w:rPr>
              <w:t>单价的）由</w:t>
            </w:r>
            <w:r>
              <w:rPr>
                <w:rFonts w:hint="eastAsia" w:ascii="宋体" w:hAnsi="宋体" w:cs="宋体"/>
                <w:color w:val="auto"/>
                <w:highlight w:val="none"/>
                <w:lang w:eastAsia="zh-CN"/>
              </w:rPr>
              <w:t>供应商</w:t>
            </w:r>
            <w:r>
              <w:rPr>
                <w:rFonts w:hint="eastAsia" w:ascii="宋体" w:hAnsi="宋体" w:eastAsia="宋体" w:cs="宋体"/>
                <w:color w:val="auto"/>
                <w:highlight w:val="none"/>
              </w:rPr>
              <w:t>承担。</w:t>
            </w:r>
          </w:p>
          <w:p w14:paraId="6D96E295">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cs="宋体"/>
                <w:color w:val="auto"/>
                <w:highlight w:val="none"/>
                <w:lang w:eastAsia="zh-CN"/>
              </w:rPr>
              <w:t>供应商</w:t>
            </w:r>
            <w:r>
              <w:rPr>
                <w:rFonts w:hint="eastAsia" w:ascii="宋体" w:hAnsi="宋体" w:eastAsia="宋体" w:cs="宋体"/>
                <w:color w:val="auto"/>
                <w:highlight w:val="none"/>
              </w:rPr>
              <w:t>若提供有毒有害食品，造成食品安全事故的，经有关单位鉴定原因后，如确实为</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提供的食品问题，</w:t>
            </w:r>
            <w:r>
              <w:rPr>
                <w:rFonts w:hint="eastAsia" w:ascii="宋体" w:hAnsi="宋体" w:cs="宋体"/>
                <w:color w:val="auto"/>
                <w:highlight w:val="none"/>
                <w:lang w:eastAsia="zh-CN"/>
              </w:rPr>
              <w:t>供应商</w:t>
            </w:r>
            <w:r>
              <w:rPr>
                <w:rFonts w:hint="eastAsia" w:ascii="宋体" w:hAnsi="宋体" w:eastAsia="宋体" w:cs="宋体"/>
                <w:color w:val="auto"/>
                <w:highlight w:val="none"/>
              </w:rPr>
              <w:t>须负担全额的住院费、医药费、护理费、护工费等全部费用，</w:t>
            </w:r>
            <w:r>
              <w:rPr>
                <w:rFonts w:hint="eastAsia" w:ascii="宋体" w:hAnsi="宋体" w:cs="宋体"/>
                <w:color w:val="auto"/>
                <w:highlight w:val="none"/>
                <w:lang w:eastAsia="zh-CN"/>
              </w:rPr>
              <w:t>采购人</w:t>
            </w:r>
            <w:r>
              <w:rPr>
                <w:rFonts w:hint="eastAsia" w:ascii="宋体" w:hAnsi="宋体" w:eastAsia="宋体" w:cs="宋体"/>
                <w:color w:val="auto"/>
                <w:highlight w:val="none"/>
              </w:rPr>
              <w:t>将取消</w:t>
            </w:r>
            <w:r>
              <w:rPr>
                <w:rFonts w:hint="eastAsia" w:ascii="宋体" w:hAnsi="宋体" w:cs="宋体"/>
                <w:color w:val="auto"/>
                <w:highlight w:val="none"/>
                <w:lang w:eastAsia="zh-CN"/>
              </w:rPr>
              <w:t>供应商</w:t>
            </w:r>
            <w:r>
              <w:rPr>
                <w:rFonts w:hint="eastAsia" w:ascii="宋体" w:hAnsi="宋体" w:eastAsia="宋体" w:cs="宋体"/>
                <w:color w:val="auto"/>
                <w:highlight w:val="none"/>
              </w:rPr>
              <w:t>的供货资格，没收其履约保证金，</w:t>
            </w:r>
            <w:r>
              <w:rPr>
                <w:rFonts w:hint="eastAsia" w:ascii="宋体" w:hAnsi="宋体" w:cs="宋体"/>
                <w:color w:val="auto"/>
                <w:highlight w:val="none"/>
                <w:lang w:eastAsia="zh-CN"/>
              </w:rPr>
              <w:t>供应商</w:t>
            </w:r>
            <w:r>
              <w:rPr>
                <w:rFonts w:hint="eastAsia" w:ascii="宋体" w:hAnsi="宋体" w:eastAsia="宋体" w:cs="宋体"/>
                <w:color w:val="auto"/>
                <w:highlight w:val="none"/>
              </w:rPr>
              <w:t>同时承担相应的民事及刑事法律责任及放弃先诉抗辩权。</w:t>
            </w:r>
            <w:r>
              <w:rPr>
                <w:rFonts w:hint="eastAsia" w:ascii="宋体" w:hAnsi="宋体" w:cs="宋体"/>
                <w:color w:val="auto"/>
                <w:highlight w:val="none"/>
                <w:lang w:eastAsia="zh-CN"/>
              </w:rPr>
              <w:t>采购人</w:t>
            </w:r>
            <w:r>
              <w:rPr>
                <w:rFonts w:hint="eastAsia" w:ascii="宋体" w:hAnsi="宋体" w:eastAsia="宋体" w:cs="宋体"/>
                <w:color w:val="auto"/>
                <w:highlight w:val="none"/>
              </w:rPr>
              <w:t>可以扣留</w:t>
            </w:r>
            <w:r>
              <w:rPr>
                <w:rFonts w:hint="eastAsia" w:ascii="宋体" w:hAnsi="宋体" w:cs="宋体"/>
                <w:color w:val="auto"/>
                <w:highlight w:val="none"/>
                <w:lang w:eastAsia="zh-CN"/>
              </w:rPr>
              <w:t>供应商</w:t>
            </w:r>
            <w:r>
              <w:rPr>
                <w:rFonts w:hint="eastAsia" w:ascii="宋体" w:hAnsi="宋体" w:eastAsia="宋体" w:cs="宋体"/>
                <w:color w:val="auto"/>
                <w:highlight w:val="none"/>
              </w:rPr>
              <w:t>的货款用于支付</w:t>
            </w:r>
            <w:r>
              <w:rPr>
                <w:rFonts w:hint="eastAsia" w:ascii="宋体" w:hAnsi="宋体" w:cs="宋体"/>
                <w:color w:val="auto"/>
                <w:highlight w:val="none"/>
                <w:lang w:eastAsia="zh-CN"/>
              </w:rPr>
              <w:t>供应商</w:t>
            </w:r>
            <w:r>
              <w:rPr>
                <w:rFonts w:hint="eastAsia" w:ascii="宋体" w:hAnsi="宋体" w:eastAsia="宋体" w:cs="宋体"/>
                <w:color w:val="auto"/>
                <w:highlight w:val="none"/>
              </w:rPr>
              <w:t>负担的住院费、医药费、护理费、护工费等费用。</w:t>
            </w:r>
          </w:p>
          <w:p w14:paraId="4D0F93AB">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cs="宋体"/>
                <w:color w:val="auto"/>
                <w:highlight w:val="none"/>
                <w:lang w:eastAsia="zh-CN"/>
              </w:rPr>
              <w:t>供应商</w:t>
            </w:r>
            <w:r>
              <w:rPr>
                <w:rFonts w:hint="eastAsia" w:ascii="宋体" w:hAnsi="宋体" w:eastAsia="宋体" w:cs="宋体"/>
                <w:color w:val="auto"/>
                <w:highlight w:val="none"/>
              </w:rPr>
              <w:t>故意提供假冒伪劣、过期、变质产品的，采购人可以拒付未付的所有货款，并没收所有履约保证金，同时</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有权依法终止合同。</w:t>
            </w:r>
          </w:p>
          <w:p w14:paraId="1558A1A8">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cs="宋体"/>
                <w:color w:val="auto"/>
                <w:highlight w:val="none"/>
                <w:lang w:eastAsia="zh-CN"/>
              </w:rPr>
              <w:t>供应商</w:t>
            </w:r>
            <w:r>
              <w:rPr>
                <w:rFonts w:hint="eastAsia" w:ascii="宋体" w:hAnsi="宋体" w:eastAsia="宋体" w:cs="宋体"/>
                <w:color w:val="auto"/>
                <w:highlight w:val="none"/>
              </w:rPr>
              <w:t>涉及违约的违约金和损失赔偿由</w:t>
            </w:r>
            <w:r>
              <w:rPr>
                <w:rFonts w:hint="eastAsia" w:ascii="宋体" w:hAnsi="宋体" w:cs="宋体"/>
                <w:color w:val="auto"/>
                <w:highlight w:val="none"/>
                <w:lang w:eastAsia="zh-CN"/>
              </w:rPr>
              <w:t>采购人</w:t>
            </w:r>
            <w:r>
              <w:rPr>
                <w:rFonts w:hint="eastAsia" w:ascii="宋体" w:hAnsi="宋体" w:eastAsia="宋体" w:cs="宋体"/>
                <w:color w:val="auto"/>
                <w:highlight w:val="none"/>
              </w:rPr>
              <w:t>从履约保证金中扣减，</w:t>
            </w:r>
            <w:r>
              <w:rPr>
                <w:rFonts w:hint="eastAsia" w:ascii="宋体" w:hAnsi="宋体" w:cs="宋体"/>
                <w:color w:val="auto"/>
                <w:highlight w:val="none"/>
                <w:lang w:eastAsia="zh-CN"/>
              </w:rPr>
              <w:t>供应商</w:t>
            </w:r>
            <w:r>
              <w:rPr>
                <w:rFonts w:hint="eastAsia" w:ascii="宋体" w:hAnsi="宋体" w:eastAsia="宋体" w:cs="宋体"/>
                <w:color w:val="auto"/>
                <w:highlight w:val="none"/>
              </w:rPr>
              <w:t>在15个工作日内补足履约保证金。</w:t>
            </w:r>
            <w:r>
              <w:rPr>
                <w:rFonts w:hint="eastAsia" w:ascii="宋体" w:hAnsi="宋体" w:cs="宋体"/>
                <w:color w:val="auto"/>
                <w:highlight w:val="none"/>
                <w:lang w:eastAsia="zh-CN"/>
              </w:rPr>
              <w:t>供应商</w:t>
            </w:r>
            <w:r>
              <w:rPr>
                <w:rFonts w:hint="eastAsia" w:ascii="宋体" w:hAnsi="宋体" w:eastAsia="宋体" w:cs="宋体"/>
                <w:color w:val="auto"/>
                <w:highlight w:val="none"/>
              </w:rPr>
              <w:t>未按要求补足履约保证金的，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有权取消合同并按合同金额10% 收取</w:t>
            </w:r>
            <w:r>
              <w:rPr>
                <w:rFonts w:hint="eastAsia" w:ascii="宋体" w:hAnsi="宋体" w:cs="宋体"/>
                <w:color w:val="auto"/>
                <w:highlight w:val="none"/>
                <w:lang w:eastAsia="zh-CN"/>
              </w:rPr>
              <w:t>供应商</w:t>
            </w:r>
            <w:r>
              <w:rPr>
                <w:rFonts w:hint="eastAsia" w:ascii="宋体" w:hAnsi="宋体" w:eastAsia="宋体" w:cs="宋体"/>
                <w:color w:val="auto"/>
                <w:highlight w:val="none"/>
              </w:rPr>
              <w:t>违约金。</w:t>
            </w:r>
          </w:p>
          <w:p w14:paraId="792B93E3">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5.因政策变动或其他人力不可抗拒原因导致合同无法履行的，任何一方不负违约责任。</w:t>
            </w:r>
          </w:p>
        </w:tc>
      </w:tr>
      <w:tr w14:paraId="01E984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vAlign w:val="center"/>
          </w:tcPr>
          <w:p w14:paraId="0A3CC20F">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（三）其他要求</w:t>
            </w:r>
          </w:p>
        </w:tc>
      </w:tr>
      <w:tr w14:paraId="1FF05F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3A36124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其他要求</w:t>
            </w:r>
          </w:p>
        </w:tc>
        <w:tc>
          <w:tcPr>
            <w:tcW w:w="7600" w:type="dxa"/>
            <w:tcBorders>
              <w:top w:val="single" w:color="auto" w:sz="4" w:space="0"/>
              <w:left w:val="single" w:color="auto" w:sz="4" w:space="0"/>
              <w:bottom w:val="single" w:color="auto" w:sz="4" w:space="0"/>
              <w:right w:val="single" w:color="auto" w:sz="4" w:space="0"/>
            </w:tcBorders>
            <w:vAlign w:val="center"/>
          </w:tcPr>
          <w:p w14:paraId="55BBBAF9">
            <w:pPr>
              <w:keepNext w:val="0"/>
              <w:keepLines w:val="0"/>
              <w:pageBreakBefore w:val="0"/>
              <w:kinsoku/>
              <w:wordWrap/>
              <w:overflowPunct/>
              <w:topLinePunct w:val="0"/>
              <w:bidi w:val="0"/>
              <w:spacing w:line="360" w:lineRule="auto"/>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val="en-US" w:eastAsia="zh-CN"/>
              </w:rPr>
              <w:t>1.</w:t>
            </w:r>
            <w:r>
              <w:rPr>
                <w:rFonts w:hint="eastAsia" w:ascii="宋体" w:hAnsi="宋体" w:cs="宋体"/>
                <w:b/>
                <w:bCs/>
                <w:color w:val="auto"/>
                <w:szCs w:val="21"/>
                <w:highlight w:val="none"/>
                <w:lang w:eastAsia="zh-CN"/>
              </w:rPr>
              <w:t>供应商</w:t>
            </w:r>
            <w:r>
              <w:rPr>
                <w:rFonts w:hint="eastAsia" w:ascii="宋体" w:hAnsi="宋体" w:eastAsia="宋体" w:cs="宋体"/>
                <w:b/>
                <w:bCs/>
                <w:color w:val="auto"/>
                <w:szCs w:val="21"/>
                <w:highlight w:val="none"/>
              </w:rPr>
              <w:t>根据本项目</w:t>
            </w:r>
            <w:r>
              <w:rPr>
                <w:rFonts w:hint="eastAsia" w:ascii="宋体" w:hAnsi="宋体" w:cs="宋体"/>
                <w:b/>
                <w:bCs/>
                <w:color w:val="auto"/>
                <w:szCs w:val="21"/>
                <w:highlight w:val="none"/>
                <w:lang w:eastAsia="zh-CN"/>
              </w:rPr>
              <w:t>采购文件</w:t>
            </w:r>
            <w:r>
              <w:rPr>
                <w:rFonts w:hint="eastAsia" w:ascii="宋体" w:hAnsi="宋体" w:eastAsia="宋体" w:cs="宋体"/>
                <w:b/>
                <w:bCs/>
                <w:color w:val="auto"/>
                <w:szCs w:val="21"/>
                <w:highlight w:val="none"/>
              </w:rPr>
              <w:t>要求，于</w:t>
            </w:r>
            <w:r>
              <w:rPr>
                <w:rFonts w:hint="eastAsia" w:ascii="宋体" w:hAnsi="宋体" w:cs="宋体"/>
                <w:b/>
                <w:bCs/>
                <w:color w:val="auto"/>
                <w:szCs w:val="21"/>
                <w:highlight w:val="none"/>
                <w:lang w:eastAsia="zh-CN"/>
              </w:rPr>
              <w:t>响应</w:t>
            </w:r>
            <w:r>
              <w:rPr>
                <w:rFonts w:hint="eastAsia" w:ascii="宋体" w:hAnsi="宋体" w:eastAsia="宋体" w:cs="宋体"/>
                <w:b/>
                <w:bCs/>
                <w:color w:val="auto"/>
                <w:szCs w:val="21"/>
                <w:highlight w:val="none"/>
              </w:rPr>
              <w:t>文件中提供相应的技术方案【可包括但不限于配送方案、食品安全与质量保障、售后服务、管理制度、应急方案等内容】</w:t>
            </w:r>
          </w:p>
          <w:p w14:paraId="3BA9C2D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cs="宋体"/>
                <w:b w:val="0"/>
                <w:bCs w:val="0"/>
                <w:color w:val="auto"/>
                <w:szCs w:val="21"/>
                <w:highlight w:val="none"/>
                <w:lang w:val="en-US" w:eastAsia="zh-CN"/>
              </w:rPr>
              <w:t>2.供应商根据自身情况在响应文件中提供</w:t>
            </w:r>
            <w:r>
              <w:rPr>
                <w:rFonts w:hint="eastAsia" w:ascii="宋体" w:hAnsi="宋体" w:eastAsia="宋体" w:cs="宋体"/>
                <w:b w:val="0"/>
                <w:bCs w:val="0"/>
                <w:color w:val="auto"/>
                <w:szCs w:val="21"/>
                <w:highlight w:val="none"/>
              </w:rPr>
              <w:t>配送能力、拟投入人员、经营场所</w:t>
            </w:r>
            <w:r>
              <w:rPr>
                <w:rFonts w:hint="eastAsia" w:ascii="宋体" w:hAnsi="宋体" w:cs="宋体"/>
                <w:b w:val="0"/>
                <w:bCs w:val="0"/>
                <w:color w:val="auto"/>
                <w:szCs w:val="21"/>
                <w:highlight w:val="none"/>
                <w:lang w:eastAsia="zh-CN"/>
              </w:rPr>
              <w:t>、</w:t>
            </w:r>
            <w:r>
              <w:rPr>
                <w:rFonts w:hint="eastAsia" w:ascii="宋体" w:hAnsi="宋体" w:eastAsia="宋体" w:cs="宋体"/>
                <w:b w:val="0"/>
                <w:bCs w:val="0"/>
                <w:color w:val="auto"/>
                <w:szCs w:val="21"/>
                <w:highlight w:val="none"/>
                <w:lang w:eastAsia="zh-CN"/>
              </w:rPr>
              <w:t>业绩</w:t>
            </w:r>
            <w:r>
              <w:rPr>
                <w:rFonts w:hint="eastAsia" w:ascii="宋体" w:hAnsi="宋体" w:eastAsia="宋体" w:cs="宋体"/>
                <w:b w:val="0"/>
                <w:bCs w:val="0"/>
                <w:color w:val="auto"/>
                <w:szCs w:val="21"/>
                <w:highlight w:val="none"/>
              </w:rPr>
              <w:t>等</w:t>
            </w:r>
            <w:r>
              <w:rPr>
                <w:rFonts w:hint="eastAsia" w:ascii="宋体" w:hAnsi="宋体" w:cs="宋体"/>
                <w:b w:val="0"/>
                <w:bCs w:val="0"/>
                <w:color w:val="auto"/>
                <w:szCs w:val="21"/>
                <w:highlight w:val="none"/>
                <w:lang w:val="en-US" w:eastAsia="zh-CN"/>
              </w:rPr>
              <w:t>相关材料</w:t>
            </w:r>
            <w:r>
              <w:rPr>
                <w:rFonts w:hint="eastAsia" w:ascii="宋体" w:hAnsi="宋体" w:eastAsia="宋体" w:cs="宋体"/>
                <w:b w:val="0"/>
                <w:bCs w:val="0"/>
                <w:color w:val="auto"/>
                <w:szCs w:val="21"/>
                <w:highlight w:val="none"/>
              </w:rPr>
              <w:t>。</w:t>
            </w:r>
          </w:p>
        </w:tc>
      </w:tr>
    </w:tbl>
    <w:p w14:paraId="4FAE95CB">
      <w:pPr>
        <w:widowControl/>
        <w:jc w:val="left"/>
        <w:rPr>
          <w:rFonts w:hint="eastAsia" w:ascii="黑体" w:hAnsi="黑体" w:eastAsia="黑体" w:cs="黑体"/>
          <w:color w:val="auto"/>
          <w:sz w:val="24"/>
          <w:szCs w:val="24"/>
          <w:highlight w:val="none"/>
          <w:lang w:eastAsia="zh-CN"/>
        </w:rPr>
      </w:pPr>
      <w:r>
        <w:rPr>
          <w:rFonts w:hint="eastAsia" w:ascii="黑体" w:hAnsi="黑体" w:eastAsia="黑体" w:cs="黑体"/>
          <w:color w:val="auto"/>
          <w:sz w:val="32"/>
          <w:szCs w:val="32"/>
          <w:highlight w:val="none"/>
        </w:rPr>
        <w:br w:type="page"/>
      </w:r>
      <w:r>
        <w:rPr>
          <w:rFonts w:hint="eastAsia" w:ascii="黑体" w:hAnsi="黑体" w:eastAsia="黑体" w:cs="黑体"/>
          <w:color w:val="auto"/>
          <w:sz w:val="24"/>
          <w:szCs w:val="24"/>
          <w:highlight w:val="none"/>
          <w:lang w:eastAsia="zh-CN"/>
        </w:rPr>
        <w:t>附件</w:t>
      </w:r>
      <w:r>
        <w:rPr>
          <w:rFonts w:hint="eastAsia" w:ascii="黑体" w:hAnsi="黑体" w:eastAsia="黑体" w:cs="黑体"/>
          <w:color w:val="auto"/>
          <w:sz w:val="24"/>
          <w:szCs w:val="24"/>
          <w:highlight w:val="none"/>
          <w:lang w:val="en-US" w:eastAsia="zh-CN"/>
        </w:rPr>
        <w:t>1</w:t>
      </w:r>
      <w:r>
        <w:rPr>
          <w:rFonts w:hint="eastAsia" w:ascii="黑体" w:hAnsi="黑体" w:eastAsia="黑体" w:cs="黑体"/>
          <w:color w:val="auto"/>
          <w:sz w:val="24"/>
          <w:szCs w:val="24"/>
          <w:highlight w:val="none"/>
          <w:lang w:eastAsia="zh-CN"/>
        </w:rPr>
        <w:t>：</w:t>
      </w:r>
    </w:p>
    <w:p w14:paraId="6521E777">
      <w:pPr>
        <w:spacing w:after="120" w:line="360" w:lineRule="auto"/>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供应商测评体系</w:t>
      </w:r>
    </w:p>
    <w:p w14:paraId="6B8A7A54">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一、供应商学期测评项目及权重如下（满分100分）</w:t>
      </w:r>
    </w:p>
    <w:p w14:paraId="3ECC0239">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（一）品质评价（35分）：每学期对供应商供应食材的品质、数量、规格的合格情况，进行抽检评价；</w:t>
      </w:r>
    </w:p>
    <w:p w14:paraId="576EABCC">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（二）交期评价（20分）：测评供应商供货能力的及时性和准确性，对提供的产品的包装、标识和完整性，以及补货配送情况等进行评价；</w:t>
      </w:r>
    </w:p>
    <w:p w14:paraId="51E1D4C2">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（三）价格评价（15分）：对供应商提供的产品价格状况进行评估；</w:t>
      </w:r>
    </w:p>
    <w:p w14:paraId="748E5DE2">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（四）服务评价（10分）：对供应商的反应速度、增值服务等项目进行评价；</w:t>
      </w:r>
    </w:p>
    <w:p w14:paraId="24B8DB54">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（五）整改评价（20分）：就供应商对于提出整改意见的回复及整改措施的执行情况进行评价。</w:t>
      </w:r>
    </w:p>
    <w:p w14:paraId="55B2BC0B">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二、根据学期测评分为标准，将供应商分为A、B、C、D四种等级</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1705"/>
        <w:gridCol w:w="1706"/>
        <w:gridCol w:w="1706"/>
        <w:gridCol w:w="1706"/>
      </w:tblGrid>
      <w:tr w14:paraId="099CC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67456B06">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等级划分</w:t>
            </w:r>
          </w:p>
        </w:tc>
        <w:tc>
          <w:tcPr>
            <w:tcW w:w="1705" w:type="dxa"/>
          </w:tcPr>
          <w:p w14:paraId="62D26CFA">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A</w:t>
            </w:r>
          </w:p>
        </w:tc>
        <w:tc>
          <w:tcPr>
            <w:tcW w:w="1706" w:type="dxa"/>
          </w:tcPr>
          <w:p w14:paraId="44A851FB">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B</w:t>
            </w:r>
          </w:p>
        </w:tc>
        <w:tc>
          <w:tcPr>
            <w:tcW w:w="1706" w:type="dxa"/>
          </w:tcPr>
          <w:p w14:paraId="5B7D6216">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C</w:t>
            </w:r>
          </w:p>
        </w:tc>
        <w:tc>
          <w:tcPr>
            <w:tcW w:w="1706" w:type="dxa"/>
          </w:tcPr>
          <w:p w14:paraId="18341A00">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D</w:t>
            </w:r>
          </w:p>
        </w:tc>
      </w:tr>
      <w:tr w14:paraId="7528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3FB6ED7A">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测评得分</w:t>
            </w:r>
          </w:p>
        </w:tc>
        <w:tc>
          <w:tcPr>
            <w:tcW w:w="1705" w:type="dxa"/>
          </w:tcPr>
          <w:p w14:paraId="2236F8B0">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95分及以上</w:t>
            </w:r>
          </w:p>
        </w:tc>
        <w:tc>
          <w:tcPr>
            <w:tcW w:w="1706" w:type="dxa"/>
          </w:tcPr>
          <w:p w14:paraId="54A87DF5">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90-94分</w:t>
            </w:r>
          </w:p>
        </w:tc>
        <w:tc>
          <w:tcPr>
            <w:tcW w:w="1706" w:type="dxa"/>
          </w:tcPr>
          <w:p w14:paraId="2C95589C">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85-89分</w:t>
            </w:r>
          </w:p>
        </w:tc>
        <w:tc>
          <w:tcPr>
            <w:tcW w:w="1706" w:type="dxa"/>
          </w:tcPr>
          <w:p w14:paraId="4D453FF5">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85分以下</w:t>
            </w:r>
          </w:p>
        </w:tc>
      </w:tr>
    </w:tbl>
    <w:p w14:paraId="22F78D39">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（一）A级供应商为优秀，予以继续供货；</w:t>
      </w:r>
    </w:p>
    <w:p w14:paraId="1CBBFA44">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（二）B级供应商为合格，进行约谈整改；</w:t>
      </w:r>
    </w:p>
    <w:p w14:paraId="6C176363">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（三）C级供应商为基本合格，暂停供货一个月；</w:t>
      </w:r>
    </w:p>
    <w:p w14:paraId="734E0CF3">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（四）D级供应商为不合格，终止供货资格。</w:t>
      </w:r>
    </w:p>
    <w:p w14:paraId="5D8749E6">
      <w:pPr>
        <w:spacing w:after="120"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三、供应商测评表。学期测评由学校食品安全管理人员、校园食品安全主管部门共同参与评分。</w:t>
      </w:r>
    </w:p>
    <w:p w14:paraId="1BC0F9F3">
      <w:pP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br w:type="page"/>
      </w:r>
    </w:p>
    <w:p w14:paraId="1D02366A">
      <w:pPr>
        <w:spacing w:after="120" w:line="360" w:lineRule="auto"/>
        <w:jc w:val="center"/>
        <w:rPr>
          <w:rFonts w:hint="default" w:ascii="宋体" w:hAnsi="宋体" w:eastAsia="宋体" w:cs="宋体"/>
          <w:color w:val="auto"/>
          <w:sz w:val="36"/>
          <w:szCs w:val="36"/>
          <w:highlight w:val="none"/>
          <w:lang w:val="en-US" w:eastAsia="zh-CN"/>
        </w:rPr>
      </w:pPr>
      <w:r>
        <w:rPr>
          <w:rFonts w:hint="eastAsia" w:ascii="宋体" w:hAnsi="宋体" w:eastAsia="宋体" w:cs="宋体"/>
          <w:color w:val="auto"/>
          <w:sz w:val="36"/>
          <w:szCs w:val="36"/>
          <w:highlight w:val="none"/>
        </w:rPr>
        <w:t>供应商测评表 （</w:t>
      </w:r>
      <w:r>
        <w:rPr>
          <w:rFonts w:hint="eastAsia" w:ascii="宋体" w:hAnsi="宋体" w:eastAsia="宋体" w:cs="宋体"/>
          <w:color w:val="auto"/>
          <w:sz w:val="36"/>
          <w:szCs w:val="36"/>
          <w:highlight w:val="none"/>
          <w:lang w:val="en-US" w:eastAsia="zh-CN"/>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lang w:val="en-US" w:eastAsia="zh-CN"/>
        </w:rPr>
        <w:t>年</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lang w:val="en-US" w:eastAsia="zh-CN"/>
        </w:rPr>
        <w:t>季学期）</w:t>
      </w:r>
    </w:p>
    <w:p w14:paraId="5260D425">
      <w:pPr>
        <w:spacing w:before="348" w:line="381" w:lineRule="auto"/>
        <w:ind w:right="1279"/>
        <w:jc w:val="left"/>
        <w:rPr>
          <w:rFonts w:ascii="宋体" w:hAnsi="宋体" w:eastAsia="宋体" w:cs="宋体"/>
          <w:color w:val="auto"/>
          <w:w w:val="120"/>
          <w:sz w:val="24"/>
          <w:szCs w:val="24"/>
          <w:highlight w:val="none"/>
        </w:rPr>
      </w:pPr>
      <w:r>
        <w:rPr>
          <w:rFonts w:ascii="宋体" w:hAnsi="宋体" w:eastAsia="宋体" w:cs="宋体"/>
          <w:color w:val="auto"/>
          <w:w w:val="105"/>
          <w:sz w:val="24"/>
          <w:szCs w:val="24"/>
          <w:highlight w:val="none"/>
        </w:rPr>
        <w:t>供应</w:t>
      </w:r>
      <w:r>
        <w:rPr>
          <w:rFonts w:ascii="宋体" w:hAnsi="宋体" w:eastAsia="宋体" w:cs="宋体"/>
          <w:color w:val="auto"/>
          <w:spacing w:val="-122"/>
          <w:w w:val="105"/>
          <w:sz w:val="24"/>
          <w:szCs w:val="24"/>
          <w:highlight w:val="none"/>
        </w:rPr>
        <w:t xml:space="preserve"> </w:t>
      </w:r>
      <w:r>
        <w:rPr>
          <w:rFonts w:ascii="宋体" w:hAnsi="宋体" w:eastAsia="宋体" w:cs="宋体"/>
          <w:color w:val="auto"/>
          <w:w w:val="105"/>
          <w:sz w:val="24"/>
          <w:szCs w:val="24"/>
          <w:highlight w:val="none"/>
        </w:rPr>
        <w:t>商名</w:t>
      </w:r>
      <w:r>
        <w:rPr>
          <w:rFonts w:ascii="宋体" w:hAnsi="宋体" w:eastAsia="宋体" w:cs="宋体"/>
          <w:color w:val="auto"/>
          <w:spacing w:val="-127"/>
          <w:w w:val="105"/>
          <w:sz w:val="24"/>
          <w:szCs w:val="24"/>
          <w:highlight w:val="none"/>
        </w:rPr>
        <w:t xml:space="preserve"> </w:t>
      </w:r>
      <w:r>
        <w:rPr>
          <w:rFonts w:ascii="宋体" w:hAnsi="宋体" w:eastAsia="宋体" w:cs="宋体"/>
          <w:color w:val="auto"/>
          <w:spacing w:val="12"/>
          <w:w w:val="105"/>
          <w:sz w:val="24"/>
          <w:szCs w:val="24"/>
          <w:highlight w:val="none"/>
        </w:rPr>
        <w:t>称：</w:t>
      </w:r>
      <w:r>
        <w:rPr>
          <w:rFonts w:ascii="宋体" w:hAnsi="宋体" w:eastAsia="宋体" w:cs="宋体"/>
          <w:color w:val="auto"/>
          <w:w w:val="120"/>
          <w:sz w:val="24"/>
          <w:szCs w:val="24"/>
          <w:highlight w:val="none"/>
        </w:rPr>
        <w:t xml:space="preserve"> </w:t>
      </w:r>
    </w:p>
    <w:p w14:paraId="2E4AFE89">
      <w:pPr>
        <w:spacing w:line="240" w:lineRule="auto"/>
        <w:ind w:left="0" w:right="0" w:firstLine="0"/>
        <w:jc w:val="left"/>
        <w:rPr>
          <w:rFonts w:ascii="宋体" w:hAnsi="宋体" w:eastAsia="宋体" w:cs="宋体"/>
          <w:color w:val="auto"/>
          <w:sz w:val="24"/>
          <w:szCs w:val="24"/>
          <w:highlight w:val="none"/>
        </w:rPr>
      </w:pPr>
      <w:r>
        <w:rPr>
          <w:rFonts w:ascii="宋体" w:hAnsi="宋体" w:eastAsia="宋体" w:cs="宋体"/>
          <w:color w:val="auto"/>
          <w:w w:val="105"/>
          <w:sz w:val="24"/>
          <w:szCs w:val="24"/>
          <w:highlight w:val="none"/>
        </w:rPr>
        <w:t>供应</w:t>
      </w:r>
      <w:r>
        <w:rPr>
          <w:rFonts w:ascii="宋体" w:hAnsi="宋体" w:eastAsia="宋体" w:cs="宋体"/>
          <w:color w:val="auto"/>
          <w:spacing w:val="-76"/>
          <w:w w:val="105"/>
          <w:sz w:val="24"/>
          <w:szCs w:val="24"/>
          <w:highlight w:val="none"/>
        </w:rPr>
        <w:t xml:space="preserve"> </w:t>
      </w:r>
      <w:r>
        <w:rPr>
          <w:rFonts w:ascii="宋体" w:hAnsi="宋体" w:eastAsia="宋体" w:cs="宋体"/>
          <w:color w:val="auto"/>
          <w:spacing w:val="3"/>
          <w:w w:val="105"/>
          <w:sz w:val="24"/>
          <w:szCs w:val="24"/>
          <w:highlight w:val="none"/>
        </w:rPr>
        <w:t>品种：</w:t>
      </w:r>
    </w:p>
    <w:tbl>
      <w:tblPr>
        <w:tblStyle w:val="31"/>
        <w:tblpPr w:leftFromText="180" w:rightFromText="180" w:vertAnchor="text" w:horzAnchor="page" w:tblpX="1427" w:tblpY="24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82"/>
        <w:gridCol w:w="4546"/>
        <w:gridCol w:w="1637"/>
        <w:gridCol w:w="1053"/>
      </w:tblGrid>
      <w:tr w14:paraId="56264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5" w:hRule="exact"/>
        </w:trPr>
        <w:tc>
          <w:tcPr>
            <w:tcW w:w="1882" w:type="dxa"/>
          </w:tcPr>
          <w:p w14:paraId="719D0E82">
            <w:pPr>
              <w:pStyle w:val="328"/>
              <w:spacing w:before="7" w:line="240" w:lineRule="auto"/>
              <w:ind w:right="0"/>
              <w:jc w:val="left"/>
              <w:rPr>
                <w:rFonts w:hint="eastAsia" w:ascii="宋体" w:hAnsi="宋体" w:eastAsia="宋体" w:cs="宋体"/>
                <w:color w:val="auto"/>
                <w:sz w:val="21"/>
                <w:szCs w:val="21"/>
                <w:highlight w:val="none"/>
              </w:rPr>
            </w:pPr>
          </w:p>
          <w:p w14:paraId="757823E8">
            <w:pPr>
              <w:pStyle w:val="328"/>
              <w:spacing w:line="240" w:lineRule="auto"/>
              <w:ind w:left="308" w:right="0"/>
              <w:jc w:val="left"/>
              <w:rPr>
                <w:rFonts w:hint="eastAsia" w:ascii="宋体" w:hAnsi="宋体" w:eastAsia="宋体" w:cs="宋体"/>
                <w:color w:val="auto"/>
                <w:sz w:val="21"/>
                <w:szCs w:val="21"/>
                <w:highlight w:val="none"/>
              </w:rPr>
            </w:pPr>
            <w:r>
              <w:rPr>
                <w:rFonts w:hint="eastAsia" w:ascii="宋体" w:hAnsi="宋体" w:eastAsia="宋体" w:cs="宋体"/>
                <w:color w:val="auto"/>
                <w:w w:val="102"/>
                <w:sz w:val="21"/>
                <w:szCs w:val="21"/>
                <w:highlight w:val="none"/>
              </w:rPr>
              <w:t>测评项目</w:t>
            </w:r>
          </w:p>
        </w:tc>
        <w:tc>
          <w:tcPr>
            <w:tcW w:w="4546" w:type="dxa"/>
          </w:tcPr>
          <w:p w14:paraId="09B38FA2">
            <w:pPr>
              <w:pStyle w:val="328"/>
              <w:spacing w:before="2" w:line="240" w:lineRule="auto"/>
              <w:ind w:right="0"/>
              <w:jc w:val="left"/>
              <w:rPr>
                <w:rFonts w:hint="eastAsia" w:ascii="宋体" w:hAnsi="宋体" w:eastAsia="宋体" w:cs="宋体"/>
                <w:color w:val="auto"/>
                <w:sz w:val="21"/>
                <w:szCs w:val="21"/>
                <w:highlight w:val="none"/>
              </w:rPr>
            </w:pPr>
          </w:p>
          <w:p w14:paraId="3A9AE052">
            <w:pPr>
              <w:pStyle w:val="328"/>
              <w:spacing w:line="240" w:lineRule="auto"/>
              <w:ind w:right="0"/>
              <w:jc w:val="center"/>
              <w:rPr>
                <w:rFonts w:hint="eastAsia" w:ascii="宋体" w:hAnsi="宋体" w:eastAsia="宋体" w:cs="宋体"/>
                <w:color w:val="auto"/>
                <w:sz w:val="21"/>
                <w:szCs w:val="21"/>
                <w:highlight w:val="none"/>
              </w:rPr>
            </w:pPr>
            <w:r>
              <w:rPr>
                <w:rFonts w:hint="eastAsia" w:ascii="宋体" w:hAnsi="宋体" w:eastAsia="宋体" w:cs="宋体"/>
                <w:color w:val="auto"/>
                <w:w w:val="105"/>
                <w:sz w:val="21"/>
                <w:szCs w:val="21"/>
                <w:highlight w:val="none"/>
              </w:rPr>
              <w:t>测评内容</w:t>
            </w:r>
          </w:p>
        </w:tc>
        <w:tc>
          <w:tcPr>
            <w:tcW w:w="1637" w:type="dxa"/>
          </w:tcPr>
          <w:p w14:paraId="1FDEA079">
            <w:pPr>
              <w:pStyle w:val="328"/>
              <w:spacing w:before="7" w:line="240" w:lineRule="auto"/>
              <w:ind w:right="0"/>
              <w:jc w:val="left"/>
              <w:rPr>
                <w:rFonts w:hint="eastAsia" w:ascii="宋体" w:hAnsi="宋体" w:eastAsia="宋体" w:cs="宋体"/>
                <w:color w:val="auto"/>
                <w:sz w:val="21"/>
                <w:szCs w:val="21"/>
                <w:highlight w:val="none"/>
              </w:rPr>
            </w:pPr>
          </w:p>
          <w:p w14:paraId="5631EF73">
            <w:pPr>
              <w:pStyle w:val="328"/>
              <w:spacing w:line="240" w:lineRule="auto"/>
              <w:ind w:left="191" w:right="0"/>
              <w:jc w:val="left"/>
              <w:rPr>
                <w:rFonts w:hint="eastAsia" w:ascii="宋体" w:hAnsi="宋体" w:eastAsia="宋体" w:cs="宋体"/>
                <w:color w:val="auto"/>
                <w:sz w:val="21"/>
                <w:szCs w:val="21"/>
                <w:highlight w:val="none"/>
              </w:rPr>
            </w:pPr>
            <w:r>
              <w:rPr>
                <w:rFonts w:hint="eastAsia" w:ascii="宋体" w:hAnsi="宋体" w:eastAsia="宋体" w:cs="宋体"/>
                <w:color w:val="auto"/>
                <w:w w:val="102"/>
                <w:sz w:val="21"/>
                <w:szCs w:val="21"/>
                <w:highlight w:val="none"/>
              </w:rPr>
              <w:t>扣分原</w:t>
            </w:r>
            <w:r>
              <w:rPr>
                <w:rFonts w:hint="eastAsia" w:ascii="宋体" w:hAnsi="宋体" w:eastAsia="宋体" w:cs="宋体"/>
                <w:color w:val="auto"/>
                <w:spacing w:val="-87"/>
                <w:sz w:val="21"/>
                <w:szCs w:val="21"/>
                <w:highlight w:val="none"/>
              </w:rPr>
              <w:t xml:space="preserve"> </w:t>
            </w:r>
            <w:r>
              <w:rPr>
                <w:rFonts w:hint="eastAsia" w:ascii="宋体" w:hAnsi="宋体" w:eastAsia="宋体" w:cs="宋体"/>
                <w:color w:val="auto"/>
                <w:w w:val="96"/>
                <w:sz w:val="21"/>
                <w:szCs w:val="21"/>
                <w:highlight w:val="none"/>
              </w:rPr>
              <w:t>因</w:t>
            </w:r>
          </w:p>
        </w:tc>
        <w:tc>
          <w:tcPr>
            <w:tcW w:w="1053" w:type="dxa"/>
          </w:tcPr>
          <w:p w14:paraId="5FDE005E">
            <w:pPr>
              <w:pStyle w:val="328"/>
              <w:spacing w:before="81" w:line="240" w:lineRule="auto"/>
              <w:ind w:left="201" w:right="0" w:firstLine="9"/>
              <w:jc w:val="left"/>
              <w:rPr>
                <w:rFonts w:hint="eastAsia" w:ascii="宋体" w:hAnsi="宋体" w:eastAsia="宋体" w:cs="宋体"/>
                <w:color w:val="auto"/>
                <w:sz w:val="21"/>
                <w:szCs w:val="21"/>
                <w:highlight w:val="none"/>
              </w:rPr>
            </w:pPr>
            <w:r>
              <w:rPr>
                <w:rFonts w:hint="eastAsia" w:ascii="宋体" w:hAnsi="宋体" w:eastAsia="宋体" w:cs="宋体"/>
                <w:color w:val="auto"/>
                <w:w w:val="103"/>
                <w:sz w:val="21"/>
                <w:szCs w:val="21"/>
                <w:highlight w:val="none"/>
              </w:rPr>
              <w:t>扣分</w:t>
            </w:r>
          </w:p>
          <w:p w14:paraId="25D79629">
            <w:pPr>
              <w:pStyle w:val="328"/>
              <w:spacing w:before="240" w:line="240" w:lineRule="auto"/>
              <w:ind w:left="201" w:right="0"/>
              <w:jc w:val="left"/>
              <w:rPr>
                <w:rFonts w:hint="eastAsia" w:ascii="宋体" w:hAnsi="宋体" w:eastAsia="宋体" w:cs="宋体"/>
                <w:color w:val="auto"/>
                <w:sz w:val="21"/>
                <w:szCs w:val="21"/>
                <w:highlight w:val="none"/>
              </w:rPr>
            </w:pPr>
            <w:r>
              <w:rPr>
                <w:rFonts w:hint="eastAsia" w:ascii="宋体" w:hAnsi="宋体" w:eastAsia="宋体" w:cs="宋体"/>
                <w:color w:val="auto"/>
                <w:w w:val="104"/>
                <w:sz w:val="21"/>
                <w:szCs w:val="21"/>
                <w:highlight w:val="none"/>
              </w:rPr>
              <w:t>小计</w:t>
            </w:r>
          </w:p>
        </w:tc>
      </w:tr>
      <w:tr w14:paraId="155E6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1" w:hRule="exact"/>
        </w:trPr>
        <w:tc>
          <w:tcPr>
            <w:tcW w:w="1882" w:type="dxa"/>
            <w:vMerge w:val="restart"/>
          </w:tcPr>
          <w:p w14:paraId="77E3B0F3">
            <w:pPr>
              <w:pStyle w:val="328"/>
              <w:spacing w:line="283" w:lineRule="auto"/>
              <w:ind w:left="108" w:right="105" w:firstLine="9"/>
              <w:jc w:val="both"/>
              <w:rPr>
                <w:rFonts w:hint="eastAsia" w:ascii="宋体" w:hAnsi="宋体" w:eastAsia="宋体" w:cs="宋体"/>
                <w:color w:val="auto"/>
                <w:w w:val="102"/>
                <w:sz w:val="21"/>
                <w:szCs w:val="21"/>
                <w:highlight w:val="none"/>
              </w:rPr>
            </w:pPr>
          </w:p>
          <w:p w14:paraId="450DE940">
            <w:pPr>
              <w:pStyle w:val="328"/>
              <w:spacing w:line="283" w:lineRule="auto"/>
              <w:ind w:left="108" w:right="105" w:firstLine="9"/>
              <w:jc w:val="both"/>
              <w:rPr>
                <w:rFonts w:hint="eastAsia" w:ascii="宋体" w:hAnsi="宋体" w:eastAsia="宋体" w:cs="宋体"/>
                <w:color w:val="auto"/>
                <w:w w:val="102"/>
                <w:sz w:val="21"/>
                <w:szCs w:val="21"/>
                <w:highlight w:val="none"/>
              </w:rPr>
            </w:pPr>
          </w:p>
          <w:p w14:paraId="18F97D32">
            <w:pPr>
              <w:pStyle w:val="328"/>
              <w:spacing w:line="283" w:lineRule="auto"/>
              <w:ind w:left="108" w:right="105" w:firstLine="9"/>
              <w:jc w:val="both"/>
              <w:rPr>
                <w:rFonts w:hint="eastAsia" w:ascii="宋体" w:hAnsi="宋体" w:eastAsia="宋体" w:cs="宋体"/>
                <w:color w:val="auto"/>
                <w:w w:val="102"/>
                <w:sz w:val="21"/>
                <w:szCs w:val="21"/>
                <w:highlight w:val="none"/>
                <w:lang w:eastAsia="zh-CN"/>
              </w:rPr>
            </w:pPr>
            <w:r>
              <w:rPr>
                <w:rFonts w:hint="eastAsia" w:ascii="宋体" w:hAnsi="宋体" w:eastAsia="宋体" w:cs="宋体"/>
                <w:color w:val="auto"/>
                <w:w w:val="102"/>
                <w:sz w:val="21"/>
                <w:szCs w:val="21"/>
                <w:highlight w:val="none"/>
              </w:rPr>
              <w:t>品质（ 35分</w:t>
            </w:r>
            <w:r>
              <w:rPr>
                <w:rFonts w:hint="eastAsia" w:ascii="宋体" w:hAnsi="宋体" w:eastAsia="宋体" w:cs="宋体"/>
                <w:color w:val="auto"/>
                <w:w w:val="102"/>
                <w:sz w:val="21"/>
                <w:szCs w:val="21"/>
                <w:highlight w:val="none"/>
                <w:lang w:eastAsia="zh-CN"/>
              </w:rPr>
              <w:t>）</w:t>
            </w:r>
          </w:p>
        </w:tc>
        <w:tc>
          <w:tcPr>
            <w:tcW w:w="4546" w:type="dxa"/>
          </w:tcPr>
          <w:p w14:paraId="0B2C1F94">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1</w:t>
            </w:r>
            <w:r>
              <w:rPr>
                <w:rFonts w:hint="eastAsia" w:ascii="宋体" w:hAnsi="宋体" w:eastAsia="宋体" w:cs="宋体"/>
                <w:color w:val="auto"/>
                <w:w w:val="102"/>
                <w:sz w:val="21"/>
                <w:szCs w:val="21"/>
                <w:highlight w:val="none"/>
                <w:lang w:eastAsia="zh-CN"/>
              </w:rPr>
              <w:t>.</w:t>
            </w:r>
            <w:r>
              <w:rPr>
                <w:rFonts w:hint="eastAsia" w:ascii="宋体" w:hAnsi="宋体" w:eastAsia="宋体" w:cs="宋体"/>
                <w:color w:val="auto"/>
                <w:w w:val="102"/>
                <w:sz w:val="21"/>
                <w:szCs w:val="21"/>
                <w:highlight w:val="none"/>
              </w:rPr>
              <w:t>提供的食材不符合《食材准入条件》</w:t>
            </w:r>
            <w:r>
              <w:rPr>
                <w:rFonts w:hint="eastAsia" w:ascii="宋体" w:hAnsi="宋体" w:eastAsia="宋体" w:cs="宋体"/>
                <w:color w:val="auto"/>
                <w:w w:val="102"/>
                <w:sz w:val="21"/>
                <w:szCs w:val="21"/>
                <w:highlight w:val="none"/>
                <w:lang w:val="en-US" w:eastAsia="zh-CN"/>
              </w:rPr>
              <w:t>(即采购需求)</w:t>
            </w:r>
            <w:r>
              <w:rPr>
                <w:rFonts w:hint="eastAsia" w:ascii="宋体" w:hAnsi="宋体" w:eastAsia="宋体" w:cs="宋体"/>
                <w:color w:val="auto"/>
                <w:w w:val="102"/>
                <w:sz w:val="21"/>
                <w:szCs w:val="21"/>
                <w:highlight w:val="none"/>
              </w:rPr>
              <w:t>中的食品质量要求。经查实，确实是</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原因的每一起扣2分。</w:t>
            </w:r>
          </w:p>
          <w:p w14:paraId="72F6117A">
            <w:pPr>
              <w:pStyle w:val="328"/>
              <w:spacing w:line="283" w:lineRule="auto"/>
              <w:ind w:left="108" w:right="105" w:firstLine="9"/>
              <w:jc w:val="both"/>
              <w:rPr>
                <w:rFonts w:hint="eastAsia" w:ascii="宋体" w:hAnsi="宋体" w:eastAsia="宋体" w:cs="宋体"/>
                <w:color w:val="auto"/>
                <w:w w:val="102"/>
                <w:sz w:val="21"/>
                <w:szCs w:val="21"/>
                <w:highlight w:val="none"/>
                <w:lang w:eastAsia="zh-CN"/>
              </w:rPr>
            </w:pPr>
            <w:r>
              <w:rPr>
                <w:rFonts w:hint="eastAsia" w:ascii="宋体" w:hAnsi="宋体" w:eastAsia="宋体" w:cs="宋体"/>
                <w:color w:val="auto"/>
                <w:w w:val="102"/>
                <w:sz w:val="21"/>
                <w:szCs w:val="21"/>
                <w:highlight w:val="none"/>
              </w:rPr>
              <w:t>2.</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被市场监督管理局等部门处罚的。发现一起扣5分，造成重大不良影响的一次扣10分</w:t>
            </w:r>
            <w:r>
              <w:rPr>
                <w:rFonts w:hint="eastAsia" w:ascii="宋体" w:hAnsi="宋体" w:eastAsia="宋体" w:cs="宋体"/>
                <w:color w:val="auto"/>
                <w:w w:val="102"/>
                <w:sz w:val="21"/>
                <w:szCs w:val="21"/>
                <w:highlight w:val="none"/>
                <w:lang w:eastAsia="zh-CN"/>
              </w:rPr>
              <w:t>。</w:t>
            </w:r>
          </w:p>
        </w:tc>
        <w:tc>
          <w:tcPr>
            <w:tcW w:w="1637" w:type="dxa"/>
          </w:tcPr>
          <w:p w14:paraId="3ED7D487">
            <w:pPr>
              <w:pStyle w:val="328"/>
              <w:spacing w:line="283" w:lineRule="auto"/>
              <w:ind w:left="108" w:right="105" w:firstLine="9"/>
              <w:jc w:val="both"/>
              <w:rPr>
                <w:rFonts w:hint="eastAsia" w:ascii="宋体" w:hAnsi="宋体" w:eastAsia="宋体" w:cs="宋体"/>
                <w:color w:val="auto"/>
                <w:w w:val="102"/>
                <w:sz w:val="21"/>
                <w:szCs w:val="21"/>
                <w:highlight w:val="none"/>
              </w:rPr>
            </w:pPr>
          </w:p>
          <w:p w14:paraId="476F99FA">
            <w:pPr>
              <w:pStyle w:val="328"/>
              <w:spacing w:line="283" w:lineRule="auto"/>
              <w:ind w:left="108" w:right="105" w:firstLine="9"/>
              <w:jc w:val="both"/>
              <w:rPr>
                <w:rFonts w:hint="eastAsia" w:ascii="宋体" w:hAnsi="宋体" w:eastAsia="宋体" w:cs="宋体"/>
                <w:color w:val="auto"/>
                <w:w w:val="102"/>
                <w:sz w:val="21"/>
                <w:szCs w:val="21"/>
                <w:highlight w:val="none"/>
              </w:rPr>
            </w:pPr>
          </w:p>
          <w:p w14:paraId="58F73D5A">
            <w:pPr>
              <w:pStyle w:val="328"/>
              <w:spacing w:line="283" w:lineRule="auto"/>
              <w:ind w:left="108" w:right="105" w:firstLine="9"/>
              <w:jc w:val="both"/>
              <w:rPr>
                <w:rFonts w:hint="eastAsia" w:ascii="宋体" w:hAnsi="宋体" w:eastAsia="宋体" w:cs="宋体"/>
                <w:color w:val="auto"/>
                <w:w w:val="102"/>
                <w:sz w:val="21"/>
                <w:szCs w:val="21"/>
                <w:highlight w:val="none"/>
              </w:rPr>
            </w:pPr>
          </w:p>
          <w:p w14:paraId="6F78D67B">
            <w:pPr>
              <w:pStyle w:val="328"/>
              <w:spacing w:line="283" w:lineRule="auto"/>
              <w:ind w:left="108" w:right="105" w:firstLine="9"/>
              <w:jc w:val="both"/>
              <w:rPr>
                <w:rFonts w:hint="eastAsia" w:ascii="宋体" w:hAnsi="宋体" w:eastAsia="宋体" w:cs="宋体"/>
                <w:color w:val="auto"/>
                <w:w w:val="102"/>
                <w:sz w:val="21"/>
                <w:szCs w:val="21"/>
                <w:highlight w:val="none"/>
              </w:rPr>
            </w:pPr>
          </w:p>
          <w:p w14:paraId="70F1A5D8">
            <w:pPr>
              <w:pStyle w:val="328"/>
              <w:spacing w:line="283" w:lineRule="auto"/>
              <w:ind w:right="105"/>
              <w:jc w:val="both"/>
              <w:rPr>
                <w:rFonts w:hint="eastAsia" w:ascii="宋体" w:hAnsi="宋体" w:eastAsia="宋体" w:cs="宋体"/>
                <w:color w:val="auto"/>
                <w:w w:val="102"/>
                <w:sz w:val="21"/>
                <w:szCs w:val="21"/>
                <w:highlight w:val="none"/>
              </w:rPr>
            </w:pPr>
          </w:p>
        </w:tc>
        <w:tc>
          <w:tcPr>
            <w:tcW w:w="1053" w:type="dxa"/>
          </w:tcPr>
          <w:p w14:paraId="13A449EA">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3A0D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exact"/>
        </w:trPr>
        <w:tc>
          <w:tcPr>
            <w:tcW w:w="1882" w:type="dxa"/>
            <w:vMerge w:val="continue"/>
          </w:tcPr>
          <w:p w14:paraId="7B4FC2A2">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4546" w:type="dxa"/>
          </w:tcPr>
          <w:p w14:paraId="31B030D3">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3.因食品原材料问题而发生学校食品安全事故，造成不良后果的，一次扣30分。</w:t>
            </w:r>
          </w:p>
        </w:tc>
        <w:tc>
          <w:tcPr>
            <w:tcW w:w="1637" w:type="dxa"/>
          </w:tcPr>
          <w:p w14:paraId="417E971D">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1691F8F1">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06939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1" w:hRule="exact"/>
        </w:trPr>
        <w:tc>
          <w:tcPr>
            <w:tcW w:w="1882" w:type="dxa"/>
            <w:vMerge w:val="restart"/>
          </w:tcPr>
          <w:p w14:paraId="77878D96">
            <w:pPr>
              <w:pStyle w:val="328"/>
              <w:spacing w:line="283" w:lineRule="auto"/>
              <w:ind w:left="108" w:right="105" w:firstLine="9"/>
              <w:jc w:val="both"/>
              <w:rPr>
                <w:rFonts w:hint="eastAsia" w:ascii="宋体" w:hAnsi="宋体" w:eastAsia="宋体" w:cs="宋体"/>
                <w:color w:val="auto"/>
                <w:w w:val="102"/>
                <w:sz w:val="21"/>
                <w:szCs w:val="21"/>
                <w:highlight w:val="none"/>
              </w:rPr>
            </w:pPr>
          </w:p>
          <w:p w14:paraId="0ACDA7D6">
            <w:pPr>
              <w:pStyle w:val="328"/>
              <w:spacing w:line="283" w:lineRule="auto"/>
              <w:ind w:left="108" w:right="105" w:firstLine="9"/>
              <w:jc w:val="both"/>
              <w:rPr>
                <w:rFonts w:hint="eastAsia" w:ascii="宋体" w:hAnsi="宋体" w:eastAsia="宋体" w:cs="宋体"/>
                <w:color w:val="auto"/>
                <w:w w:val="102"/>
                <w:sz w:val="21"/>
                <w:szCs w:val="21"/>
                <w:highlight w:val="none"/>
              </w:rPr>
            </w:pPr>
          </w:p>
          <w:p w14:paraId="2CA8CA1C">
            <w:pPr>
              <w:pStyle w:val="328"/>
              <w:spacing w:line="283" w:lineRule="auto"/>
              <w:ind w:left="108" w:right="105" w:firstLine="9"/>
              <w:jc w:val="both"/>
              <w:rPr>
                <w:rFonts w:hint="eastAsia" w:ascii="宋体" w:hAnsi="宋体" w:eastAsia="宋体" w:cs="宋体"/>
                <w:color w:val="auto"/>
                <w:w w:val="102"/>
                <w:sz w:val="21"/>
                <w:szCs w:val="21"/>
                <w:highlight w:val="none"/>
                <w:lang w:val="en-US" w:eastAsia="zh-CN"/>
              </w:rPr>
            </w:pPr>
            <w:r>
              <w:rPr>
                <w:rFonts w:hint="eastAsia" w:ascii="宋体" w:hAnsi="宋体" w:eastAsia="宋体" w:cs="宋体"/>
                <w:color w:val="auto"/>
                <w:w w:val="102"/>
                <w:sz w:val="21"/>
                <w:szCs w:val="21"/>
                <w:highlight w:val="none"/>
              </w:rPr>
              <w:t>交期（20分</w:t>
            </w:r>
            <w:r>
              <w:rPr>
                <w:rFonts w:hint="eastAsia" w:ascii="宋体" w:hAnsi="宋体" w:eastAsia="宋体" w:cs="宋体"/>
                <w:color w:val="auto"/>
                <w:w w:val="102"/>
                <w:sz w:val="21"/>
                <w:szCs w:val="21"/>
                <w:highlight w:val="none"/>
                <w:lang w:val="en-US" w:eastAsia="zh-CN"/>
              </w:rPr>
              <w:t>)</w:t>
            </w:r>
          </w:p>
        </w:tc>
        <w:tc>
          <w:tcPr>
            <w:tcW w:w="4546" w:type="dxa"/>
          </w:tcPr>
          <w:p w14:paraId="354F8893">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4</w:t>
            </w:r>
            <w:r>
              <w:rPr>
                <w:rFonts w:hint="eastAsia" w:ascii="宋体" w:hAnsi="宋体" w:eastAsia="宋体" w:cs="宋体"/>
                <w:color w:val="auto"/>
                <w:w w:val="102"/>
                <w:sz w:val="21"/>
                <w:szCs w:val="21"/>
                <w:highlight w:val="none"/>
              </w:rPr>
              <w:t>.各类食品运输必须符合《供应商准入条件》要求，不能未经同意擅自更改运输车辆。经查实，</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擅自更改运输车辆的每一起扣2分。</w:t>
            </w:r>
          </w:p>
        </w:tc>
        <w:tc>
          <w:tcPr>
            <w:tcW w:w="1637" w:type="dxa"/>
          </w:tcPr>
          <w:p w14:paraId="0655BB5D">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2287C9D5">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5DB1B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8" w:hRule="exact"/>
        </w:trPr>
        <w:tc>
          <w:tcPr>
            <w:tcW w:w="1882" w:type="dxa"/>
            <w:vMerge w:val="continue"/>
          </w:tcPr>
          <w:p w14:paraId="3A89CE2D">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4546" w:type="dxa"/>
          </w:tcPr>
          <w:p w14:paraId="11B0E73F">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5</w:t>
            </w:r>
            <w:r>
              <w:rPr>
                <w:rFonts w:hint="eastAsia" w:ascii="宋体" w:hAnsi="宋体" w:eastAsia="宋体" w:cs="宋体"/>
                <w:color w:val="auto"/>
                <w:w w:val="102"/>
                <w:sz w:val="21"/>
                <w:szCs w:val="21"/>
                <w:highlight w:val="none"/>
              </w:rPr>
              <w:t>.各类食品必须按照需求保量配送，存在配送物品遗漏、配送物品数量有误差、补货不及时现象的，发现一次扣2分。</w:t>
            </w:r>
          </w:p>
        </w:tc>
        <w:tc>
          <w:tcPr>
            <w:tcW w:w="1637" w:type="dxa"/>
          </w:tcPr>
          <w:p w14:paraId="3F1271A7">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2938959D">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46310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5" w:hRule="exact"/>
        </w:trPr>
        <w:tc>
          <w:tcPr>
            <w:tcW w:w="1882" w:type="dxa"/>
            <w:vMerge w:val="continue"/>
          </w:tcPr>
          <w:p w14:paraId="2D9318D3">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4546" w:type="dxa"/>
          </w:tcPr>
          <w:p w14:paraId="333E1B3C">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6</w:t>
            </w:r>
            <w:r>
              <w:rPr>
                <w:rFonts w:hint="eastAsia" w:ascii="宋体" w:hAnsi="宋体" w:eastAsia="宋体" w:cs="宋体"/>
                <w:color w:val="auto"/>
                <w:w w:val="102"/>
                <w:sz w:val="21"/>
                <w:szCs w:val="21"/>
                <w:highlight w:val="none"/>
              </w:rPr>
              <w:t>.不按时送货，影响学校正常教学生活秩序的，发现一次扣10分。</w:t>
            </w:r>
          </w:p>
        </w:tc>
        <w:tc>
          <w:tcPr>
            <w:tcW w:w="1637" w:type="dxa"/>
          </w:tcPr>
          <w:p w14:paraId="51ABB7F2">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3678B9B6">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5D13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6" w:hRule="exact"/>
        </w:trPr>
        <w:tc>
          <w:tcPr>
            <w:tcW w:w="1882" w:type="dxa"/>
          </w:tcPr>
          <w:p w14:paraId="243ED84E">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价格（15分</w:t>
            </w:r>
            <w:r>
              <w:rPr>
                <w:rFonts w:hint="eastAsia" w:ascii="宋体" w:hAnsi="宋体" w:eastAsia="宋体" w:cs="宋体"/>
                <w:color w:val="auto"/>
                <w:w w:val="102"/>
                <w:sz w:val="21"/>
                <w:szCs w:val="21"/>
                <w:highlight w:val="none"/>
                <w:lang w:val="en-US" w:eastAsia="zh-CN"/>
              </w:rPr>
              <w:t>)</w:t>
            </w:r>
          </w:p>
        </w:tc>
        <w:tc>
          <w:tcPr>
            <w:tcW w:w="4546" w:type="dxa"/>
          </w:tcPr>
          <w:p w14:paraId="7D8B71A5">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7</w:t>
            </w:r>
            <w:r>
              <w:rPr>
                <w:rFonts w:hint="eastAsia" w:ascii="宋体" w:hAnsi="宋体" w:eastAsia="宋体" w:cs="宋体"/>
                <w:color w:val="auto"/>
                <w:w w:val="102"/>
                <w:sz w:val="21"/>
                <w:szCs w:val="21"/>
                <w:highlight w:val="none"/>
              </w:rPr>
              <w:t>.不配合学校及时调整价格的或食品价格明显高于市场价格的，明显短斤少两的。经查实，确实是</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原因的每一起扣2分。</w:t>
            </w:r>
          </w:p>
        </w:tc>
        <w:tc>
          <w:tcPr>
            <w:tcW w:w="1637" w:type="dxa"/>
          </w:tcPr>
          <w:p w14:paraId="132D9414">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07ECAD66">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169EA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0" w:hRule="exact"/>
        </w:trPr>
        <w:tc>
          <w:tcPr>
            <w:tcW w:w="1882" w:type="dxa"/>
          </w:tcPr>
          <w:p w14:paraId="7EE87D9A">
            <w:pPr>
              <w:pStyle w:val="328"/>
              <w:spacing w:line="283" w:lineRule="auto"/>
              <w:ind w:left="108" w:right="105" w:firstLine="9"/>
              <w:jc w:val="both"/>
              <w:rPr>
                <w:rFonts w:hint="eastAsia" w:ascii="宋体" w:hAnsi="宋体" w:eastAsia="宋体" w:cs="宋体"/>
                <w:color w:val="auto"/>
                <w:w w:val="102"/>
                <w:sz w:val="21"/>
                <w:szCs w:val="21"/>
                <w:highlight w:val="none"/>
              </w:rPr>
            </w:pPr>
          </w:p>
          <w:p w14:paraId="502E9D16">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服务（10分</w:t>
            </w:r>
            <w:r>
              <w:rPr>
                <w:rFonts w:hint="eastAsia" w:ascii="宋体" w:hAnsi="宋体" w:eastAsia="宋体" w:cs="宋体"/>
                <w:color w:val="auto"/>
                <w:w w:val="102"/>
                <w:sz w:val="21"/>
                <w:szCs w:val="21"/>
                <w:highlight w:val="none"/>
                <w:lang w:val="en-US" w:eastAsia="zh-CN"/>
              </w:rPr>
              <w:t>)</w:t>
            </w:r>
          </w:p>
        </w:tc>
        <w:tc>
          <w:tcPr>
            <w:tcW w:w="4546" w:type="dxa"/>
          </w:tcPr>
          <w:p w14:paraId="31530881">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8</w:t>
            </w:r>
            <w:r>
              <w:rPr>
                <w:rFonts w:hint="eastAsia" w:ascii="宋体" w:hAnsi="宋体" w:eastAsia="宋体" w:cs="宋体"/>
                <w:color w:val="auto"/>
                <w:w w:val="102"/>
                <w:sz w:val="21"/>
                <w:szCs w:val="21"/>
                <w:highlight w:val="none"/>
              </w:rPr>
              <w:t>.不配合教育局、学校开展管理工作的，不配合市场监督管理局和其他监管部门开展工作的。经查实，确实是</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原因的每一起扣2分。</w:t>
            </w:r>
          </w:p>
        </w:tc>
        <w:tc>
          <w:tcPr>
            <w:tcW w:w="1637" w:type="dxa"/>
          </w:tcPr>
          <w:p w14:paraId="7C9DE193">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466E82EC">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6A676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2" w:hRule="exact"/>
        </w:trPr>
        <w:tc>
          <w:tcPr>
            <w:tcW w:w="1882" w:type="dxa"/>
          </w:tcPr>
          <w:p w14:paraId="4974DEB9">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整改（20分</w:t>
            </w:r>
            <w:r>
              <w:rPr>
                <w:rFonts w:hint="eastAsia" w:ascii="宋体" w:hAnsi="宋体" w:eastAsia="宋体" w:cs="宋体"/>
                <w:color w:val="auto"/>
                <w:w w:val="102"/>
                <w:sz w:val="21"/>
                <w:szCs w:val="21"/>
                <w:highlight w:val="none"/>
                <w:lang w:val="en-US" w:eastAsia="zh-CN"/>
              </w:rPr>
              <w:t>)</w:t>
            </w:r>
          </w:p>
        </w:tc>
        <w:tc>
          <w:tcPr>
            <w:tcW w:w="4546" w:type="dxa"/>
          </w:tcPr>
          <w:p w14:paraId="6C4E0A35">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9</w:t>
            </w:r>
            <w:r>
              <w:rPr>
                <w:rFonts w:hint="eastAsia" w:ascii="宋体" w:hAnsi="宋体" w:eastAsia="宋体" w:cs="宋体"/>
                <w:color w:val="auto"/>
                <w:w w:val="102"/>
                <w:sz w:val="21"/>
                <w:szCs w:val="21"/>
                <w:highlight w:val="none"/>
              </w:rPr>
              <w:t>.对学校提出供应问题进行整改，需整改而不整改的，发现一次扣2分。</w:t>
            </w:r>
          </w:p>
        </w:tc>
        <w:tc>
          <w:tcPr>
            <w:tcW w:w="1637" w:type="dxa"/>
          </w:tcPr>
          <w:p w14:paraId="3977D24C">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6EE7BB00">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06266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1" w:hRule="exact"/>
        </w:trPr>
        <w:tc>
          <w:tcPr>
            <w:tcW w:w="1882" w:type="dxa"/>
          </w:tcPr>
          <w:p w14:paraId="4449E93A">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总分</w:t>
            </w:r>
          </w:p>
        </w:tc>
        <w:tc>
          <w:tcPr>
            <w:tcW w:w="7236" w:type="dxa"/>
            <w:gridSpan w:val="3"/>
          </w:tcPr>
          <w:p w14:paraId="2AA78158">
            <w:pPr>
              <w:pStyle w:val="328"/>
              <w:spacing w:line="283" w:lineRule="auto"/>
              <w:ind w:left="108" w:right="105" w:firstLine="9"/>
              <w:jc w:val="both"/>
              <w:rPr>
                <w:rFonts w:hint="eastAsia" w:ascii="宋体" w:hAnsi="宋体" w:eastAsia="宋体" w:cs="宋体"/>
                <w:color w:val="auto"/>
                <w:w w:val="102"/>
                <w:sz w:val="21"/>
                <w:szCs w:val="21"/>
                <w:highlight w:val="none"/>
              </w:rPr>
            </w:pPr>
          </w:p>
        </w:tc>
      </w:tr>
    </w:tbl>
    <w:p w14:paraId="51FF9CC6">
      <w:pPr>
        <w:widowControl/>
        <w:jc w:val="left"/>
        <w:rPr>
          <w:rFonts w:hint="eastAsia" w:ascii="黑体" w:hAnsi="黑体" w:eastAsia="黑体" w:cs="黑体"/>
          <w:color w:val="auto"/>
          <w:sz w:val="32"/>
          <w:szCs w:val="32"/>
          <w:highlight w:val="none"/>
        </w:rPr>
      </w:pPr>
    </w:p>
    <w:p w14:paraId="7DEA6863">
      <w:pPr>
        <w:widowControl/>
        <w:jc w:val="left"/>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rPr>
        <w:br w:type="page"/>
      </w: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2</w:t>
      </w:r>
    </w:p>
    <w:p w14:paraId="47D58129">
      <w:pPr>
        <w:pStyle w:val="40"/>
        <w:keepNext w:val="0"/>
        <w:keepLines w:val="0"/>
        <w:pageBreakBefore w:val="0"/>
        <w:widowControl w:val="0"/>
        <w:bidi w:val="0"/>
        <w:spacing w:line="288" w:lineRule="auto"/>
        <w:jc w:val="center"/>
        <w:rPr>
          <w:rFonts w:hint="eastAsia"/>
          <w:b/>
          <w:color w:val="auto"/>
          <w:sz w:val="28"/>
          <w:szCs w:val="28"/>
          <w:highlight w:val="none"/>
        </w:rPr>
      </w:pPr>
      <w:r>
        <w:rPr>
          <w:rFonts w:hint="eastAsia"/>
          <w:b/>
          <w:color w:val="auto"/>
          <w:sz w:val="28"/>
          <w:szCs w:val="28"/>
          <w:highlight w:val="none"/>
        </w:rPr>
        <w:t>中小企业划型标准规定</w:t>
      </w:r>
    </w:p>
    <w:p w14:paraId="56E87147">
      <w:pPr>
        <w:pStyle w:val="40"/>
        <w:keepNext w:val="0"/>
        <w:keepLines w:val="0"/>
        <w:pageBreakBefore w:val="0"/>
        <w:widowControl w:val="0"/>
        <w:bidi w:val="0"/>
        <w:spacing w:line="288" w:lineRule="auto"/>
        <w:jc w:val="center"/>
        <w:rPr>
          <w:rFonts w:ascii="宋体" w:hAnsi="宋体"/>
          <w:color w:val="auto"/>
          <w:szCs w:val="21"/>
          <w:highlight w:val="none"/>
        </w:rPr>
      </w:pPr>
      <w:r>
        <w:rPr>
          <w:rFonts w:hint="eastAsia" w:ascii="宋体" w:hAnsi="宋体"/>
          <w:color w:val="auto"/>
          <w:szCs w:val="21"/>
          <w:highlight w:val="none"/>
        </w:rPr>
        <w:t>工信部联企业〔2011〕300号</w:t>
      </w:r>
    </w:p>
    <w:p w14:paraId="7F8B7945">
      <w:pPr>
        <w:pStyle w:val="40"/>
        <w:keepNext w:val="0"/>
        <w:keepLines w:val="0"/>
        <w:pageBreakBefore w:val="0"/>
        <w:widowControl w:val="0"/>
        <w:bidi w:val="0"/>
        <w:spacing w:line="288" w:lineRule="auto"/>
        <w:rPr>
          <w:rFonts w:hint="eastAsia"/>
          <w:color w:val="auto"/>
          <w:sz w:val="24"/>
          <w:szCs w:val="21"/>
          <w:highlight w:val="none"/>
        </w:rPr>
      </w:pPr>
    </w:p>
    <w:p w14:paraId="10126276">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一、根据《中华人民共和国中小企业促进法》和《国务院关于进一步促进中小企业发展的若干意见》</w:t>
      </w:r>
      <w:r>
        <w:rPr>
          <w:color w:val="auto"/>
          <w:szCs w:val="21"/>
          <w:highlight w:val="none"/>
        </w:rPr>
        <w:t>(</w:t>
      </w:r>
      <w:r>
        <w:rPr>
          <w:rFonts w:hint="eastAsia"/>
          <w:color w:val="auto"/>
          <w:szCs w:val="21"/>
          <w:highlight w:val="none"/>
        </w:rPr>
        <w:t>国发〔2011〕</w:t>
      </w:r>
      <w:r>
        <w:rPr>
          <w:color w:val="auto"/>
          <w:szCs w:val="21"/>
          <w:highlight w:val="none"/>
        </w:rPr>
        <w:t>36</w:t>
      </w:r>
      <w:r>
        <w:rPr>
          <w:rFonts w:hint="eastAsia"/>
          <w:color w:val="auto"/>
          <w:szCs w:val="21"/>
          <w:highlight w:val="none"/>
        </w:rPr>
        <w:t>号</w:t>
      </w:r>
      <w:r>
        <w:rPr>
          <w:color w:val="auto"/>
          <w:szCs w:val="21"/>
          <w:highlight w:val="none"/>
        </w:rPr>
        <w:t>)</w:t>
      </w:r>
      <w:r>
        <w:rPr>
          <w:rFonts w:hint="eastAsia"/>
          <w:color w:val="auto"/>
          <w:szCs w:val="21"/>
          <w:highlight w:val="none"/>
        </w:rPr>
        <w:t>，制定本规定。</w:t>
      </w:r>
    </w:p>
    <w:p w14:paraId="5CA24925">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二、中小企业划分为中型、小型、微型三种类型，具体标准根据企业从业人员、营业收入、资产总额等指标，结合行业特点制定。</w:t>
      </w:r>
    </w:p>
    <w:p w14:paraId="0A066000">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4ACE8A36">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四、各行业划型标准为：</w:t>
      </w:r>
    </w:p>
    <w:p w14:paraId="5634930B">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（一）农、林、牧、渔业。营业收入</w:t>
      </w:r>
      <w:r>
        <w:rPr>
          <w:color w:val="auto"/>
          <w:szCs w:val="21"/>
          <w:highlight w:val="none"/>
        </w:rPr>
        <w:t>20000</w:t>
      </w:r>
      <w:r>
        <w:rPr>
          <w:rFonts w:hint="eastAsia"/>
          <w:color w:val="auto"/>
          <w:szCs w:val="21"/>
          <w:highlight w:val="none"/>
        </w:rPr>
        <w:t>万元以下的为中小微型企业。其中，营业收入</w:t>
      </w:r>
      <w:r>
        <w:rPr>
          <w:color w:val="auto"/>
          <w:szCs w:val="21"/>
          <w:highlight w:val="none"/>
        </w:rPr>
        <w:t>500</w:t>
      </w:r>
      <w:r>
        <w:rPr>
          <w:rFonts w:hint="eastAsia"/>
          <w:color w:val="auto"/>
          <w:szCs w:val="21"/>
          <w:highlight w:val="none"/>
        </w:rPr>
        <w:t>万元及以上的为中型企业，营业收入</w:t>
      </w:r>
      <w:r>
        <w:rPr>
          <w:color w:val="auto"/>
          <w:szCs w:val="21"/>
          <w:highlight w:val="none"/>
        </w:rPr>
        <w:t>50</w:t>
      </w:r>
      <w:r>
        <w:rPr>
          <w:rFonts w:hint="eastAsia"/>
          <w:color w:val="auto"/>
          <w:szCs w:val="21"/>
          <w:highlight w:val="none"/>
        </w:rPr>
        <w:t>万元及以上的为小型企业，营业收入</w:t>
      </w:r>
      <w:r>
        <w:rPr>
          <w:color w:val="auto"/>
          <w:szCs w:val="21"/>
          <w:highlight w:val="none"/>
        </w:rPr>
        <w:t>50</w:t>
      </w:r>
      <w:r>
        <w:rPr>
          <w:rFonts w:hint="eastAsia"/>
          <w:color w:val="auto"/>
          <w:szCs w:val="21"/>
          <w:highlight w:val="none"/>
        </w:rPr>
        <w:t>万元以下的为微型企业。</w:t>
      </w:r>
    </w:p>
    <w:p w14:paraId="779F9317">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（二）工业。从业人员</w:t>
      </w:r>
      <w:r>
        <w:rPr>
          <w:color w:val="auto"/>
          <w:szCs w:val="21"/>
          <w:highlight w:val="none"/>
        </w:rPr>
        <w:t>1000</w:t>
      </w:r>
      <w:r>
        <w:rPr>
          <w:rFonts w:hint="eastAsia"/>
          <w:color w:val="auto"/>
          <w:szCs w:val="21"/>
          <w:highlight w:val="none"/>
        </w:rPr>
        <w:t>人以下或营业收入</w:t>
      </w:r>
      <w:r>
        <w:rPr>
          <w:color w:val="auto"/>
          <w:szCs w:val="21"/>
          <w:highlight w:val="none"/>
        </w:rPr>
        <w:t>40000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300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300</w:t>
      </w:r>
      <w:r>
        <w:rPr>
          <w:rFonts w:hint="eastAsia"/>
          <w:color w:val="auto"/>
          <w:szCs w:val="21"/>
          <w:highlight w:val="none"/>
        </w:rPr>
        <w:t>万元以下的为微型企业。</w:t>
      </w:r>
    </w:p>
    <w:p w14:paraId="331E60F8">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（三）建筑业。营业收入</w:t>
      </w:r>
      <w:r>
        <w:rPr>
          <w:color w:val="auto"/>
          <w:szCs w:val="21"/>
          <w:highlight w:val="none"/>
        </w:rPr>
        <w:t>80000</w:t>
      </w:r>
      <w:r>
        <w:rPr>
          <w:rFonts w:hint="eastAsia"/>
          <w:color w:val="auto"/>
          <w:szCs w:val="21"/>
          <w:highlight w:val="none"/>
        </w:rPr>
        <w:t>万元以下或资产总额</w:t>
      </w:r>
      <w:r>
        <w:rPr>
          <w:color w:val="auto"/>
          <w:szCs w:val="21"/>
          <w:highlight w:val="none"/>
        </w:rPr>
        <w:t>80000</w:t>
      </w:r>
      <w:r>
        <w:rPr>
          <w:rFonts w:hint="eastAsia"/>
          <w:color w:val="auto"/>
          <w:szCs w:val="21"/>
          <w:highlight w:val="none"/>
        </w:rPr>
        <w:t>万元以下的为中小微型企业。其中，营业收入</w:t>
      </w:r>
      <w:r>
        <w:rPr>
          <w:color w:val="auto"/>
          <w:szCs w:val="21"/>
          <w:highlight w:val="none"/>
        </w:rPr>
        <w:t>6000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300</w:t>
      </w:r>
      <w:r>
        <w:rPr>
          <w:rFonts w:hint="eastAsia"/>
          <w:color w:val="auto"/>
          <w:szCs w:val="21"/>
          <w:highlight w:val="none"/>
        </w:rPr>
        <w:t>万元及以上，且资产总额</w:t>
      </w:r>
      <w:r>
        <w:rPr>
          <w:color w:val="auto"/>
          <w:szCs w:val="21"/>
          <w:highlight w:val="none"/>
        </w:rPr>
        <w:t>300</w:t>
      </w:r>
      <w:r>
        <w:rPr>
          <w:rFonts w:hint="eastAsia"/>
          <w:color w:val="auto"/>
          <w:szCs w:val="21"/>
          <w:highlight w:val="none"/>
        </w:rPr>
        <w:t>万元及以上的为小型企业；营业收入</w:t>
      </w:r>
      <w:r>
        <w:rPr>
          <w:color w:val="auto"/>
          <w:szCs w:val="21"/>
          <w:highlight w:val="none"/>
        </w:rPr>
        <w:t>300</w:t>
      </w:r>
      <w:r>
        <w:rPr>
          <w:rFonts w:hint="eastAsia"/>
          <w:color w:val="auto"/>
          <w:szCs w:val="21"/>
          <w:highlight w:val="none"/>
        </w:rPr>
        <w:t>万元以下或资产总额</w:t>
      </w:r>
      <w:r>
        <w:rPr>
          <w:color w:val="auto"/>
          <w:szCs w:val="21"/>
          <w:highlight w:val="none"/>
        </w:rPr>
        <w:t>300</w:t>
      </w:r>
      <w:r>
        <w:rPr>
          <w:rFonts w:hint="eastAsia"/>
          <w:color w:val="auto"/>
          <w:szCs w:val="21"/>
          <w:highlight w:val="none"/>
        </w:rPr>
        <w:t>万元以下的为微型企业。</w:t>
      </w:r>
    </w:p>
    <w:p w14:paraId="7C9E317F">
      <w:pPr>
        <w:pStyle w:val="40"/>
        <w:keepNext w:val="0"/>
        <w:keepLines w:val="0"/>
        <w:pageBreakBefore w:val="0"/>
        <w:widowControl w:val="0"/>
        <w:bidi w:val="0"/>
        <w:spacing w:line="288" w:lineRule="auto"/>
        <w:rPr>
          <w:b/>
          <w:bCs/>
          <w:color w:val="auto"/>
          <w:szCs w:val="21"/>
          <w:highlight w:val="none"/>
        </w:rPr>
      </w:pPr>
      <w:r>
        <w:rPr>
          <w:rFonts w:hint="eastAsia"/>
          <w:color w:val="auto"/>
          <w:szCs w:val="21"/>
          <w:highlight w:val="none"/>
        </w:rPr>
        <w:t>　　</w:t>
      </w:r>
      <w:r>
        <w:rPr>
          <w:rFonts w:hint="eastAsia"/>
          <w:b/>
          <w:bCs/>
          <w:color w:val="auto"/>
          <w:szCs w:val="21"/>
          <w:highlight w:val="none"/>
        </w:rPr>
        <w:t>（四）批发业。从业人员</w:t>
      </w:r>
      <w:r>
        <w:rPr>
          <w:b/>
          <w:bCs/>
          <w:color w:val="auto"/>
          <w:szCs w:val="21"/>
          <w:highlight w:val="none"/>
        </w:rPr>
        <w:t>200</w:t>
      </w:r>
      <w:r>
        <w:rPr>
          <w:rFonts w:hint="eastAsia"/>
          <w:b/>
          <w:bCs/>
          <w:color w:val="auto"/>
          <w:szCs w:val="21"/>
          <w:highlight w:val="none"/>
        </w:rPr>
        <w:t>人以下或营业收入</w:t>
      </w:r>
      <w:r>
        <w:rPr>
          <w:b/>
          <w:bCs/>
          <w:color w:val="auto"/>
          <w:szCs w:val="21"/>
          <w:highlight w:val="none"/>
        </w:rPr>
        <w:t>40000</w:t>
      </w:r>
      <w:r>
        <w:rPr>
          <w:rFonts w:hint="eastAsia"/>
          <w:b/>
          <w:bCs/>
          <w:color w:val="auto"/>
          <w:szCs w:val="21"/>
          <w:highlight w:val="none"/>
        </w:rPr>
        <w:t>万元以下的为中小微型企业。其中，从业人员</w:t>
      </w:r>
      <w:r>
        <w:rPr>
          <w:b/>
          <w:bCs/>
          <w:color w:val="auto"/>
          <w:szCs w:val="21"/>
          <w:highlight w:val="none"/>
        </w:rPr>
        <w:t>20</w:t>
      </w:r>
      <w:r>
        <w:rPr>
          <w:rFonts w:hint="eastAsia"/>
          <w:b/>
          <w:bCs/>
          <w:color w:val="auto"/>
          <w:szCs w:val="21"/>
          <w:highlight w:val="none"/>
        </w:rPr>
        <w:t>人及以上，且营业收入</w:t>
      </w:r>
      <w:r>
        <w:rPr>
          <w:b/>
          <w:bCs/>
          <w:color w:val="auto"/>
          <w:szCs w:val="21"/>
          <w:highlight w:val="none"/>
        </w:rPr>
        <w:t>5000</w:t>
      </w:r>
      <w:r>
        <w:rPr>
          <w:rFonts w:hint="eastAsia"/>
          <w:b/>
          <w:bCs/>
          <w:color w:val="auto"/>
          <w:szCs w:val="21"/>
          <w:highlight w:val="none"/>
        </w:rPr>
        <w:t>万元及以上的为中型企业；从业人员</w:t>
      </w:r>
      <w:r>
        <w:rPr>
          <w:b/>
          <w:bCs/>
          <w:color w:val="auto"/>
          <w:szCs w:val="21"/>
          <w:highlight w:val="none"/>
        </w:rPr>
        <w:t>5</w:t>
      </w:r>
      <w:r>
        <w:rPr>
          <w:rFonts w:hint="eastAsia"/>
          <w:b/>
          <w:bCs/>
          <w:color w:val="auto"/>
          <w:szCs w:val="21"/>
          <w:highlight w:val="none"/>
        </w:rPr>
        <w:t>人及以上，且营业收入</w:t>
      </w:r>
      <w:r>
        <w:rPr>
          <w:b/>
          <w:bCs/>
          <w:color w:val="auto"/>
          <w:szCs w:val="21"/>
          <w:highlight w:val="none"/>
        </w:rPr>
        <w:t>1000</w:t>
      </w:r>
      <w:r>
        <w:rPr>
          <w:rFonts w:hint="eastAsia"/>
          <w:b/>
          <w:bCs/>
          <w:color w:val="auto"/>
          <w:szCs w:val="21"/>
          <w:highlight w:val="none"/>
        </w:rPr>
        <w:t>万元及以上的为小型企业；从业人员</w:t>
      </w:r>
      <w:r>
        <w:rPr>
          <w:b/>
          <w:bCs/>
          <w:color w:val="auto"/>
          <w:szCs w:val="21"/>
          <w:highlight w:val="none"/>
        </w:rPr>
        <w:t>5</w:t>
      </w:r>
      <w:r>
        <w:rPr>
          <w:rFonts w:hint="eastAsia"/>
          <w:b/>
          <w:bCs/>
          <w:color w:val="auto"/>
          <w:szCs w:val="21"/>
          <w:highlight w:val="none"/>
        </w:rPr>
        <w:t>人以下或营业收入</w:t>
      </w:r>
      <w:r>
        <w:rPr>
          <w:b/>
          <w:bCs/>
          <w:color w:val="auto"/>
          <w:szCs w:val="21"/>
          <w:highlight w:val="none"/>
        </w:rPr>
        <w:t>1000</w:t>
      </w:r>
      <w:r>
        <w:rPr>
          <w:rFonts w:hint="eastAsia"/>
          <w:b/>
          <w:bCs/>
          <w:color w:val="auto"/>
          <w:szCs w:val="21"/>
          <w:highlight w:val="none"/>
        </w:rPr>
        <w:t>万元以下的为微型企业。</w:t>
      </w:r>
    </w:p>
    <w:p w14:paraId="7AAA27DC">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（五）零售业。从业人员</w:t>
      </w:r>
      <w:r>
        <w:rPr>
          <w:color w:val="auto"/>
          <w:szCs w:val="21"/>
          <w:highlight w:val="none"/>
        </w:rPr>
        <w:t>300</w:t>
      </w:r>
      <w:r>
        <w:rPr>
          <w:rFonts w:hint="eastAsia"/>
          <w:color w:val="auto"/>
          <w:szCs w:val="21"/>
          <w:highlight w:val="none"/>
        </w:rPr>
        <w:t>人以下或营业收入</w:t>
      </w:r>
      <w:r>
        <w:rPr>
          <w:color w:val="auto"/>
          <w:szCs w:val="21"/>
          <w:highlight w:val="none"/>
        </w:rPr>
        <w:t>20000</w:t>
      </w:r>
      <w:r>
        <w:rPr>
          <w:rFonts w:hint="eastAsia"/>
          <w:color w:val="auto"/>
          <w:szCs w:val="21"/>
          <w:highlight w:val="none"/>
        </w:rPr>
        <w:t>万元以下的为中小微型企业。其中，从业人员</w:t>
      </w:r>
      <w:r>
        <w:rPr>
          <w:color w:val="auto"/>
          <w:szCs w:val="21"/>
          <w:highlight w:val="none"/>
        </w:rPr>
        <w:t>50</w:t>
      </w:r>
      <w:r>
        <w:rPr>
          <w:rFonts w:hint="eastAsia"/>
          <w:color w:val="auto"/>
          <w:szCs w:val="21"/>
          <w:highlight w:val="none"/>
        </w:rPr>
        <w:t>人及以上，且营业收入</w:t>
      </w:r>
      <w:r>
        <w:rPr>
          <w:color w:val="auto"/>
          <w:szCs w:val="21"/>
          <w:highlight w:val="none"/>
        </w:rPr>
        <w:t>500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297B95FB">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（六）交通运输业。从业人员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3000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200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200</w:t>
      </w:r>
      <w:r>
        <w:rPr>
          <w:rFonts w:hint="eastAsia"/>
          <w:color w:val="auto"/>
          <w:szCs w:val="21"/>
          <w:highlight w:val="none"/>
        </w:rPr>
        <w:t>万元以下的为微型企业。</w:t>
      </w:r>
    </w:p>
    <w:p w14:paraId="1060236E">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（七）仓储业。从业人员</w:t>
      </w:r>
      <w:r>
        <w:rPr>
          <w:color w:val="auto"/>
          <w:szCs w:val="21"/>
          <w:highlight w:val="none"/>
        </w:rPr>
        <w:t>200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6FB5F2D7">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（八）邮政业。从业人员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3866B7B7">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（九）住宿业。从业人员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59114C55">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（十）餐饮业。从业人员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1287DD12">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（十一）信息传输业。从业人员</w:t>
      </w:r>
      <w:r>
        <w:rPr>
          <w:color w:val="auto"/>
          <w:szCs w:val="21"/>
          <w:highlight w:val="none"/>
        </w:rPr>
        <w:t>2000</w:t>
      </w:r>
      <w:r>
        <w:rPr>
          <w:rFonts w:hint="eastAsia"/>
          <w:color w:val="auto"/>
          <w:szCs w:val="21"/>
          <w:highlight w:val="none"/>
        </w:rPr>
        <w:t>人以下或营业收入</w:t>
      </w:r>
      <w:r>
        <w:rPr>
          <w:color w:val="auto"/>
          <w:szCs w:val="21"/>
          <w:highlight w:val="none"/>
        </w:rPr>
        <w:t>100000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5758C9B2">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（十二）软件和信息技术服务业。从业人员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50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50</w:t>
      </w:r>
      <w:r>
        <w:rPr>
          <w:rFonts w:hint="eastAsia"/>
          <w:color w:val="auto"/>
          <w:szCs w:val="21"/>
          <w:highlight w:val="none"/>
        </w:rPr>
        <w:t>万元以下的为微型企业。</w:t>
      </w:r>
    </w:p>
    <w:p w14:paraId="6DB6C07E">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（十三）房地产开发经营。营业收入</w:t>
      </w:r>
      <w:r>
        <w:rPr>
          <w:color w:val="auto"/>
          <w:szCs w:val="21"/>
          <w:highlight w:val="none"/>
        </w:rPr>
        <w:t>200000</w:t>
      </w:r>
      <w:r>
        <w:rPr>
          <w:rFonts w:hint="eastAsia"/>
          <w:color w:val="auto"/>
          <w:szCs w:val="21"/>
          <w:highlight w:val="none"/>
        </w:rPr>
        <w:t>万元以下或资产总额</w:t>
      </w:r>
      <w:r>
        <w:rPr>
          <w:color w:val="auto"/>
          <w:szCs w:val="21"/>
          <w:highlight w:val="none"/>
        </w:rPr>
        <w:t>10000</w:t>
      </w:r>
      <w:r>
        <w:rPr>
          <w:rFonts w:hint="eastAsia"/>
          <w:color w:val="auto"/>
          <w:szCs w:val="21"/>
          <w:highlight w:val="none"/>
        </w:rPr>
        <w:t>万元以下的为中小微型企业。其中，营业收入</w:t>
      </w:r>
      <w:r>
        <w:rPr>
          <w:color w:val="auto"/>
          <w:szCs w:val="21"/>
          <w:highlight w:val="none"/>
        </w:rPr>
        <w:t>1000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100</w:t>
      </w:r>
      <w:r>
        <w:rPr>
          <w:rFonts w:hint="eastAsia"/>
          <w:color w:val="auto"/>
          <w:szCs w:val="21"/>
          <w:highlight w:val="none"/>
        </w:rPr>
        <w:t>万元及以上，且资产总额</w:t>
      </w:r>
      <w:r>
        <w:rPr>
          <w:color w:val="auto"/>
          <w:szCs w:val="21"/>
          <w:highlight w:val="none"/>
        </w:rPr>
        <w:t>2000</w:t>
      </w:r>
      <w:r>
        <w:rPr>
          <w:rFonts w:hint="eastAsia"/>
          <w:color w:val="auto"/>
          <w:szCs w:val="21"/>
          <w:highlight w:val="none"/>
        </w:rPr>
        <w:t>万元及以上的为小型企业；营业收入</w:t>
      </w:r>
      <w:r>
        <w:rPr>
          <w:color w:val="auto"/>
          <w:szCs w:val="21"/>
          <w:highlight w:val="none"/>
        </w:rPr>
        <w:t>100</w:t>
      </w:r>
      <w:r>
        <w:rPr>
          <w:rFonts w:hint="eastAsia"/>
          <w:color w:val="auto"/>
          <w:szCs w:val="21"/>
          <w:highlight w:val="none"/>
        </w:rPr>
        <w:t>万元以下或资产总额</w:t>
      </w:r>
      <w:r>
        <w:rPr>
          <w:color w:val="auto"/>
          <w:szCs w:val="21"/>
          <w:highlight w:val="none"/>
        </w:rPr>
        <w:t>2000</w:t>
      </w:r>
      <w:r>
        <w:rPr>
          <w:rFonts w:hint="eastAsia"/>
          <w:color w:val="auto"/>
          <w:szCs w:val="21"/>
          <w:highlight w:val="none"/>
        </w:rPr>
        <w:t>万元以下的为微型企业。</w:t>
      </w:r>
    </w:p>
    <w:p w14:paraId="1284CECD">
      <w:pPr>
        <w:pStyle w:val="40"/>
        <w:keepNext w:val="0"/>
        <w:keepLines w:val="0"/>
        <w:pageBreakBefore w:val="0"/>
        <w:widowControl w:val="0"/>
        <w:bidi w:val="0"/>
        <w:spacing w:line="288" w:lineRule="auto"/>
        <w:rPr>
          <w:b w:val="0"/>
          <w:bCs w:val="0"/>
          <w:color w:val="auto"/>
          <w:szCs w:val="21"/>
          <w:highlight w:val="none"/>
        </w:rPr>
      </w:pPr>
      <w:r>
        <w:rPr>
          <w:rFonts w:hint="eastAsia"/>
          <w:color w:val="auto"/>
          <w:szCs w:val="21"/>
          <w:highlight w:val="none"/>
        </w:rPr>
        <w:t>　</w:t>
      </w:r>
      <w:r>
        <w:rPr>
          <w:rFonts w:hint="eastAsia"/>
          <w:b w:val="0"/>
          <w:bCs w:val="0"/>
          <w:color w:val="auto"/>
          <w:szCs w:val="21"/>
          <w:highlight w:val="none"/>
        </w:rPr>
        <w:t>　（十四）物业管理。从业人员</w:t>
      </w:r>
      <w:r>
        <w:rPr>
          <w:b w:val="0"/>
          <w:bCs w:val="0"/>
          <w:color w:val="auto"/>
          <w:szCs w:val="21"/>
          <w:highlight w:val="none"/>
        </w:rPr>
        <w:t>1000</w:t>
      </w:r>
      <w:r>
        <w:rPr>
          <w:rFonts w:hint="eastAsia"/>
          <w:b w:val="0"/>
          <w:bCs w:val="0"/>
          <w:color w:val="auto"/>
          <w:szCs w:val="21"/>
          <w:highlight w:val="none"/>
        </w:rPr>
        <w:t>人以下或营业收入</w:t>
      </w:r>
      <w:r>
        <w:rPr>
          <w:b w:val="0"/>
          <w:bCs w:val="0"/>
          <w:color w:val="auto"/>
          <w:szCs w:val="21"/>
          <w:highlight w:val="none"/>
        </w:rPr>
        <w:t>5000</w:t>
      </w:r>
      <w:r>
        <w:rPr>
          <w:rFonts w:hint="eastAsia"/>
          <w:b w:val="0"/>
          <w:bCs w:val="0"/>
          <w:color w:val="auto"/>
          <w:szCs w:val="21"/>
          <w:highlight w:val="none"/>
        </w:rPr>
        <w:t>万元以下的为中小微型企业。其中，从业人员</w:t>
      </w:r>
      <w:r>
        <w:rPr>
          <w:b w:val="0"/>
          <w:bCs w:val="0"/>
          <w:color w:val="auto"/>
          <w:szCs w:val="21"/>
          <w:highlight w:val="none"/>
        </w:rPr>
        <w:t>300</w:t>
      </w:r>
      <w:r>
        <w:rPr>
          <w:rFonts w:hint="eastAsia"/>
          <w:b w:val="0"/>
          <w:bCs w:val="0"/>
          <w:color w:val="auto"/>
          <w:szCs w:val="21"/>
          <w:highlight w:val="none"/>
        </w:rPr>
        <w:t>人及以上，且营业收入</w:t>
      </w:r>
      <w:r>
        <w:rPr>
          <w:b w:val="0"/>
          <w:bCs w:val="0"/>
          <w:color w:val="auto"/>
          <w:szCs w:val="21"/>
          <w:highlight w:val="none"/>
        </w:rPr>
        <w:t>1000</w:t>
      </w:r>
      <w:r>
        <w:rPr>
          <w:rFonts w:hint="eastAsia"/>
          <w:b w:val="0"/>
          <w:bCs w:val="0"/>
          <w:color w:val="auto"/>
          <w:szCs w:val="21"/>
          <w:highlight w:val="none"/>
        </w:rPr>
        <w:t>万元及以上的为中型企业；从业人员</w:t>
      </w:r>
      <w:r>
        <w:rPr>
          <w:b w:val="0"/>
          <w:bCs w:val="0"/>
          <w:color w:val="auto"/>
          <w:szCs w:val="21"/>
          <w:highlight w:val="none"/>
        </w:rPr>
        <w:t>100</w:t>
      </w:r>
      <w:r>
        <w:rPr>
          <w:rFonts w:hint="eastAsia"/>
          <w:b w:val="0"/>
          <w:bCs w:val="0"/>
          <w:color w:val="auto"/>
          <w:szCs w:val="21"/>
          <w:highlight w:val="none"/>
        </w:rPr>
        <w:t>人及以上，且营业收入</w:t>
      </w:r>
      <w:r>
        <w:rPr>
          <w:b w:val="0"/>
          <w:bCs w:val="0"/>
          <w:color w:val="auto"/>
          <w:szCs w:val="21"/>
          <w:highlight w:val="none"/>
        </w:rPr>
        <w:t>500</w:t>
      </w:r>
      <w:r>
        <w:rPr>
          <w:rFonts w:hint="eastAsia"/>
          <w:b w:val="0"/>
          <w:bCs w:val="0"/>
          <w:color w:val="auto"/>
          <w:szCs w:val="21"/>
          <w:highlight w:val="none"/>
        </w:rPr>
        <w:t>万元及以上的为小型企业；从业人员</w:t>
      </w:r>
      <w:r>
        <w:rPr>
          <w:b w:val="0"/>
          <w:bCs w:val="0"/>
          <w:color w:val="auto"/>
          <w:szCs w:val="21"/>
          <w:highlight w:val="none"/>
        </w:rPr>
        <w:t>100</w:t>
      </w:r>
      <w:r>
        <w:rPr>
          <w:rFonts w:hint="eastAsia"/>
          <w:b w:val="0"/>
          <w:bCs w:val="0"/>
          <w:color w:val="auto"/>
          <w:szCs w:val="21"/>
          <w:highlight w:val="none"/>
        </w:rPr>
        <w:t>人以下或营业收入</w:t>
      </w:r>
      <w:r>
        <w:rPr>
          <w:b w:val="0"/>
          <w:bCs w:val="0"/>
          <w:color w:val="auto"/>
          <w:szCs w:val="21"/>
          <w:highlight w:val="none"/>
        </w:rPr>
        <w:t>500</w:t>
      </w:r>
      <w:r>
        <w:rPr>
          <w:rFonts w:hint="eastAsia"/>
          <w:b w:val="0"/>
          <w:bCs w:val="0"/>
          <w:color w:val="auto"/>
          <w:szCs w:val="21"/>
          <w:highlight w:val="none"/>
        </w:rPr>
        <w:t>万元以下的为微型企业。</w:t>
      </w:r>
    </w:p>
    <w:p w14:paraId="7E6F1B6A">
      <w:pPr>
        <w:pStyle w:val="40"/>
        <w:keepNext w:val="0"/>
        <w:keepLines w:val="0"/>
        <w:pageBreakBefore w:val="0"/>
        <w:widowControl w:val="0"/>
        <w:bidi w:val="0"/>
        <w:spacing w:line="288" w:lineRule="auto"/>
        <w:rPr>
          <w:color w:val="auto"/>
          <w:szCs w:val="21"/>
          <w:highlight w:val="none"/>
        </w:rPr>
      </w:pPr>
      <w:r>
        <w:rPr>
          <w:rFonts w:hint="eastAsia"/>
          <w:b w:val="0"/>
          <w:bCs w:val="0"/>
          <w:color w:val="auto"/>
          <w:szCs w:val="21"/>
          <w:highlight w:val="none"/>
        </w:rPr>
        <w:t>　　（十五）租赁和商务服务业。从业人员</w:t>
      </w:r>
      <w:r>
        <w:rPr>
          <w:b w:val="0"/>
          <w:bCs w:val="0"/>
          <w:color w:val="auto"/>
          <w:szCs w:val="21"/>
          <w:highlight w:val="none"/>
        </w:rPr>
        <w:t>300</w:t>
      </w:r>
      <w:r>
        <w:rPr>
          <w:rFonts w:hint="eastAsia"/>
          <w:b w:val="0"/>
          <w:bCs w:val="0"/>
          <w:color w:val="auto"/>
          <w:szCs w:val="21"/>
          <w:highlight w:val="none"/>
        </w:rPr>
        <w:t>人以下或资产总额</w:t>
      </w:r>
      <w:r>
        <w:rPr>
          <w:b w:val="0"/>
          <w:bCs w:val="0"/>
          <w:color w:val="auto"/>
          <w:szCs w:val="21"/>
          <w:highlight w:val="none"/>
        </w:rPr>
        <w:t>120000</w:t>
      </w:r>
      <w:r>
        <w:rPr>
          <w:rFonts w:hint="eastAsia"/>
          <w:b w:val="0"/>
          <w:bCs w:val="0"/>
          <w:color w:val="auto"/>
          <w:szCs w:val="21"/>
          <w:highlight w:val="none"/>
        </w:rPr>
        <w:t>万元以下的为中小微型企业。其中，从业人员</w:t>
      </w:r>
      <w:r>
        <w:rPr>
          <w:b w:val="0"/>
          <w:bCs w:val="0"/>
          <w:color w:val="auto"/>
          <w:szCs w:val="21"/>
          <w:highlight w:val="none"/>
        </w:rPr>
        <w:t>100</w:t>
      </w:r>
      <w:r>
        <w:rPr>
          <w:rFonts w:hint="eastAsia"/>
          <w:b w:val="0"/>
          <w:bCs w:val="0"/>
          <w:color w:val="auto"/>
          <w:szCs w:val="21"/>
          <w:highlight w:val="none"/>
        </w:rPr>
        <w:t>人及以上，且资产总额</w:t>
      </w:r>
      <w:r>
        <w:rPr>
          <w:b w:val="0"/>
          <w:bCs w:val="0"/>
          <w:color w:val="auto"/>
          <w:szCs w:val="21"/>
          <w:highlight w:val="none"/>
        </w:rPr>
        <w:t>8000</w:t>
      </w:r>
      <w:r>
        <w:rPr>
          <w:rFonts w:hint="eastAsia"/>
          <w:b w:val="0"/>
          <w:bCs w:val="0"/>
          <w:color w:val="auto"/>
          <w:szCs w:val="21"/>
          <w:highlight w:val="none"/>
        </w:rPr>
        <w:t>万元及以上的为中型企</w:t>
      </w:r>
      <w:r>
        <w:rPr>
          <w:rFonts w:hint="eastAsia"/>
          <w:color w:val="auto"/>
          <w:szCs w:val="21"/>
          <w:highlight w:val="none"/>
        </w:rPr>
        <w:t>业；从业人员</w:t>
      </w:r>
      <w:r>
        <w:rPr>
          <w:color w:val="auto"/>
          <w:szCs w:val="21"/>
          <w:highlight w:val="none"/>
        </w:rPr>
        <w:t>10</w:t>
      </w:r>
      <w:r>
        <w:rPr>
          <w:rFonts w:hint="eastAsia"/>
          <w:color w:val="auto"/>
          <w:szCs w:val="21"/>
          <w:highlight w:val="none"/>
        </w:rPr>
        <w:t>人及以上，且资产总额</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人以下或资产总额</w:t>
      </w:r>
      <w:r>
        <w:rPr>
          <w:color w:val="auto"/>
          <w:szCs w:val="21"/>
          <w:highlight w:val="none"/>
        </w:rPr>
        <w:t>100</w:t>
      </w:r>
      <w:r>
        <w:rPr>
          <w:rFonts w:hint="eastAsia"/>
          <w:color w:val="auto"/>
          <w:szCs w:val="21"/>
          <w:highlight w:val="none"/>
        </w:rPr>
        <w:t>万元以下的为微型企业。</w:t>
      </w:r>
    </w:p>
    <w:p w14:paraId="1D827664">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（十六）其他未列明行业。从业人员</w:t>
      </w:r>
      <w:r>
        <w:rPr>
          <w:color w:val="auto"/>
          <w:szCs w:val="21"/>
          <w:highlight w:val="none"/>
        </w:rPr>
        <w:t>300</w:t>
      </w:r>
      <w:r>
        <w:rPr>
          <w:rFonts w:hint="eastAsia"/>
          <w:color w:val="auto"/>
          <w:szCs w:val="21"/>
          <w:highlight w:val="none"/>
        </w:rPr>
        <w:t>人以下的为中小微型企业。其中，从业人员</w:t>
      </w:r>
      <w:r>
        <w:rPr>
          <w:color w:val="auto"/>
          <w:szCs w:val="21"/>
          <w:highlight w:val="none"/>
        </w:rPr>
        <w:t>100</w:t>
      </w:r>
      <w:r>
        <w:rPr>
          <w:rFonts w:hint="eastAsia"/>
          <w:color w:val="auto"/>
          <w:szCs w:val="21"/>
          <w:highlight w:val="none"/>
        </w:rPr>
        <w:t>人及以上的为中型企业；从业人员</w:t>
      </w:r>
      <w:r>
        <w:rPr>
          <w:color w:val="auto"/>
          <w:szCs w:val="21"/>
          <w:highlight w:val="none"/>
        </w:rPr>
        <w:t>10</w:t>
      </w:r>
      <w:r>
        <w:rPr>
          <w:rFonts w:hint="eastAsia"/>
          <w:color w:val="auto"/>
          <w:szCs w:val="21"/>
          <w:highlight w:val="none"/>
        </w:rPr>
        <w:t>人及以上的为小型企业；从业人员</w:t>
      </w:r>
      <w:r>
        <w:rPr>
          <w:color w:val="auto"/>
          <w:szCs w:val="21"/>
          <w:highlight w:val="none"/>
        </w:rPr>
        <w:t>10</w:t>
      </w:r>
      <w:r>
        <w:rPr>
          <w:rFonts w:hint="eastAsia"/>
          <w:color w:val="auto"/>
          <w:szCs w:val="21"/>
          <w:highlight w:val="none"/>
        </w:rPr>
        <w:t>人以下的为微型企业。</w:t>
      </w:r>
    </w:p>
    <w:p w14:paraId="193BA610">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五、企业类型的划分以统计部门的统计数据为依据。</w:t>
      </w:r>
    </w:p>
    <w:p w14:paraId="7FA16BB8">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六、本规定适用于在中华人民共和国境内依法设立的各类所有制和各种组织形式的企业。个体工商户和本规定以外的行业，参照本规定进行划型。</w:t>
      </w:r>
    </w:p>
    <w:p w14:paraId="1D7C8A2F">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548D73C5">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八、本规定由工业和信息化部、国家统计局会同有关部门根据《国民经济行业分类》修订情况和企业发展变化情况适时修订。</w:t>
      </w:r>
    </w:p>
    <w:p w14:paraId="4B27641D">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九、本规定由工业和信息化部、国家统计局会同有关部门负责解释。</w:t>
      </w:r>
    </w:p>
    <w:p w14:paraId="4B743443">
      <w:pPr>
        <w:pStyle w:val="40"/>
        <w:keepNext w:val="0"/>
        <w:keepLines w:val="0"/>
        <w:pageBreakBefore w:val="0"/>
        <w:widowControl w:val="0"/>
        <w:bidi w:val="0"/>
        <w:spacing w:line="288" w:lineRule="auto"/>
        <w:ind w:firstLine="420"/>
        <w:rPr>
          <w:color w:val="auto"/>
          <w:szCs w:val="21"/>
          <w:highlight w:val="none"/>
        </w:rPr>
      </w:pPr>
      <w:r>
        <w:rPr>
          <w:rFonts w:hint="eastAsia"/>
          <w:color w:val="auto"/>
          <w:szCs w:val="21"/>
          <w:highlight w:val="none"/>
        </w:rPr>
        <w:t>十、本规定自发布之日起执行，原国家经贸委、原国家计委、财政部和国家统计局</w:t>
      </w:r>
      <w:r>
        <w:rPr>
          <w:color w:val="auto"/>
          <w:szCs w:val="21"/>
          <w:highlight w:val="none"/>
        </w:rPr>
        <w:t>2003</w:t>
      </w:r>
      <w:r>
        <w:rPr>
          <w:rFonts w:hint="eastAsia"/>
          <w:color w:val="auto"/>
          <w:szCs w:val="21"/>
          <w:highlight w:val="none"/>
        </w:rPr>
        <w:t>年颁布的《中小企业标准暂行规定》同时废止。</w:t>
      </w:r>
    </w:p>
    <w:p w14:paraId="407DA022">
      <w:pPr>
        <w:pStyle w:val="196"/>
        <w:jc w:val="center"/>
        <w:rPr>
          <w:rFonts w:hint="eastAsia" w:ascii="宋体" w:hAnsi="宋体" w:cs="宋体"/>
          <w:color w:val="auto"/>
          <w:highlight w:val="none"/>
        </w:rPr>
      </w:pPr>
      <w:r>
        <w:rPr>
          <w:rFonts w:hint="eastAsia" w:ascii="宋体" w:hAnsi="宋体" w:cs="宋体"/>
          <w:color w:val="auto"/>
          <w:highlight w:val="none"/>
        </w:rPr>
        <w:br w:type="page" w:clear="all"/>
      </w:r>
      <w:bookmarkStart w:id="42" w:name="_Toc6929"/>
      <w:r>
        <w:rPr>
          <w:rFonts w:hint="eastAsia" w:ascii="宋体" w:hAnsi="宋体" w:cs="宋体"/>
          <w:color w:val="auto"/>
          <w:highlight w:val="none"/>
        </w:rPr>
        <w:t>第四章 评审程序、评审方法和评审标准</w:t>
      </w:r>
      <w:bookmarkEnd w:id="42"/>
    </w:p>
    <w:p w14:paraId="7E484998">
      <w:pPr>
        <w:pStyle w:val="228"/>
        <w:rPr>
          <w:rFonts w:hint="eastAsia" w:ascii="宋体" w:hAnsi="宋体" w:cs="宋体"/>
          <w:color w:val="auto"/>
          <w:highlight w:val="none"/>
        </w:rPr>
      </w:pPr>
    </w:p>
    <w:p w14:paraId="4E61E4B2">
      <w:pPr>
        <w:spacing w:line="400" w:lineRule="exact"/>
        <w:ind w:firstLine="562"/>
        <w:rPr>
          <w:rFonts w:hint="eastAsia" w:ascii="宋体" w:hAnsi="宋体" w:cs="宋体"/>
          <w:b/>
          <w:color w:val="auto"/>
          <w:sz w:val="28"/>
          <w:szCs w:val="28"/>
          <w:highlight w:val="none"/>
        </w:rPr>
      </w:pPr>
      <w:r>
        <w:rPr>
          <w:rFonts w:hint="eastAsia" w:ascii="宋体" w:hAnsi="宋体" w:cs="宋体"/>
          <w:b/>
          <w:color w:val="auto"/>
          <w:sz w:val="28"/>
          <w:szCs w:val="28"/>
          <w:highlight w:val="none"/>
        </w:rPr>
        <w:t>一、评审程序和评审方法</w:t>
      </w:r>
    </w:p>
    <w:p w14:paraId="6A05172F">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.资格审查</w:t>
      </w:r>
    </w:p>
    <w:p w14:paraId="1FC27307">
      <w:pPr>
        <w:spacing w:line="360" w:lineRule="auto"/>
        <w:ind w:firstLine="420"/>
        <w:rPr>
          <w:rFonts w:ascii="宋体" w:hAns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w:t>
      </w:r>
      <w:r>
        <w:rPr>
          <w:rFonts w:hint="eastAsia" w:ascii="宋体" w:hAnsi="宋体"/>
          <w:color w:val="auto"/>
          <w:szCs w:val="21"/>
          <w:highlight w:val="none"/>
        </w:rPr>
        <w:t>响应文件开启后，磋商小组依法对供应商的资格证明文件进行审查。</w:t>
      </w:r>
    </w:p>
    <w:p w14:paraId="4545444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注：</w:t>
      </w:r>
      <w:r>
        <w:rPr>
          <w:rFonts w:hint="eastAsia"/>
          <w:color w:val="auto"/>
          <w:highlight w:val="none"/>
        </w:rPr>
        <w:t>磋商小组</w:t>
      </w:r>
      <w:r>
        <w:rPr>
          <w:rFonts w:hint="eastAsia" w:ascii="宋体" w:hAnsi="宋体" w:cs="宋体"/>
          <w:color w:val="auto"/>
          <w:szCs w:val="21"/>
          <w:highlight w:val="none"/>
        </w:rPr>
        <w:t>在资格审查结束前，对供应商进行信用查询。</w:t>
      </w:r>
    </w:p>
    <w:p w14:paraId="7E8E1FA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（1）查询渠道： “信用中国”网站(www.creditchina.gov.cn)、中国政府采购网(www.ccgp.gov.cn)。</w:t>
      </w:r>
    </w:p>
    <w:p w14:paraId="78EA7DA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6CE9BCB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7C1B29F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highlight w:val="none"/>
        </w:rPr>
        <w:t>。</w:t>
      </w:r>
    </w:p>
    <w:p w14:paraId="388FF09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.2资格审查标准为本磋商文件中载明对供应商资格要求的条件。资格审查采用合格制，凡符合磋商文件规定的供应商资格要求的响应文件均通过资格审查。</w:t>
      </w:r>
    </w:p>
    <w:p w14:paraId="29F02647">
      <w:pPr>
        <w:spacing w:line="360" w:lineRule="auto"/>
        <w:ind w:firstLine="422"/>
        <w:rPr>
          <w:rFonts w:hint="eastAsia" w:ascii="宋体" w:hAnsi="宋体" w:cs="宋体"/>
          <w:b/>
          <w:bCs/>
          <w:color w:val="auto"/>
          <w:szCs w:val="21"/>
          <w:highlight w:val="none"/>
        </w:rPr>
      </w:pPr>
      <w:r>
        <w:rPr>
          <w:rFonts w:ascii="宋体" w:hAnsi="宋体" w:cs="宋体"/>
          <w:b/>
          <w:bCs/>
          <w:color w:val="auto"/>
          <w:szCs w:val="21"/>
          <w:highlight w:val="none"/>
        </w:rPr>
        <w:t>1</w:t>
      </w:r>
      <w:r>
        <w:rPr>
          <w:rFonts w:hint="eastAsia" w:ascii="宋体" w:hAnsi="宋体" w:cs="宋体"/>
          <w:b/>
          <w:bCs/>
          <w:color w:val="auto"/>
          <w:szCs w:val="21"/>
          <w:highlight w:val="none"/>
        </w:rPr>
        <w:t>.3供应商有下列情形之一的，资格审查不通过，其响应文件按无效响应处理：</w:t>
      </w:r>
    </w:p>
    <w:p w14:paraId="56564C60">
      <w:pPr>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1</w:t>
      </w:r>
      <w:r>
        <w:rPr>
          <w:rFonts w:hint="eastAsia" w:ascii="宋体" w:hAnsi="宋体" w:cs="宋体"/>
          <w:b/>
          <w:bCs/>
          <w:color w:val="auto"/>
          <w:szCs w:val="21"/>
          <w:highlight w:val="none"/>
        </w:rPr>
        <w:t>）不具备磋商文件中规定的资格要求的；</w:t>
      </w:r>
    </w:p>
    <w:p w14:paraId="2CD3FCA9">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（2）未按磋商文件规定的方式获取本磋商文件的供应商；</w:t>
      </w:r>
    </w:p>
    <w:p w14:paraId="036BA497">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3</w:t>
      </w:r>
      <w:r>
        <w:rPr>
          <w:rFonts w:hint="eastAsia" w:ascii="宋体" w:hAnsi="宋体" w:cs="宋体"/>
          <w:b/>
          <w:bCs/>
          <w:color w:val="auto"/>
          <w:szCs w:val="21"/>
          <w:highlight w:val="none"/>
        </w:rPr>
        <w:t>）响应文件的资格证明文件缺少任一项“供应商须知前附表”资格证明文件规定的“必须提供”的文件资料的；</w:t>
      </w:r>
    </w:p>
    <w:p w14:paraId="73215515">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4</w:t>
      </w:r>
      <w:r>
        <w:rPr>
          <w:rFonts w:hint="eastAsia" w:ascii="宋体" w:hAnsi="宋体" w:cs="宋体"/>
          <w:b/>
          <w:bCs/>
          <w:color w:val="auto"/>
          <w:szCs w:val="21"/>
          <w:highlight w:val="none"/>
        </w:rPr>
        <w:t>）响应文件中的资格证明文件出现任一项不符合“供应商须知前附表”资格证明文件规定的“必须提供”的文件资料要求或者无效的；</w:t>
      </w:r>
    </w:p>
    <w:p w14:paraId="79396076">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5</w:t>
      </w:r>
      <w:r>
        <w:rPr>
          <w:rFonts w:hint="eastAsia" w:ascii="宋体" w:hAnsi="宋体" w:cs="宋体"/>
          <w:b/>
          <w:bCs/>
          <w:color w:val="auto"/>
          <w:szCs w:val="21"/>
          <w:highlight w:val="none"/>
        </w:rPr>
        <w:t>）同一合同项下的不同供应商，单位负责人为同一人或者存在直接控股、管理关系的；为本项目提供过整体设计、规范编制或者项目管理、监理、检测等服务的供应商，再参加该采购项目的其他采购活动的。</w:t>
      </w:r>
    </w:p>
    <w:p w14:paraId="0A91548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35A75F1C">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.符合性审查</w:t>
      </w:r>
    </w:p>
    <w:p w14:paraId="27111BC4">
      <w:pPr>
        <w:spacing w:line="360" w:lineRule="auto"/>
        <w:ind w:firstLine="420"/>
        <w:rPr>
          <w:rFonts w:hint="eastAsia" w:ascii="宋体" w:hAnsi="宋体" w:cs="宋体"/>
          <w:color w:val="auto"/>
          <w:szCs w:val="21"/>
          <w:highlight w:val="none"/>
        </w:rPr>
      </w:pPr>
      <w:bookmarkStart w:id="43" w:name="_Hlk42528882"/>
      <w:r>
        <w:rPr>
          <w:rFonts w:ascii="宋体" w:hAnsi="宋体" w:cs="宋体"/>
          <w:color w:val="auto"/>
          <w:szCs w:val="21"/>
          <w:highlight w:val="none"/>
        </w:rPr>
        <w:t>2.1</w:t>
      </w:r>
      <w:r>
        <w:rPr>
          <w:rFonts w:hint="eastAsia" w:ascii="宋体" w:hAnsi="宋体" w:cs="宋体"/>
          <w:color w:val="auto"/>
          <w:szCs w:val="21"/>
          <w:highlight w:val="none"/>
        </w:rPr>
        <w:t>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的响应文件的竞标报价、商务、技术等实质性要求进行符合性审查，以确定其是否满足磋商文件的实质性要求。</w:t>
      </w:r>
      <w:bookmarkEnd w:id="43"/>
    </w:p>
    <w:p w14:paraId="1AC87698">
      <w:pPr>
        <w:spacing w:line="360" w:lineRule="auto"/>
        <w:ind w:firstLine="420"/>
        <w:rPr>
          <w:rFonts w:ascii="宋体" w:hAnsi="宋体" w:cs="宋体"/>
          <w:color w:val="auto"/>
          <w:szCs w:val="21"/>
          <w:highlight w:val="none"/>
        </w:rPr>
      </w:pPr>
      <w:r>
        <w:rPr>
          <w:rFonts w:ascii="宋体" w:hAnsi="宋体" w:cs="宋体"/>
          <w:color w:val="auto"/>
          <w:szCs w:val="21"/>
          <w:highlight w:val="none"/>
        </w:rPr>
        <w:t>2.2</w:t>
      </w:r>
      <w:r>
        <w:rPr>
          <w:rFonts w:hint="eastAsia" w:ascii="宋体" w:hAnsi="宋体" w:cs="宋体"/>
          <w:color w:val="auto"/>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17FA5C9">
      <w:pPr>
        <w:spacing w:line="360" w:lineRule="auto"/>
        <w:ind w:firstLine="420"/>
        <w:rPr>
          <w:rFonts w:hint="eastAsia" w:ascii="宋体" w:hAnsi="宋体" w:cs="宋体"/>
          <w:color w:val="auto"/>
          <w:spacing w:val="-6"/>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auto"/>
          <w:highlight w:val="none"/>
        </w:rPr>
        <w:t>签章</w:t>
      </w:r>
      <w:r>
        <w:rPr>
          <w:rFonts w:hint="eastAsia" w:ascii="宋体" w:hAnsi="宋体" w:cs="宋体"/>
          <w:color w:val="auto"/>
          <w:spacing w:val="-6"/>
          <w:szCs w:val="21"/>
          <w:highlight w:val="none"/>
        </w:rPr>
        <w:t>。</w:t>
      </w:r>
    </w:p>
    <w:p w14:paraId="31FFA30D">
      <w:pPr>
        <w:spacing w:line="360" w:lineRule="auto"/>
        <w:ind w:firstLine="420"/>
        <w:rPr>
          <w:rFonts w:ascii="宋体" w:hAnsi="宋体" w:cs="宋体"/>
          <w:color w:val="auto"/>
          <w:spacing w:val="-6"/>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41A39283">
      <w:pPr>
        <w:spacing w:line="360" w:lineRule="auto"/>
        <w:ind w:firstLine="396"/>
        <w:rPr>
          <w:rFonts w:hint="eastAsia" w:ascii="宋体" w:hAnsi="宋体" w:cs="宋体"/>
          <w:color w:val="auto"/>
          <w:szCs w:val="21"/>
          <w:highlight w:val="none"/>
        </w:rPr>
      </w:pPr>
      <w:r>
        <w:rPr>
          <w:rFonts w:ascii="宋体" w:hAnsi="宋体" w:cs="宋体"/>
          <w:color w:val="auto"/>
          <w:spacing w:val="-6"/>
          <w:szCs w:val="21"/>
          <w:highlight w:val="none"/>
        </w:rPr>
        <w:t>2.4</w:t>
      </w:r>
      <w:r>
        <w:rPr>
          <w:rFonts w:hint="eastAsia" w:ascii="宋体" w:hAnsi="宋体" w:cs="宋体"/>
          <w:color w:val="auto"/>
          <w:szCs w:val="21"/>
          <w:highlight w:val="none"/>
        </w:rPr>
        <w:t xml:space="preserve">首次响应文件报价出现前后不一致的，按照下列规定修正： </w:t>
      </w:r>
    </w:p>
    <w:p w14:paraId="02B0F5F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2EE3EA2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679E0DE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0070C8F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454341E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w:t>
      </w:r>
      <w:r>
        <w:rPr>
          <w:rFonts w:hint="eastAsia" w:ascii="宋体" w:hAnsi="宋体" w:cs="宋体"/>
          <w:b/>
          <w:bCs/>
          <w:color w:val="auto"/>
          <w:szCs w:val="21"/>
          <w:highlight w:val="none"/>
        </w:rPr>
        <w:t>供应商不确认的，其响应文件按无效响应处理。</w:t>
      </w:r>
    </w:p>
    <w:p w14:paraId="15E28B5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60E69D05">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在评审时，如发现下列情形之一的，将被视为响应文件无效处理：</w:t>
      </w:r>
    </w:p>
    <w:p w14:paraId="11A6077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（1）商务技术评审</w:t>
      </w:r>
    </w:p>
    <w:p w14:paraId="282A48A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5E6F1C7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2）委托代理人未能出具有效身份证或者出具的身份证与授权委托书中的信息不符的； </w:t>
      </w:r>
    </w:p>
    <w:p w14:paraId="27CBB8B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3）提交的磋商保证金无效的或者未按照磋商文件的规定提交磋商保证金；</w:t>
      </w:r>
    </w:p>
    <w:p w14:paraId="76C8362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45B9F59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5）商务、技术要求允许负偏离的条款数超过“供应商须知前附表”规定项数的；</w:t>
      </w:r>
    </w:p>
    <w:p w14:paraId="1CEA504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6）未对竞标有效期作出响应或者响应文件承诺的竞标有效期不满足磋商文件要求；</w:t>
      </w:r>
    </w:p>
    <w:p w14:paraId="663E4D1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7）响应文件的实质性内容未使用中文表述、使用计量单位不符合磋商文件要求；</w:t>
      </w:r>
    </w:p>
    <w:p w14:paraId="55497EB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8）响应文件中的文件资料因填写不齐全或者内容虚假或者出现其他情形而导致被磋商小组认定无效；</w:t>
      </w:r>
    </w:p>
    <w:p w14:paraId="5B577BB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9）响应文件含有采购人不能接受的附加条件；</w:t>
      </w:r>
    </w:p>
    <w:p w14:paraId="16ABDA6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10）属于“供应商须知正文”第7.</w:t>
      </w:r>
      <w:r>
        <w:rPr>
          <w:rFonts w:ascii="宋体" w:hAnsi="宋体" w:cs="宋体"/>
          <w:color w:val="auto"/>
          <w:szCs w:val="21"/>
          <w:highlight w:val="none"/>
        </w:rPr>
        <w:t>5</w:t>
      </w:r>
      <w:r>
        <w:rPr>
          <w:rFonts w:hint="eastAsia" w:ascii="宋体" w:hAnsi="宋体" w:cs="宋体"/>
          <w:color w:val="auto"/>
          <w:szCs w:val="21"/>
          <w:highlight w:val="none"/>
        </w:rPr>
        <w:t>条情形；</w:t>
      </w:r>
    </w:p>
    <w:p w14:paraId="5893F3D7">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1）虚假竞标，或者出现其他情形而导致被磋商小组认定无效；</w:t>
      </w:r>
    </w:p>
    <w:p w14:paraId="3459F24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w:t>
      </w:r>
      <w:bookmarkStart w:id="44" w:name="_Hlk71704147"/>
      <w:r>
        <w:rPr>
          <w:rFonts w:hint="eastAsia" w:ascii="宋体" w:hAnsi="宋体" w:cs="宋体"/>
          <w:color w:val="auto"/>
          <w:szCs w:val="21"/>
          <w:highlight w:val="none"/>
        </w:rPr>
        <w:t>磋商文件未载明允许提供备选（替代）竞标方案或明确不允许提供备选（替代）竞标方案时，供应商提供了备选（替代）竞标方案的；</w:t>
      </w:r>
      <w:bookmarkEnd w:id="44"/>
    </w:p>
    <w:p w14:paraId="3B98BD2E">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3）响应文件标注的项目名称或者项目编号与磋商文件标注的项目名称或者项目编号不一致的；</w:t>
      </w:r>
    </w:p>
    <w:p w14:paraId="10273E9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14）</w:t>
      </w:r>
      <w:r>
        <w:rPr>
          <w:rFonts w:hint="eastAsia" w:ascii="宋体" w:hAnsi="宋体"/>
          <w:color w:val="auto"/>
          <w:szCs w:val="21"/>
          <w:highlight w:val="none"/>
        </w:rPr>
        <w:t>竞争性磋商文件明确不允许分包，响应文件拟分包的；</w:t>
      </w:r>
    </w:p>
    <w:p w14:paraId="4136A9DC">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5）未响应磋商文件实质性要求；</w:t>
      </w:r>
    </w:p>
    <w:p w14:paraId="1CC7031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16）法律、法规和磋商文件规定的其他无效情形。</w:t>
      </w:r>
    </w:p>
    <w:p w14:paraId="264E569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）报价评审</w:t>
      </w:r>
    </w:p>
    <w:p w14:paraId="2FB2596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 xml:space="preserve"> </w:t>
      </w:r>
      <w:r>
        <w:rPr>
          <w:rFonts w:hint="eastAsia" w:ascii="宋体" w:hAnsi="宋体" w:cs="宋体"/>
          <w:color w:val="auto"/>
          <w:szCs w:val="21"/>
          <w:highlight w:val="none"/>
        </w:rPr>
        <w:t>响应文件未提供“供应商须知前附表” 报价文件中规定的“竞标报价表”；</w:t>
      </w:r>
    </w:p>
    <w:p w14:paraId="0FADCEE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1FE5BEA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4B8B6CA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4）竞标报价（包含首次报价、最后报价）超过所竞标分标规定的采购预算金额或者最高限价的（如本项目公布了最高限价）；</w:t>
      </w:r>
      <w:bookmarkStart w:id="45" w:name="_Hlk42596405"/>
      <w:r>
        <w:rPr>
          <w:rFonts w:hint="eastAsia" w:ascii="宋体" w:hAnsi="宋体" w:cs="宋体"/>
          <w:color w:val="auto"/>
          <w:szCs w:val="21"/>
          <w:highlight w:val="none"/>
        </w:rPr>
        <w:t>分项竞标报价（包含首次报价、最后报价）</w:t>
      </w:r>
      <w:bookmarkEnd w:id="45"/>
      <w:bookmarkStart w:id="46" w:name="_Hlk42596276"/>
      <w:r>
        <w:rPr>
          <w:rFonts w:hint="eastAsia" w:ascii="宋体" w:hAnsi="宋体" w:cs="宋体"/>
          <w:color w:val="auto"/>
          <w:szCs w:val="21"/>
          <w:highlight w:val="none"/>
        </w:rPr>
        <w:t>超过磋商文件分项采购预算金额或者最高限价的</w:t>
      </w:r>
      <w:bookmarkEnd w:id="46"/>
      <w:r>
        <w:rPr>
          <w:rFonts w:hint="eastAsia" w:ascii="宋体" w:hAnsi="宋体" w:cs="宋体"/>
          <w:color w:val="auto"/>
          <w:szCs w:val="21"/>
          <w:highlight w:val="none"/>
        </w:rPr>
        <w:t>（如本项目公布了最高限价）；</w:t>
      </w:r>
    </w:p>
    <w:p w14:paraId="2A62B5D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分项竞标报价（包含首次报价、最后报价）超过磋商文件分项采购预算金额或者最高限价的（如本项目公布了最高限价）。</w:t>
      </w:r>
    </w:p>
    <w:p w14:paraId="7802649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响应文件响应的标的数量及单位与竞争性磋商采购文件要求实质性不一致的。</w:t>
      </w:r>
    </w:p>
    <w:p w14:paraId="23D3B3FB">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2.6</w:t>
      </w:r>
      <w:r>
        <w:rPr>
          <w:rFonts w:hint="eastAsia" w:ascii="宋体" w:hAnsi="宋体" w:cs="宋体"/>
          <w:color w:val="auto"/>
          <w:szCs w:val="21"/>
          <w:highlight w:val="none"/>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7DF05C16">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2.7</w:t>
      </w:r>
      <w:r>
        <w:rPr>
          <w:rFonts w:hint="eastAsia" w:ascii="宋体" w:hAnsi="宋体"/>
          <w:color w:val="auto"/>
          <w:szCs w:val="21"/>
          <w:highlight w:val="none"/>
        </w:rPr>
        <w:t>通过符合性审查的合格供应商不足3家的，不得进入磋商环节，采购人或者采购代理机构应当重新开展采购活动。</w:t>
      </w:r>
    </w:p>
    <w:p w14:paraId="5E16D0D9">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.磋商程序</w:t>
      </w:r>
    </w:p>
    <w:p w14:paraId="2009D05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磋商小组集中与单一供应商分别进行磋商，并给予所有参加磋商的供应商平等的磋商机会。符合磋商资格的供应商必须在接到磋商通知后</w:t>
      </w:r>
      <w:r>
        <w:rPr>
          <w:color w:val="auto"/>
          <w:highlight w:val="none"/>
        </w:rPr>
        <w:t>在规定时间内在广西政府采购云平台上参加</w:t>
      </w:r>
      <w:r>
        <w:rPr>
          <w:rFonts w:hint="eastAsia"/>
          <w:color w:val="auto"/>
          <w:highlight w:val="none"/>
        </w:rPr>
        <w:t>磋商</w:t>
      </w:r>
      <w:r>
        <w:rPr>
          <w:rFonts w:hint="eastAsia" w:ascii="宋体" w:hAnsi="宋体" w:cs="宋体"/>
          <w:color w:val="auto"/>
          <w:szCs w:val="21"/>
          <w:highlight w:val="none"/>
        </w:rPr>
        <w:t>，</w:t>
      </w:r>
      <w:r>
        <w:rPr>
          <w:rFonts w:hint="eastAsia" w:ascii="宋体" w:hAnsi="宋体" w:cs="宋体"/>
          <w:b/>
          <w:bCs/>
          <w:color w:val="auto"/>
          <w:szCs w:val="21"/>
          <w:highlight w:val="none"/>
        </w:rPr>
        <w:t>未在规定时间内参加磋商的视同放弃参加磋商权利，其响应文件按无效响应处理。</w:t>
      </w:r>
    </w:p>
    <w:p w14:paraId="119D995B">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88E7BA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3.3</w:t>
      </w:r>
      <w:r>
        <w:rPr>
          <w:rFonts w:hint="eastAsia" w:ascii="宋体" w:hAnsi="宋体" w:cs="宋体"/>
          <w:color w:val="auto"/>
          <w:szCs w:val="21"/>
          <w:highlight w:val="none"/>
        </w:rPr>
        <w:t>对磋商文件作出的实质性变动是磋商文件的有效组成部分，由磋商小组及时以电子澄清函形式同时通知所有参加磋商的供应商。</w:t>
      </w:r>
    </w:p>
    <w:p w14:paraId="688379BC">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3.4</w:t>
      </w:r>
      <w:r>
        <w:rPr>
          <w:rFonts w:hint="eastAsia" w:ascii="宋体" w:hAnsi="宋体" w:cs="宋体"/>
          <w:color w:val="auto"/>
          <w:szCs w:val="21"/>
          <w:highlight w:val="none"/>
        </w:rPr>
        <w:t>供应商必须按照磋商文件的变动情况和磋商小组的要求以回函的形式重新提交响应文件，并加盖电子签章。</w:t>
      </w:r>
      <w:r>
        <w:rPr>
          <w:rFonts w:hint="eastAsia" w:ascii="宋体" w:hAnsi="宋体" w:cs="宋体"/>
          <w:b/>
          <w:bCs/>
          <w:color w:val="auto"/>
          <w:szCs w:val="21"/>
          <w:highlight w:val="none"/>
        </w:rPr>
        <w:t>参加磋商的供应商未在规定时间内重新提交响应文件的，视同退出磋商，其响应文件按无效处理。</w:t>
      </w:r>
    </w:p>
    <w:p w14:paraId="4335EE63">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3.5</w:t>
      </w:r>
      <w:r>
        <w:rPr>
          <w:rFonts w:hint="eastAsia" w:ascii="宋体" w:hAnsi="宋体" w:cs="宋体"/>
          <w:color w:val="auto"/>
          <w:szCs w:val="21"/>
          <w:highlight w:val="none"/>
        </w:rPr>
        <w:t>磋商中，</w:t>
      </w:r>
      <w:r>
        <w:rPr>
          <w:rFonts w:hint="eastAsia" w:ascii="宋体" w:hAnsi="宋体" w:cs="宋体"/>
          <w:color w:val="auto"/>
          <w:spacing w:val="-6"/>
          <w:szCs w:val="21"/>
          <w:highlight w:val="none"/>
        </w:rPr>
        <w:t>磋商的任何一方不得透露与磋商有关的其他供应商的技术资料、价格和其他信息。</w:t>
      </w:r>
    </w:p>
    <w:p w14:paraId="3E69A1A5">
      <w:pPr>
        <w:widowControl/>
        <w:tabs>
          <w:tab w:val="left" w:pos="540"/>
        </w:tabs>
        <w:spacing w:line="360" w:lineRule="auto"/>
        <w:ind w:firstLine="420"/>
        <w:jc w:val="left"/>
        <w:rPr>
          <w:rFonts w:ascii="宋体" w:hAnsi="宋体" w:cs="宋体"/>
          <w:color w:val="auto"/>
          <w:szCs w:val="21"/>
          <w:highlight w:val="none"/>
        </w:rPr>
      </w:pPr>
      <w:r>
        <w:rPr>
          <w:rFonts w:ascii="宋体" w:hAnsi="宋体" w:cs="宋体"/>
          <w:color w:val="auto"/>
          <w:szCs w:val="21"/>
          <w:highlight w:val="none"/>
        </w:rPr>
        <w:t>3.6</w:t>
      </w:r>
      <w:r>
        <w:rPr>
          <w:rFonts w:hint="eastAsia" w:ascii="宋体" w:hAnsi="宋体" w:cs="宋体"/>
          <w:color w:val="auto"/>
          <w:szCs w:val="21"/>
          <w:highlight w:val="none"/>
        </w:rPr>
        <w:t>采购代理机构对磋商过程和重要磋商内容进行记录。</w:t>
      </w:r>
    </w:p>
    <w:p w14:paraId="03E849A3">
      <w:pPr>
        <w:tabs>
          <w:tab w:val="left" w:pos="2835"/>
        </w:tabs>
        <w:spacing w:line="360" w:lineRule="auto"/>
        <w:ind w:firstLine="420"/>
        <w:rPr>
          <w:rFonts w:hint="eastAsia"/>
          <w:color w:val="auto"/>
          <w:highlight w:val="none"/>
        </w:rPr>
      </w:pPr>
      <w:r>
        <w:rPr>
          <w:rFonts w:hint="eastAsia" w:ascii="宋体" w:hAnsi="宋体" w:cs="宋体"/>
          <w:color w:val="auto"/>
          <w:szCs w:val="21"/>
          <w:highlight w:val="none"/>
        </w:rPr>
        <w:t>3</w:t>
      </w:r>
      <w:r>
        <w:rPr>
          <w:rFonts w:ascii="宋体" w:hAnsi="宋体" w:cs="宋体"/>
          <w:color w:val="auto"/>
          <w:szCs w:val="21"/>
          <w:highlight w:val="none"/>
        </w:rPr>
        <w:t>.7</w:t>
      </w:r>
      <w:r>
        <w:rPr>
          <w:color w:val="auto"/>
          <w:highlight w:val="none"/>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w:t>
      </w:r>
      <w:r>
        <w:rPr>
          <w:color w:val="auto"/>
          <w:highlight w:val="none"/>
        </w:rPr>
        <w:t>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DD7554E">
      <w:pPr>
        <w:tabs>
          <w:tab w:val="left" w:pos="2835"/>
        </w:tabs>
        <w:spacing w:line="360" w:lineRule="auto"/>
        <w:ind w:firstLine="420"/>
        <w:rPr>
          <w:rFonts w:hint="eastAsia" w:ascii="宋体" w:hAnsi="宋体" w:cs="宋体"/>
          <w:color w:val="auto"/>
          <w:szCs w:val="21"/>
          <w:highlight w:val="none"/>
        </w:rPr>
      </w:pPr>
      <w:r>
        <w:rPr>
          <w:color w:val="auto"/>
          <w:highlight w:val="none"/>
        </w:rPr>
        <w:t>3.8除本章第3.7条情形</w:t>
      </w:r>
      <w:r>
        <w:rPr>
          <w:rFonts w:hint="eastAsia"/>
          <w:color w:val="auto"/>
          <w:highlight w:val="none"/>
        </w:rPr>
        <w:t>外，</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651A2F2B">
      <w:pPr>
        <w:spacing w:line="360" w:lineRule="auto"/>
        <w:ind w:firstLine="482"/>
        <w:rPr>
          <w:rFonts w:ascii="宋体" w:hAnsi="宋体" w:cs="宋体"/>
          <w:color w:val="auto"/>
          <w:szCs w:val="21"/>
          <w:highlight w:val="none"/>
        </w:rPr>
      </w:pPr>
      <w:r>
        <w:rPr>
          <w:rFonts w:ascii="黑体" w:hAnsi="黑体" w:eastAsia="黑体" w:cs="宋体"/>
          <w:b/>
          <w:bCs/>
          <w:color w:val="auto"/>
          <w:sz w:val="24"/>
          <w:highlight w:val="none"/>
        </w:rPr>
        <w:t>4.</w:t>
      </w:r>
      <w:r>
        <w:rPr>
          <w:rFonts w:hint="eastAsia" w:ascii="黑体" w:hAnsi="黑体" w:eastAsia="黑体" w:cs="宋体"/>
          <w:b/>
          <w:bCs/>
          <w:color w:val="auto"/>
          <w:sz w:val="24"/>
          <w:highlight w:val="none"/>
        </w:rPr>
        <w:t xml:space="preserve"> 最后报价</w:t>
      </w:r>
    </w:p>
    <w:p w14:paraId="3C54390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磋商文件能够详细列明采购标的的技术、服务要求的，磋商结束后，磋商小组应当要求所有继续参加磋商的供应商在规定时间内在广西政府采购云平台开标大厅提交最后报价，除本章第</w:t>
      </w:r>
      <w:r>
        <w:rPr>
          <w:rFonts w:ascii="宋体" w:hAnsi="宋体" w:cs="宋体"/>
          <w:color w:val="auto"/>
          <w:szCs w:val="21"/>
          <w:highlight w:val="none"/>
        </w:rPr>
        <w:t>4.3</w:t>
      </w:r>
      <w:r>
        <w:rPr>
          <w:rFonts w:hint="eastAsia" w:ascii="宋体" w:hAnsi="宋体" w:cs="宋体"/>
          <w:color w:val="auto"/>
          <w:szCs w:val="21"/>
          <w:highlight w:val="none"/>
        </w:rPr>
        <w:t>条外，提交最后报价的供应商不得少于3家，否则必须重新采购。</w:t>
      </w:r>
    </w:p>
    <w:p w14:paraId="3136289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3EA15966">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 xml:space="preserve"> 最后报价是供应商响应文件的有效组成部分。符合《政府采购竞争性磋商采购方式管理暂行办法》（财库〔2014〕214号）第三条第四项“市场竞争不充分的科研项目，以及需要扶持的科技成果转化项目”和</w:t>
      </w:r>
      <w:r>
        <w:rPr>
          <w:color w:val="auto"/>
          <w:highlight w:val="none"/>
        </w:rPr>
        <w:t>本</w:t>
      </w:r>
      <w:r>
        <w:rPr>
          <w:rFonts w:ascii="宋体" w:hAnsi="宋体" w:cs="宋体"/>
          <w:color w:val="auto"/>
          <w:szCs w:val="21"/>
          <w:highlight w:val="none"/>
        </w:rPr>
        <w:t>章第3.7条情</w:t>
      </w:r>
      <w:r>
        <w:rPr>
          <w:color w:val="auto"/>
          <w:highlight w:val="none"/>
        </w:rPr>
        <w:t>形的，</w:t>
      </w:r>
      <w:r>
        <w:rPr>
          <w:rFonts w:hint="eastAsia" w:ascii="宋体" w:hAnsi="宋体" w:cs="宋体"/>
          <w:color w:val="auto"/>
          <w:szCs w:val="21"/>
          <w:highlight w:val="none"/>
        </w:rPr>
        <w:t>提交最后报价的供应商可以为2家。</w:t>
      </w:r>
    </w:p>
    <w:p w14:paraId="0358BA9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已经提交响应文件的供应商，在提交最后报价之前，可以根据磋商情况退出磋商，</w:t>
      </w:r>
      <w:r>
        <w:rPr>
          <w:rFonts w:hint="eastAsia" w:ascii="宋体" w:hAnsi="宋体" w:cs="宋体"/>
          <w:b/>
          <w:bCs/>
          <w:color w:val="auto"/>
          <w:szCs w:val="21"/>
          <w:highlight w:val="none"/>
        </w:rPr>
        <w:t>退出磋商的供应商的响应文件按无效响应处理</w:t>
      </w:r>
      <w:r>
        <w:rPr>
          <w:rFonts w:hint="eastAsia" w:ascii="宋体" w:hAnsi="宋体" w:cs="宋体"/>
          <w:color w:val="auto"/>
          <w:szCs w:val="21"/>
          <w:highlight w:val="none"/>
        </w:rPr>
        <w:t>。采购人、采购代理机构将退还退出磋商的供应商的保证金。</w:t>
      </w:r>
    </w:p>
    <w:p w14:paraId="691C59FB">
      <w:pPr>
        <w:spacing w:line="360" w:lineRule="auto"/>
        <w:ind w:firstLine="420"/>
        <w:rPr>
          <w:rFonts w:ascii="宋体" w:hAnsi="宋体" w:cs="宋体"/>
          <w:color w:val="auto"/>
          <w:szCs w:val="21"/>
          <w:highlight w:val="none"/>
        </w:rPr>
      </w:pPr>
      <w:r>
        <w:rPr>
          <w:rFonts w:ascii="宋体" w:hAnsi="宋体" w:cs="宋体"/>
          <w:color w:val="auto"/>
          <w:szCs w:val="21"/>
          <w:highlight w:val="none"/>
        </w:rPr>
        <w:t>4.5</w:t>
      </w:r>
      <w:r>
        <w:rPr>
          <w:rFonts w:hint="eastAsia" w:ascii="宋体" w:hAnsi="宋体" w:cs="宋体"/>
          <w:color w:val="auto"/>
          <w:szCs w:val="21"/>
          <w:highlight w:val="none"/>
        </w:rPr>
        <w:t>供应商未在规定时间内提交最后报价的，视同退出磋商，</w:t>
      </w:r>
      <w:r>
        <w:rPr>
          <w:rFonts w:hint="eastAsia" w:ascii="宋体" w:hAnsi="宋体" w:cs="宋体"/>
          <w:b/>
          <w:bCs/>
          <w:color w:val="auto"/>
          <w:szCs w:val="21"/>
          <w:highlight w:val="none"/>
        </w:rPr>
        <w:t>其响应文件按无效处理。</w:t>
      </w:r>
    </w:p>
    <w:p w14:paraId="23E12389">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最后报价统一开启后，磋商小组对最后报价进行有效性、完整性和</w:t>
      </w:r>
      <w:r>
        <w:rPr>
          <w:rFonts w:hint="eastAsia" w:ascii="宋体" w:hAnsi="宋体" w:cs="宋体"/>
          <w:color w:val="auto"/>
          <w:szCs w:val="21"/>
          <w:highlight w:val="none"/>
        </w:rPr>
        <w:t>响应程度的审查。</w:t>
      </w:r>
    </w:p>
    <w:p w14:paraId="5BE49D6D">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4.7</w:t>
      </w:r>
      <w:r>
        <w:rPr>
          <w:rFonts w:hint="eastAsia" w:ascii="宋体" w:hAnsi="宋体" w:cs="宋体"/>
          <w:color w:val="auto"/>
          <w:szCs w:val="21"/>
          <w:highlight w:val="none"/>
        </w:rPr>
        <w:t>最后报价出现前后不一致的，按照本章第</w:t>
      </w:r>
      <w:r>
        <w:rPr>
          <w:rFonts w:ascii="宋体" w:hAnsi="宋体" w:cs="宋体"/>
          <w:color w:val="auto"/>
          <w:szCs w:val="21"/>
          <w:highlight w:val="none"/>
        </w:rPr>
        <w:t>2.4</w:t>
      </w:r>
      <w:r>
        <w:rPr>
          <w:rFonts w:hint="eastAsia" w:ascii="宋体" w:hAnsi="宋体" w:cs="宋体"/>
          <w:color w:val="auto"/>
          <w:szCs w:val="21"/>
          <w:highlight w:val="none"/>
        </w:rPr>
        <w:t xml:space="preserve">条的规定修正。 </w:t>
      </w:r>
    </w:p>
    <w:p w14:paraId="0EB63FF8">
      <w:pPr>
        <w:spacing w:line="360" w:lineRule="auto"/>
        <w:ind w:firstLine="422"/>
        <w:rPr>
          <w:rFonts w:ascii="宋体" w:hAnsi="宋体" w:cs="宋体"/>
          <w:b/>
          <w:bCs/>
          <w:color w:val="auto"/>
          <w:szCs w:val="21"/>
          <w:highlight w:val="none"/>
        </w:rPr>
      </w:pPr>
      <w:r>
        <w:rPr>
          <w:rFonts w:ascii="宋体" w:hAnsi="宋体" w:cs="宋体"/>
          <w:b/>
          <w:bCs/>
          <w:color w:val="auto"/>
          <w:szCs w:val="21"/>
          <w:highlight w:val="none"/>
        </w:rPr>
        <w:t>4.8</w:t>
      </w:r>
      <w:r>
        <w:rPr>
          <w:rFonts w:hint="eastAsia" w:ascii="宋体" w:hAnsi="宋体" w:cs="宋体"/>
          <w:b/>
          <w:bCs/>
          <w:color w:val="auto"/>
          <w:szCs w:val="21"/>
          <w:highlight w:val="none"/>
        </w:rPr>
        <w:t>修正后的报价出现下列情形的，按无效响应处理：</w:t>
      </w:r>
    </w:p>
    <w:p w14:paraId="27A7BCF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69FB3D5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w:t>
      </w:r>
      <w:r>
        <w:rPr>
          <w:rFonts w:hint="eastAsia" w:ascii="宋体" w:hAnsi="宋体" w:cs="宋体"/>
          <w:color w:val="auto"/>
          <w:szCs w:val="21"/>
          <w:highlight w:val="none"/>
        </w:rPr>
        <w:t>限价）；</w:t>
      </w:r>
    </w:p>
    <w:p w14:paraId="084C322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（3）经供应商确认修正后的竞标报价（包含首次报价、最后报价）超过分项采购预算金额或者最高限价的（如本项目公布了最高限价）。</w:t>
      </w:r>
    </w:p>
    <w:p w14:paraId="51F6EF66">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4.9</w:t>
      </w:r>
      <w:r>
        <w:rPr>
          <w:rFonts w:hint="eastAsia" w:ascii="宋体" w:hAnsi="宋体" w:cs="宋体"/>
          <w:color w:val="auto"/>
          <w:szCs w:val="21"/>
          <w:highlight w:val="none"/>
        </w:rPr>
        <w:t>经供应商确认修正后的最后报价作为评审及签订合同的依据。</w:t>
      </w:r>
    </w:p>
    <w:p w14:paraId="7893CCA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681FEA3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1最后报价结束后，磋商小组不得再与供应商进行任何形式的商谈。</w:t>
      </w:r>
    </w:p>
    <w:p w14:paraId="504F2CBE">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比较与评价</w:t>
      </w:r>
    </w:p>
    <w:p w14:paraId="66D46F3B">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评审方法：综合评分法。</w:t>
      </w:r>
    </w:p>
    <w:p w14:paraId="7C6EAFF7">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5.2</w:t>
      </w:r>
      <w:r>
        <w:rPr>
          <w:rFonts w:hint="eastAsia" w:ascii="宋体" w:hAnsi="宋体" w:cs="宋体"/>
          <w:color w:val="auto"/>
          <w:szCs w:val="21"/>
          <w:highlight w:val="none"/>
        </w:rPr>
        <w:t>经磋商确定最终采购需求和提交最后报价的供应商后，由磋商小组采用综合评分法对提交最后报价的供应商的响应文件和最后报价进行综合评分。</w:t>
      </w:r>
    </w:p>
    <w:p w14:paraId="76C2E759">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评审时，磋商小组各成员应当独立对每个有效响应的文件进行评价、打分，然后汇总每个供应商每项评分因素的得分。</w:t>
      </w:r>
    </w:p>
    <w:p w14:paraId="0BB2759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68A6168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444846DE">
      <w:pPr>
        <w:spacing w:line="360" w:lineRule="auto"/>
        <w:ind w:firstLine="420"/>
        <w:rPr>
          <w:rFonts w:ascii="宋体" w:hAnsi="宋体" w:cs="宋体"/>
          <w:color w:val="auto"/>
          <w:szCs w:val="21"/>
          <w:highlight w:val="none"/>
        </w:rPr>
      </w:pPr>
      <w:r>
        <w:rPr>
          <w:rFonts w:ascii="宋体" w:hAnsi="宋体" w:cs="宋体"/>
          <w:color w:val="auto"/>
          <w:szCs w:val="21"/>
          <w:highlight w:val="none"/>
        </w:rPr>
        <w:t>5.4</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4BB1023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5.5</w:t>
      </w:r>
      <w:r>
        <w:rPr>
          <w:rFonts w:hint="eastAsia" w:ascii="宋体" w:hAnsi="宋体" w:cs="宋体"/>
          <w:color w:val="auto"/>
          <w:szCs w:val="21"/>
          <w:highlight w:val="none"/>
        </w:rPr>
        <w:t>异常低价响应审查</w:t>
      </w:r>
    </w:p>
    <w:p w14:paraId="51A9F4B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（1）磋商小组在评审中发现下列情形之一的，应当启动异常低价响应审查程序：</w:t>
      </w:r>
    </w:p>
    <w:p w14:paraId="7410C3F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①</w:t>
      </w:r>
      <w:r>
        <w:rPr>
          <w:color w:val="auto"/>
          <w:highlight w:val="none"/>
        </w:rPr>
        <w:t>竞标报价</w:t>
      </w:r>
      <w:r>
        <w:rPr>
          <w:rFonts w:hint="eastAsia" w:ascii="宋体" w:hAnsi="宋体" w:cs="宋体"/>
          <w:color w:val="auto"/>
          <w:szCs w:val="21"/>
          <w:highlight w:val="none"/>
        </w:rPr>
        <w:t>低于全部通过符合性审查供应商</w:t>
      </w:r>
      <w:r>
        <w:rPr>
          <w:color w:val="auto"/>
          <w:highlight w:val="none"/>
        </w:rPr>
        <w:t>竞标报价</w:t>
      </w:r>
      <w:r>
        <w:rPr>
          <w:rFonts w:hint="eastAsia" w:ascii="宋体" w:hAnsi="宋体" w:cs="宋体"/>
          <w:color w:val="auto"/>
          <w:szCs w:val="21"/>
          <w:highlight w:val="none"/>
        </w:rPr>
        <w:t>平均值</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的，即</w:t>
      </w:r>
      <w:r>
        <w:rPr>
          <w:color w:val="auto"/>
          <w:highlight w:val="none"/>
        </w:rPr>
        <w:t>竞标报价</w:t>
      </w:r>
      <w:r>
        <w:rPr>
          <w:rFonts w:hint="eastAsia" w:ascii="宋体" w:hAnsi="宋体" w:cs="宋体"/>
          <w:color w:val="auto"/>
          <w:szCs w:val="21"/>
          <w:highlight w:val="none"/>
        </w:rPr>
        <w:t>＜全部通过符合性审查供应商</w:t>
      </w:r>
      <w:r>
        <w:rPr>
          <w:color w:val="auto"/>
          <w:highlight w:val="none"/>
        </w:rPr>
        <w:t>竞标报价</w:t>
      </w:r>
      <w:r>
        <w:rPr>
          <w:rFonts w:hint="eastAsia" w:ascii="宋体" w:hAnsi="宋体" w:cs="宋体"/>
          <w:color w:val="auto"/>
          <w:szCs w:val="21"/>
          <w:highlight w:val="none"/>
        </w:rPr>
        <w:t>平均值×</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；（范围为50%-65%）</w:t>
      </w:r>
    </w:p>
    <w:p w14:paraId="5CD9D41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②</w:t>
      </w:r>
      <w:r>
        <w:rPr>
          <w:color w:val="auto"/>
          <w:highlight w:val="none"/>
        </w:rPr>
        <w:t>竞标报价</w:t>
      </w:r>
      <w:r>
        <w:rPr>
          <w:rFonts w:hint="eastAsia" w:ascii="宋体" w:hAnsi="宋体" w:cs="宋体"/>
          <w:color w:val="auto"/>
          <w:szCs w:val="21"/>
          <w:highlight w:val="none"/>
        </w:rPr>
        <w:t>低于通过符合性审查的次低报价供应商</w:t>
      </w:r>
      <w:r>
        <w:rPr>
          <w:color w:val="auto"/>
          <w:highlight w:val="none"/>
        </w:rPr>
        <w:t>竞标报价</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的，即</w:t>
      </w:r>
      <w:r>
        <w:rPr>
          <w:color w:val="auto"/>
          <w:highlight w:val="none"/>
        </w:rPr>
        <w:t>竞标报价</w:t>
      </w:r>
      <w:r>
        <w:rPr>
          <w:rFonts w:hint="eastAsia" w:ascii="宋体" w:hAnsi="宋体" w:cs="宋体"/>
          <w:color w:val="auto"/>
          <w:szCs w:val="21"/>
          <w:highlight w:val="none"/>
        </w:rPr>
        <w:t>＜通过符合性审查的次低报价供应商</w:t>
      </w:r>
      <w:r>
        <w:rPr>
          <w:color w:val="auto"/>
          <w:highlight w:val="none"/>
        </w:rPr>
        <w:t>竞标报价</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；（范围为50%-65%）</w:t>
      </w:r>
    </w:p>
    <w:p w14:paraId="47D30B2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③</w:t>
      </w:r>
      <w:r>
        <w:rPr>
          <w:color w:val="auto"/>
          <w:highlight w:val="none"/>
        </w:rPr>
        <w:t>竞标报价</w:t>
      </w:r>
      <w:r>
        <w:rPr>
          <w:rFonts w:hint="eastAsia" w:ascii="宋体" w:hAnsi="宋体" w:cs="宋体"/>
          <w:color w:val="auto"/>
          <w:szCs w:val="21"/>
          <w:highlight w:val="none"/>
        </w:rPr>
        <w:t>低于采购项目最高限价</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的，即</w:t>
      </w:r>
      <w:r>
        <w:rPr>
          <w:color w:val="auto"/>
          <w:highlight w:val="none"/>
        </w:rPr>
        <w:t>竞标报价</w:t>
      </w:r>
      <w:r>
        <w:rPr>
          <w:rFonts w:hint="eastAsia" w:ascii="宋体" w:hAnsi="宋体" w:cs="宋体"/>
          <w:color w:val="auto"/>
          <w:szCs w:val="21"/>
          <w:highlight w:val="none"/>
        </w:rPr>
        <w:t>＜采购项目最高限价×</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；（范围为45%-65%）</w:t>
      </w:r>
    </w:p>
    <w:p w14:paraId="1F5CA20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④磋商小组基于专业判断，认为供应商报价过低，有可能影响产品质量或者不能诚信履约的其他情形。</w:t>
      </w:r>
    </w:p>
    <w:p w14:paraId="2EC9AD0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（2）磋商小组启动异常低价响应审查后，</w:t>
      </w:r>
      <w:r>
        <w:rPr>
          <w:rFonts w:hint="eastAsia" w:ascii="宋体" w:hAnsi="宋体" w:cs="宋体"/>
          <w:color w:val="auto"/>
          <w:szCs w:val="21"/>
          <w:highlight w:val="none"/>
        </w:rPr>
        <w:t>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w:t>
      </w:r>
      <w:r>
        <w:rPr>
          <w:rFonts w:hint="eastAsia" w:ascii="宋体" w:hAnsi="宋体" w:cs="宋体"/>
          <w:color w:val="auto"/>
          <w:szCs w:val="21"/>
          <w:highlight w:val="none"/>
        </w:rPr>
        <w:t>一般</w:t>
      </w:r>
      <w:r>
        <w:rPr>
          <w:rFonts w:hint="eastAsia" w:ascii="宋体" w:hAnsi="宋体" w:cs="宋体"/>
          <w:color w:val="auto"/>
          <w:szCs w:val="21"/>
          <w:highlight w:val="none"/>
        </w:rPr>
        <w:t>不少于30分钟。其中，属于第③项情形，供应商已随响应文件一并提交相关书面说明及必要的证明材料的，可不再重复提交。</w:t>
      </w:r>
    </w:p>
    <w:p w14:paraId="656F342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磋商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磋商小组应当将其作为无效响应处理。</w:t>
      </w:r>
    </w:p>
    <w:p w14:paraId="2C1EE51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42B7FA4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异常低价响应审查的启动原因、审查意见和审查结果应当在评审报告中记录，并随供应商提供的相关书面说明及证明材料，以及磋商小组有关互联网浏览、查询历史一并归档。</w:t>
      </w:r>
    </w:p>
    <w:p w14:paraId="42A0B34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5.6由磋商小组根据综合评分情况，按照评审得分由高到低顺序推荐3名以上成交候选供应商，并编写评审报告。符合本章第4.3条情形的，可以推荐2家成交候选供应商。评审得分相同的，按照最后报价由低到高的顺序推荐。评审得分且最后报价相同的，按照技术指标优劣顺序推荐。</w:t>
      </w:r>
    </w:p>
    <w:p w14:paraId="7A5B5C7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5.7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r>
        <w:rPr>
          <w:rFonts w:hint="eastAsia" w:ascii="宋体" w:hAnsi="宋体"/>
          <w:color w:val="auto"/>
          <w:szCs w:val="21"/>
          <w:highlight w:val="none"/>
        </w:rPr>
        <w:t>。</w:t>
      </w:r>
    </w:p>
    <w:p w14:paraId="119EFEE2">
      <w:pPr>
        <w:spacing w:line="360" w:lineRule="auto"/>
        <w:ind w:firstLine="321"/>
        <w:rPr>
          <w:rFonts w:ascii="宋体" w:hAnsi="宋体"/>
          <w:b/>
          <w:color w:val="auto"/>
          <w:sz w:val="32"/>
          <w:szCs w:val="32"/>
          <w:highlight w:val="none"/>
        </w:rPr>
      </w:pPr>
      <w:r>
        <w:rPr>
          <w:rFonts w:hint="eastAsia" w:ascii="宋体" w:hAnsi="宋体"/>
          <w:b/>
          <w:color w:val="auto"/>
          <w:sz w:val="32"/>
          <w:szCs w:val="32"/>
          <w:highlight w:val="none"/>
        </w:rPr>
        <w:t>二、评审标准</w:t>
      </w:r>
    </w:p>
    <w:p w14:paraId="7C7BDA21">
      <w:pPr>
        <w:spacing w:line="360" w:lineRule="auto"/>
        <w:ind w:firstLine="420"/>
        <w:rPr>
          <w:rFonts w:hint="eastAsia" w:ascii="宋体" w:hAnsi="宋体"/>
          <w:bCs/>
          <w:color w:val="auto"/>
          <w:szCs w:val="21"/>
          <w:highlight w:val="none"/>
        </w:rPr>
      </w:pPr>
    </w:p>
    <w:tbl>
      <w:tblPr>
        <w:tblStyle w:val="31"/>
        <w:tblpPr w:leftFromText="180" w:rightFromText="180" w:vertAnchor="text" w:horzAnchor="page" w:tblpX="1444" w:tblpY="293"/>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134"/>
        <w:gridCol w:w="954"/>
        <w:gridCol w:w="6224"/>
      </w:tblGrid>
      <w:tr w14:paraId="0D7A0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8" w:type="dxa"/>
            <w:noWrap/>
            <w:vAlign w:val="center"/>
          </w:tcPr>
          <w:p w14:paraId="4A73C55B">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序号</w:t>
            </w:r>
          </w:p>
        </w:tc>
        <w:tc>
          <w:tcPr>
            <w:tcW w:w="1134" w:type="dxa"/>
            <w:noWrap/>
            <w:vAlign w:val="center"/>
          </w:tcPr>
          <w:p w14:paraId="0D26F6FB">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评审因素及分值</w:t>
            </w:r>
          </w:p>
        </w:tc>
        <w:tc>
          <w:tcPr>
            <w:tcW w:w="954" w:type="dxa"/>
            <w:noWrap/>
            <w:vAlign w:val="center"/>
          </w:tcPr>
          <w:p w14:paraId="76A2AD15">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分项分值</w:t>
            </w:r>
          </w:p>
        </w:tc>
        <w:tc>
          <w:tcPr>
            <w:tcW w:w="6224" w:type="dxa"/>
            <w:noWrap/>
            <w:vAlign w:val="center"/>
          </w:tcPr>
          <w:p w14:paraId="218ED276">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评审标准</w:t>
            </w:r>
          </w:p>
        </w:tc>
      </w:tr>
      <w:tr w14:paraId="30D70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5434EBA0">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w:t>
            </w:r>
          </w:p>
        </w:tc>
        <w:tc>
          <w:tcPr>
            <w:tcW w:w="1134" w:type="dxa"/>
            <w:noWrap/>
            <w:vAlign w:val="center"/>
          </w:tcPr>
          <w:p w14:paraId="03C3FA06">
            <w:pPr>
              <w:spacing w:line="360" w:lineRule="auto"/>
              <w:jc w:val="center"/>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eastAsia="zh-CN"/>
              </w:rPr>
              <w:t>竞标</w:t>
            </w:r>
            <w:r>
              <w:rPr>
                <w:rFonts w:hint="eastAsia" w:ascii="宋体" w:hAnsi="宋体" w:eastAsia="宋体" w:cs="宋体"/>
                <w:b/>
                <w:color w:val="auto"/>
                <w:sz w:val="21"/>
                <w:szCs w:val="21"/>
                <w:highlight w:val="none"/>
              </w:rPr>
              <w:t>报价</w:t>
            </w:r>
          </w:p>
          <w:p w14:paraId="6616E49D">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（满分</w:t>
            </w:r>
            <w:r>
              <w:rPr>
                <w:rFonts w:hint="eastAsia" w:ascii="宋体" w:hAnsi="宋体" w:eastAsia="宋体" w:cs="宋体"/>
                <w:b/>
                <w:color w:val="auto"/>
                <w:sz w:val="21"/>
                <w:szCs w:val="21"/>
                <w:highlight w:val="none"/>
                <w:lang w:val="en-US" w:eastAsia="zh-CN"/>
              </w:rPr>
              <w:t>30</w:t>
            </w:r>
            <w:r>
              <w:rPr>
                <w:rFonts w:hint="eastAsia" w:ascii="宋体" w:hAnsi="宋体" w:eastAsia="宋体" w:cs="宋体"/>
                <w:b/>
                <w:color w:val="auto"/>
                <w:sz w:val="21"/>
                <w:szCs w:val="21"/>
                <w:highlight w:val="none"/>
              </w:rPr>
              <w:t>分）</w:t>
            </w:r>
          </w:p>
        </w:tc>
        <w:tc>
          <w:tcPr>
            <w:tcW w:w="954" w:type="dxa"/>
            <w:noWrap/>
            <w:vAlign w:val="center"/>
          </w:tcPr>
          <w:p w14:paraId="1E404380">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highlight w:val="none"/>
                <w:lang w:val="en-US" w:eastAsia="zh-CN"/>
              </w:rPr>
              <w:t>30</w:t>
            </w:r>
            <w:r>
              <w:rPr>
                <w:rFonts w:hint="eastAsia" w:ascii="宋体" w:hAnsi="宋体" w:eastAsia="宋体" w:cs="宋体"/>
                <w:b/>
                <w:bCs w:val="0"/>
                <w:color w:val="auto"/>
                <w:sz w:val="21"/>
                <w:szCs w:val="21"/>
                <w:highlight w:val="none"/>
              </w:rPr>
              <w:t>分</w:t>
            </w:r>
          </w:p>
        </w:tc>
        <w:tc>
          <w:tcPr>
            <w:tcW w:w="6224" w:type="dxa"/>
            <w:noWrap/>
            <w:vAlign w:val="center"/>
          </w:tcPr>
          <w:p w14:paraId="3AABA62B">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（1）竞标报价为竞标人的竞标折扣率报价进行政策性扣除后的价格，评审报价只是作为评审时使用。最终成交供应商的成交折扣率等于的竞标折扣率。</w:t>
            </w:r>
          </w:p>
          <w:p w14:paraId="16CC35C7">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（2）政策性扣除计算方法。</w:t>
            </w:r>
          </w:p>
          <w:p w14:paraId="5D95A471">
            <w:pPr>
              <w:snapToGrid w:val="0"/>
              <w:spacing w:line="360" w:lineRule="auto"/>
              <w:ind w:firstLine="443" w:firstLineChars="211"/>
              <w:rPr>
                <w:rFonts w:ascii="宋体" w:hAnsi="宋体"/>
                <w:color w:val="auto"/>
                <w:szCs w:val="21"/>
                <w:highlight w:val="none"/>
              </w:rPr>
            </w:pPr>
            <w:r>
              <w:rPr>
                <w:rFonts w:hint="eastAsia" w:ascii="宋体" w:hAnsi="宋体"/>
                <w:bCs/>
                <w:color w:val="auto"/>
                <w:szCs w:val="21"/>
                <w:highlight w:val="none"/>
              </w:rPr>
              <w:t>根据《政府采购促进中小企业发展管理办法》（财库〔2020〕46号）及《广西壮族自治区财政厅关于持续优化政府采购营商环境推动高质量发展的通知》（桂财采〔2024〕55号）的规定，竞标人在其的响应文件中提供《中小企业声明函》，且服务由小微企业承接的，对其竞标报价给予</w:t>
            </w:r>
            <w:r>
              <w:rPr>
                <w:rFonts w:hint="eastAsia" w:ascii="宋体" w:hAnsi="宋体"/>
                <w:bCs/>
                <w:color w:val="auto"/>
                <w:szCs w:val="21"/>
                <w:highlight w:val="none"/>
                <w:u w:val="single"/>
              </w:rPr>
              <w:t xml:space="preserve"> 10%  </w:t>
            </w:r>
            <w:r>
              <w:rPr>
                <w:rFonts w:hint="eastAsia" w:ascii="宋体" w:hAnsi="宋体"/>
                <w:bCs/>
                <w:color w:val="auto"/>
                <w:szCs w:val="21"/>
                <w:highlight w:val="none"/>
              </w:rPr>
              <w:t>的扣除，扣除后的价格为评审报价，即评审报价=竞标报价×（1-</w:t>
            </w:r>
            <w:r>
              <w:rPr>
                <w:rFonts w:hint="eastAsia" w:ascii="宋体" w:hAnsi="宋体"/>
                <w:bCs/>
                <w:color w:val="auto"/>
                <w:szCs w:val="21"/>
                <w:highlight w:val="none"/>
                <w:u w:val="single"/>
              </w:rPr>
              <w:t xml:space="preserve"> 10 </w:t>
            </w:r>
            <w:r>
              <w:rPr>
                <w:rFonts w:hint="eastAsia" w:ascii="宋体" w:hAnsi="宋体"/>
                <w:bCs/>
                <w:color w:val="auto"/>
                <w:szCs w:val="21"/>
                <w:highlight w:val="none"/>
              </w:rPr>
              <w:t>%）。除上述情况外，评审报价=竞标报价。</w:t>
            </w:r>
          </w:p>
          <w:p w14:paraId="19067046">
            <w:pPr>
              <w:snapToGrid w:val="0"/>
              <w:spacing w:line="360" w:lineRule="auto"/>
              <w:ind w:firstLine="233" w:firstLineChars="111"/>
              <w:rPr>
                <w:rFonts w:hint="eastAsia" w:ascii="宋体" w:hAnsi="宋体"/>
                <w:bCs/>
                <w:color w:val="auto"/>
                <w:szCs w:val="21"/>
                <w:highlight w:val="none"/>
              </w:rPr>
            </w:pPr>
            <w:r>
              <w:rPr>
                <w:rFonts w:hint="eastAsia" w:ascii="宋体" w:hAnsi="宋体"/>
                <w:bCs/>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color w:val="auto"/>
                <w:szCs w:val="21"/>
                <w:highlight w:val="none"/>
              </w:rPr>
              <w:t>监狱企业参加政府采购活动时，应当提供由省级以上监狱管理局、戒毒管理局（含新疆生产建设兵团）出具的属于监狱企业的证明文件。</w:t>
            </w:r>
            <w:r>
              <w:rPr>
                <w:rFonts w:hint="eastAsia" w:ascii="宋体" w:hAnsi="宋体"/>
                <w:bCs/>
                <w:color w:val="auto"/>
                <w:szCs w:val="21"/>
                <w:highlight w:val="none"/>
              </w:rPr>
              <w:t>监狱企业属于小型、微型企业的，不重复享受政策。</w:t>
            </w:r>
          </w:p>
          <w:p w14:paraId="1C71229A">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color w:val="auto"/>
                <w:szCs w:val="21"/>
                <w:highlight w:val="none"/>
              </w:rPr>
              <w:t>（4）按照</w:t>
            </w:r>
            <w:r>
              <w:rPr>
                <w:rFonts w:hint="eastAsia" w:ascii="宋体" w:hAnsi="宋体"/>
                <w:bCs/>
                <w:color w:val="auto"/>
                <w:szCs w:val="21"/>
                <w:highlight w:val="none"/>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color w:val="auto"/>
                <w:szCs w:val="21"/>
                <w:highlight w:val="none"/>
              </w:rPr>
              <w:t>残疾人福利性单位参加政府采购活动时，应当提供该通知规定的《残疾人福利性单位声明函》，并对声明的真实性负责。</w:t>
            </w:r>
            <w:r>
              <w:rPr>
                <w:rFonts w:hint="eastAsia" w:ascii="宋体" w:hAnsi="宋体"/>
                <w:bCs/>
                <w:color w:val="auto"/>
                <w:szCs w:val="21"/>
                <w:highlight w:val="none"/>
              </w:rPr>
              <w:t>残疾人福利性单位属于小型、微型企业的，不重复享受政策。</w:t>
            </w:r>
          </w:p>
          <w:p w14:paraId="66115B79">
            <w:pPr>
              <w:spacing w:line="360" w:lineRule="auto"/>
              <w:ind w:firstLine="420" w:firstLineChars="200"/>
              <w:rPr>
                <w:rFonts w:ascii="宋体" w:hAnsi="宋体" w:cs="宋体"/>
                <w:color w:val="auto"/>
                <w:szCs w:val="21"/>
                <w:highlight w:val="none"/>
              </w:rPr>
            </w:pPr>
            <w:r>
              <w:rPr>
                <w:rFonts w:hint="eastAsia" w:ascii="宋体" w:hAnsi="宋体" w:eastAsia="宋体" w:cs="宋体"/>
                <w:bCs/>
                <w:color w:val="auto"/>
                <w:sz w:val="21"/>
                <w:szCs w:val="21"/>
                <w:highlight w:val="none"/>
              </w:rPr>
              <w:t>（5）</w:t>
            </w:r>
            <w:r>
              <w:rPr>
                <w:rFonts w:hint="eastAsia" w:ascii="宋体" w:hAnsi="宋体" w:cs="宋体"/>
                <w:color w:val="auto"/>
                <w:szCs w:val="21"/>
                <w:highlight w:val="none"/>
              </w:rPr>
              <w:t>本国产品政策性扣除计算方法。</w:t>
            </w:r>
          </w:p>
          <w:p w14:paraId="11287AE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593E02F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415890D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供应商在其</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文件中提供《关于符合本国产品标准的声明函》或财政部会同有关部门规定的有关证明文件，出具符合要求的《声明函》或有关证明文件的，该产品视为本国产品。</w:t>
            </w:r>
          </w:p>
          <w:p w14:paraId="6FE87F9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如果所有参与竞争的供应商均可享受本国产品价格评审优惠，则统一不进行价格扣除。</w:t>
            </w:r>
          </w:p>
          <w:p w14:paraId="52BE9D22">
            <w:pPr>
              <w:pStyle w:val="17"/>
              <w:spacing w:line="360" w:lineRule="auto"/>
              <w:rPr>
                <w:rFonts w:hAnsi="宋体"/>
                <w:color w:val="auto"/>
                <w:kern w:val="2"/>
                <w:sz w:val="21"/>
                <w:highlight w:val="none"/>
                <w:lang w:val="en-US" w:eastAsia="zh-CN"/>
              </w:rPr>
            </w:pPr>
            <w:r>
              <w:rPr>
                <w:rFonts w:hint="eastAsia" w:ascii="宋体" w:hAnsi="宋体" w:eastAsia="宋体" w:cs="宋体"/>
                <w:bCs/>
                <w:color w:val="auto"/>
                <w:sz w:val="21"/>
                <w:szCs w:val="21"/>
                <w:highlight w:val="none"/>
              </w:rPr>
              <w:t>（6）</w:t>
            </w:r>
            <w:r>
              <w:rPr>
                <w:rFonts w:hint="eastAsia" w:hAnsi="宋体"/>
                <w:color w:val="auto"/>
                <w:kern w:val="2"/>
                <w:sz w:val="21"/>
                <w:highlight w:val="none"/>
                <w:lang w:val="en-US" w:eastAsia="zh-CN"/>
              </w:rPr>
              <w:t>中小企业折扣与本国产品折扣进行叠加计算，用扣除后的价格参加评审。即评审价=竞标报价-中小企业折扣-本国产品折扣，除上述情况外，评审价=竞标报价。</w:t>
            </w:r>
          </w:p>
          <w:p w14:paraId="448098C0">
            <w:pPr>
              <w:snapToGrid w:val="0"/>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）满足采购文件要求且评审报价最低的评审报价为评审基准价，其价格分为满分。</w:t>
            </w:r>
          </w:p>
          <w:p w14:paraId="72B835B3">
            <w:pPr>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 xml:space="preserve">）价格分计算公式：        </w:t>
            </w:r>
          </w:p>
          <w:p w14:paraId="45EF4340">
            <w:pPr>
              <w:pStyle w:val="17"/>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价格分</w:t>
            </w:r>
            <w:r>
              <w:rPr>
                <w:rFonts w:hint="eastAsia" w:ascii="宋体" w:hAnsi="宋体" w:eastAsia="宋体" w:cs="宋体"/>
                <w:bCs/>
                <w:color w:val="auto"/>
                <w:kern w:val="2"/>
                <w:sz w:val="21"/>
                <w:szCs w:val="21"/>
                <w:highlight w:val="none"/>
                <w:lang w:val="en-US" w:eastAsia="zh-CN"/>
              </w:rPr>
              <w:t>=（评标基准价／评审报价）×</w:t>
            </w:r>
            <w:r>
              <w:rPr>
                <w:rFonts w:hint="eastAsia" w:ascii="宋体" w:hAnsi="宋体" w:eastAsia="宋体" w:cs="宋体"/>
                <w:bCs/>
                <w:color w:val="auto"/>
                <w:sz w:val="21"/>
                <w:szCs w:val="21"/>
                <w:highlight w:val="none"/>
                <w:u w:val="single"/>
                <w:lang w:val="en-US" w:eastAsia="zh-CN"/>
              </w:rPr>
              <w:t xml:space="preserve"> 30  </w:t>
            </w:r>
            <w:r>
              <w:rPr>
                <w:rFonts w:hint="eastAsia" w:ascii="宋体" w:hAnsi="宋体" w:eastAsia="宋体" w:cs="宋体"/>
                <w:bCs/>
                <w:color w:val="auto"/>
                <w:kern w:val="2"/>
                <w:sz w:val="21"/>
                <w:szCs w:val="21"/>
                <w:highlight w:val="none"/>
                <w:lang w:val="en-US" w:eastAsia="zh-CN"/>
              </w:rPr>
              <w:t>分</w:t>
            </w:r>
          </w:p>
        </w:tc>
      </w:tr>
      <w:tr w14:paraId="47873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1CA06C05">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2</w:t>
            </w:r>
          </w:p>
        </w:tc>
        <w:tc>
          <w:tcPr>
            <w:tcW w:w="1134" w:type="dxa"/>
            <w:noWrap/>
            <w:vAlign w:val="center"/>
          </w:tcPr>
          <w:p w14:paraId="356F6E5D">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bCs/>
                <w:color w:val="auto"/>
                <w:sz w:val="21"/>
                <w:szCs w:val="21"/>
                <w:highlight w:val="none"/>
              </w:rPr>
              <w:t>技术方案</w:t>
            </w:r>
          </w:p>
        </w:tc>
        <w:tc>
          <w:tcPr>
            <w:tcW w:w="954" w:type="dxa"/>
            <w:noWrap/>
            <w:vAlign w:val="center"/>
          </w:tcPr>
          <w:p w14:paraId="360D56A4">
            <w:pPr>
              <w:spacing w:line="360" w:lineRule="auto"/>
              <w:jc w:val="center"/>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54分</w:t>
            </w:r>
          </w:p>
        </w:tc>
        <w:tc>
          <w:tcPr>
            <w:tcW w:w="6224" w:type="dxa"/>
            <w:noWrap/>
            <w:vAlign w:val="center"/>
          </w:tcPr>
          <w:p w14:paraId="233B8ADA">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（1）实施方案（满分</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p w14:paraId="15ACE005">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①对项目背景、</w:t>
            </w:r>
            <w:r>
              <w:rPr>
                <w:rFonts w:hint="eastAsia" w:ascii="宋体" w:hAnsi="宋体" w:eastAsia="宋体" w:cs="宋体"/>
                <w:b/>
                <w:color w:val="auto"/>
                <w:sz w:val="21"/>
                <w:szCs w:val="21"/>
                <w:highlight w:val="none"/>
                <w:lang w:eastAsia="zh-CN"/>
              </w:rPr>
              <w:t>配送</w:t>
            </w:r>
            <w:r>
              <w:rPr>
                <w:rFonts w:hint="eastAsia" w:ascii="宋体" w:hAnsi="宋体" w:eastAsia="宋体" w:cs="宋体"/>
                <w:b/>
                <w:color w:val="auto"/>
                <w:sz w:val="21"/>
                <w:szCs w:val="21"/>
                <w:highlight w:val="none"/>
              </w:rPr>
              <w:t>要求等的理解（</w:t>
            </w:r>
            <w:r>
              <w:rPr>
                <w:rFonts w:hint="eastAsia" w:ascii="宋体" w:hAnsi="宋体" w:eastAsia="宋体" w:cs="宋体"/>
                <w:b/>
                <w:color w:val="auto"/>
                <w:sz w:val="21"/>
                <w:szCs w:val="21"/>
                <w:highlight w:val="none"/>
                <w:lang w:val="en-US" w:eastAsia="zh-CN"/>
              </w:rPr>
              <w:t>6</w:t>
            </w:r>
            <w:r>
              <w:rPr>
                <w:rFonts w:hint="eastAsia" w:ascii="宋体" w:hAnsi="宋体" w:eastAsia="宋体" w:cs="宋体"/>
                <w:b/>
                <w:color w:val="auto"/>
                <w:sz w:val="21"/>
                <w:szCs w:val="21"/>
                <w:highlight w:val="none"/>
              </w:rPr>
              <w:t>分）：</w:t>
            </w:r>
            <w:r>
              <w:rPr>
                <w:rFonts w:hint="eastAsia" w:ascii="宋体" w:hAnsi="宋体" w:eastAsia="宋体" w:cs="宋体"/>
                <w:bCs/>
                <w:color w:val="auto"/>
                <w:sz w:val="21"/>
                <w:szCs w:val="21"/>
                <w:highlight w:val="none"/>
              </w:rPr>
              <w:t>对本项目</w:t>
            </w:r>
            <w:r>
              <w:rPr>
                <w:rFonts w:hint="eastAsia" w:ascii="宋体" w:hAnsi="宋体" w:eastAsia="宋体" w:cs="宋体"/>
                <w:bCs/>
                <w:color w:val="auto"/>
                <w:sz w:val="21"/>
                <w:szCs w:val="21"/>
                <w:highlight w:val="none"/>
                <w:lang w:eastAsia="zh-CN"/>
              </w:rPr>
              <w:t>学生食堂食材配送</w:t>
            </w:r>
            <w:r>
              <w:rPr>
                <w:rFonts w:hint="eastAsia" w:ascii="宋体" w:hAnsi="宋体" w:eastAsia="宋体" w:cs="宋体"/>
                <w:bCs/>
                <w:color w:val="auto"/>
                <w:sz w:val="21"/>
                <w:szCs w:val="21"/>
                <w:highlight w:val="none"/>
              </w:rPr>
              <w:t>背景及目的有说明的得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分；对本项目</w:t>
            </w:r>
            <w:r>
              <w:rPr>
                <w:rFonts w:hint="eastAsia" w:ascii="宋体" w:hAnsi="宋体" w:eastAsia="宋体" w:cs="宋体"/>
                <w:bCs/>
                <w:color w:val="auto"/>
                <w:sz w:val="21"/>
                <w:szCs w:val="21"/>
                <w:highlight w:val="none"/>
                <w:lang w:eastAsia="zh-CN"/>
              </w:rPr>
              <w:t>学生食堂食材配送</w:t>
            </w:r>
            <w:r>
              <w:rPr>
                <w:rFonts w:hint="eastAsia" w:ascii="宋体" w:hAnsi="宋体" w:eastAsia="宋体" w:cs="宋体"/>
                <w:bCs/>
                <w:color w:val="auto"/>
                <w:sz w:val="21"/>
                <w:szCs w:val="21"/>
                <w:highlight w:val="none"/>
              </w:rPr>
              <w:t>背景及目的有说明，且能结合</w:t>
            </w:r>
            <w:r>
              <w:rPr>
                <w:rFonts w:hint="eastAsia" w:ascii="宋体" w:hAnsi="宋体" w:eastAsia="宋体" w:cs="宋体"/>
                <w:bCs/>
                <w:color w:val="auto"/>
                <w:sz w:val="21"/>
                <w:szCs w:val="21"/>
                <w:highlight w:val="none"/>
                <w:lang w:eastAsia="zh-CN"/>
              </w:rPr>
              <w:t>学校</w:t>
            </w:r>
            <w:r>
              <w:rPr>
                <w:rFonts w:hint="eastAsia" w:ascii="宋体" w:hAnsi="宋体" w:eastAsia="宋体" w:cs="宋体"/>
                <w:bCs/>
                <w:color w:val="auto"/>
                <w:sz w:val="21"/>
                <w:szCs w:val="21"/>
                <w:highlight w:val="none"/>
              </w:rPr>
              <w:t>要求对</w:t>
            </w:r>
            <w:r>
              <w:rPr>
                <w:rFonts w:hint="eastAsia" w:ascii="宋体" w:hAnsi="宋体" w:eastAsia="宋体" w:cs="宋体"/>
                <w:bCs/>
                <w:color w:val="auto"/>
                <w:sz w:val="21"/>
                <w:szCs w:val="21"/>
                <w:highlight w:val="none"/>
                <w:lang w:eastAsia="zh-CN"/>
              </w:rPr>
              <w:t>食材配送</w:t>
            </w:r>
            <w:r>
              <w:rPr>
                <w:rFonts w:hint="eastAsia" w:ascii="宋体" w:hAnsi="宋体" w:eastAsia="宋体" w:cs="宋体"/>
                <w:bCs/>
                <w:color w:val="auto"/>
                <w:sz w:val="21"/>
                <w:szCs w:val="21"/>
                <w:highlight w:val="none"/>
              </w:rPr>
              <w:t>要求进行分析的得</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分；对本项目</w:t>
            </w:r>
            <w:r>
              <w:rPr>
                <w:rFonts w:hint="eastAsia" w:ascii="宋体" w:hAnsi="宋体" w:eastAsia="宋体" w:cs="宋体"/>
                <w:bCs/>
                <w:color w:val="auto"/>
                <w:sz w:val="21"/>
                <w:szCs w:val="21"/>
                <w:highlight w:val="none"/>
                <w:lang w:eastAsia="zh-CN"/>
              </w:rPr>
              <w:t>学生食堂食材配送</w:t>
            </w:r>
            <w:r>
              <w:rPr>
                <w:rFonts w:hint="eastAsia" w:ascii="宋体" w:hAnsi="宋体" w:eastAsia="宋体" w:cs="宋体"/>
                <w:bCs/>
                <w:color w:val="auto"/>
                <w:sz w:val="21"/>
                <w:szCs w:val="21"/>
                <w:highlight w:val="none"/>
              </w:rPr>
              <w:t>背景及目的有说明，对</w:t>
            </w:r>
            <w:r>
              <w:rPr>
                <w:rFonts w:hint="eastAsia" w:ascii="宋体" w:hAnsi="宋体" w:eastAsia="宋体" w:cs="宋体"/>
                <w:bCs/>
                <w:color w:val="auto"/>
                <w:sz w:val="21"/>
                <w:szCs w:val="21"/>
                <w:highlight w:val="none"/>
                <w:lang w:eastAsia="zh-CN"/>
              </w:rPr>
              <w:t>食材配送</w:t>
            </w:r>
            <w:r>
              <w:rPr>
                <w:rFonts w:hint="eastAsia" w:ascii="宋体" w:hAnsi="宋体" w:eastAsia="宋体" w:cs="宋体"/>
                <w:bCs/>
                <w:color w:val="auto"/>
                <w:sz w:val="21"/>
                <w:szCs w:val="21"/>
                <w:highlight w:val="none"/>
              </w:rPr>
              <w:t>要求能结合</w:t>
            </w:r>
            <w:r>
              <w:rPr>
                <w:rFonts w:hint="eastAsia" w:ascii="宋体" w:hAnsi="宋体" w:eastAsia="宋体" w:cs="宋体"/>
                <w:bCs/>
                <w:color w:val="auto"/>
                <w:sz w:val="21"/>
                <w:szCs w:val="21"/>
                <w:highlight w:val="none"/>
                <w:lang w:eastAsia="zh-CN"/>
              </w:rPr>
              <w:t>学校</w:t>
            </w:r>
            <w:r>
              <w:rPr>
                <w:rFonts w:hint="eastAsia" w:ascii="宋体" w:hAnsi="宋体" w:eastAsia="宋体" w:cs="宋体"/>
                <w:bCs/>
                <w:color w:val="auto"/>
                <w:sz w:val="21"/>
                <w:szCs w:val="21"/>
                <w:highlight w:val="none"/>
              </w:rPr>
              <w:t>要求进行分析，能结合实际分析项目重难点</w:t>
            </w:r>
            <w:r>
              <w:rPr>
                <w:rFonts w:hint="eastAsia" w:ascii="宋体" w:hAnsi="宋体" w:eastAsia="宋体" w:cs="宋体"/>
                <w:bCs/>
                <w:color w:val="auto"/>
                <w:sz w:val="21"/>
                <w:szCs w:val="21"/>
                <w:highlight w:val="none"/>
                <w:lang w:eastAsia="zh-CN"/>
              </w:rPr>
              <w:t>且给出具体解决措施</w:t>
            </w:r>
            <w:r>
              <w:rPr>
                <w:rFonts w:hint="eastAsia" w:ascii="宋体" w:hAnsi="宋体" w:eastAsia="宋体" w:cs="宋体"/>
                <w:bCs/>
                <w:color w:val="auto"/>
                <w:sz w:val="21"/>
                <w:szCs w:val="21"/>
                <w:highlight w:val="none"/>
              </w:rPr>
              <w:t>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42741170">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②</w:t>
            </w:r>
            <w:r>
              <w:rPr>
                <w:rFonts w:hint="eastAsia" w:ascii="宋体" w:hAnsi="宋体" w:eastAsia="宋体" w:cs="宋体"/>
                <w:b/>
                <w:color w:val="auto"/>
                <w:kern w:val="1"/>
                <w:sz w:val="21"/>
                <w:szCs w:val="21"/>
                <w:highlight w:val="none"/>
              </w:rPr>
              <w:t>管理制度</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6</w:t>
            </w:r>
            <w:r>
              <w:rPr>
                <w:rFonts w:hint="eastAsia" w:ascii="宋体" w:hAnsi="宋体" w:eastAsia="宋体" w:cs="宋体"/>
                <w:b/>
                <w:color w:val="auto"/>
                <w:sz w:val="21"/>
                <w:szCs w:val="21"/>
                <w:highlight w:val="none"/>
              </w:rPr>
              <w:t>分）：</w:t>
            </w:r>
            <w:r>
              <w:rPr>
                <w:rFonts w:hint="eastAsia" w:ascii="宋体" w:hAnsi="宋体" w:eastAsia="宋体" w:cs="宋体"/>
                <w:bCs/>
                <w:color w:val="auto"/>
                <w:sz w:val="21"/>
                <w:szCs w:val="21"/>
                <w:highlight w:val="none"/>
              </w:rPr>
              <w:t>能提供</w:t>
            </w:r>
            <w:r>
              <w:rPr>
                <w:rFonts w:hint="eastAsia" w:ascii="宋体" w:hAnsi="宋体" w:eastAsia="宋体" w:cs="宋体"/>
                <w:bCs/>
                <w:color w:val="auto"/>
                <w:sz w:val="21"/>
                <w:szCs w:val="21"/>
                <w:highlight w:val="none"/>
                <w:lang w:eastAsia="zh-CN"/>
              </w:rPr>
              <w:t>食堂食材配送</w:t>
            </w:r>
            <w:r>
              <w:rPr>
                <w:rFonts w:hint="eastAsia" w:ascii="宋体" w:hAnsi="宋体" w:eastAsia="宋体" w:cs="宋体"/>
                <w:bCs/>
                <w:color w:val="auto"/>
                <w:sz w:val="21"/>
                <w:szCs w:val="21"/>
                <w:highlight w:val="none"/>
              </w:rPr>
              <w:t>的</w:t>
            </w:r>
            <w:r>
              <w:rPr>
                <w:rFonts w:hint="eastAsia" w:ascii="宋体" w:hAnsi="宋体" w:eastAsia="宋体" w:cs="宋体"/>
                <w:bCs/>
                <w:color w:val="auto"/>
                <w:sz w:val="21"/>
                <w:szCs w:val="21"/>
                <w:highlight w:val="none"/>
                <w:lang w:eastAsia="zh-CN"/>
              </w:rPr>
              <w:t>管理制度</w:t>
            </w:r>
            <w:r>
              <w:rPr>
                <w:rFonts w:hint="eastAsia" w:ascii="宋体" w:hAnsi="宋体" w:eastAsia="宋体" w:cs="宋体"/>
                <w:bCs/>
                <w:color w:val="auto"/>
                <w:sz w:val="21"/>
                <w:szCs w:val="21"/>
                <w:highlight w:val="none"/>
              </w:rPr>
              <w:t>的得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分；管理制度包含采购管理、验收管理、存储管理的得</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分；管理制度包含采购管理、验收管理、存储管理</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食品安全自查、台账记录的得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58F5504A">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eastAsia="宋体" w:cs="宋体"/>
                <w:b/>
                <w:bCs/>
                <w:color w:val="auto"/>
                <w:sz w:val="21"/>
                <w:szCs w:val="21"/>
                <w:highlight w:val="none"/>
                <w:lang w:eastAsia="zh-CN"/>
              </w:rPr>
              <w:t>配送</w:t>
            </w:r>
            <w:r>
              <w:rPr>
                <w:rFonts w:hint="eastAsia" w:ascii="宋体" w:hAnsi="宋体" w:eastAsia="宋体" w:cs="宋体"/>
                <w:b/>
                <w:bCs/>
                <w:color w:val="auto"/>
                <w:sz w:val="21"/>
                <w:szCs w:val="21"/>
                <w:highlight w:val="none"/>
              </w:rPr>
              <w:t>方案（满分</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p w14:paraId="1D12D83E">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①配送方案（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提供有配送方案、包装及运输方案的得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分；提供的配送方案包含供应配送组织程序、流程要点、配送计划的配送方案的得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分；提供的配送方案包含供应配送组织程序、</w:t>
            </w:r>
            <w:r>
              <w:rPr>
                <w:rFonts w:hint="eastAsia" w:ascii="宋体" w:hAnsi="宋体" w:eastAsia="宋体" w:cs="宋体"/>
                <w:color w:val="auto"/>
                <w:sz w:val="21"/>
                <w:szCs w:val="21"/>
                <w:highlight w:val="none"/>
                <w:lang w:eastAsia="zh-CN"/>
              </w:rPr>
              <w:t>人员配置、</w:t>
            </w:r>
            <w:r>
              <w:rPr>
                <w:rFonts w:hint="eastAsia" w:ascii="宋体" w:hAnsi="宋体" w:eastAsia="宋体" w:cs="宋体"/>
                <w:color w:val="auto"/>
                <w:sz w:val="21"/>
                <w:szCs w:val="21"/>
                <w:highlight w:val="none"/>
              </w:rPr>
              <w:t>流程要点、配送计划方案，且结合本项目学校实际情况进行编制，包装及运输方案包含</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包装、保管、</w:t>
            </w:r>
            <w:r>
              <w:rPr>
                <w:rFonts w:hint="eastAsia" w:ascii="宋体" w:hAnsi="宋体" w:eastAsia="宋体" w:cs="宋体"/>
                <w:color w:val="auto"/>
                <w:sz w:val="21"/>
                <w:szCs w:val="21"/>
                <w:highlight w:val="none"/>
                <w:lang w:eastAsia="zh-CN"/>
              </w:rPr>
              <w:t>车辆</w:t>
            </w:r>
            <w:r>
              <w:rPr>
                <w:rFonts w:hint="eastAsia" w:ascii="宋体" w:hAnsi="宋体" w:eastAsia="宋体" w:cs="宋体"/>
                <w:color w:val="auto"/>
                <w:sz w:val="21"/>
                <w:szCs w:val="21"/>
                <w:highlight w:val="none"/>
              </w:rPr>
              <w:t>运输、装卸方案</w:t>
            </w:r>
            <w:r>
              <w:rPr>
                <w:rFonts w:hint="eastAsia" w:ascii="宋体" w:hAnsi="宋体" w:eastAsia="宋体" w:cs="宋体"/>
                <w:bCs/>
                <w:color w:val="auto"/>
                <w:sz w:val="21"/>
                <w:szCs w:val="21"/>
                <w:highlight w:val="none"/>
              </w:rPr>
              <w:t>，有安全保障措施的</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3A9062B6">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②</w:t>
            </w:r>
            <w:r>
              <w:rPr>
                <w:rFonts w:hint="eastAsia" w:ascii="宋体" w:hAnsi="宋体" w:eastAsia="宋体" w:cs="宋体"/>
                <w:b/>
                <w:color w:val="auto"/>
                <w:sz w:val="21"/>
                <w:szCs w:val="21"/>
                <w:highlight w:val="none"/>
                <w:lang w:eastAsia="zh-CN"/>
              </w:rPr>
              <w:t>售后服务</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6</w:t>
            </w:r>
            <w:r>
              <w:rPr>
                <w:rFonts w:hint="eastAsia" w:ascii="宋体" w:hAnsi="宋体" w:eastAsia="宋体" w:cs="宋体"/>
                <w:b/>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color w:val="auto"/>
                <w:sz w:val="21"/>
                <w:szCs w:val="21"/>
                <w:highlight w:val="none"/>
                <w:lang w:eastAsia="zh-CN"/>
              </w:rPr>
              <w:t>售后服务</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承诺接到采购人紧急通知后</w:t>
            </w:r>
            <w:r>
              <w:rPr>
                <w:rFonts w:hint="eastAsia" w:ascii="宋体" w:hAnsi="宋体" w:cs="宋体"/>
                <w:color w:val="auto"/>
                <w:sz w:val="21"/>
                <w:szCs w:val="21"/>
                <w:highlight w:val="none"/>
                <w:lang w:val="en-US" w:eastAsia="zh-CN"/>
              </w:rPr>
              <w:t>10分钟内</w:t>
            </w:r>
            <w:r>
              <w:rPr>
                <w:rFonts w:hint="eastAsia" w:ascii="宋体" w:hAnsi="宋体" w:eastAsia="宋体" w:cs="宋体"/>
                <w:color w:val="auto"/>
                <w:sz w:val="21"/>
                <w:szCs w:val="21"/>
                <w:highlight w:val="none"/>
              </w:rPr>
              <w:t>响应，</w:t>
            </w:r>
            <w:r>
              <w:rPr>
                <w:rFonts w:hint="eastAsia" w:ascii="宋体" w:hAnsi="宋体" w:cs="宋体"/>
                <w:color w:val="auto"/>
                <w:sz w:val="21"/>
                <w:szCs w:val="21"/>
                <w:highlight w:val="none"/>
                <w:lang w:val="en-US" w:eastAsia="zh-CN"/>
              </w:rPr>
              <w:t>30分钟</w:t>
            </w:r>
            <w:r>
              <w:rPr>
                <w:rFonts w:hint="eastAsia" w:ascii="宋体" w:hAnsi="宋体" w:eastAsia="宋体" w:cs="宋体"/>
                <w:color w:val="auto"/>
                <w:sz w:val="21"/>
                <w:szCs w:val="21"/>
                <w:highlight w:val="none"/>
              </w:rPr>
              <w:t>内完成</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配送的</w:t>
            </w:r>
            <w:r>
              <w:rPr>
                <w:rFonts w:hint="eastAsia" w:ascii="宋体" w:hAnsi="宋体" w:eastAsia="宋体" w:cs="宋体"/>
                <w:bCs/>
                <w:color w:val="auto"/>
                <w:sz w:val="21"/>
                <w:szCs w:val="21"/>
                <w:highlight w:val="none"/>
              </w:rPr>
              <w:t>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color w:val="auto"/>
                <w:kern w:val="1"/>
                <w:sz w:val="21"/>
                <w:szCs w:val="21"/>
                <w:highlight w:val="none"/>
              </w:rPr>
              <w:t>包含退换货组织、保障措施的</w:t>
            </w:r>
            <w:r>
              <w:rPr>
                <w:rFonts w:hint="eastAsia" w:ascii="宋体" w:hAnsi="宋体" w:eastAsia="宋体" w:cs="宋体"/>
                <w:color w:val="auto"/>
                <w:sz w:val="21"/>
                <w:szCs w:val="21"/>
                <w:highlight w:val="none"/>
                <w:lang w:eastAsia="zh-CN"/>
              </w:rPr>
              <w:t>售后服务</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承诺接到采购人紧急通知后</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分钟内响应，</w:t>
            </w:r>
            <w:r>
              <w:rPr>
                <w:rFonts w:hint="eastAsia" w:ascii="宋体" w:hAnsi="宋体" w:cs="宋体"/>
                <w:color w:val="auto"/>
                <w:sz w:val="21"/>
                <w:szCs w:val="21"/>
                <w:highlight w:val="none"/>
                <w:lang w:val="en-US" w:eastAsia="zh-CN"/>
              </w:rPr>
              <w:t>30分钟</w:t>
            </w:r>
            <w:r>
              <w:rPr>
                <w:rFonts w:hint="eastAsia" w:ascii="宋体" w:hAnsi="宋体" w:eastAsia="宋体" w:cs="宋体"/>
                <w:color w:val="auto"/>
                <w:sz w:val="21"/>
                <w:szCs w:val="21"/>
                <w:highlight w:val="none"/>
              </w:rPr>
              <w:t>内完成</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配送的得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分；提供有</w:t>
            </w:r>
            <w:r>
              <w:rPr>
                <w:rFonts w:hint="eastAsia" w:ascii="宋体" w:hAnsi="宋体" w:eastAsia="宋体" w:cs="宋体"/>
                <w:color w:val="auto"/>
                <w:kern w:val="1"/>
                <w:sz w:val="21"/>
                <w:szCs w:val="21"/>
                <w:highlight w:val="none"/>
              </w:rPr>
              <w:t>包含退换货组织、保障措施的</w:t>
            </w:r>
            <w:r>
              <w:rPr>
                <w:rFonts w:hint="eastAsia" w:ascii="宋体" w:hAnsi="宋体" w:eastAsia="宋体" w:cs="宋体"/>
                <w:color w:val="auto"/>
                <w:sz w:val="21"/>
                <w:szCs w:val="21"/>
                <w:highlight w:val="none"/>
                <w:lang w:eastAsia="zh-CN"/>
              </w:rPr>
              <w:t>售后服务</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拟投入的售后服务人员职责明确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承诺接到采购人紧急通知后立即响应，</w:t>
            </w:r>
            <w:r>
              <w:rPr>
                <w:rFonts w:hint="eastAsia" w:ascii="宋体" w:hAnsi="宋体" w:cs="宋体"/>
                <w:color w:val="auto"/>
                <w:sz w:val="21"/>
                <w:szCs w:val="21"/>
                <w:highlight w:val="none"/>
                <w:lang w:val="en-US" w:eastAsia="zh-CN"/>
              </w:rPr>
              <w:t>30分钟</w:t>
            </w:r>
            <w:r>
              <w:rPr>
                <w:rFonts w:hint="eastAsia" w:ascii="宋体" w:hAnsi="宋体" w:eastAsia="宋体" w:cs="宋体"/>
                <w:color w:val="auto"/>
                <w:sz w:val="21"/>
                <w:szCs w:val="21"/>
                <w:highlight w:val="none"/>
              </w:rPr>
              <w:t>内完成</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配送且有详细的响应时间、响应机制的得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209D5AC9">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r>
              <w:rPr>
                <w:rFonts w:hint="eastAsia" w:ascii="宋体" w:hAnsi="宋体" w:eastAsia="宋体" w:cs="宋体"/>
                <w:b/>
                <w:bCs/>
                <w:color w:val="auto"/>
                <w:sz w:val="21"/>
                <w:szCs w:val="21"/>
                <w:highlight w:val="none"/>
                <w:lang w:eastAsia="zh-CN"/>
              </w:rPr>
              <w:t>食品安全与质量保障能力</w:t>
            </w:r>
            <w:r>
              <w:rPr>
                <w:rFonts w:hint="eastAsia" w:ascii="宋体" w:hAnsi="宋体" w:eastAsia="宋体" w:cs="宋体"/>
                <w:b/>
                <w:bCs/>
                <w:color w:val="auto"/>
                <w:sz w:val="21"/>
                <w:szCs w:val="21"/>
                <w:highlight w:val="none"/>
              </w:rPr>
              <w:t>（满分</w:t>
            </w:r>
            <w:r>
              <w:rPr>
                <w:rFonts w:hint="eastAsia" w:ascii="宋体" w:hAnsi="宋体" w:eastAsia="宋体" w:cs="宋体"/>
                <w:b/>
                <w:bCs/>
                <w:color w:val="auto"/>
                <w:sz w:val="21"/>
                <w:szCs w:val="21"/>
                <w:highlight w:val="none"/>
                <w:lang w:val="en-US" w:eastAsia="zh-CN"/>
              </w:rPr>
              <w:t>18</w:t>
            </w:r>
            <w:r>
              <w:rPr>
                <w:rFonts w:hint="eastAsia" w:ascii="宋体" w:hAnsi="宋体" w:eastAsia="宋体" w:cs="宋体"/>
                <w:b/>
                <w:bCs/>
                <w:color w:val="auto"/>
                <w:sz w:val="21"/>
                <w:szCs w:val="21"/>
                <w:highlight w:val="none"/>
              </w:rPr>
              <w:t>分）</w:t>
            </w:r>
          </w:p>
          <w:p w14:paraId="508E0478">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①</w:t>
            </w:r>
            <w:r>
              <w:rPr>
                <w:rFonts w:hint="eastAsia" w:ascii="宋体" w:hAnsi="宋体" w:eastAsia="宋体" w:cs="宋体"/>
                <w:b/>
                <w:bCs/>
                <w:color w:val="auto"/>
                <w:sz w:val="21"/>
                <w:szCs w:val="21"/>
                <w:highlight w:val="none"/>
                <w:lang w:eastAsia="zh-CN"/>
              </w:rPr>
              <w:t>食材安全</w:t>
            </w:r>
            <w:r>
              <w:rPr>
                <w:rFonts w:hint="eastAsia" w:ascii="宋体" w:hAnsi="宋体" w:eastAsia="宋体" w:cs="宋体"/>
                <w:b/>
                <w:bCs/>
                <w:color w:val="auto"/>
                <w:sz w:val="21"/>
                <w:szCs w:val="21"/>
                <w:highlight w:val="none"/>
              </w:rPr>
              <w:t>保障方案（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有固定的</w:t>
            </w:r>
            <w:r>
              <w:rPr>
                <w:rFonts w:hint="eastAsia" w:ascii="宋体" w:hAnsi="宋体" w:eastAsia="宋体" w:cs="宋体"/>
                <w:color w:val="auto"/>
                <w:kern w:val="1"/>
                <w:sz w:val="21"/>
                <w:szCs w:val="21"/>
                <w:highlight w:val="none"/>
              </w:rPr>
              <w:t>进货采购渠道</w:t>
            </w:r>
            <w:r>
              <w:rPr>
                <w:rFonts w:hint="eastAsia" w:ascii="宋体" w:hAnsi="宋体" w:eastAsia="宋体" w:cs="宋体"/>
                <w:color w:val="auto"/>
                <w:sz w:val="21"/>
                <w:szCs w:val="21"/>
                <w:highlight w:val="none"/>
              </w:rPr>
              <w:t>，有</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采购流程、存储方案的得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分；有稳定</w:t>
            </w:r>
            <w:r>
              <w:rPr>
                <w:rFonts w:hint="eastAsia" w:ascii="宋体" w:hAnsi="宋体" w:eastAsia="宋体" w:cs="宋体"/>
                <w:bCs/>
                <w:color w:val="auto"/>
                <w:sz w:val="21"/>
                <w:szCs w:val="21"/>
                <w:highlight w:val="none"/>
              </w:rPr>
              <w:t>合作货源，货源质量保障，有</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采购流程、存储方案，库存有保障</w:t>
            </w:r>
            <w:r>
              <w:rPr>
                <w:rFonts w:hint="eastAsia" w:ascii="宋体" w:hAnsi="宋体" w:eastAsia="宋体" w:cs="宋体"/>
                <w:bCs/>
                <w:color w:val="auto"/>
                <w:sz w:val="21"/>
                <w:szCs w:val="21"/>
                <w:highlight w:val="none"/>
              </w:rPr>
              <w:t>的得</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分；有</w:t>
            </w:r>
            <w:r>
              <w:rPr>
                <w:rFonts w:hint="eastAsia" w:ascii="宋体" w:hAnsi="宋体" w:eastAsia="宋体" w:cs="宋体"/>
                <w:bCs/>
                <w:color w:val="auto"/>
                <w:sz w:val="21"/>
                <w:szCs w:val="21"/>
                <w:highlight w:val="none"/>
                <w:lang w:eastAsia="zh-CN"/>
              </w:rPr>
              <w:t>食材</w:t>
            </w:r>
            <w:r>
              <w:rPr>
                <w:rFonts w:hint="eastAsia" w:ascii="宋体" w:hAnsi="宋体" w:eastAsia="宋体" w:cs="宋体"/>
                <w:bCs/>
                <w:color w:val="auto"/>
                <w:sz w:val="21"/>
                <w:szCs w:val="21"/>
                <w:highlight w:val="none"/>
              </w:rPr>
              <w:t>采购流程，包含采购计划、采购标准、</w:t>
            </w:r>
            <w:r>
              <w:rPr>
                <w:rFonts w:hint="eastAsia" w:ascii="宋体" w:hAnsi="宋体" w:eastAsia="宋体" w:cs="宋体"/>
                <w:color w:val="auto"/>
                <w:sz w:val="21"/>
                <w:szCs w:val="21"/>
                <w:highlight w:val="none"/>
              </w:rPr>
              <w:t>到货检验方式及流程、</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存储方法及保障措施等</w:t>
            </w:r>
            <w:r>
              <w:rPr>
                <w:rFonts w:hint="eastAsia" w:ascii="宋体" w:hAnsi="宋体" w:eastAsia="宋体" w:cs="宋体"/>
                <w:bCs/>
                <w:color w:val="auto"/>
                <w:sz w:val="21"/>
                <w:szCs w:val="21"/>
                <w:highlight w:val="none"/>
              </w:rPr>
              <w:t>，货源稳定、</w:t>
            </w:r>
            <w:r>
              <w:rPr>
                <w:rFonts w:hint="eastAsia" w:ascii="宋体" w:hAnsi="宋体" w:eastAsia="宋体" w:cs="宋体"/>
                <w:bCs/>
                <w:color w:val="auto"/>
                <w:sz w:val="21"/>
                <w:szCs w:val="21"/>
                <w:highlight w:val="none"/>
                <w:lang w:eastAsia="zh-CN"/>
              </w:rPr>
              <w:t>食材</w:t>
            </w:r>
            <w:r>
              <w:rPr>
                <w:rFonts w:hint="eastAsia" w:ascii="宋体" w:hAnsi="宋体" w:eastAsia="宋体" w:cs="宋体"/>
                <w:bCs/>
                <w:color w:val="auto"/>
                <w:sz w:val="21"/>
                <w:szCs w:val="21"/>
                <w:highlight w:val="none"/>
              </w:rPr>
              <w:t>库存有保障，有</w:t>
            </w:r>
            <w:r>
              <w:rPr>
                <w:rFonts w:hint="eastAsia" w:ascii="宋体" w:hAnsi="宋体" w:eastAsia="宋体" w:cs="宋体"/>
                <w:color w:val="auto"/>
                <w:sz w:val="21"/>
                <w:szCs w:val="21"/>
                <w:highlight w:val="none"/>
              </w:rPr>
              <w:t>临时调货保障能力</w:t>
            </w:r>
            <w:r>
              <w:rPr>
                <w:rFonts w:hint="eastAsia" w:ascii="宋体" w:hAnsi="宋体" w:eastAsia="宋体" w:cs="宋体"/>
                <w:bCs/>
                <w:color w:val="auto"/>
                <w:sz w:val="21"/>
                <w:szCs w:val="21"/>
                <w:highlight w:val="none"/>
              </w:rPr>
              <w:t>，能保障</w:t>
            </w:r>
            <w:r>
              <w:rPr>
                <w:rFonts w:hint="eastAsia" w:ascii="宋体" w:hAnsi="宋体" w:eastAsia="宋体" w:cs="宋体"/>
                <w:bCs/>
                <w:color w:val="auto"/>
                <w:sz w:val="21"/>
                <w:szCs w:val="21"/>
                <w:highlight w:val="none"/>
                <w:lang w:eastAsia="zh-CN"/>
              </w:rPr>
              <w:t>食材</w:t>
            </w:r>
            <w:r>
              <w:rPr>
                <w:rFonts w:hint="eastAsia" w:ascii="宋体" w:hAnsi="宋体" w:eastAsia="宋体" w:cs="宋体"/>
                <w:bCs/>
                <w:color w:val="auto"/>
                <w:sz w:val="21"/>
                <w:szCs w:val="21"/>
                <w:highlight w:val="none"/>
              </w:rPr>
              <w:t>质量的得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50BD7215">
            <w:pPr>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②食材保障</w:t>
            </w:r>
            <w:r>
              <w:rPr>
                <w:rFonts w:hint="eastAsia" w:ascii="宋体" w:hAnsi="宋体" w:eastAsia="宋体" w:cs="宋体"/>
                <w:b/>
                <w:bCs/>
                <w:color w:val="auto"/>
                <w:sz w:val="21"/>
                <w:szCs w:val="21"/>
                <w:highlight w:val="none"/>
              </w:rPr>
              <w:t>控制方案（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能严格按照规范的制定质量控制方案的得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分；严格按照规范的制定质量控制方案，方案对控制流程、质量管理体系有分析论述的得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分；严格按照规范的制定质量控制方案，有控制流程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管理措施、保障措施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质检方案包含质检标准、质检流程，对质量控制关键节点有论述得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010EB0C7">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eastAsia="zh-CN"/>
              </w:rPr>
              <w:t>③</w:t>
            </w:r>
            <w:r>
              <w:rPr>
                <w:rFonts w:hint="eastAsia" w:ascii="宋体" w:hAnsi="宋体" w:eastAsia="宋体" w:cs="宋体"/>
                <w:b/>
                <w:bCs/>
                <w:color w:val="auto"/>
                <w:sz w:val="21"/>
                <w:szCs w:val="21"/>
                <w:highlight w:val="none"/>
              </w:rPr>
              <w:t>追溯方式（</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建立的追溯系统覆盖生产、供应全过程的得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分；建立有切合项目实际的追溯系统，能覆盖生产、供应全过程</w:t>
            </w:r>
            <w:r>
              <w:rPr>
                <w:rFonts w:hint="eastAsia" w:ascii="宋体" w:hAnsi="宋体" w:eastAsia="宋体" w:cs="宋体"/>
                <w:color w:val="auto"/>
                <w:sz w:val="21"/>
                <w:szCs w:val="21"/>
                <w:highlight w:val="none"/>
                <w:lang w:eastAsia="zh-CN"/>
              </w:rPr>
              <w:t>，并</w:t>
            </w:r>
            <w:r>
              <w:rPr>
                <w:rFonts w:hint="eastAsia" w:ascii="宋体" w:hAnsi="宋体" w:eastAsia="宋体" w:cs="宋体"/>
                <w:color w:val="auto"/>
                <w:sz w:val="21"/>
                <w:szCs w:val="21"/>
                <w:highlight w:val="none"/>
              </w:rPr>
              <w:t>对实现</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召回、追责</w:t>
            </w:r>
            <w:r>
              <w:rPr>
                <w:rFonts w:hint="eastAsia" w:ascii="宋体" w:hAnsi="宋体" w:eastAsia="宋体" w:cs="宋体"/>
                <w:color w:val="auto"/>
                <w:sz w:val="21"/>
                <w:szCs w:val="21"/>
                <w:highlight w:val="none"/>
                <w:lang w:eastAsia="zh-CN"/>
              </w:rPr>
              <w:t>的得</w:t>
            </w:r>
            <w:r>
              <w:rPr>
                <w:rFonts w:hint="eastAsia" w:ascii="宋体" w:hAnsi="宋体" w:eastAsia="宋体" w:cs="宋体"/>
                <w:color w:val="auto"/>
                <w:sz w:val="21"/>
                <w:szCs w:val="21"/>
                <w:highlight w:val="none"/>
                <w:lang w:val="en-US" w:eastAsia="zh-CN"/>
              </w:rPr>
              <w:t>4分；</w:t>
            </w:r>
            <w:r>
              <w:rPr>
                <w:rFonts w:hint="eastAsia" w:ascii="宋体" w:hAnsi="宋体" w:eastAsia="宋体" w:cs="宋体"/>
                <w:color w:val="auto"/>
                <w:sz w:val="21"/>
                <w:szCs w:val="21"/>
                <w:highlight w:val="none"/>
              </w:rPr>
              <w:t>建立有切合项目实际的追溯系统，能覆盖生产、供应全过程</w:t>
            </w:r>
            <w:r>
              <w:rPr>
                <w:rFonts w:hint="eastAsia" w:ascii="宋体" w:hAnsi="宋体" w:eastAsia="宋体" w:cs="宋体"/>
                <w:color w:val="auto"/>
                <w:sz w:val="21"/>
                <w:szCs w:val="21"/>
                <w:highlight w:val="none"/>
                <w:lang w:eastAsia="zh-CN"/>
              </w:rPr>
              <w:t>并</w:t>
            </w:r>
            <w:r>
              <w:rPr>
                <w:rFonts w:hint="eastAsia" w:ascii="宋体" w:hAnsi="宋体" w:eastAsia="宋体" w:cs="宋体"/>
                <w:color w:val="auto"/>
                <w:sz w:val="21"/>
                <w:szCs w:val="21"/>
                <w:highlight w:val="none"/>
              </w:rPr>
              <w:t>对实现</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召回、追责，</w:t>
            </w:r>
            <w:r>
              <w:rPr>
                <w:rFonts w:hint="eastAsia" w:ascii="宋体" w:hAnsi="宋体" w:eastAsia="宋体" w:cs="宋体"/>
                <w:bCs/>
                <w:color w:val="auto"/>
                <w:kern w:val="1"/>
                <w:sz w:val="21"/>
                <w:szCs w:val="21"/>
                <w:highlight w:val="none"/>
              </w:rPr>
              <w:t>承诺主动开展检验工作,并能每月提供食品安监部门或国家承认的检测机构检测报告</w:t>
            </w:r>
            <w:r>
              <w:rPr>
                <w:rFonts w:hint="eastAsia" w:ascii="宋体" w:hAnsi="宋体" w:eastAsia="宋体" w:cs="宋体"/>
                <w:bCs/>
                <w:color w:val="auto"/>
                <w:kern w:val="1"/>
                <w:sz w:val="21"/>
                <w:szCs w:val="21"/>
                <w:highlight w:val="none"/>
                <w:lang w:eastAsia="zh-CN"/>
              </w:rPr>
              <w:t>，</w:t>
            </w:r>
            <w:r>
              <w:rPr>
                <w:rFonts w:hint="eastAsia" w:ascii="宋体" w:hAnsi="宋体" w:eastAsia="宋体" w:cs="宋体"/>
                <w:color w:val="auto"/>
                <w:sz w:val="21"/>
                <w:szCs w:val="21"/>
                <w:highlight w:val="none"/>
              </w:rPr>
              <w:t>有效把控安全风险的得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309E55E9">
            <w:pPr>
              <w:spacing w:line="360" w:lineRule="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（4）应急方案（满分</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p w14:paraId="39425927">
            <w:pPr>
              <w:pStyle w:val="13"/>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①</w:t>
            </w:r>
            <w:r>
              <w:rPr>
                <w:rFonts w:hint="eastAsia" w:ascii="宋体" w:hAnsi="宋体" w:eastAsia="宋体" w:cs="宋体"/>
                <w:b/>
                <w:bCs/>
                <w:color w:val="auto"/>
                <w:sz w:val="21"/>
                <w:szCs w:val="21"/>
                <w:highlight w:val="none"/>
                <w:lang w:eastAsia="zh-CN"/>
              </w:rPr>
              <w:t>食材</w:t>
            </w:r>
            <w:r>
              <w:rPr>
                <w:rFonts w:hint="eastAsia" w:ascii="宋体" w:hAnsi="宋体" w:eastAsia="宋体" w:cs="宋体"/>
                <w:b/>
                <w:bCs/>
                <w:color w:val="auto"/>
                <w:sz w:val="21"/>
                <w:szCs w:val="21"/>
                <w:highlight w:val="none"/>
              </w:rPr>
              <w:t>加量供应方案（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加量供应方案得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分；提供包含应急组织、应急原则的</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加量供应方案得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分；提供包含应急组织、应急原则、应急保障措施、人员保障且符合</w:t>
            </w:r>
            <w:r>
              <w:rPr>
                <w:rFonts w:hint="eastAsia" w:ascii="宋体" w:hAnsi="宋体" w:eastAsia="宋体" w:cs="宋体"/>
                <w:color w:val="auto"/>
                <w:sz w:val="21"/>
                <w:szCs w:val="21"/>
                <w:highlight w:val="none"/>
                <w:lang w:eastAsia="zh-CN"/>
              </w:rPr>
              <w:t>项目学校</w:t>
            </w:r>
            <w:r>
              <w:rPr>
                <w:rFonts w:hint="eastAsia" w:ascii="宋体" w:hAnsi="宋体" w:eastAsia="宋体" w:cs="宋体"/>
                <w:color w:val="auto"/>
                <w:sz w:val="21"/>
                <w:szCs w:val="21"/>
                <w:highlight w:val="none"/>
              </w:rPr>
              <w:t>实际的加量供应方案得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52FC82F0">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②</w:t>
            </w:r>
            <w:r>
              <w:rPr>
                <w:rFonts w:hint="eastAsia" w:ascii="宋体" w:hAnsi="宋体" w:eastAsia="宋体" w:cs="宋体"/>
                <w:b/>
                <w:bCs/>
                <w:color w:val="auto"/>
                <w:sz w:val="21"/>
                <w:szCs w:val="21"/>
                <w:highlight w:val="none"/>
                <w:lang w:eastAsia="zh-CN"/>
              </w:rPr>
              <w:t>食材意外</w:t>
            </w:r>
            <w:r>
              <w:rPr>
                <w:rFonts w:hint="eastAsia" w:ascii="宋体" w:hAnsi="宋体" w:eastAsia="宋体" w:cs="宋体"/>
                <w:b/>
                <w:bCs/>
                <w:color w:val="auto"/>
                <w:sz w:val="21"/>
                <w:szCs w:val="21"/>
                <w:highlight w:val="none"/>
              </w:rPr>
              <w:t>事故的处理方案（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b w:val="0"/>
                <w:bCs w:val="0"/>
                <w:color w:val="auto"/>
                <w:sz w:val="21"/>
                <w:szCs w:val="21"/>
                <w:highlight w:val="none"/>
                <w:lang w:eastAsia="zh-CN"/>
              </w:rPr>
              <w:t>食材意外事故</w:t>
            </w:r>
            <w:r>
              <w:rPr>
                <w:rFonts w:hint="eastAsia" w:ascii="宋体" w:hAnsi="宋体" w:eastAsia="宋体" w:cs="宋体"/>
                <w:b w:val="0"/>
                <w:bCs w:val="0"/>
                <w:color w:val="auto"/>
                <w:sz w:val="21"/>
                <w:szCs w:val="21"/>
                <w:highlight w:val="none"/>
              </w:rPr>
              <w:t>处理方案得</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分；提供包含</w:t>
            </w:r>
            <w:r>
              <w:rPr>
                <w:rFonts w:hint="eastAsia" w:ascii="宋体" w:hAnsi="宋体" w:eastAsia="宋体" w:cs="宋体"/>
                <w:b w:val="0"/>
                <w:bCs w:val="0"/>
                <w:color w:val="auto"/>
                <w:sz w:val="21"/>
                <w:szCs w:val="21"/>
                <w:highlight w:val="none"/>
                <w:lang w:eastAsia="zh-CN"/>
              </w:rPr>
              <w:t>食材意外事故</w:t>
            </w:r>
            <w:r>
              <w:rPr>
                <w:rFonts w:hint="eastAsia" w:ascii="宋体" w:hAnsi="宋体" w:eastAsia="宋体" w:cs="宋体"/>
                <w:b w:val="0"/>
                <w:bCs w:val="0"/>
                <w:color w:val="auto"/>
                <w:sz w:val="21"/>
                <w:szCs w:val="21"/>
                <w:highlight w:val="none"/>
              </w:rPr>
              <w:t>种类分析、处置原则</w:t>
            </w:r>
            <w:r>
              <w:rPr>
                <w:rFonts w:hint="eastAsia" w:ascii="宋体" w:hAnsi="宋体" w:eastAsia="宋体" w:cs="宋体"/>
                <w:color w:val="auto"/>
                <w:sz w:val="21"/>
                <w:szCs w:val="21"/>
                <w:highlight w:val="none"/>
              </w:rPr>
              <w:t>的处理方案得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分；提供包含</w:t>
            </w:r>
            <w:r>
              <w:rPr>
                <w:rFonts w:hint="eastAsia" w:ascii="宋体" w:hAnsi="宋体" w:eastAsia="宋体" w:cs="宋体"/>
                <w:b w:val="0"/>
                <w:bCs w:val="0"/>
                <w:color w:val="auto"/>
                <w:sz w:val="21"/>
                <w:szCs w:val="21"/>
                <w:highlight w:val="none"/>
                <w:lang w:eastAsia="zh-CN"/>
              </w:rPr>
              <w:t>食材意外事故</w:t>
            </w:r>
            <w:r>
              <w:rPr>
                <w:rFonts w:hint="eastAsia" w:ascii="宋体" w:hAnsi="宋体" w:eastAsia="宋体" w:cs="宋体"/>
                <w:color w:val="auto"/>
                <w:sz w:val="21"/>
                <w:szCs w:val="21"/>
                <w:highlight w:val="none"/>
              </w:rPr>
              <w:t>种类分析、处置原则的医疗事故的处理方案，方案中结合项目学校实际制定</w:t>
            </w:r>
            <w:r>
              <w:rPr>
                <w:rFonts w:hint="eastAsia" w:ascii="宋体" w:hAnsi="宋体" w:eastAsia="宋体" w:cs="宋体"/>
                <w:color w:val="auto"/>
                <w:sz w:val="21"/>
                <w:szCs w:val="21"/>
                <w:highlight w:val="none"/>
                <w:lang w:eastAsia="zh-CN"/>
              </w:rPr>
              <w:t>有</w:t>
            </w:r>
            <w:r>
              <w:rPr>
                <w:rFonts w:hint="eastAsia" w:ascii="宋体" w:hAnsi="宋体" w:eastAsia="宋体" w:cs="宋体"/>
                <w:color w:val="auto"/>
                <w:sz w:val="21"/>
                <w:szCs w:val="21"/>
                <w:highlight w:val="none"/>
              </w:rPr>
              <w:t>防止事故发生预案的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1"/>
                <w:sz w:val="21"/>
                <w:szCs w:val="21"/>
                <w:highlight w:val="none"/>
              </w:rPr>
              <w:t>对意外事故处理的响应</w:t>
            </w:r>
            <w:r>
              <w:rPr>
                <w:rFonts w:hint="eastAsia" w:ascii="宋体" w:hAnsi="宋体" w:eastAsia="宋体" w:cs="宋体"/>
                <w:color w:val="auto"/>
                <w:kern w:val="1"/>
                <w:sz w:val="21"/>
                <w:szCs w:val="21"/>
                <w:highlight w:val="none"/>
                <w:lang w:eastAsia="zh-CN"/>
              </w:rPr>
              <w:t>在</w:t>
            </w:r>
            <w:r>
              <w:rPr>
                <w:rFonts w:hint="eastAsia" w:ascii="宋体" w:hAnsi="宋体" w:eastAsia="宋体" w:cs="宋体"/>
                <w:color w:val="auto"/>
                <w:kern w:val="1"/>
                <w:sz w:val="21"/>
                <w:szCs w:val="21"/>
                <w:highlight w:val="none"/>
              </w:rPr>
              <w:t>5分钟</w:t>
            </w:r>
            <w:r>
              <w:rPr>
                <w:rFonts w:hint="eastAsia" w:ascii="宋体" w:hAnsi="宋体" w:eastAsia="宋体" w:cs="宋体"/>
                <w:color w:val="auto"/>
                <w:kern w:val="1"/>
                <w:sz w:val="21"/>
                <w:szCs w:val="21"/>
                <w:highlight w:val="none"/>
                <w:lang w:eastAsia="zh-CN"/>
              </w:rPr>
              <w:t>内，</w:t>
            </w:r>
            <w:r>
              <w:rPr>
                <w:rFonts w:hint="eastAsia" w:ascii="宋体" w:hAnsi="宋体" w:eastAsia="宋体" w:cs="宋体"/>
                <w:color w:val="auto"/>
                <w:kern w:val="1"/>
                <w:sz w:val="21"/>
                <w:szCs w:val="21"/>
                <w:highlight w:val="none"/>
              </w:rPr>
              <w:t>处理紧急意外事故，能在30分钟内到达现场</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tc>
      </w:tr>
      <w:tr w14:paraId="2C12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36BEC45F">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3</w:t>
            </w:r>
          </w:p>
        </w:tc>
        <w:tc>
          <w:tcPr>
            <w:tcW w:w="1134" w:type="dxa"/>
            <w:noWrap/>
            <w:vAlign w:val="center"/>
          </w:tcPr>
          <w:p w14:paraId="6FD75955">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kern w:val="1"/>
                <w:sz w:val="21"/>
                <w:szCs w:val="21"/>
                <w:highlight w:val="none"/>
              </w:rPr>
              <w:t>配送能力</w:t>
            </w:r>
          </w:p>
        </w:tc>
        <w:tc>
          <w:tcPr>
            <w:tcW w:w="954" w:type="dxa"/>
            <w:noWrap/>
            <w:vAlign w:val="center"/>
          </w:tcPr>
          <w:p w14:paraId="6C707E02">
            <w:pPr>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color w:val="auto"/>
                <w:kern w:val="1"/>
                <w:sz w:val="21"/>
                <w:szCs w:val="21"/>
                <w:highlight w:val="none"/>
                <w:lang w:val="en-US" w:eastAsia="zh-CN"/>
              </w:rPr>
              <w:t>4</w:t>
            </w:r>
            <w:r>
              <w:rPr>
                <w:rFonts w:hint="eastAsia" w:ascii="宋体" w:hAnsi="宋体" w:eastAsia="宋体" w:cs="宋体"/>
                <w:b/>
                <w:color w:val="auto"/>
                <w:kern w:val="1"/>
                <w:sz w:val="21"/>
                <w:szCs w:val="21"/>
                <w:highlight w:val="none"/>
              </w:rPr>
              <w:t>分</w:t>
            </w:r>
          </w:p>
        </w:tc>
        <w:tc>
          <w:tcPr>
            <w:tcW w:w="6224" w:type="dxa"/>
            <w:noWrap/>
            <w:vAlign w:val="center"/>
          </w:tcPr>
          <w:p w14:paraId="0D5CBD5B">
            <w:pPr>
              <w:spacing w:line="360" w:lineRule="auto"/>
              <w:ind w:firstLine="420"/>
              <w:jc w:val="left"/>
              <w:rPr>
                <w:rFonts w:hint="eastAsia" w:ascii="宋体" w:hAnsi="宋体" w:eastAsia="宋体" w:cs="宋体"/>
                <w:color w:val="auto"/>
                <w:kern w:val="1"/>
                <w:sz w:val="21"/>
                <w:szCs w:val="21"/>
                <w:highlight w:val="none"/>
                <w:lang w:val="en-US" w:eastAsia="zh-CN"/>
              </w:rPr>
            </w:pPr>
            <w:r>
              <w:rPr>
                <w:rFonts w:hint="eastAsia" w:ascii="宋体" w:hAnsi="宋体" w:cs="宋体"/>
                <w:color w:val="auto"/>
                <w:kern w:val="1"/>
                <w:sz w:val="21"/>
                <w:szCs w:val="21"/>
                <w:highlight w:val="none"/>
                <w:lang w:val="en-US" w:eastAsia="zh-CN"/>
              </w:rPr>
              <w:t>供应商</w:t>
            </w:r>
            <w:r>
              <w:rPr>
                <w:rFonts w:hint="eastAsia" w:ascii="宋体" w:hAnsi="宋体" w:eastAsia="宋体" w:cs="宋体"/>
                <w:color w:val="auto"/>
                <w:kern w:val="1"/>
                <w:sz w:val="21"/>
                <w:szCs w:val="21"/>
                <w:highlight w:val="none"/>
                <w:lang w:val="en-US" w:eastAsia="zh-CN"/>
              </w:rPr>
              <w:t>拟</w:t>
            </w:r>
            <w:r>
              <w:rPr>
                <w:rFonts w:hint="eastAsia" w:ascii="宋体" w:hAnsi="宋体" w:eastAsia="宋体" w:cs="宋体"/>
                <w:color w:val="auto"/>
                <w:kern w:val="1"/>
                <w:sz w:val="21"/>
                <w:szCs w:val="21"/>
                <w:highlight w:val="none"/>
                <w:lang w:eastAsia="zh-CN"/>
              </w:rPr>
              <w:t>投入</w:t>
            </w:r>
            <w:r>
              <w:rPr>
                <w:rFonts w:hint="eastAsia" w:ascii="宋体" w:hAnsi="宋体" w:eastAsia="宋体" w:cs="宋体"/>
                <w:color w:val="auto"/>
                <w:kern w:val="1"/>
                <w:sz w:val="21"/>
                <w:szCs w:val="21"/>
                <w:highlight w:val="none"/>
              </w:rPr>
              <w:t>本项目自有或租赁配送</w:t>
            </w:r>
            <w:r>
              <w:rPr>
                <w:rFonts w:hint="eastAsia" w:ascii="宋体" w:hAnsi="宋体" w:eastAsia="宋体" w:cs="宋体"/>
                <w:color w:val="auto"/>
                <w:kern w:val="1"/>
                <w:sz w:val="21"/>
                <w:szCs w:val="21"/>
                <w:highlight w:val="none"/>
                <w:lang w:eastAsia="zh-CN"/>
              </w:rPr>
              <w:t>厢</w:t>
            </w:r>
            <w:r>
              <w:rPr>
                <w:rFonts w:hint="eastAsia" w:ascii="宋体" w:hAnsi="宋体" w:eastAsia="宋体" w:cs="宋体"/>
                <w:color w:val="auto"/>
                <w:kern w:val="1"/>
                <w:sz w:val="21"/>
                <w:szCs w:val="21"/>
                <w:highlight w:val="none"/>
              </w:rPr>
              <w:t>式冷藏专用车至少</w:t>
            </w:r>
            <w:r>
              <w:rPr>
                <w:rFonts w:hint="eastAsia" w:ascii="宋体" w:hAnsi="宋体" w:cs="宋体"/>
                <w:color w:val="auto"/>
                <w:kern w:val="1"/>
                <w:sz w:val="21"/>
                <w:szCs w:val="21"/>
                <w:highlight w:val="none"/>
                <w:lang w:val="en-US" w:eastAsia="zh-CN"/>
              </w:rPr>
              <w:t>3</w:t>
            </w:r>
            <w:r>
              <w:rPr>
                <w:rFonts w:hint="eastAsia" w:ascii="宋体" w:hAnsi="宋体" w:eastAsia="宋体" w:cs="宋体"/>
                <w:color w:val="auto"/>
                <w:kern w:val="1"/>
                <w:sz w:val="21"/>
                <w:szCs w:val="21"/>
                <w:highlight w:val="none"/>
              </w:rPr>
              <w:t>辆，</w:t>
            </w:r>
            <w:r>
              <w:rPr>
                <w:rFonts w:hint="eastAsia" w:ascii="宋体" w:hAnsi="宋体" w:eastAsia="宋体" w:cs="宋体"/>
                <w:color w:val="auto"/>
                <w:kern w:val="1"/>
                <w:sz w:val="21"/>
                <w:szCs w:val="21"/>
                <w:highlight w:val="none"/>
                <w:lang w:eastAsia="zh-CN"/>
              </w:rPr>
              <w:t>提供</w:t>
            </w:r>
            <w:r>
              <w:rPr>
                <w:rFonts w:hint="eastAsia" w:ascii="宋体" w:hAnsi="宋体" w:cs="宋体"/>
                <w:color w:val="auto"/>
                <w:kern w:val="1"/>
                <w:sz w:val="21"/>
                <w:szCs w:val="21"/>
                <w:highlight w:val="none"/>
                <w:lang w:val="en-US" w:eastAsia="zh-CN"/>
              </w:rPr>
              <w:t>3</w:t>
            </w:r>
            <w:r>
              <w:rPr>
                <w:rFonts w:hint="eastAsia" w:ascii="宋体" w:hAnsi="宋体" w:eastAsia="宋体" w:cs="宋体"/>
                <w:color w:val="auto"/>
                <w:kern w:val="1"/>
                <w:sz w:val="21"/>
                <w:szCs w:val="21"/>
                <w:highlight w:val="none"/>
                <w:lang w:eastAsia="zh-CN"/>
              </w:rPr>
              <w:t>辆</w:t>
            </w:r>
            <w:r>
              <w:rPr>
                <w:rFonts w:hint="eastAsia" w:ascii="宋体" w:hAnsi="宋体" w:eastAsia="宋体" w:cs="宋体"/>
                <w:color w:val="auto"/>
                <w:kern w:val="1"/>
                <w:sz w:val="21"/>
                <w:szCs w:val="21"/>
                <w:highlight w:val="none"/>
              </w:rPr>
              <w:t>得</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w:t>
            </w:r>
            <w:r>
              <w:rPr>
                <w:rFonts w:hint="eastAsia" w:ascii="宋体" w:hAnsi="宋体" w:cs="宋体"/>
                <w:color w:val="auto"/>
                <w:kern w:val="1"/>
                <w:sz w:val="21"/>
                <w:szCs w:val="21"/>
                <w:highlight w:val="none"/>
                <w:lang w:val="en-US" w:eastAsia="zh-CN"/>
              </w:rPr>
              <w:t>供应商</w:t>
            </w:r>
            <w:r>
              <w:rPr>
                <w:rFonts w:hint="eastAsia" w:ascii="宋体" w:hAnsi="宋体" w:eastAsia="宋体" w:cs="宋体"/>
                <w:color w:val="auto"/>
                <w:kern w:val="1"/>
                <w:sz w:val="21"/>
                <w:szCs w:val="21"/>
                <w:highlight w:val="none"/>
              </w:rPr>
              <w:t>每增加投入1辆加</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分，满分</w:t>
            </w:r>
            <w:r>
              <w:rPr>
                <w:rFonts w:hint="eastAsia" w:ascii="宋体" w:hAnsi="宋体" w:eastAsia="宋体" w:cs="宋体"/>
                <w:color w:val="auto"/>
                <w:kern w:val="1"/>
                <w:sz w:val="21"/>
                <w:szCs w:val="21"/>
                <w:highlight w:val="none"/>
                <w:lang w:val="en-US" w:eastAsia="zh-CN"/>
              </w:rPr>
              <w:t>4</w:t>
            </w:r>
            <w:r>
              <w:rPr>
                <w:rFonts w:hint="eastAsia" w:ascii="宋体" w:hAnsi="宋体" w:eastAsia="宋体" w:cs="宋体"/>
                <w:color w:val="auto"/>
                <w:kern w:val="1"/>
                <w:sz w:val="21"/>
                <w:szCs w:val="21"/>
                <w:highlight w:val="none"/>
              </w:rPr>
              <w:t>分</w:t>
            </w:r>
            <w:r>
              <w:rPr>
                <w:rFonts w:hint="eastAsia" w:ascii="宋体" w:hAnsi="宋体" w:eastAsia="宋体" w:cs="宋体"/>
                <w:color w:val="auto"/>
                <w:kern w:val="1"/>
                <w:sz w:val="21"/>
                <w:szCs w:val="21"/>
                <w:highlight w:val="none"/>
                <w:lang w:val="en-US" w:eastAsia="zh-CN"/>
              </w:rPr>
              <w:t>。</w:t>
            </w:r>
          </w:p>
          <w:p w14:paraId="74ED9E69">
            <w:pPr>
              <w:wordWrap w:val="0"/>
              <w:spacing w:line="360" w:lineRule="auto"/>
              <w:ind w:firstLine="422" w:firstLineChars="20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注：投入的车辆必须为检验合格期内，【自有车辆必须提供车辆行驶证或购买车辆发票（车辆所有人为法定代表人名字或</w:t>
            </w:r>
            <w:r>
              <w:rPr>
                <w:rFonts w:hint="eastAsia" w:ascii="宋体" w:hAnsi="宋体" w:cs="宋体"/>
                <w:b/>
                <w:bCs/>
                <w:color w:val="auto"/>
                <w:sz w:val="21"/>
                <w:szCs w:val="21"/>
                <w:highlight w:val="none"/>
                <w:lang w:eastAsia="zh-CN"/>
              </w:rPr>
              <w:t>供应商</w:t>
            </w:r>
            <w:r>
              <w:rPr>
                <w:rFonts w:hint="eastAsia" w:ascii="宋体" w:hAnsi="宋体" w:eastAsia="宋体" w:cs="宋体"/>
                <w:b/>
                <w:bCs/>
                <w:color w:val="auto"/>
                <w:sz w:val="21"/>
                <w:szCs w:val="21"/>
                <w:highlight w:val="none"/>
              </w:rPr>
              <w:t>单位名字）</w:t>
            </w:r>
            <w:r>
              <w:rPr>
                <w:rFonts w:hint="eastAsia" w:ascii="宋体" w:hAnsi="宋体" w:cs="宋体"/>
                <w:b/>
                <w:color w:val="auto"/>
                <w:szCs w:val="21"/>
                <w:highlight w:val="none"/>
              </w:rPr>
              <w:t>扫描件或复印件</w:t>
            </w:r>
            <w:r>
              <w:rPr>
                <w:rFonts w:hint="eastAsia" w:ascii="宋体" w:hAnsi="宋体" w:eastAsia="宋体" w:cs="宋体"/>
                <w:b/>
                <w:bCs/>
                <w:color w:val="auto"/>
                <w:sz w:val="21"/>
                <w:szCs w:val="21"/>
                <w:highlight w:val="none"/>
              </w:rPr>
              <w:t>，并提供车辆正面、侧面、后面实拍照片且清晰可辨等证明文件】；</w:t>
            </w:r>
            <w:r>
              <w:rPr>
                <w:rFonts w:hint="eastAsia" w:ascii="宋体" w:hAnsi="宋体" w:cs="宋体"/>
                <w:b/>
                <w:bCs/>
                <w:color w:val="auto"/>
                <w:sz w:val="21"/>
                <w:szCs w:val="21"/>
                <w:highlight w:val="none"/>
                <w:lang w:val="en-US" w:eastAsia="zh-CN"/>
              </w:rPr>
              <w:t>或</w:t>
            </w:r>
            <w:r>
              <w:rPr>
                <w:rFonts w:hint="eastAsia" w:ascii="宋体" w:hAnsi="宋体" w:eastAsia="宋体" w:cs="宋体"/>
                <w:b/>
                <w:bCs/>
                <w:color w:val="auto"/>
                <w:sz w:val="21"/>
                <w:szCs w:val="21"/>
                <w:highlight w:val="none"/>
              </w:rPr>
              <w:t>【租赁车辆必须提供行驶证或购买发票（所有人为出租方），及租赁合同复印件或扫描件（租车时必须提供，租赁期须包含本项目服务期），并提供车辆正面、侧面、后面车辆实拍照片且清晰可辨等证明文件】，所提供的</w:t>
            </w:r>
            <w:r>
              <w:rPr>
                <w:rFonts w:hint="eastAsia" w:ascii="宋体" w:hAnsi="宋体" w:cs="宋体"/>
                <w:b/>
                <w:color w:val="auto"/>
                <w:szCs w:val="21"/>
                <w:highlight w:val="none"/>
              </w:rPr>
              <w:t>扫描件或复印件</w:t>
            </w:r>
            <w:r>
              <w:rPr>
                <w:rFonts w:hint="eastAsia" w:ascii="宋体" w:hAnsi="宋体" w:eastAsia="宋体" w:cs="宋体"/>
                <w:b/>
                <w:bCs/>
                <w:color w:val="auto"/>
                <w:sz w:val="21"/>
                <w:szCs w:val="21"/>
                <w:highlight w:val="none"/>
              </w:rPr>
              <w:t>须</w:t>
            </w:r>
            <w:r>
              <w:rPr>
                <w:rFonts w:hint="eastAsia" w:ascii="宋体" w:hAnsi="宋体" w:cs="宋体"/>
                <w:b/>
                <w:bCs/>
                <w:color w:val="auto"/>
                <w:sz w:val="21"/>
                <w:szCs w:val="21"/>
                <w:highlight w:val="none"/>
                <w:lang w:eastAsia="zh-CN"/>
              </w:rPr>
              <w:t>加盖供应商电子公章</w:t>
            </w:r>
            <w:r>
              <w:rPr>
                <w:rFonts w:hint="eastAsia" w:ascii="宋体" w:hAnsi="宋体" w:eastAsia="宋体" w:cs="宋体"/>
                <w:b/>
                <w:bCs/>
                <w:color w:val="auto"/>
                <w:sz w:val="21"/>
                <w:szCs w:val="21"/>
                <w:highlight w:val="none"/>
              </w:rPr>
              <w:t>，未按要求提供相关材料或扫描不清晰导致无法识别的不计得分</w:t>
            </w: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或承诺成交后投入符合相应要求车辆的承诺函并加盖供应商电子公章</w:t>
            </w:r>
            <w:r>
              <w:rPr>
                <w:rFonts w:hint="eastAsia" w:ascii="宋体" w:hAnsi="宋体" w:eastAsia="宋体" w:cs="宋体"/>
                <w:b/>
                <w:bCs/>
                <w:color w:val="auto"/>
                <w:sz w:val="21"/>
                <w:szCs w:val="21"/>
                <w:highlight w:val="none"/>
              </w:rPr>
              <w:t>。</w:t>
            </w:r>
          </w:p>
          <w:p w14:paraId="0E7E946C">
            <w:pPr>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签订合同</w:t>
            </w:r>
            <w:r>
              <w:rPr>
                <w:rFonts w:hint="eastAsia" w:ascii="宋体" w:hAnsi="宋体" w:eastAsia="宋体" w:cs="宋体"/>
                <w:b/>
                <w:bCs/>
                <w:color w:val="auto"/>
                <w:sz w:val="21"/>
                <w:szCs w:val="21"/>
                <w:highlight w:val="none"/>
              </w:rPr>
              <w:t>后核查行驶证、发票及租赁合同原件，如发现虚假应标报监督管理部门处理。</w:t>
            </w:r>
          </w:p>
        </w:tc>
      </w:tr>
      <w:tr w14:paraId="2332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5EC08D54">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4</w:t>
            </w:r>
          </w:p>
        </w:tc>
        <w:tc>
          <w:tcPr>
            <w:tcW w:w="1134" w:type="dxa"/>
            <w:noWrap/>
            <w:vAlign w:val="center"/>
          </w:tcPr>
          <w:p w14:paraId="5EA7D79B">
            <w:pPr>
              <w:spacing w:line="36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拟投入人员</w:t>
            </w:r>
          </w:p>
        </w:tc>
        <w:tc>
          <w:tcPr>
            <w:tcW w:w="954" w:type="dxa"/>
            <w:noWrap/>
            <w:vAlign w:val="center"/>
          </w:tcPr>
          <w:p w14:paraId="6528094E">
            <w:pPr>
              <w:spacing w:line="36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lang w:val="en-US" w:eastAsia="zh-CN"/>
              </w:rPr>
              <w:t>4</w:t>
            </w:r>
            <w:r>
              <w:rPr>
                <w:rFonts w:hint="eastAsia" w:ascii="宋体" w:hAnsi="宋体" w:eastAsia="宋体" w:cs="宋体"/>
                <w:b/>
                <w:color w:val="auto"/>
                <w:kern w:val="1"/>
                <w:sz w:val="21"/>
                <w:szCs w:val="21"/>
                <w:highlight w:val="none"/>
              </w:rPr>
              <w:t>分</w:t>
            </w:r>
          </w:p>
        </w:tc>
        <w:tc>
          <w:tcPr>
            <w:tcW w:w="6224" w:type="dxa"/>
            <w:noWrap/>
            <w:vAlign w:val="center"/>
          </w:tcPr>
          <w:p w14:paraId="2F2B69AF">
            <w:pPr>
              <w:spacing w:line="360" w:lineRule="auto"/>
              <w:ind w:firstLine="420"/>
              <w:jc w:val="left"/>
              <w:rPr>
                <w:rFonts w:hint="eastAsia" w:ascii="宋体" w:hAnsi="宋体" w:eastAsia="宋体" w:cs="宋体"/>
                <w:color w:val="auto"/>
                <w:kern w:val="1"/>
                <w:sz w:val="21"/>
                <w:szCs w:val="21"/>
                <w:highlight w:val="none"/>
              </w:rPr>
            </w:pPr>
            <w:r>
              <w:rPr>
                <w:rFonts w:hint="eastAsia" w:ascii="宋体" w:hAnsi="宋体" w:cs="宋体"/>
                <w:color w:val="auto"/>
                <w:kern w:val="1"/>
                <w:sz w:val="21"/>
                <w:szCs w:val="21"/>
                <w:highlight w:val="none"/>
                <w:lang w:eastAsia="zh-CN"/>
              </w:rPr>
              <w:t>供应商</w:t>
            </w:r>
            <w:r>
              <w:rPr>
                <w:rFonts w:hint="eastAsia" w:ascii="宋体" w:hAnsi="宋体" w:eastAsia="宋体" w:cs="宋体"/>
                <w:color w:val="auto"/>
                <w:kern w:val="1"/>
                <w:sz w:val="21"/>
                <w:szCs w:val="21"/>
                <w:highlight w:val="none"/>
              </w:rPr>
              <w:t>拟投入本项目的项目实施人员</w:t>
            </w:r>
            <w:r>
              <w:rPr>
                <w:rFonts w:hint="eastAsia" w:ascii="宋体" w:hAnsi="宋体" w:eastAsia="宋体" w:cs="宋体"/>
                <w:color w:val="auto"/>
                <w:kern w:val="1"/>
                <w:sz w:val="21"/>
                <w:szCs w:val="21"/>
                <w:highlight w:val="none"/>
                <w:lang w:eastAsia="zh-CN"/>
              </w:rPr>
              <w:t>至少</w:t>
            </w:r>
            <w:r>
              <w:rPr>
                <w:rFonts w:hint="eastAsia" w:ascii="宋体" w:hAnsi="宋体" w:cs="宋体"/>
                <w:color w:val="auto"/>
                <w:kern w:val="1"/>
                <w:sz w:val="21"/>
                <w:szCs w:val="21"/>
                <w:highlight w:val="none"/>
                <w:lang w:val="en-US" w:eastAsia="zh-CN"/>
              </w:rPr>
              <w:t>6</w:t>
            </w:r>
            <w:r>
              <w:rPr>
                <w:rFonts w:hint="eastAsia" w:ascii="宋体" w:hAnsi="宋体" w:eastAsia="宋体" w:cs="宋体"/>
                <w:color w:val="auto"/>
                <w:kern w:val="1"/>
                <w:sz w:val="21"/>
                <w:szCs w:val="21"/>
                <w:highlight w:val="none"/>
              </w:rPr>
              <w:t>人</w:t>
            </w:r>
            <w:r>
              <w:rPr>
                <w:rFonts w:hint="eastAsia" w:ascii="宋体" w:hAnsi="宋体" w:eastAsia="宋体" w:cs="宋体"/>
                <w:color w:val="auto"/>
                <w:kern w:val="1"/>
                <w:sz w:val="21"/>
                <w:szCs w:val="21"/>
                <w:highlight w:val="none"/>
                <w:lang w:eastAsia="zh-CN"/>
              </w:rPr>
              <w:t>（含项目负责人、配送司机），拟投入</w:t>
            </w:r>
            <w:r>
              <w:rPr>
                <w:rFonts w:hint="eastAsia" w:ascii="宋体" w:hAnsi="宋体" w:cs="宋体"/>
                <w:color w:val="auto"/>
                <w:kern w:val="1"/>
                <w:sz w:val="21"/>
                <w:szCs w:val="21"/>
                <w:highlight w:val="none"/>
                <w:lang w:val="en-US" w:eastAsia="zh-CN"/>
              </w:rPr>
              <w:t>6</w:t>
            </w:r>
            <w:r>
              <w:rPr>
                <w:rFonts w:hint="eastAsia" w:ascii="宋体" w:hAnsi="宋体" w:eastAsia="宋体" w:cs="宋体"/>
                <w:color w:val="auto"/>
                <w:kern w:val="1"/>
                <w:sz w:val="21"/>
                <w:szCs w:val="21"/>
                <w:highlight w:val="none"/>
                <w:lang w:val="en-US" w:eastAsia="zh-CN"/>
              </w:rPr>
              <w:t>人的</w:t>
            </w:r>
            <w:r>
              <w:rPr>
                <w:rFonts w:hint="eastAsia" w:ascii="宋体" w:hAnsi="宋体" w:eastAsia="宋体" w:cs="宋体"/>
                <w:color w:val="auto"/>
                <w:kern w:val="1"/>
                <w:sz w:val="21"/>
                <w:szCs w:val="21"/>
                <w:highlight w:val="none"/>
              </w:rPr>
              <w:t>得</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分，每增加1人得</w:t>
            </w:r>
            <w:r>
              <w:rPr>
                <w:rFonts w:hint="eastAsia" w:ascii="宋体" w:hAnsi="宋体" w:eastAsia="宋体" w:cs="宋体"/>
                <w:color w:val="auto"/>
                <w:kern w:val="1"/>
                <w:sz w:val="21"/>
                <w:szCs w:val="21"/>
                <w:highlight w:val="none"/>
                <w:lang w:val="en-US" w:eastAsia="zh-CN"/>
              </w:rPr>
              <w:t>1</w:t>
            </w:r>
            <w:r>
              <w:rPr>
                <w:rFonts w:hint="eastAsia" w:ascii="宋体" w:hAnsi="宋体" w:eastAsia="宋体" w:cs="宋体"/>
                <w:color w:val="auto"/>
                <w:kern w:val="1"/>
                <w:sz w:val="21"/>
                <w:szCs w:val="21"/>
                <w:highlight w:val="none"/>
              </w:rPr>
              <w:t>分，满分</w:t>
            </w:r>
            <w:r>
              <w:rPr>
                <w:rFonts w:hint="eastAsia" w:ascii="宋体" w:hAnsi="宋体" w:eastAsia="宋体" w:cs="宋体"/>
                <w:color w:val="auto"/>
                <w:kern w:val="1"/>
                <w:sz w:val="21"/>
                <w:szCs w:val="21"/>
                <w:highlight w:val="none"/>
                <w:lang w:val="en-US" w:eastAsia="zh-CN"/>
              </w:rPr>
              <w:t>4</w:t>
            </w:r>
            <w:r>
              <w:rPr>
                <w:rFonts w:hint="eastAsia" w:ascii="宋体" w:hAnsi="宋体" w:eastAsia="宋体" w:cs="宋体"/>
                <w:color w:val="auto"/>
                <w:kern w:val="1"/>
                <w:sz w:val="21"/>
                <w:szCs w:val="21"/>
                <w:highlight w:val="none"/>
              </w:rPr>
              <w:t>分。</w:t>
            </w:r>
          </w:p>
          <w:p w14:paraId="20713AF7">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注：</w:t>
            </w:r>
            <w:r>
              <w:rPr>
                <w:rFonts w:hint="eastAsia" w:ascii="宋体" w:hAnsi="宋体" w:cs="宋体"/>
                <w:color w:val="auto"/>
                <w:sz w:val="21"/>
                <w:szCs w:val="21"/>
                <w:highlight w:val="none"/>
                <w:lang w:eastAsia="zh-CN"/>
              </w:rPr>
              <w:t>响应</w:t>
            </w:r>
            <w:r>
              <w:rPr>
                <w:rFonts w:hint="eastAsia" w:ascii="宋体" w:hAnsi="宋体" w:eastAsia="宋体" w:cs="宋体"/>
                <w:color w:val="auto"/>
                <w:sz w:val="21"/>
                <w:szCs w:val="21"/>
                <w:highlight w:val="none"/>
              </w:rPr>
              <w:t>文件须附企业与拟投入人员签订的劳动合同扫描件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或其他证明其为供应商单位员工证明材料</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、身份证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、有效的健康证扫描件；拟投入配送司机有效的健康证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、身份证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、驾驶证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及劳动合同扫描件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或其他证明其为供应商单位员工证明材料</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；或承诺成交后投入符合相应</w:t>
            </w:r>
            <w:r>
              <w:rPr>
                <w:rFonts w:hint="eastAsia" w:ascii="宋体" w:hAnsi="宋体" w:cs="宋体"/>
                <w:color w:val="auto"/>
                <w:sz w:val="21"/>
                <w:szCs w:val="21"/>
                <w:highlight w:val="none"/>
                <w:lang w:val="en-US" w:eastAsia="zh-CN"/>
              </w:rPr>
              <w:t>人员</w:t>
            </w:r>
            <w:r>
              <w:rPr>
                <w:rFonts w:hint="eastAsia" w:ascii="宋体" w:hAnsi="宋体" w:cs="宋体"/>
                <w:color w:val="auto"/>
                <w:sz w:val="21"/>
                <w:szCs w:val="21"/>
                <w:highlight w:val="none"/>
                <w:lang w:eastAsia="zh-CN"/>
              </w:rPr>
              <w:t>要求的承诺函并加盖供应商电子公章</w:t>
            </w:r>
            <w:r>
              <w:rPr>
                <w:rFonts w:hint="eastAsia" w:ascii="宋体" w:hAnsi="宋体" w:eastAsia="宋体" w:cs="宋体"/>
                <w:color w:val="auto"/>
                <w:sz w:val="21"/>
                <w:szCs w:val="21"/>
                <w:highlight w:val="none"/>
              </w:rPr>
              <w:t>。</w:t>
            </w:r>
          </w:p>
        </w:tc>
      </w:tr>
      <w:tr w14:paraId="5CA70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5D7F3D0F">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5</w:t>
            </w:r>
          </w:p>
        </w:tc>
        <w:tc>
          <w:tcPr>
            <w:tcW w:w="1134" w:type="dxa"/>
            <w:noWrap/>
            <w:vAlign w:val="center"/>
          </w:tcPr>
          <w:p w14:paraId="39E74B72">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kern w:val="1"/>
                <w:sz w:val="21"/>
                <w:szCs w:val="21"/>
                <w:highlight w:val="none"/>
              </w:rPr>
              <w:t>经营场所</w:t>
            </w:r>
          </w:p>
        </w:tc>
        <w:tc>
          <w:tcPr>
            <w:tcW w:w="954" w:type="dxa"/>
            <w:noWrap/>
            <w:vAlign w:val="center"/>
          </w:tcPr>
          <w:p w14:paraId="642EEF6E">
            <w:pPr>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4分</w:t>
            </w:r>
          </w:p>
        </w:tc>
        <w:tc>
          <w:tcPr>
            <w:tcW w:w="6224" w:type="dxa"/>
            <w:noWrap/>
          </w:tcPr>
          <w:p w14:paraId="36A81A0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投入本项目配送场所满足</w:t>
            </w:r>
            <w:r>
              <w:rPr>
                <w:rFonts w:hint="eastAsia" w:ascii="宋体" w:hAnsi="宋体" w:cs="宋体"/>
                <w:color w:val="auto"/>
                <w:sz w:val="21"/>
                <w:szCs w:val="21"/>
                <w:highlight w:val="none"/>
                <w:lang w:eastAsia="zh-CN"/>
              </w:rPr>
              <w:t>采购文件</w:t>
            </w:r>
            <w:r>
              <w:rPr>
                <w:rFonts w:hint="eastAsia" w:ascii="宋体" w:hAnsi="宋体" w:eastAsia="宋体" w:cs="宋体"/>
                <w:color w:val="auto"/>
                <w:sz w:val="21"/>
                <w:szCs w:val="21"/>
                <w:highlight w:val="none"/>
              </w:rPr>
              <w:t>配送场所功能要求，且符合卫生标准，有</w:t>
            </w:r>
            <w:r>
              <w:rPr>
                <w:rFonts w:hint="eastAsia" w:ascii="宋体" w:hAnsi="宋体" w:eastAsia="宋体" w:cs="宋体"/>
                <w:color w:val="auto"/>
                <w:sz w:val="21"/>
                <w:szCs w:val="21"/>
                <w:highlight w:val="none"/>
                <w:lang w:eastAsia="zh-CN"/>
              </w:rPr>
              <w:t>独立</w:t>
            </w:r>
            <w:r>
              <w:rPr>
                <w:rFonts w:hint="eastAsia" w:ascii="宋体" w:hAnsi="宋体" w:eastAsia="宋体" w:cs="宋体"/>
                <w:color w:val="auto"/>
                <w:sz w:val="21"/>
                <w:szCs w:val="21"/>
                <w:highlight w:val="none"/>
              </w:rPr>
              <w:t>快检室</w:t>
            </w:r>
            <w:r>
              <w:rPr>
                <w:rFonts w:hint="eastAsia" w:ascii="宋体" w:hAnsi="宋体" w:eastAsia="宋体" w:cs="宋体"/>
                <w:color w:val="auto"/>
                <w:sz w:val="21"/>
                <w:szCs w:val="21"/>
                <w:highlight w:val="none"/>
                <w:lang w:eastAsia="zh-CN"/>
              </w:rPr>
              <w:t>（要求具备检测农残、肉类药物残留等功能的检测仪器）</w:t>
            </w:r>
            <w:r>
              <w:rPr>
                <w:rFonts w:hint="eastAsia" w:ascii="宋体" w:hAnsi="宋体" w:eastAsia="宋体" w:cs="宋体"/>
                <w:color w:val="auto"/>
                <w:sz w:val="21"/>
                <w:szCs w:val="21"/>
                <w:highlight w:val="none"/>
              </w:rPr>
              <w:t>、食品仓库</w:t>
            </w:r>
            <w:r>
              <w:rPr>
                <w:rFonts w:hint="eastAsia" w:ascii="宋体" w:hAnsi="宋体" w:eastAsia="宋体" w:cs="宋体"/>
                <w:color w:val="auto"/>
                <w:sz w:val="21"/>
                <w:szCs w:val="21"/>
                <w:highlight w:val="none"/>
                <w:lang w:eastAsia="zh-CN"/>
              </w:rPr>
              <w:t>及</w:t>
            </w:r>
            <w:r>
              <w:rPr>
                <w:rFonts w:hint="eastAsia" w:ascii="宋体" w:hAnsi="宋体" w:eastAsia="宋体" w:cs="宋体"/>
                <w:color w:val="auto"/>
                <w:sz w:val="21"/>
                <w:szCs w:val="21"/>
                <w:highlight w:val="none"/>
              </w:rPr>
              <w:t>加工生产车间</w:t>
            </w:r>
            <w:r>
              <w:rPr>
                <w:rFonts w:hint="eastAsia" w:ascii="宋体" w:hAnsi="宋体" w:eastAsia="宋体" w:cs="宋体"/>
                <w:color w:val="auto"/>
                <w:sz w:val="21"/>
                <w:szCs w:val="21"/>
                <w:highlight w:val="none"/>
                <w:lang w:eastAsia="zh-CN"/>
              </w:rPr>
              <w:t>（要求仓库及车间顶棚密闭、防蚊防虫防尘、库房地面硬化、门口有挡鼠板、应制度上墙、分区划线合理）</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冷藏室</w:t>
            </w:r>
            <w:r>
              <w:rPr>
                <w:rFonts w:hint="eastAsia" w:ascii="宋体" w:hAnsi="宋体" w:eastAsia="宋体" w:cs="宋体"/>
                <w:color w:val="auto"/>
                <w:sz w:val="21"/>
                <w:szCs w:val="21"/>
                <w:highlight w:val="none"/>
              </w:rPr>
              <w:t>和其他办公用房，得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p w14:paraId="1BA4EA4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【注：涉及到场地的证明材料，</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文件需提供“（一）</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从现有场地中投入本项目使用的提供：①配送场所可自有或租赁：属自有的需提供土地权属证明或不动产权证明材料扫描件及配送场所平面图；属租赁的，除提供土地权属证明或不动产权证明材料复印件及配送场所平面图外，还需提供租赁合同扫描件。②配送场所至少包含</w:t>
            </w:r>
            <w:r>
              <w:rPr>
                <w:rFonts w:hint="eastAsia" w:ascii="宋体" w:hAnsi="宋体" w:eastAsia="宋体" w:cs="宋体"/>
                <w:color w:val="auto"/>
                <w:sz w:val="21"/>
                <w:szCs w:val="21"/>
                <w:highlight w:val="none"/>
                <w:lang w:eastAsia="zh-CN"/>
              </w:rPr>
              <w:t>独立</w:t>
            </w:r>
            <w:r>
              <w:rPr>
                <w:rFonts w:hint="eastAsia" w:ascii="宋体" w:hAnsi="宋体" w:eastAsia="宋体" w:cs="宋体"/>
                <w:color w:val="auto"/>
                <w:sz w:val="21"/>
                <w:szCs w:val="21"/>
                <w:highlight w:val="none"/>
              </w:rPr>
              <w:t>检测室、食品仓库、加工生产车间、</w:t>
            </w:r>
            <w:r>
              <w:rPr>
                <w:rFonts w:hint="eastAsia" w:ascii="宋体" w:hAnsi="宋体" w:eastAsia="宋体" w:cs="宋体"/>
                <w:color w:val="auto"/>
                <w:sz w:val="21"/>
                <w:szCs w:val="21"/>
                <w:highlight w:val="none"/>
                <w:lang w:eastAsia="zh-CN"/>
              </w:rPr>
              <w:t>冷藏室</w:t>
            </w:r>
            <w:r>
              <w:rPr>
                <w:rFonts w:hint="eastAsia" w:ascii="宋体" w:hAnsi="宋体" w:eastAsia="宋体" w:cs="宋体"/>
                <w:color w:val="auto"/>
                <w:sz w:val="21"/>
                <w:szCs w:val="21"/>
                <w:highlight w:val="none"/>
              </w:rPr>
              <w:t>和其他办公用房等（提供各个区域现场照片）。③</w:t>
            </w:r>
            <w:r>
              <w:rPr>
                <w:rFonts w:hint="eastAsia" w:ascii="宋体" w:hAnsi="宋体" w:eastAsia="宋体" w:cs="宋体"/>
                <w:color w:val="auto"/>
                <w:sz w:val="21"/>
                <w:szCs w:val="21"/>
                <w:highlight w:val="none"/>
                <w:lang w:eastAsia="zh-CN"/>
              </w:rPr>
              <w:t>冷藏室</w:t>
            </w:r>
            <w:r>
              <w:rPr>
                <w:rFonts w:hint="eastAsia" w:ascii="宋体" w:hAnsi="宋体" w:eastAsia="宋体" w:cs="宋体"/>
                <w:color w:val="auto"/>
                <w:sz w:val="21"/>
                <w:szCs w:val="21"/>
                <w:highlight w:val="none"/>
              </w:rPr>
              <w:t>制冷设备采购发票（或冷库建设安装合同）扫描件”或（二）“</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承诺在</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前或</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后建立</w:t>
            </w:r>
            <w:r>
              <w:rPr>
                <w:rFonts w:hint="eastAsia" w:ascii="宋体" w:hAnsi="宋体" w:eastAsia="宋体" w:cs="宋体"/>
                <w:color w:val="auto"/>
                <w:sz w:val="21"/>
                <w:szCs w:val="21"/>
                <w:highlight w:val="none"/>
                <w:lang w:eastAsia="zh-CN"/>
              </w:rPr>
              <w:t>符合评分标准功能要求</w:t>
            </w:r>
            <w:r>
              <w:rPr>
                <w:rFonts w:hint="eastAsia" w:ascii="宋体" w:hAnsi="宋体" w:eastAsia="宋体" w:cs="宋体"/>
                <w:color w:val="auto"/>
                <w:sz w:val="21"/>
                <w:szCs w:val="21"/>
                <w:highlight w:val="none"/>
              </w:rPr>
              <w:t>相应配送场所的，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文件中提供相应承诺函”。</w:t>
            </w:r>
            <w:r>
              <w:rPr>
                <w:rFonts w:hint="eastAsia" w:ascii="宋体" w:hAnsi="宋体" w:eastAsia="宋体" w:cs="宋体"/>
                <w:color w:val="auto"/>
                <w:sz w:val="21"/>
                <w:szCs w:val="21"/>
                <w:highlight w:val="none"/>
                <w:lang w:val="en-US" w:eastAsia="zh-CN"/>
              </w:rPr>
              <w:t>供货前</w:t>
            </w:r>
            <w:r>
              <w:rPr>
                <w:rFonts w:hint="eastAsia" w:ascii="宋体" w:hAnsi="宋体" w:eastAsia="宋体" w:cs="宋体"/>
                <w:color w:val="auto"/>
                <w:sz w:val="21"/>
                <w:szCs w:val="21"/>
                <w:highlight w:val="none"/>
              </w:rPr>
              <w:t>由</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组织进行考察核实投入场地情况，未能按承诺建立的将</w:t>
            </w:r>
            <w:r>
              <w:rPr>
                <w:rFonts w:hint="eastAsia" w:ascii="宋体" w:hAnsi="宋体" w:eastAsia="宋体" w:cs="宋体"/>
                <w:color w:val="auto"/>
                <w:sz w:val="21"/>
                <w:szCs w:val="21"/>
                <w:highlight w:val="none"/>
                <w:lang w:val="en-US" w:eastAsia="zh-CN"/>
              </w:rPr>
              <w:t>上报监管部门，</w:t>
            </w:r>
            <w:r>
              <w:rPr>
                <w:rFonts w:hint="eastAsia" w:ascii="宋体" w:hAnsi="宋体" w:eastAsia="宋体" w:cs="宋体"/>
                <w:color w:val="auto"/>
                <w:sz w:val="21"/>
                <w:szCs w:val="21"/>
                <w:highlight w:val="none"/>
              </w:rPr>
              <w:t>取消其</w:t>
            </w:r>
            <w:r>
              <w:rPr>
                <w:rFonts w:hint="eastAsia" w:ascii="宋体" w:hAnsi="宋体" w:eastAsia="宋体" w:cs="宋体"/>
                <w:color w:val="auto"/>
                <w:sz w:val="21"/>
                <w:szCs w:val="21"/>
                <w:highlight w:val="none"/>
                <w:lang w:eastAsia="zh-CN"/>
              </w:rPr>
              <w:t>供货</w:t>
            </w:r>
            <w:r>
              <w:rPr>
                <w:rFonts w:hint="eastAsia" w:ascii="宋体" w:hAnsi="宋体" w:eastAsia="宋体" w:cs="宋体"/>
                <w:color w:val="auto"/>
                <w:sz w:val="21"/>
                <w:szCs w:val="21"/>
                <w:highlight w:val="none"/>
              </w:rPr>
              <w:t>资格。】</w:t>
            </w:r>
          </w:p>
          <w:p w14:paraId="77614B62">
            <w:pPr>
              <w:spacing w:line="360" w:lineRule="auto"/>
              <w:ind w:firstLine="420" w:firstLineChars="200"/>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lang w:eastAsia="zh-CN"/>
              </w:rPr>
              <w:t>注：</w:t>
            </w:r>
            <w:r>
              <w:rPr>
                <w:rFonts w:hint="eastAsia" w:ascii="宋体" w:hAnsi="宋体" w:eastAsia="宋体" w:cs="宋体"/>
                <w:color w:val="auto"/>
                <w:sz w:val="21"/>
                <w:szCs w:val="21"/>
                <w:highlight w:val="none"/>
              </w:rPr>
              <w:t>配送场所未按评分要求提供</w:t>
            </w:r>
            <w:r>
              <w:rPr>
                <w:rFonts w:hint="eastAsia" w:ascii="宋体" w:hAnsi="宋体" w:eastAsia="宋体" w:cs="宋体"/>
                <w:color w:val="auto"/>
                <w:sz w:val="21"/>
                <w:szCs w:val="21"/>
                <w:highlight w:val="none"/>
                <w:lang w:eastAsia="zh-CN"/>
              </w:rPr>
              <w:t>相应材料</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不得分</w:t>
            </w:r>
            <w:r>
              <w:rPr>
                <w:rFonts w:hint="eastAsia" w:ascii="宋体" w:hAnsi="宋体" w:eastAsia="宋体" w:cs="宋体"/>
                <w:color w:val="auto"/>
                <w:sz w:val="21"/>
                <w:szCs w:val="21"/>
                <w:highlight w:val="none"/>
              </w:rPr>
              <w:t>。</w:t>
            </w:r>
          </w:p>
        </w:tc>
      </w:tr>
      <w:tr w14:paraId="43A2B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122AAD3B">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6</w:t>
            </w:r>
          </w:p>
        </w:tc>
        <w:tc>
          <w:tcPr>
            <w:tcW w:w="1134" w:type="dxa"/>
            <w:noWrap/>
            <w:vAlign w:val="center"/>
          </w:tcPr>
          <w:p w14:paraId="3A51344A">
            <w:pPr>
              <w:spacing w:line="36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业绩</w:t>
            </w:r>
          </w:p>
        </w:tc>
        <w:tc>
          <w:tcPr>
            <w:tcW w:w="954" w:type="dxa"/>
            <w:noWrap/>
            <w:vAlign w:val="center"/>
          </w:tcPr>
          <w:p w14:paraId="1DBEB89D">
            <w:pPr>
              <w:spacing w:line="360" w:lineRule="auto"/>
              <w:jc w:val="center"/>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4分</w:t>
            </w:r>
          </w:p>
        </w:tc>
        <w:tc>
          <w:tcPr>
            <w:tcW w:w="6224" w:type="dxa"/>
            <w:noWrap/>
          </w:tcPr>
          <w:p w14:paraId="448EDF36">
            <w:pPr>
              <w:spacing w:line="360" w:lineRule="auto"/>
              <w:jc w:val="left"/>
              <w:rPr>
                <w:rFonts w:hint="eastAsia" w:ascii="宋体" w:hAnsi="宋体" w:eastAsia="宋体" w:cs="宋体"/>
                <w:b/>
                <w:bCs/>
                <w:color w:val="auto"/>
                <w:sz w:val="21"/>
                <w:szCs w:val="21"/>
                <w:highlight w:val="none"/>
                <w:lang w:eastAsia="zh-CN"/>
              </w:rPr>
            </w:pPr>
            <w:r>
              <w:rPr>
                <w:rFonts w:hint="eastAsia" w:ascii="宋体" w:hAnsi="宋体" w:cs="宋体"/>
                <w:color w:val="auto"/>
                <w:kern w:val="1"/>
                <w:sz w:val="21"/>
                <w:szCs w:val="21"/>
                <w:highlight w:val="none"/>
                <w:lang w:eastAsia="zh-CN"/>
              </w:rPr>
              <w:t>供应商</w:t>
            </w:r>
            <w:r>
              <w:rPr>
                <w:rFonts w:hint="eastAsia" w:ascii="宋体" w:hAnsi="宋体" w:eastAsia="宋体" w:cs="宋体"/>
                <w:color w:val="auto"/>
                <w:kern w:val="1"/>
                <w:sz w:val="21"/>
                <w:szCs w:val="21"/>
                <w:highlight w:val="none"/>
              </w:rPr>
              <w:t>202</w:t>
            </w:r>
            <w:r>
              <w:rPr>
                <w:rFonts w:hint="eastAsia" w:ascii="宋体" w:hAnsi="宋体" w:cs="宋体"/>
                <w:color w:val="auto"/>
                <w:kern w:val="1"/>
                <w:sz w:val="21"/>
                <w:szCs w:val="21"/>
                <w:highlight w:val="none"/>
                <w:lang w:val="en-US" w:eastAsia="zh-CN"/>
              </w:rPr>
              <w:t>3</w:t>
            </w:r>
            <w:r>
              <w:rPr>
                <w:rFonts w:hint="eastAsia" w:ascii="宋体" w:hAnsi="宋体" w:eastAsia="宋体" w:cs="宋体"/>
                <w:color w:val="auto"/>
                <w:kern w:val="1"/>
                <w:sz w:val="21"/>
                <w:szCs w:val="21"/>
                <w:highlight w:val="none"/>
              </w:rPr>
              <w:t>年1月1日以来类似食品供应服务的业绩【无不良记录，须在</w:t>
            </w:r>
            <w:r>
              <w:rPr>
                <w:rFonts w:hint="eastAsia" w:ascii="宋体" w:hAnsi="宋体" w:cs="宋体"/>
                <w:color w:val="auto"/>
                <w:kern w:val="1"/>
                <w:sz w:val="21"/>
                <w:szCs w:val="21"/>
                <w:highlight w:val="none"/>
                <w:lang w:eastAsia="zh-CN"/>
              </w:rPr>
              <w:t>响应</w:t>
            </w:r>
            <w:r>
              <w:rPr>
                <w:rFonts w:hint="eastAsia" w:ascii="宋体" w:hAnsi="宋体" w:eastAsia="宋体" w:cs="宋体"/>
                <w:color w:val="auto"/>
                <w:kern w:val="1"/>
                <w:sz w:val="21"/>
                <w:szCs w:val="21"/>
                <w:highlight w:val="none"/>
              </w:rPr>
              <w:t>文件中提供①中标（成交）通知书扫描件或签订的合同扫描件；②对应业绩项目供货</w:t>
            </w:r>
            <w:r>
              <w:rPr>
                <w:rFonts w:hint="eastAsia" w:ascii="宋体" w:hAnsi="宋体" w:cs="宋体"/>
                <w:color w:val="auto"/>
                <w:kern w:val="1"/>
                <w:sz w:val="21"/>
                <w:szCs w:val="21"/>
                <w:highlight w:val="none"/>
                <w:lang w:eastAsia="zh-CN"/>
              </w:rPr>
              <w:t>发票复印件或扫描件</w:t>
            </w:r>
            <w:r>
              <w:rPr>
                <w:rFonts w:hint="eastAsia" w:ascii="宋体" w:hAnsi="宋体" w:eastAsia="宋体" w:cs="宋体"/>
                <w:color w:val="auto"/>
                <w:kern w:val="1"/>
                <w:sz w:val="21"/>
                <w:szCs w:val="21"/>
                <w:highlight w:val="none"/>
              </w:rPr>
              <w:t>，否则将不予评审】，每个得</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分，最多得</w:t>
            </w:r>
            <w:r>
              <w:rPr>
                <w:rFonts w:hint="eastAsia" w:ascii="宋体" w:hAnsi="宋体" w:eastAsia="宋体" w:cs="宋体"/>
                <w:color w:val="auto"/>
                <w:kern w:val="1"/>
                <w:sz w:val="21"/>
                <w:szCs w:val="21"/>
                <w:highlight w:val="none"/>
                <w:lang w:val="en-US" w:eastAsia="zh-CN"/>
              </w:rPr>
              <w:t>4</w:t>
            </w:r>
            <w:r>
              <w:rPr>
                <w:rFonts w:hint="eastAsia" w:ascii="宋体" w:hAnsi="宋体" w:eastAsia="宋体" w:cs="宋体"/>
                <w:color w:val="auto"/>
                <w:kern w:val="1"/>
                <w:sz w:val="21"/>
                <w:szCs w:val="21"/>
                <w:highlight w:val="none"/>
              </w:rPr>
              <w:t>分。</w:t>
            </w:r>
          </w:p>
        </w:tc>
      </w:tr>
      <w:tr w14:paraId="68721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70" w:type="dxa"/>
            <w:gridSpan w:val="4"/>
            <w:noWrap/>
            <w:vAlign w:val="center"/>
          </w:tcPr>
          <w:p w14:paraId="256EFB99">
            <w:pPr>
              <w:spacing w:line="360" w:lineRule="auto"/>
              <w:jc w:val="left"/>
              <w:rPr>
                <w:rFonts w:hint="default" w:ascii="宋体" w:hAnsi="宋体" w:eastAsia="宋体" w:cs="宋体"/>
                <w:color w:val="auto"/>
                <w:kern w:val="1"/>
                <w:sz w:val="21"/>
                <w:szCs w:val="21"/>
                <w:highlight w:val="none"/>
                <w:lang w:val="en-US" w:eastAsia="zh-CN"/>
              </w:rPr>
            </w:pPr>
            <w:r>
              <w:rPr>
                <w:rFonts w:hint="eastAsia" w:ascii="宋体" w:hAnsi="宋体" w:cs="宋体"/>
                <w:color w:val="auto"/>
                <w:kern w:val="1"/>
                <w:sz w:val="21"/>
                <w:szCs w:val="21"/>
                <w:highlight w:val="none"/>
                <w:lang w:val="en-US" w:eastAsia="zh-CN"/>
              </w:rPr>
              <w:t>总得分=1+2+3+4+5+6</w:t>
            </w:r>
          </w:p>
        </w:tc>
      </w:tr>
    </w:tbl>
    <w:p w14:paraId="22D1CA8F">
      <w:pPr>
        <w:spacing w:line="360" w:lineRule="auto"/>
        <w:ind w:firstLine="420"/>
        <w:rPr>
          <w:rFonts w:hint="eastAsia" w:ascii="宋体" w:hAnsi="宋体" w:cs="宋体"/>
          <w:b/>
          <w:color w:val="auto"/>
          <w:szCs w:val="21"/>
          <w:highlight w:val="none"/>
        </w:rPr>
      </w:pPr>
      <w:r>
        <w:rPr>
          <w:rFonts w:hint="eastAsia" w:ascii="宋体" w:hAnsi="宋体"/>
          <w:bCs/>
          <w:color w:val="auto"/>
          <w:szCs w:val="21"/>
          <w:highlight w:val="none"/>
        </w:rPr>
        <w:t>6</w:t>
      </w:r>
      <w:r>
        <w:rPr>
          <w:rFonts w:ascii="宋体" w:hAnsi="宋体"/>
          <w:bCs/>
          <w:color w:val="auto"/>
          <w:szCs w:val="21"/>
          <w:highlight w:val="none"/>
        </w:rPr>
        <w:t>.</w:t>
      </w:r>
      <w:r>
        <w:rPr>
          <w:rFonts w:hint="eastAsia" w:ascii="宋体" w:hAnsi="宋体"/>
          <w:bCs/>
          <w:color w:val="auto"/>
          <w:szCs w:val="21"/>
          <w:highlight w:val="none"/>
        </w:rPr>
        <w:t>评审依据：磋商小组将以磋商响应文件为评审依据，对供应商的报价、技术、商务等方面内容按百分制打分。（计分方法按四舍五入取至百分位）。</w:t>
      </w:r>
    </w:p>
    <w:p w14:paraId="5E3E7A4A">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三、成交候选人推荐原则</w:t>
      </w:r>
    </w:p>
    <w:p w14:paraId="392919F3">
      <w:pPr>
        <w:spacing w:line="360" w:lineRule="auto"/>
        <w:ind w:firstLine="420"/>
        <w:rPr>
          <w:rFonts w:hint="eastAsia" w:ascii="宋体" w:hAnsi="宋体" w:cs="宋体"/>
          <w:color w:val="auto"/>
          <w:highlight w:val="none"/>
        </w:rPr>
      </w:pPr>
      <w:r>
        <w:rPr>
          <w:rFonts w:hint="eastAsia" w:ascii="宋体" w:hAnsi="宋体"/>
          <w:bCs/>
          <w:color w:val="auto"/>
          <w:szCs w:val="21"/>
          <w:highlight w:val="none"/>
          <w:lang w:val="en-US" w:eastAsia="zh-CN"/>
        </w:rPr>
        <w:t xml:space="preserve"> </w:t>
      </w:r>
      <w:r>
        <w:rPr>
          <w:rFonts w:hint="eastAsia" w:ascii="宋体" w:hAnsi="宋体"/>
          <w:b w:val="0"/>
          <w:bCs/>
          <w:color w:val="auto"/>
          <w:szCs w:val="21"/>
          <w:highlight w:val="none"/>
        </w:rPr>
        <w:t>由磋商小组根据综合评分情况，按照评审得分由高到低顺序推荐3名以上成交候选供应商，并编写评审报告，</w:t>
      </w:r>
      <w:r>
        <w:rPr>
          <w:rFonts w:hint="eastAsia" w:ascii="宋体" w:hAnsi="宋体" w:cs="宋体"/>
          <w:b w:val="0"/>
          <w:bCs/>
          <w:color w:val="auto"/>
          <w:highlight w:val="none"/>
        </w:rPr>
        <w:t>评审报告</w:t>
      </w:r>
      <w:r>
        <w:rPr>
          <w:rFonts w:hint="eastAsia" w:hAnsi="宋体"/>
          <w:b w:val="0"/>
          <w:bCs/>
          <w:color w:val="auto"/>
          <w:highlight w:val="none"/>
        </w:rPr>
        <w:t>通过电子交易平台向采购人、采购代理机构提交。</w:t>
      </w:r>
      <w:r>
        <w:rPr>
          <w:rFonts w:hint="eastAsia" w:ascii="宋体" w:hAnsi="宋体"/>
          <w:b w:val="0"/>
          <w:bCs/>
          <w:color w:val="auto"/>
          <w:szCs w:val="21"/>
          <w:highlight w:val="none"/>
        </w:rPr>
        <w:t>符合本章第</w:t>
      </w:r>
      <w:r>
        <w:rPr>
          <w:rFonts w:ascii="宋体" w:hAnsi="宋体"/>
          <w:b w:val="0"/>
          <w:bCs/>
          <w:color w:val="auto"/>
          <w:szCs w:val="21"/>
          <w:highlight w:val="none"/>
        </w:rPr>
        <w:t>4.3</w:t>
      </w:r>
      <w:r>
        <w:rPr>
          <w:rFonts w:hint="eastAsia" w:ascii="宋体" w:hAnsi="宋体"/>
          <w:b w:val="0"/>
          <w:bCs/>
          <w:color w:val="auto"/>
          <w:szCs w:val="21"/>
          <w:highlight w:val="none"/>
        </w:rPr>
        <w:t>条情形的，可以推荐2家成交候选供应商。评审得分相同的，按照最后报价（不计算价格折扣）由低到高的顺序推荐。评审得分且最后报价（不计算价格折扣）相同的，按照技术指标优劣顺序推荐（</w:t>
      </w:r>
      <w:r>
        <w:rPr>
          <w:rFonts w:hint="eastAsia" w:ascii="宋体" w:hAnsi="宋体"/>
          <w:b w:val="0"/>
          <w:bCs/>
          <w:color w:val="auto"/>
          <w:szCs w:val="21"/>
          <w:highlight w:val="none"/>
        </w:rPr>
        <w:t>配送方案分高的优先、食品安全与质量保障分高的优先、售后服务分高的优先、管理制度分高的优先、应急方案分高的优先的顺序确定</w:t>
      </w:r>
      <w:r>
        <w:rPr>
          <w:rFonts w:hint="eastAsia" w:ascii="宋体" w:hAnsi="宋体"/>
          <w:b w:val="0"/>
          <w:bCs/>
          <w:color w:val="auto"/>
          <w:szCs w:val="21"/>
          <w:highlight w:val="none"/>
        </w:rPr>
        <w:t>）。评审得分、最后报价（不计算价格折扣）、技术得分、</w:t>
      </w:r>
      <w:r>
        <w:rPr>
          <w:rFonts w:hint="eastAsia" w:ascii="宋体" w:hAnsi="宋体" w:cs="宋体"/>
          <w:b w:val="0"/>
          <w:bCs/>
          <w:color w:val="auto"/>
          <w:szCs w:val="21"/>
          <w:highlight w:val="none"/>
          <w:lang w:eastAsia="zh-CN"/>
        </w:rPr>
        <w:t>商务</w:t>
      </w:r>
      <w:r>
        <w:rPr>
          <w:rFonts w:hint="eastAsia" w:ascii="宋体" w:hAnsi="宋体"/>
          <w:b w:val="0"/>
          <w:bCs/>
          <w:color w:val="auto"/>
          <w:szCs w:val="21"/>
          <w:highlight w:val="none"/>
        </w:rPr>
        <w:t>分均相同的，由磋商小组随机抽取推荐。</w:t>
      </w:r>
      <w:r>
        <w:rPr>
          <w:rFonts w:hint="eastAsia" w:ascii="宋体" w:hAnsi="宋体" w:cs="宋体"/>
          <w:color w:val="auto"/>
          <w:highlight w:val="none"/>
        </w:rPr>
        <w:br w:type="page" w:clear="all"/>
      </w:r>
    </w:p>
    <w:p w14:paraId="5373622D">
      <w:pPr>
        <w:pStyle w:val="196"/>
        <w:jc w:val="center"/>
        <w:rPr>
          <w:rFonts w:hint="eastAsia" w:ascii="宋体" w:hAnsi="宋体" w:cs="宋体"/>
          <w:color w:val="auto"/>
          <w:highlight w:val="none"/>
        </w:rPr>
      </w:pPr>
    </w:p>
    <w:p w14:paraId="5BF5E2E9">
      <w:pPr>
        <w:pStyle w:val="196"/>
        <w:jc w:val="center"/>
        <w:rPr>
          <w:rFonts w:hint="eastAsia" w:ascii="宋体" w:hAnsi="宋体" w:cs="宋体"/>
          <w:color w:val="auto"/>
          <w:highlight w:val="none"/>
        </w:rPr>
      </w:pPr>
      <w:bookmarkStart w:id="47" w:name="_Toc2188"/>
      <w:r>
        <w:rPr>
          <w:rFonts w:hint="eastAsia" w:ascii="宋体" w:hAnsi="宋体" w:cs="宋体"/>
          <w:color w:val="auto"/>
          <w:highlight w:val="none"/>
        </w:rPr>
        <w:t>第五章 响应文件格式</w:t>
      </w:r>
      <w:bookmarkEnd w:id="47"/>
    </w:p>
    <w:p w14:paraId="4EC9D9AE">
      <w:pPr>
        <w:spacing w:line="240" w:lineRule="atLeast"/>
        <w:rPr>
          <w:rFonts w:hint="eastAsia" w:ascii="宋体" w:hAnsi="宋体" w:cs="宋体"/>
          <w:b/>
          <w:color w:val="auto"/>
          <w:sz w:val="32"/>
          <w:szCs w:val="32"/>
          <w:highlight w:val="none"/>
        </w:rPr>
      </w:pPr>
    </w:p>
    <w:p w14:paraId="4D991C7D">
      <w:pPr>
        <w:spacing w:line="240" w:lineRule="atLeast"/>
        <w:rPr>
          <w:rFonts w:hint="eastAsia" w:ascii="宋体" w:hAnsi="宋体" w:cs="宋体"/>
          <w:b/>
          <w:bCs/>
          <w:color w:val="auto"/>
          <w:sz w:val="24"/>
          <w:highlight w:val="none"/>
        </w:rPr>
      </w:pPr>
    </w:p>
    <w:p w14:paraId="78B7796D">
      <w:pPr>
        <w:spacing w:before="160" w:after="50"/>
        <w:rPr>
          <w:rFonts w:hint="eastAsia" w:ascii="宋体" w:hAnsi="宋体" w:cs="宋体"/>
          <w:color w:val="auto"/>
          <w:sz w:val="24"/>
          <w:szCs w:val="20"/>
          <w:highlight w:val="none"/>
        </w:rPr>
      </w:pPr>
    </w:p>
    <w:p w14:paraId="70BC9FA7">
      <w:pPr>
        <w:spacing w:before="160" w:after="50"/>
        <w:jc w:val="center"/>
        <w:rPr>
          <w:rFonts w:hint="eastAsia" w:ascii="宋体" w:hAnsi="宋体" w:cs="宋体"/>
          <w:bCs/>
          <w:color w:val="auto"/>
          <w:sz w:val="24"/>
          <w:szCs w:val="20"/>
          <w:highlight w:val="none"/>
        </w:rPr>
      </w:pPr>
    </w:p>
    <w:p w14:paraId="3E6EA9CB">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响  应  文  件</w:t>
      </w:r>
    </w:p>
    <w:p w14:paraId="62B002AC">
      <w:pPr>
        <w:spacing w:before="160" w:after="50"/>
        <w:rPr>
          <w:rFonts w:hint="eastAsia" w:ascii="宋体" w:hAnsi="宋体" w:cs="宋体"/>
          <w:bCs/>
          <w:color w:val="auto"/>
          <w:sz w:val="24"/>
          <w:szCs w:val="20"/>
          <w:highlight w:val="none"/>
        </w:rPr>
      </w:pPr>
    </w:p>
    <w:p w14:paraId="2D373E73">
      <w:pPr>
        <w:spacing w:before="160" w:after="50"/>
        <w:rPr>
          <w:rFonts w:hint="eastAsia" w:ascii="宋体" w:hAnsi="宋体" w:cs="宋体"/>
          <w:bCs/>
          <w:color w:val="auto"/>
          <w:sz w:val="24"/>
          <w:szCs w:val="20"/>
          <w:highlight w:val="none"/>
        </w:rPr>
      </w:pPr>
    </w:p>
    <w:p w14:paraId="4A64AA45">
      <w:pPr>
        <w:spacing w:before="160" w:after="50"/>
        <w:rPr>
          <w:rFonts w:hint="eastAsia" w:ascii="宋体" w:hAnsi="宋体" w:cs="宋体"/>
          <w:bCs/>
          <w:color w:val="auto"/>
          <w:sz w:val="32"/>
          <w:szCs w:val="32"/>
          <w:highlight w:val="none"/>
        </w:rPr>
      </w:pPr>
    </w:p>
    <w:p w14:paraId="3396DC92">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7E92F6CE">
      <w:pPr>
        <w:spacing w:before="160" w:after="50"/>
        <w:ind w:firstLine="480"/>
        <w:rPr>
          <w:rFonts w:hint="eastAsia" w:ascii="宋体" w:hAnsi="宋体" w:cs="宋体"/>
          <w:bCs/>
          <w:color w:val="auto"/>
          <w:sz w:val="32"/>
          <w:szCs w:val="32"/>
          <w:highlight w:val="none"/>
        </w:rPr>
      </w:pPr>
    </w:p>
    <w:p w14:paraId="1B0E9E4E">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1704DB9D">
      <w:pPr>
        <w:spacing w:before="160" w:after="50"/>
        <w:ind w:firstLine="480"/>
        <w:rPr>
          <w:rFonts w:hint="eastAsia" w:ascii="宋体" w:hAnsi="宋体" w:cs="宋体"/>
          <w:bCs/>
          <w:color w:val="auto"/>
          <w:sz w:val="32"/>
          <w:szCs w:val="32"/>
          <w:highlight w:val="none"/>
        </w:rPr>
      </w:pPr>
    </w:p>
    <w:p w14:paraId="4D8DD9DC">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7FC7BE8C">
      <w:pPr>
        <w:spacing w:before="160" w:after="50"/>
        <w:rPr>
          <w:rFonts w:hint="eastAsia" w:ascii="宋体" w:hAnsi="宋体" w:cs="宋体"/>
          <w:bCs/>
          <w:color w:val="auto"/>
          <w:sz w:val="32"/>
          <w:szCs w:val="32"/>
          <w:highlight w:val="none"/>
        </w:rPr>
      </w:pPr>
    </w:p>
    <w:p w14:paraId="23BAC607">
      <w:pPr>
        <w:spacing w:before="160" w:after="50"/>
        <w:ind w:firstLine="480"/>
        <w:jc w:val="center"/>
        <w:rPr>
          <w:rFonts w:hint="eastAsia" w:ascii="宋体" w:hAnsi="宋体" w:cs="宋体"/>
          <w:bCs/>
          <w:color w:val="auto"/>
          <w:sz w:val="32"/>
          <w:szCs w:val="32"/>
          <w:highlight w:val="none"/>
        </w:rPr>
      </w:pPr>
      <w:r>
        <w:rPr>
          <w:rFonts w:hint="eastAsia" w:ascii="宋体" w:hAnsi="宋体" w:cs="宋体"/>
          <w:bCs/>
          <w:color w:val="auto"/>
          <w:sz w:val="32"/>
          <w:szCs w:val="32"/>
          <w:highlight w:val="none"/>
        </w:rPr>
        <w:t>首次响应文件提交截止时间前不得启封</w:t>
      </w:r>
    </w:p>
    <w:p w14:paraId="4996463A">
      <w:pPr>
        <w:spacing w:before="160" w:after="50"/>
        <w:ind w:firstLine="5440"/>
        <w:jc w:val="center"/>
        <w:rPr>
          <w:rFonts w:hint="eastAsia" w:ascii="宋体" w:hAnsi="宋体" w:cs="宋体"/>
          <w:bCs/>
          <w:color w:val="auto"/>
          <w:sz w:val="32"/>
          <w:szCs w:val="32"/>
          <w:highlight w:val="none"/>
        </w:rPr>
      </w:pPr>
    </w:p>
    <w:p w14:paraId="6B7F9C8A">
      <w:pPr>
        <w:spacing w:before="160" w:after="50"/>
        <w:ind w:firstLine="645"/>
        <w:jc w:val="center"/>
        <w:rPr>
          <w:rFonts w:hint="eastAsia" w:ascii="宋体" w:hAnsi="宋体" w:cs="宋体"/>
          <w:bCs/>
          <w:color w:val="auto"/>
          <w:sz w:val="32"/>
          <w:szCs w:val="32"/>
          <w:highlight w:val="none"/>
        </w:rPr>
      </w:pPr>
      <w:r>
        <w:rPr>
          <w:rFonts w:hint="eastAsia" w:ascii="宋体" w:hAnsi="宋体" w:cs="宋体"/>
          <w:bCs/>
          <w:color w:val="auto"/>
          <w:sz w:val="32"/>
          <w:szCs w:val="32"/>
          <w:highlight w:val="none"/>
        </w:rPr>
        <w:t>年    月    日</w:t>
      </w:r>
    </w:p>
    <w:p w14:paraId="79448341">
      <w:pPr>
        <w:rPr>
          <w:rFonts w:hint="eastAsia" w:ascii="宋体" w:hAnsi="宋体" w:cs="宋体"/>
          <w:b/>
          <w:color w:val="auto"/>
          <w:sz w:val="32"/>
          <w:szCs w:val="32"/>
          <w:highlight w:val="none"/>
        </w:rPr>
      </w:pPr>
      <w:r>
        <w:rPr>
          <w:rFonts w:hint="eastAsia" w:ascii="宋体" w:hAnsi="宋体" w:cs="宋体"/>
          <w:bCs/>
          <w:color w:val="auto"/>
          <w:sz w:val="24"/>
          <w:highlight w:val="none"/>
        </w:rPr>
        <w:br w:type="page" w:clear="all"/>
      </w:r>
      <w:r>
        <w:rPr>
          <w:rFonts w:hint="eastAsia" w:ascii="宋体" w:hAnsi="宋体" w:cs="宋体"/>
          <w:b/>
          <w:color w:val="auto"/>
          <w:sz w:val="32"/>
          <w:szCs w:val="32"/>
          <w:highlight w:val="none"/>
        </w:rPr>
        <w:t>一、资格证明文件格式</w:t>
      </w:r>
    </w:p>
    <w:p w14:paraId="3C07D683">
      <w:pPr>
        <w:spacing w:before="160" w:after="50" w:line="360" w:lineRule="auto"/>
        <w:jc w:val="left"/>
        <w:rPr>
          <w:rFonts w:hint="eastAsia" w:ascii="宋体" w:hAnsi="宋体" w:cs="宋体"/>
          <w:b/>
          <w:color w:val="auto"/>
          <w:sz w:val="24"/>
          <w:highlight w:val="none"/>
        </w:rPr>
      </w:pPr>
      <w:r>
        <w:rPr>
          <w:rFonts w:hint="eastAsia" w:ascii="宋体" w:hAnsi="宋体" w:cs="宋体"/>
          <w:b/>
          <w:color w:val="auto"/>
          <w:sz w:val="32"/>
          <w:szCs w:val="32"/>
          <w:highlight w:val="none"/>
        </w:rPr>
        <w:t>1.资格证明文件封面格式：</w:t>
      </w:r>
      <w:r>
        <w:rPr>
          <w:rFonts w:hint="eastAsia" w:ascii="宋体" w:hAnsi="宋体" w:cs="宋体"/>
          <w:b/>
          <w:color w:val="auto"/>
          <w:sz w:val="24"/>
          <w:highlight w:val="none"/>
        </w:rPr>
        <w:t xml:space="preserve"> </w:t>
      </w:r>
    </w:p>
    <w:p w14:paraId="2D94434A">
      <w:pPr>
        <w:spacing w:before="160" w:after="50"/>
        <w:jc w:val="center"/>
        <w:rPr>
          <w:rFonts w:hint="eastAsia" w:ascii="宋体" w:hAnsi="宋体" w:cs="宋体"/>
          <w:color w:val="auto"/>
          <w:sz w:val="44"/>
          <w:szCs w:val="44"/>
          <w:highlight w:val="none"/>
        </w:rPr>
      </w:pPr>
    </w:p>
    <w:p w14:paraId="437CE567">
      <w:pPr>
        <w:spacing w:before="160" w:after="50"/>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电 子 响 应 文 件</w:t>
      </w:r>
    </w:p>
    <w:p w14:paraId="2FE4C1C6">
      <w:pPr>
        <w:spacing w:before="160" w:after="50"/>
        <w:rPr>
          <w:rFonts w:hint="eastAsia" w:ascii="宋体" w:hAnsi="宋体" w:cs="宋体"/>
          <w:color w:val="auto"/>
          <w:sz w:val="24"/>
          <w:szCs w:val="20"/>
          <w:highlight w:val="none"/>
        </w:rPr>
      </w:pPr>
    </w:p>
    <w:p w14:paraId="649623BD">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资  格  证  明  文  件</w:t>
      </w:r>
    </w:p>
    <w:p w14:paraId="17306A0D">
      <w:pPr>
        <w:spacing w:before="160" w:after="50"/>
        <w:rPr>
          <w:rFonts w:hint="eastAsia" w:ascii="宋体" w:hAnsi="宋体" w:cs="宋体"/>
          <w:bCs/>
          <w:color w:val="auto"/>
          <w:sz w:val="24"/>
          <w:szCs w:val="20"/>
          <w:highlight w:val="none"/>
        </w:rPr>
      </w:pPr>
    </w:p>
    <w:p w14:paraId="2E960080">
      <w:pPr>
        <w:spacing w:before="160" w:after="50"/>
        <w:rPr>
          <w:rFonts w:hint="eastAsia" w:ascii="宋体" w:hAnsi="宋体" w:cs="宋体"/>
          <w:bCs/>
          <w:color w:val="auto"/>
          <w:sz w:val="24"/>
          <w:szCs w:val="20"/>
          <w:highlight w:val="none"/>
        </w:rPr>
      </w:pPr>
    </w:p>
    <w:p w14:paraId="48F10DF5">
      <w:pPr>
        <w:spacing w:before="160" w:after="50"/>
        <w:rPr>
          <w:rFonts w:hint="eastAsia" w:ascii="宋体" w:hAnsi="宋体" w:cs="宋体"/>
          <w:bCs/>
          <w:color w:val="auto"/>
          <w:sz w:val="24"/>
          <w:szCs w:val="20"/>
          <w:highlight w:val="none"/>
        </w:rPr>
      </w:pPr>
    </w:p>
    <w:p w14:paraId="1196F686">
      <w:pPr>
        <w:spacing w:before="160" w:after="50"/>
        <w:rPr>
          <w:rFonts w:hint="eastAsia" w:ascii="宋体" w:hAnsi="宋体" w:cs="宋体"/>
          <w:bCs/>
          <w:color w:val="auto"/>
          <w:sz w:val="24"/>
          <w:szCs w:val="20"/>
          <w:highlight w:val="none"/>
        </w:rPr>
      </w:pPr>
    </w:p>
    <w:p w14:paraId="29FEE4D3">
      <w:pPr>
        <w:spacing w:before="160" w:after="50"/>
        <w:rPr>
          <w:rFonts w:hint="eastAsia" w:ascii="宋体" w:hAnsi="宋体" w:cs="宋体"/>
          <w:bCs/>
          <w:color w:val="auto"/>
          <w:sz w:val="24"/>
          <w:szCs w:val="20"/>
          <w:highlight w:val="none"/>
        </w:rPr>
      </w:pPr>
    </w:p>
    <w:p w14:paraId="4B7B6DC0">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07FF6480">
      <w:pPr>
        <w:spacing w:before="160" w:after="50"/>
        <w:ind w:firstLine="720"/>
        <w:rPr>
          <w:rFonts w:hint="eastAsia" w:ascii="宋体" w:hAnsi="宋体" w:cs="宋体"/>
          <w:bCs/>
          <w:color w:val="auto"/>
          <w:sz w:val="32"/>
          <w:szCs w:val="32"/>
          <w:highlight w:val="none"/>
        </w:rPr>
      </w:pPr>
    </w:p>
    <w:p w14:paraId="36076DC0">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71664742">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5544E01F">
      <w:pPr>
        <w:pStyle w:val="200"/>
        <w:spacing w:before="5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38607232">
      <w:pPr>
        <w:spacing w:before="160" w:after="50"/>
        <w:ind w:firstLine="640"/>
        <w:rPr>
          <w:rFonts w:hint="eastAsia" w:ascii="宋体" w:hAnsi="宋体" w:cs="宋体"/>
          <w:bCs/>
          <w:color w:val="auto"/>
          <w:sz w:val="32"/>
          <w:szCs w:val="32"/>
          <w:highlight w:val="none"/>
        </w:rPr>
      </w:pPr>
    </w:p>
    <w:p w14:paraId="4A7270AA">
      <w:pPr>
        <w:pStyle w:val="200"/>
        <w:spacing w:before="50" w:after="50"/>
        <w:ind w:firstLine="720"/>
        <w:rPr>
          <w:rFonts w:hint="eastAsia" w:ascii="宋体" w:hAnsi="宋体" w:cs="宋体"/>
          <w:bCs/>
          <w:color w:val="auto"/>
          <w:sz w:val="32"/>
          <w:szCs w:val="32"/>
          <w:highlight w:val="none"/>
        </w:rPr>
      </w:pPr>
    </w:p>
    <w:p w14:paraId="5ED66F6C">
      <w:pPr>
        <w:pStyle w:val="200"/>
        <w:spacing w:before="50" w:after="50"/>
        <w:ind w:firstLine="720"/>
        <w:rPr>
          <w:rFonts w:hint="eastAsia" w:ascii="宋体" w:hAnsi="宋体" w:cs="宋体"/>
          <w:bCs/>
          <w:color w:val="auto"/>
          <w:sz w:val="32"/>
          <w:szCs w:val="32"/>
          <w:highlight w:val="none"/>
        </w:rPr>
      </w:pPr>
    </w:p>
    <w:p w14:paraId="16D406B9">
      <w:pPr>
        <w:pStyle w:val="200"/>
        <w:spacing w:before="50" w:after="50"/>
        <w:ind w:firstLine="1280"/>
        <w:rPr>
          <w:rFonts w:hint="eastAsia" w:ascii="宋体" w:hAnsi="宋体" w:cs="宋体"/>
          <w:bCs/>
          <w:color w:val="auto"/>
          <w:sz w:val="32"/>
          <w:szCs w:val="32"/>
          <w:highlight w:val="none"/>
        </w:rPr>
      </w:pPr>
    </w:p>
    <w:p w14:paraId="6DE95879">
      <w:pPr>
        <w:spacing w:before="16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3E2940BE">
      <w:pPr>
        <w:spacing w:before="160" w:after="50" w:line="360" w:lineRule="auto"/>
        <w:ind w:left="142"/>
        <w:jc w:val="left"/>
        <w:rPr>
          <w:rFonts w:hint="eastAsia" w:ascii="宋体" w:hAnsi="宋体" w:cs="宋体"/>
          <w:b/>
          <w:bCs/>
          <w:color w:val="auto"/>
          <w:sz w:val="32"/>
          <w:szCs w:val="32"/>
          <w:highlight w:val="none"/>
        </w:rPr>
      </w:pPr>
      <w:r>
        <w:rPr>
          <w:rFonts w:hint="eastAsia" w:ascii="宋体" w:hAnsi="宋体" w:cs="宋体"/>
          <w:color w:val="auto"/>
          <w:sz w:val="24"/>
          <w:highlight w:val="none"/>
        </w:rPr>
        <w:br w:type="page" w:clear="all"/>
      </w:r>
      <w:r>
        <w:rPr>
          <w:rFonts w:hint="eastAsia" w:ascii="宋体" w:hAnsi="宋体" w:cs="宋体"/>
          <w:b/>
          <w:bCs/>
          <w:color w:val="auto"/>
          <w:sz w:val="32"/>
          <w:szCs w:val="32"/>
          <w:highlight w:val="none"/>
        </w:rPr>
        <w:t>2.资格证明文件目录</w:t>
      </w:r>
    </w:p>
    <w:p w14:paraId="5D273CCF">
      <w:pPr>
        <w:spacing w:before="160" w:after="50" w:line="360" w:lineRule="auto"/>
        <w:ind w:firstLine="645"/>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6CE74C3A">
      <w:pPr>
        <w:spacing w:before="16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2306E6B1">
      <w:pPr>
        <w:spacing w:line="300" w:lineRule="auto"/>
        <w:rPr>
          <w:rFonts w:hint="eastAsia" w:ascii="宋体" w:hAnsi="宋体" w:cs="宋体"/>
          <w:color w:val="auto"/>
          <w:szCs w:val="21"/>
          <w:highlight w:val="none"/>
        </w:rPr>
      </w:pPr>
    </w:p>
    <w:p w14:paraId="36513BD6">
      <w:pPr>
        <w:spacing w:line="300" w:lineRule="auto"/>
        <w:rPr>
          <w:rFonts w:hint="eastAsia" w:ascii="宋体" w:hAnsi="宋体" w:cs="宋体"/>
          <w:color w:val="auto"/>
          <w:szCs w:val="21"/>
          <w:highlight w:val="none"/>
        </w:rPr>
      </w:pPr>
    </w:p>
    <w:p w14:paraId="56D78C59">
      <w:pPr>
        <w:spacing w:line="300" w:lineRule="auto"/>
        <w:rPr>
          <w:rFonts w:hint="eastAsia" w:ascii="宋体" w:hAnsi="宋体" w:cs="宋体"/>
          <w:color w:val="auto"/>
          <w:szCs w:val="21"/>
          <w:highlight w:val="none"/>
        </w:rPr>
      </w:pPr>
    </w:p>
    <w:p w14:paraId="4F639A7F">
      <w:pPr>
        <w:spacing w:line="300" w:lineRule="auto"/>
        <w:rPr>
          <w:rFonts w:hint="eastAsia" w:ascii="宋体" w:hAnsi="宋体" w:cs="宋体"/>
          <w:color w:val="auto"/>
          <w:szCs w:val="21"/>
          <w:highlight w:val="none"/>
        </w:rPr>
      </w:pPr>
    </w:p>
    <w:p w14:paraId="20FCF56F">
      <w:pPr>
        <w:spacing w:line="300" w:lineRule="auto"/>
        <w:rPr>
          <w:rFonts w:hint="eastAsia" w:ascii="宋体" w:hAnsi="宋体" w:cs="宋体"/>
          <w:color w:val="auto"/>
          <w:szCs w:val="21"/>
          <w:highlight w:val="none"/>
        </w:rPr>
      </w:pPr>
    </w:p>
    <w:p w14:paraId="37A92949">
      <w:pPr>
        <w:spacing w:line="300" w:lineRule="auto"/>
        <w:rPr>
          <w:rFonts w:hint="eastAsia" w:ascii="宋体" w:hAnsi="宋体" w:cs="宋体"/>
          <w:color w:val="auto"/>
          <w:szCs w:val="21"/>
          <w:highlight w:val="none"/>
        </w:rPr>
      </w:pPr>
    </w:p>
    <w:p w14:paraId="21B747E2">
      <w:pPr>
        <w:spacing w:line="300" w:lineRule="auto"/>
        <w:rPr>
          <w:rFonts w:hint="eastAsia" w:ascii="宋体" w:hAnsi="宋体" w:cs="宋体"/>
          <w:color w:val="auto"/>
          <w:szCs w:val="21"/>
          <w:highlight w:val="none"/>
        </w:rPr>
      </w:pPr>
    </w:p>
    <w:p w14:paraId="0C686A38">
      <w:pPr>
        <w:spacing w:line="300" w:lineRule="auto"/>
        <w:rPr>
          <w:rFonts w:hint="eastAsia" w:ascii="宋体" w:hAnsi="宋体" w:cs="宋体"/>
          <w:color w:val="auto"/>
          <w:szCs w:val="21"/>
          <w:highlight w:val="none"/>
        </w:rPr>
      </w:pPr>
    </w:p>
    <w:p w14:paraId="5FCA129A">
      <w:pPr>
        <w:spacing w:line="300" w:lineRule="auto"/>
        <w:rPr>
          <w:rFonts w:hint="eastAsia" w:ascii="宋体" w:hAnsi="宋体" w:cs="宋体"/>
          <w:color w:val="auto"/>
          <w:szCs w:val="21"/>
          <w:highlight w:val="none"/>
        </w:rPr>
      </w:pPr>
    </w:p>
    <w:p w14:paraId="4B96AFDD">
      <w:pPr>
        <w:spacing w:line="300" w:lineRule="auto"/>
        <w:rPr>
          <w:rFonts w:hint="eastAsia" w:ascii="宋体" w:hAnsi="宋体" w:cs="宋体"/>
          <w:color w:val="auto"/>
          <w:szCs w:val="21"/>
          <w:highlight w:val="none"/>
        </w:rPr>
      </w:pPr>
    </w:p>
    <w:p w14:paraId="33E8FC43">
      <w:pPr>
        <w:spacing w:line="300" w:lineRule="auto"/>
        <w:rPr>
          <w:rFonts w:hint="eastAsia" w:ascii="宋体" w:hAnsi="宋体" w:cs="宋体"/>
          <w:color w:val="auto"/>
          <w:szCs w:val="21"/>
          <w:highlight w:val="none"/>
        </w:rPr>
      </w:pPr>
    </w:p>
    <w:p w14:paraId="4776C906">
      <w:pPr>
        <w:spacing w:line="300" w:lineRule="auto"/>
        <w:rPr>
          <w:rFonts w:hint="eastAsia" w:ascii="宋体" w:hAnsi="宋体" w:cs="宋体"/>
          <w:color w:val="auto"/>
          <w:szCs w:val="21"/>
          <w:highlight w:val="none"/>
        </w:rPr>
      </w:pPr>
    </w:p>
    <w:p w14:paraId="6F6E14ED">
      <w:pPr>
        <w:spacing w:line="300" w:lineRule="auto"/>
        <w:rPr>
          <w:rFonts w:hint="eastAsia" w:ascii="宋体" w:hAnsi="宋体" w:cs="宋体"/>
          <w:color w:val="auto"/>
          <w:szCs w:val="21"/>
          <w:highlight w:val="none"/>
        </w:rPr>
      </w:pPr>
    </w:p>
    <w:p w14:paraId="088DC3F4">
      <w:pPr>
        <w:spacing w:line="300" w:lineRule="auto"/>
        <w:rPr>
          <w:rFonts w:hint="eastAsia" w:ascii="宋体" w:hAnsi="宋体" w:cs="宋体"/>
          <w:color w:val="auto"/>
          <w:szCs w:val="21"/>
          <w:highlight w:val="none"/>
        </w:rPr>
      </w:pPr>
    </w:p>
    <w:p w14:paraId="440916C9">
      <w:pPr>
        <w:spacing w:line="300" w:lineRule="auto"/>
        <w:rPr>
          <w:rFonts w:hint="eastAsia" w:ascii="宋体" w:hAnsi="宋体" w:cs="宋体"/>
          <w:color w:val="auto"/>
          <w:szCs w:val="21"/>
          <w:highlight w:val="none"/>
        </w:rPr>
      </w:pPr>
    </w:p>
    <w:p w14:paraId="1356273B">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br w:type="page" w:clear="all"/>
      </w:r>
      <w:r>
        <w:rPr>
          <w:rFonts w:hint="eastAsia" w:ascii="宋体" w:hAnsi="宋体" w:cs="宋体"/>
          <w:color w:val="auto"/>
          <w:szCs w:val="21"/>
          <w:highlight w:val="none"/>
        </w:rPr>
        <w:t xml:space="preserve"> </w:t>
      </w:r>
    </w:p>
    <w:p w14:paraId="3CDDDE2F">
      <w:pPr>
        <w:spacing w:before="160" w:after="50" w:line="320" w:lineRule="exact"/>
        <w:ind w:right="482" w:firstLine="210"/>
        <w:contextualSpacing/>
        <w:jc w:val="center"/>
        <w:rPr>
          <w:rFonts w:hint="eastAsia" w:ascii="宋体" w:hAnsi="宋体" w:cs="宋体"/>
          <w:color w:val="auto"/>
          <w:szCs w:val="21"/>
          <w:highlight w:val="none"/>
        </w:rPr>
      </w:pPr>
    </w:p>
    <w:p w14:paraId="5AEFBBE6">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供应商直接控股、管理关系信息表</w:t>
      </w:r>
    </w:p>
    <w:p w14:paraId="0246D5BC">
      <w:pPr>
        <w:spacing w:before="160" w:after="50" w:line="360" w:lineRule="auto"/>
        <w:jc w:val="center"/>
        <w:rPr>
          <w:rFonts w:hint="eastAsia" w:ascii="宋体" w:hAnsi="宋体" w:cs="宋体"/>
          <w:b/>
          <w:color w:val="auto"/>
          <w:sz w:val="24"/>
          <w:highlight w:val="none"/>
        </w:rPr>
      </w:pPr>
    </w:p>
    <w:p w14:paraId="61E93896">
      <w:pPr>
        <w:spacing w:line="360" w:lineRule="auto"/>
        <w:contextualSpacing/>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供应商直接控股股东信息表</w:t>
      </w:r>
    </w:p>
    <w:p w14:paraId="6C609EC9">
      <w:pPr>
        <w:spacing w:line="360" w:lineRule="auto"/>
        <w:contextualSpacing/>
        <w:jc w:val="center"/>
        <w:rPr>
          <w:rFonts w:hint="eastAsia" w:ascii="宋体" w:hAnsi="宋体" w:cs="宋体"/>
          <w:b/>
          <w:color w:val="auto"/>
          <w:sz w:val="24"/>
          <w:highlight w:val="none"/>
        </w:rPr>
      </w:pPr>
    </w:p>
    <w:tbl>
      <w:tblPr>
        <w:tblStyle w:val="31"/>
        <w:tblW w:w="10147" w:type="dxa"/>
        <w:jc w:val="center"/>
        <w:shd w:val="clear" w:color="auto" w:fill="FBFBFB"/>
        <w:tblLayout w:type="fixed"/>
        <w:tblCellMar>
          <w:top w:w="120" w:type="dxa"/>
          <w:left w:w="120" w:type="dxa"/>
          <w:bottom w:w="120" w:type="dxa"/>
          <w:right w:w="120" w:type="dxa"/>
        </w:tblCellMar>
      </w:tblPr>
      <w:tblGrid>
        <w:gridCol w:w="880"/>
        <w:gridCol w:w="2655"/>
        <w:gridCol w:w="1574"/>
        <w:gridCol w:w="4168"/>
        <w:gridCol w:w="870"/>
      </w:tblGrid>
      <w:tr w14:paraId="29B58996">
        <w:tblPrEx>
          <w:shd w:val="clear" w:color="auto" w:fill="FBFBFB"/>
          <w:tblCellMar>
            <w:top w:w="120" w:type="dxa"/>
            <w:left w:w="120" w:type="dxa"/>
            <w:bottom w:w="120" w:type="dxa"/>
            <w:right w:w="12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889C6F9">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795E30A">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8699ACA">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出资比例(%)</w:t>
            </w: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00AC8C3">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4DD5E65">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00737896">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BE4B75">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5975F7F">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7A511D3">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9B000D2">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DCA4380">
            <w:pPr>
              <w:widowControl/>
              <w:spacing w:line="360" w:lineRule="auto"/>
              <w:contextualSpacing/>
              <w:jc w:val="center"/>
              <w:rPr>
                <w:rFonts w:hint="eastAsia" w:ascii="宋体" w:hAnsi="宋体" w:cs="宋体"/>
                <w:color w:val="auto"/>
                <w:sz w:val="24"/>
                <w:highlight w:val="none"/>
              </w:rPr>
            </w:pPr>
          </w:p>
        </w:tc>
      </w:tr>
      <w:tr w14:paraId="28C906FE">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B9D8D4A">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4812D6E">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7772D75">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0273537">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C229A7B">
            <w:pPr>
              <w:widowControl/>
              <w:spacing w:line="360" w:lineRule="auto"/>
              <w:contextualSpacing/>
              <w:jc w:val="center"/>
              <w:rPr>
                <w:rFonts w:hint="eastAsia" w:ascii="宋体" w:hAnsi="宋体" w:cs="宋体"/>
                <w:color w:val="auto"/>
                <w:sz w:val="24"/>
                <w:highlight w:val="none"/>
              </w:rPr>
            </w:pPr>
          </w:p>
        </w:tc>
      </w:tr>
      <w:tr w14:paraId="4B299385">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AA4F2E6">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08CE34E">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E96D310">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AA5A5B4">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0F31B6">
            <w:pPr>
              <w:widowControl/>
              <w:spacing w:line="360" w:lineRule="auto"/>
              <w:contextualSpacing/>
              <w:jc w:val="center"/>
              <w:rPr>
                <w:rFonts w:hint="eastAsia" w:ascii="宋体" w:hAnsi="宋体" w:cs="宋体"/>
                <w:color w:val="auto"/>
                <w:sz w:val="24"/>
                <w:highlight w:val="none"/>
              </w:rPr>
            </w:pPr>
          </w:p>
        </w:tc>
      </w:tr>
      <w:tr w14:paraId="294FBEEA">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DF13963">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0A8F01C">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2925F34">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5791F64">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4D5D08E">
            <w:pPr>
              <w:widowControl/>
              <w:spacing w:line="360" w:lineRule="auto"/>
              <w:contextualSpacing/>
              <w:jc w:val="center"/>
              <w:rPr>
                <w:rFonts w:hint="eastAsia" w:ascii="宋体" w:hAnsi="宋体" w:cs="宋体"/>
                <w:color w:val="auto"/>
                <w:sz w:val="24"/>
                <w:highlight w:val="none"/>
              </w:rPr>
            </w:pPr>
          </w:p>
        </w:tc>
      </w:tr>
    </w:tbl>
    <w:p w14:paraId="34D9115C">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2478C34E">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9110625">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6BE86307">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3.供应商不存在直接控股股东的，则在“直接控股股东名称”中填“无”。</w:t>
      </w:r>
    </w:p>
    <w:p w14:paraId="527733E6">
      <w:pPr>
        <w:spacing w:line="360" w:lineRule="auto"/>
        <w:ind w:firstLine="420"/>
        <w:contextualSpacing/>
        <w:jc w:val="left"/>
        <w:rPr>
          <w:rFonts w:hint="eastAsia" w:ascii="宋体" w:hAnsi="宋体" w:cs="宋体"/>
          <w:color w:val="auto"/>
          <w:szCs w:val="21"/>
          <w:highlight w:val="none"/>
        </w:rPr>
      </w:pPr>
    </w:p>
    <w:p w14:paraId="309395ED">
      <w:pPr>
        <w:spacing w:line="360" w:lineRule="auto"/>
        <w:ind w:firstLine="560"/>
        <w:contextualSpacing/>
        <w:jc w:val="left"/>
        <w:rPr>
          <w:rFonts w:hint="eastAsia" w:ascii="宋体" w:hAnsi="宋体" w:cs="宋体"/>
          <w:color w:val="auto"/>
          <w:sz w:val="28"/>
          <w:szCs w:val="28"/>
          <w:highlight w:val="none"/>
        </w:rPr>
      </w:pPr>
    </w:p>
    <w:p w14:paraId="65DF528A">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 xml:space="preserve">        法定代表人或者委托代理人（签字或盖章或电子签名）：</w:t>
      </w:r>
    </w:p>
    <w:p w14:paraId="4B5B82A7">
      <w:pPr>
        <w:spacing w:line="360" w:lineRule="auto"/>
        <w:ind w:right="480" w:firstLine="3000"/>
        <w:contextualSpacing/>
        <w:rPr>
          <w:rFonts w:hint="eastAsia" w:ascii="宋体" w:hAnsi="宋体" w:cs="宋体"/>
          <w:color w:val="auto"/>
          <w:sz w:val="24"/>
          <w:highlight w:val="none"/>
          <w:u w:val="single"/>
        </w:rPr>
      </w:pPr>
      <w:r>
        <w:rPr>
          <w:rFonts w:hint="eastAsia" w:ascii="宋体" w:hAnsi="宋体" w:cs="宋体"/>
          <w:color w:val="auto"/>
          <w:sz w:val="24"/>
          <w:highlight w:val="none"/>
        </w:rPr>
        <w:t>供应商（公章或电子签章）：</w:t>
      </w:r>
    </w:p>
    <w:p w14:paraId="6C763EB2">
      <w:pPr>
        <w:spacing w:line="360" w:lineRule="auto"/>
        <w:ind w:firstLine="480"/>
        <w:contextualSpacing/>
        <w:jc w:val="right"/>
        <w:rPr>
          <w:rFonts w:hint="eastAsia" w:ascii="宋体" w:hAnsi="宋体" w:cs="宋体"/>
          <w:color w:val="auto"/>
          <w:sz w:val="28"/>
          <w:szCs w:val="28"/>
          <w:highlight w:val="none"/>
        </w:rPr>
      </w:pPr>
      <w:r>
        <w:rPr>
          <w:rFonts w:hint="eastAsia" w:ascii="宋体" w:hAnsi="宋体" w:cs="宋体"/>
          <w:color w:val="auto"/>
          <w:sz w:val="24"/>
          <w:highlight w:val="none"/>
        </w:rPr>
        <w:t>年    月    日</w:t>
      </w:r>
    </w:p>
    <w:p w14:paraId="726AFEE4">
      <w:pPr>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br w:type="page" w:clear="all"/>
      </w:r>
    </w:p>
    <w:p w14:paraId="2B6B1892">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供应商直接管理关系信息表</w:t>
      </w:r>
    </w:p>
    <w:p w14:paraId="37C14DD4">
      <w:pPr>
        <w:spacing w:line="360" w:lineRule="auto"/>
        <w:jc w:val="center"/>
        <w:rPr>
          <w:rFonts w:hint="eastAsia" w:ascii="宋体" w:hAnsi="宋体" w:cs="宋体"/>
          <w:b/>
          <w:color w:val="auto"/>
          <w:sz w:val="24"/>
          <w:highlight w:val="none"/>
        </w:rPr>
      </w:pPr>
    </w:p>
    <w:tbl>
      <w:tblPr>
        <w:tblStyle w:val="31"/>
        <w:tblW w:w="0" w:type="auto"/>
        <w:jc w:val="center"/>
        <w:shd w:val="clear" w:color="auto" w:fill="FBFBFB"/>
        <w:tblLayout w:type="fixed"/>
        <w:tblCellMar>
          <w:top w:w="120" w:type="dxa"/>
          <w:left w:w="120" w:type="dxa"/>
          <w:bottom w:w="120" w:type="dxa"/>
          <w:right w:w="120" w:type="dxa"/>
        </w:tblCellMar>
      </w:tblPr>
      <w:tblGrid>
        <w:gridCol w:w="808"/>
        <w:gridCol w:w="3600"/>
        <w:gridCol w:w="3555"/>
        <w:gridCol w:w="1689"/>
      </w:tblGrid>
      <w:tr w14:paraId="691AA77C">
        <w:tblPrEx>
          <w:shd w:val="clear" w:color="auto" w:fill="FBFBFB"/>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0E6F2A2">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F515BF9">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3BFBE49">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E6766DD">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43B344D5">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E683FFA">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8DB4742">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7306AF6">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4B719BF">
            <w:pPr>
              <w:widowControl/>
              <w:spacing w:line="360" w:lineRule="auto"/>
              <w:contextualSpacing/>
              <w:jc w:val="center"/>
              <w:rPr>
                <w:rFonts w:hint="eastAsia" w:ascii="宋体" w:hAnsi="宋体" w:cs="宋体"/>
                <w:color w:val="auto"/>
                <w:sz w:val="24"/>
                <w:highlight w:val="none"/>
              </w:rPr>
            </w:pPr>
          </w:p>
        </w:tc>
      </w:tr>
      <w:tr w14:paraId="66A4D34A">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A6C6916">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4773FD1">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4850FB8">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2EC4587">
            <w:pPr>
              <w:widowControl/>
              <w:spacing w:line="360" w:lineRule="auto"/>
              <w:contextualSpacing/>
              <w:jc w:val="center"/>
              <w:rPr>
                <w:rFonts w:hint="eastAsia" w:ascii="宋体" w:hAnsi="宋体" w:cs="宋体"/>
                <w:color w:val="auto"/>
                <w:sz w:val="24"/>
                <w:highlight w:val="none"/>
              </w:rPr>
            </w:pPr>
          </w:p>
        </w:tc>
      </w:tr>
      <w:tr w14:paraId="6CB5EAC1">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2EB1A02">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EE4C01A">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4272CA7">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CD7ED11">
            <w:pPr>
              <w:widowControl/>
              <w:spacing w:line="360" w:lineRule="auto"/>
              <w:contextualSpacing/>
              <w:jc w:val="center"/>
              <w:rPr>
                <w:rFonts w:hint="eastAsia" w:ascii="宋体" w:hAnsi="宋体" w:cs="宋体"/>
                <w:color w:val="auto"/>
                <w:sz w:val="24"/>
                <w:highlight w:val="none"/>
              </w:rPr>
            </w:pPr>
          </w:p>
        </w:tc>
      </w:tr>
      <w:tr w14:paraId="0AF97293">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A59A65C">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630857C">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FFDAF8">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EFEC35A">
            <w:pPr>
              <w:widowControl/>
              <w:spacing w:line="360" w:lineRule="auto"/>
              <w:contextualSpacing/>
              <w:jc w:val="center"/>
              <w:rPr>
                <w:rFonts w:hint="eastAsia" w:ascii="宋体" w:hAnsi="宋体" w:cs="宋体"/>
                <w:color w:val="auto"/>
                <w:sz w:val="24"/>
                <w:highlight w:val="none"/>
              </w:rPr>
            </w:pPr>
          </w:p>
        </w:tc>
      </w:tr>
    </w:tbl>
    <w:p w14:paraId="028B1D26">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2E09E9BD">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1.管理关系：是指不具有出资持股关系的其他单位之间存在的管理与被管理关系，如一些上下级关系的事业单位和团体组织。</w:t>
      </w:r>
    </w:p>
    <w:p w14:paraId="077F67DD">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pacing w:val="-6"/>
          <w:sz w:val="24"/>
          <w:highlight w:val="none"/>
        </w:rPr>
        <w:t>本表所指的管理关系仅限于直接管理关系，不包括间接的管理关系。</w:t>
      </w:r>
    </w:p>
    <w:p w14:paraId="5B6FE7AD">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3.供应商不存在直接管理关系的，则在“直接管理关系单位名称”中填“无”。</w:t>
      </w:r>
    </w:p>
    <w:p w14:paraId="38328D1D">
      <w:pPr>
        <w:spacing w:line="360" w:lineRule="auto"/>
        <w:contextualSpacing/>
        <w:jc w:val="left"/>
        <w:rPr>
          <w:rFonts w:hint="eastAsia" w:ascii="宋体" w:hAnsi="宋体" w:cs="宋体"/>
          <w:color w:val="auto"/>
          <w:sz w:val="28"/>
          <w:szCs w:val="28"/>
          <w:highlight w:val="none"/>
        </w:rPr>
      </w:pPr>
    </w:p>
    <w:p w14:paraId="18B86220">
      <w:pPr>
        <w:spacing w:line="360" w:lineRule="auto"/>
        <w:contextualSpacing/>
        <w:jc w:val="left"/>
        <w:rPr>
          <w:rFonts w:hint="eastAsia" w:ascii="宋体" w:hAnsi="宋体" w:cs="宋体"/>
          <w:color w:val="auto"/>
          <w:sz w:val="28"/>
          <w:szCs w:val="28"/>
          <w:highlight w:val="none"/>
        </w:rPr>
      </w:pPr>
    </w:p>
    <w:p w14:paraId="46783737">
      <w:pPr>
        <w:spacing w:line="360" w:lineRule="auto"/>
        <w:contextualSpacing/>
        <w:jc w:val="left"/>
        <w:rPr>
          <w:rFonts w:hint="eastAsia" w:ascii="宋体" w:hAnsi="宋体" w:cs="宋体"/>
          <w:color w:val="auto"/>
          <w:sz w:val="28"/>
          <w:szCs w:val="28"/>
          <w:highlight w:val="none"/>
        </w:rPr>
      </w:pPr>
    </w:p>
    <w:p w14:paraId="24526C0A">
      <w:pPr>
        <w:spacing w:line="360" w:lineRule="auto"/>
        <w:contextualSpacing/>
        <w:jc w:val="left"/>
        <w:rPr>
          <w:rFonts w:hint="eastAsia" w:ascii="宋体" w:hAnsi="宋体" w:cs="宋体"/>
          <w:color w:val="auto"/>
          <w:sz w:val="28"/>
          <w:szCs w:val="28"/>
          <w:highlight w:val="none"/>
        </w:rPr>
      </w:pPr>
    </w:p>
    <w:p w14:paraId="74EE7B44">
      <w:pPr>
        <w:spacing w:line="360" w:lineRule="auto"/>
        <w:contextualSpacing/>
        <w:jc w:val="left"/>
        <w:rPr>
          <w:rFonts w:hint="eastAsia" w:ascii="宋体" w:hAnsi="宋体" w:cs="宋体"/>
          <w:color w:val="auto"/>
          <w:sz w:val="28"/>
          <w:szCs w:val="28"/>
          <w:highlight w:val="none"/>
        </w:rPr>
      </w:pPr>
    </w:p>
    <w:p w14:paraId="616F818F">
      <w:pPr>
        <w:spacing w:line="360" w:lineRule="auto"/>
        <w:contextualSpacing/>
        <w:jc w:val="left"/>
        <w:rPr>
          <w:rFonts w:hint="eastAsia" w:ascii="宋体" w:hAnsi="宋体" w:cs="宋体"/>
          <w:color w:val="auto"/>
          <w:sz w:val="28"/>
          <w:szCs w:val="28"/>
          <w:highlight w:val="none"/>
        </w:rPr>
      </w:pPr>
    </w:p>
    <w:p w14:paraId="79C3B8A4">
      <w:pPr>
        <w:spacing w:line="360" w:lineRule="auto"/>
        <w:ind w:right="480"/>
        <w:contextualSpacing/>
        <w:jc w:val="center"/>
        <w:rPr>
          <w:rFonts w:hint="eastAsia" w:ascii="宋体" w:hAnsi="宋体" w:cs="宋体"/>
          <w:color w:val="auto"/>
          <w:sz w:val="24"/>
          <w:highlight w:val="none"/>
          <w:u w:val="single"/>
        </w:rPr>
      </w:pPr>
      <w:r>
        <w:rPr>
          <w:rFonts w:hint="eastAsia" w:ascii="宋体" w:hAnsi="宋体" w:cs="宋体"/>
          <w:color w:val="auto"/>
          <w:sz w:val="24"/>
          <w:highlight w:val="none"/>
        </w:rPr>
        <w:t xml:space="preserve">              法定代表人或者委托代理人（签字或盖章或电子签名）：</w:t>
      </w:r>
      <w:r>
        <w:rPr>
          <w:rFonts w:hint="eastAsia" w:ascii="宋体" w:hAnsi="宋体" w:cs="宋体"/>
          <w:color w:val="auto"/>
          <w:sz w:val="24"/>
          <w:highlight w:val="none"/>
          <w:u w:val="single"/>
        </w:rPr>
        <w:t xml:space="preserve">                   </w:t>
      </w:r>
    </w:p>
    <w:p w14:paraId="3DD91DEE">
      <w:pPr>
        <w:spacing w:line="360" w:lineRule="auto"/>
        <w:ind w:right="480" w:firstLine="3360"/>
        <w:contextualSpacing/>
        <w:rPr>
          <w:rFonts w:hint="eastAsia" w:ascii="宋体" w:hAnsi="宋体" w:cs="宋体"/>
          <w:color w:val="auto"/>
          <w:sz w:val="24"/>
          <w:highlight w:val="none"/>
        </w:rPr>
      </w:pPr>
      <w:r>
        <w:rPr>
          <w:rFonts w:hint="eastAsia" w:ascii="宋体" w:hAnsi="宋体" w:cs="宋体"/>
          <w:color w:val="auto"/>
          <w:sz w:val="24"/>
          <w:highlight w:val="none"/>
        </w:rPr>
        <w:t>供应商（电子签章）：</w:t>
      </w:r>
      <w:r>
        <w:rPr>
          <w:rFonts w:hint="eastAsia" w:ascii="宋体" w:hAnsi="宋体" w:cs="宋体"/>
          <w:color w:val="auto"/>
          <w:sz w:val="24"/>
          <w:highlight w:val="none"/>
          <w:u w:val="single"/>
        </w:rPr>
        <w:t xml:space="preserve">                </w:t>
      </w:r>
    </w:p>
    <w:p w14:paraId="46181C0C">
      <w:pPr>
        <w:spacing w:line="360" w:lineRule="auto"/>
        <w:ind w:firstLine="480"/>
        <w:contextualSpacing/>
        <w:jc w:val="left"/>
        <w:rPr>
          <w:rFonts w:hint="eastAsia" w:ascii="宋体" w:hAnsi="宋体" w:cs="宋体"/>
          <w:color w:val="auto"/>
          <w:sz w:val="28"/>
          <w:szCs w:val="28"/>
          <w:highlight w:val="none"/>
        </w:rPr>
      </w:pPr>
      <w:r>
        <w:rPr>
          <w:rFonts w:hint="eastAsia" w:ascii="宋体" w:hAnsi="宋体" w:cs="宋体"/>
          <w:color w:val="auto"/>
          <w:sz w:val="24"/>
          <w:highlight w:val="none"/>
        </w:rPr>
        <w:t xml:space="preserve">                                        年    月    日</w:t>
      </w:r>
    </w:p>
    <w:p w14:paraId="701ED7F1">
      <w:pPr>
        <w:spacing w:line="320" w:lineRule="exact"/>
        <w:jc w:val="center"/>
        <w:rPr>
          <w:rFonts w:hint="eastAsia" w:ascii="宋体" w:hAnsi="宋体" w:cs="宋体"/>
          <w:b/>
          <w:color w:val="auto"/>
          <w:sz w:val="32"/>
          <w:szCs w:val="32"/>
          <w:highlight w:val="none"/>
        </w:rPr>
      </w:pPr>
      <w:r>
        <w:rPr>
          <w:rFonts w:hint="eastAsia" w:ascii="宋体" w:hAnsi="宋体" w:cs="宋体"/>
          <w:color w:val="auto"/>
          <w:sz w:val="28"/>
          <w:szCs w:val="28"/>
          <w:highlight w:val="none"/>
        </w:rPr>
        <w:br w:type="page" w:clear="all"/>
      </w:r>
      <w:r>
        <w:rPr>
          <w:rFonts w:hint="eastAsia" w:ascii="宋体" w:hAnsi="宋体" w:cs="宋体"/>
          <w:b/>
          <w:color w:val="auto"/>
          <w:sz w:val="32"/>
          <w:szCs w:val="32"/>
          <w:highlight w:val="none"/>
        </w:rPr>
        <w:t>竞标声明</w:t>
      </w:r>
    </w:p>
    <w:p w14:paraId="1DCDB6BA">
      <w:pPr>
        <w:spacing w:line="320" w:lineRule="exact"/>
        <w:jc w:val="center"/>
        <w:rPr>
          <w:rFonts w:hint="eastAsia" w:ascii="宋体" w:hAnsi="宋体" w:cs="宋体"/>
          <w:color w:val="auto"/>
          <w:sz w:val="24"/>
          <w:szCs w:val="20"/>
          <w:highlight w:val="none"/>
        </w:rPr>
      </w:pPr>
    </w:p>
    <w:p w14:paraId="5CC99754">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702032F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B7C72D8">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55A63779">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0B5FA1F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2.我方不是为本次采购项目提供整体设计、规范编制或者项目管理、监理、检测等服务的供应商。</w:t>
      </w:r>
    </w:p>
    <w:p w14:paraId="6AFC3903">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14:paraId="277371D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69DD19B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5C6E6C34">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22E974D5">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（4）响应磋商文件规定的竞标有效期。</w:t>
      </w:r>
    </w:p>
    <w:p w14:paraId="1C6D4C55">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27F2B63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06B24D3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06A84F8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78109A2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039E3BB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29B93E2B">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2A090A3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F2066D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5A8915E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□我方本次响应文件内容中未涉及商业秘密；</w:t>
      </w:r>
    </w:p>
    <w:p w14:paraId="754495C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□我方本次响应文件涉及商业秘密的内容有：</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C3CD91D">
      <w:pPr>
        <w:pStyle w:val="222"/>
        <w:spacing w:line="360" w:lineRule="auto"/>
        <w:ind w:firstLine="480"/>
        <w:contextualSpacing/>
        <w:rPr>
          <w:rFonts w:hint="eastAsia"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12AF4290">
      <w:pPr>
        <w:pStyle w:val="222"/>
        <w:spacing w:line="360" w:lineRule="auto"/>
        <w:ind w:firstLine="480"/>
        <w:contextualSpacing/>
        <w:rPr>
          <w:rFonts w:hint="eastAsia"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w:t>
      </w:r>
      <w:r>
        <w:rPr>
          <w:rFonts w:hint="eastAsia" w:hAnsi="宋体" w:cs="宋体"/>
          <w:color w:val="auto"/>
          <w:sz w:val="24"/>
          <w:szCs w:val="24"/>
          <w:highlight w:val="none"/>
          <w:lang w:eastAsia="zh-CN"/>
        </w:rPr>
        <w:t>邮箱</w:t>
      </w:r>
      <w:r>
        <w:rPr>
          <w:rFonts w:hint="eastAsia" w:hAnsi="宋体" w:cs="宋体"/>
          <w:color w:val="auto"/>
          <w:sz w:val="24"/>
          <w:szCs w:val="24"/>
          <w:highlight w:val="none"/>
        </w:rPr>
        <w:t>：</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689FFF93">
      <w:pPr>
        <w:pStyle w:val="219"/>
        <w:tabs>
          <w:tab w:val="left" w:pos="939"/>
        </w:tabs>
        <w:spacing w:line="360" w:lineRule="auto"/>
        <w:ind w:left="141" w:firstLine="360"/>
        <w:rPr>
          <w:rFonts w:hint="eastAsia"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2507BE3D">
      <w:pPr>
        <w:pStyle w:val="219"/>
        <w:tabs>
          <w:tab w:val="left" w:pos="939"/>
        </w:tabs>
        <w:spacing w:line="360" w:lineRule="auto"/>
        <w:ind w:left="0" w:firstLine="480"/>
        <w:rPr>
          <w:rFonts w:hint="eastAsia"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09949FA5">
      <w:pPr>
        <w:pStyle w:val="219"/>
        <w:tabs>
          <w:tab w:val="left" w:pos="939"/>
        </w:tabs>
        <w:spacing w:line="360" w:lineRule="auto"/>
        <w:ind w:left="141" w:firstLine="360"/>
        <w:rPr>
          <w:rFonts w:hint="eastAsia" w:ascii="宋体" w:hAnsi="宋体" w:cs="宋体"/>
          <w:color w:val="auto"/>
          <w:sz w:val="24"/>
          <w:highlight w:val="none"/>
        </w:rPr>
      </w:pPr>
      <w:r>
        <w:rPr>
          <w:rFonts w:hint="eastAsia" w:ascii="宋体" w:hAnsi="宋体" w:cs="宋体"/>
          <w:color w:val="auto"/>
          <w:sz w:val="24"/>
          <w:highlight w:val="none"/>
        </w:rPr>
        <w:t>特此承诺。</w:t>
      </w:r>
    </w:p>
    <w:p w14:paraId="327B5A8C">
      <w:pPr>
        <w:spacing w:line="360" w:lineRule="auto"/>
        <w:contextualSpacing/>
        <w:jc w:val="left"/>
        <w:rPr>
          <w:rFonts w:hint="eastAsia" w:ascii="宋体" w:hAnsi="宋体" w:cs="宋体"/>
          <w:b/>
          <w:color w:val="auto"/>
          <w:sz w:val="24"/>
          <w:highlight w:val="none"/>
        </w:rPr>
      </w:pPr>
      <w:r>
        <w:rPr>
          <w:rFonts w:hint="eastAsia" w:ascii="宋体" w:hAnsi="宋体" w:cs="宋体"/>
          <w:b/>
          <w:color w:val="auto"/>
          <w:sz w:val="24"/>
          <w:highlight w:val="none"/>
        </w:rPr>
        <w:t>注：如为联合体竞标，盖章处须加盖联合体牵头人电子签章并由联合体牵头人法定代表人分别签字或者盖章或者电子签名，否则响应文件按无效处理。</w:t>
      </w:r>
    </w:p>
    <w:p w14:paraId="28B764BD">
      <w:pPr>
        <w:spacing w:line="360" w:lineRule="auto"/>
        <w:contextualSpacing/>
        <w:jc w:val="left"/>
        <w:rPr>
          <w:rFonts w:hint="eastAsia" w:ascii="宋体" w:hAnsi="宋体" w:cs="宋体"/>
          <w:color w:val="auto"/>
          <w:szCs w:val="21"/>
          <w:highlight w:val="none"/>
        </w:rPr>
      </w:pPr>
    </w:p>
    <w:p w14:paraId="0607432D">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法定代表人（签字或盖章或电子签名）：</w:t>
      </w:r>
    </w:p>
    <w:p w14:paraId="2049FA24">
      <w:pPr>
        <w:spacing w:line="360" w:lineRule="auto"/>
        <w:ind w:firstLine="4320"/>
        <w:contextualSpacing/>
        <w:rPr>
          <w:rFonts w:hint="eastAsia" w:ascii="宋体" w:hAnsi="宋体" w:cs="宋体"/>
          <w:color w:val="auto"/>
          <w:szCs w:val="21"/>
          <w:highlight w:val="none"/>
          <w:u w:val="single"/>
        </w:rPr>
      </w:pPr>
      <w:r>
        <w:rPr>
          <w:rFonts w:hint="eastAsia" w:ascii="宋体" w:hAnsi="宋体" w:cs="宋体"/>
          <w:color w:val="auto"/>
          <w:sz w:val="24"/>
          <w:highlight w:val="none"/>
        </w:rPr>
        <w:t>供应商（公章或电子签章）：</w:t>
      </w:r>
      <w:r>
        <w:rPr>
          <w:rFonts w:hint="eastAsia" w:ascii="宋体" w:hAnsi="宋体" w:cs="宋体"/>
          <w:color w:val="auto"/>
          <w:highlight w:val="none"/>
        </w:rPr>
        <w:t xml:space="preserve">      </w:t>
      </w:r>
      <w:r>
        <w:rPr>
          <w:rFonts w:hint="eastAsia" w:ascii="宋体" w:hAnsi="宋体" w:cs="宋体"/>
          <w:color w:val="auto"/>
          <w:szCs w:val="21"/>
          <w:highlight w:val="none"/>
        </w:rPr>
        <w:t xml:space="preserve">    </w:t>
      </w:r>
    </w:p>
    <w:p w14:paraId="7F2870BA">
      <w:pPr>
        <w:pStyle w:val="219"/>
        <w:tabs>
          <w:tab w:val="left" w:pos="939"/>
        </w:tabs>
        <w:spacing w:line="360" w:lineRule="auto"/>
        <w:ind w:left="0" w:firstLine="420"/>
        <w:rPr>
          <w:rFonts w:hint="eastAsia" w:ascii="宋体" w:hAnsi="宋体" w:cs="宋体"/>
          <w:color w:val="auto"/>
          <w:sz w:val="24"/>
          <w:highlight w:val="none"/>
        </w:rPr>
      </w:pPr>
      <w:r>
        <w:rPr>
          <w:rFonts w:hint="eastAsia" w:ascii="宋体" w:hAnsi="宋体" w:cs="宋体"/>
          <w:color w:val="auto"/>
          <w:szCs w:val="21"/>
          <w:highlight w:val="none"/>
        </w:rPr>
        <w:t xml:space="preserve">                                                        </w:t>
      </w:r>
      <w:r>
        <w:rPr>
          <w:rFonts w:hint="eastAsia" w:ascii="宋体" w:hAnsi="宋体" w:cs="宋体"/>
          <w:color w:val="auto"/>
          <w:highlight w:val="none"/>
        </w:rPr>
        <w:t xml:space="preserve"> 年    月    日</w:t>
      </w:r>
    </w:p>
    <w:p w14:paraId="5B80A037">
      <w:pPr>
        <w:spacing w:before="160" w:after="50"/>
        <w:ind w:right="480" w:firstLine="321"/>
        <w:rPr>
          <w:rFonts w:hint="eastAsia" w:ascii="宋体" w:hAnsi="宋体" w:cs="宋体"/>
          <w:b/>
          <w:bCs/>
          <w:color w:val="auto"/>
          <w:sz w:val="32"/>
          <w:szCs w:val="32"/>
          <w:highlight w:val="none"/>
        </w:rPr>
      </w:pPr>
    </w:p>
    <w:p w14:paraId="4610E807">
      <w:pPr>
        <w:spacing w:before="160" w:after="50"/>
        <w:ind w:right="480" w:firstLine="321"/>
        <w:rPr>
          <w:rFonts w:hint="eastAsia" w:ascii="宋体" w:hAnsi="宋体" w:cs="宋体"/>
          <w:b/>
          <w:bCs/>
          <w:color w:val="auto"/>
          <w:sz w:val="32"/>
          <w:szCs w:val="32"/>
          <w:highlight w:val="none"/>
        </w:rPr>
      </w:pPr>
    </w:p>
    <w:p w14:paraId="4BED62A7">
      <w:pPr>
        <w:spacing w:before="160" w:after="50"/>
        <w:ind w:right="480" w:firstLine="321"/>
        <w:rPr>
          <w:rFonts w:hint="eastAsia" w:ascii="宋体" w:hAnsi="宋体" w:cs="宋体"/>
          <w:b/>
          <w:bCs/>
          <w:color w:val="auto"/>
          <w:sz w:val="32"/>
          <w:szCs w:val="32"/>
          <w:highlight w:val="none"/>
        </w:rPr>
      </w:pPr>
    </w:p>
    <w:p w14:paraId="5F689601">
      <w:pPr>
        <w:spacing w:before="160" w:after="50"/>
        <w:ind w:right="480" w:firstLine="321"/>
        <w:rPr>
          <w:rFonts w:hint="eastAsia" w:ascii="宋体" w:hAnsi="宋体" w:cs="宋体"/>
          <w:b/>
          <w:bCs/>
          <w:color w:val="auto"/>
          <w:sz w:val="32"/>
          <w:szCs w:val="32"/>
          <w:highlight w:val="none"/>
        </w:rPr>
      </w:pPr>
    </w:p>
    <w:p w14:paraId="59402B16">
      <w:pPr>
        <w:spacing w:before="160" w:after="50"/>
        <w:ind w:right="480" w:firstLine="321"/>
        <w:rPr>
          <w:rFonts w:hint="eastAsia" w:ascii="宋体" w:hAnsi="宋体" w:cs="宋体"/>
          <w:b/>
          <w:bCs/>
          <w:color w:val="auto"/>
          <w:sz w:val="32"/>
          <w:szCs w:val="32"/>
          <w:highlight w:val="none"/>
        </w:rPr>
      </w:pPr>
    </w:p>
    <w:p w14:paraId="6444E707">
      <w:pPr>
        <w:spacing w:before="160" w:after="50"/>
        <w:ind w:right="480" w:firstLine="321"/>
        <w:rPr>
          <w:rFonts w:hint="eastAsia" w:ascii="宋体" w:hAnsi="宋体" w:cs="宋体"/>
          <w:b/>
          <w:bCs/>
          <w:color w:val="auto"/>
          <w:sz w:val="32"/>
          <w:szCs w:val="32"/>
          <w:highlight w:val="none"/>
        </w:rPr>
      </w:pPr>
    </w:p>
    <w:p w14:paraId="11225C15">
      <w:pPr>
        <w:spacing w:before="160" w:after="50"/>
        <w:ind w:right="480" w:firstLine="321"/>
        <w:rPr>
          <w:rFonts w:hint="eastAsia" w:ascii="宋体" w:hAnsi="宋体" w:cs="宋体"/>
          <w:b/>
          <w:bCs/>
          <w:color w:val="auto"/>
          <w:sz w:val="32"/>
          <w:szCs w:val="32"/>
          <w:highlight w:val="none"/>
        </w:rPr>
      </w:pPr>
    </w:p>
    <w:p w14:paraId="4970B090">
      <w:pPr>
        <w:spacing w:before="160" w:after="50"/>
        <w:ind w:right="480" w:firstLine="321"/>
        <w:rPr>
          <w:rFonts w:hint="eastAsia" w:ascii="宋体" w:hAnsi="宋体" w:cs="宋体"/>
          <w:b/>
          <w:bCs/>
          <w:color w:val="auto"/>
          <w:sz w:val="32"/>
          <w:szCs w:val="32"/>
          <w:highlight w:val="none"/>
        </w:rPr>
      </w:pPr>
    </w:p>
    <w:p w14:paraId="3C2EFE40">
      <w:pPr>
        <w:spacing w:before="160" w:after="50"/>
        <w:ind w:right="480" w:firstLine="321"/>
        <w:rPr>
          <w:rFonts w:hint="eastAsia" w:ascii="宋体" w:hAnsi="宋体" w:cs="宋体"/>
          <w:b/>
          <w:bCs/>
          <w:color w:val="auto"/>
          <w:sz w:val="32"/>
          <w:szCs w:val="32"/>
          <w:highlight w:val="none"/>
        </w:rPr>
      </w:pPr>
    </w:p>
    <w:p w14:paraId="3F0D71C1">
      <w:pPr>
        <w:spacing w:before="160" w:after="50"/>
        <w:ind w:right="480" w:firstLine="321"/>
        <w:rPr>
          <w:rFonts w:hint="eastAsia" w:ascii="宋体" w:hAnsi="宋体" w:cs="宋体"/>
          <w:b/>
          <w:bCs/>
          <w:color w:val="auto"/>
          <w:sz w:val="32"/>
          <w:szCs w:val="32"/>
          <w:highlight w:val="none"/>
        </w:rPr>
      </w:pPr>
    </w:p>
    <w:p w14:paraId="27B3EE6A">
      <w:pPr>
        <w:spacing w:before="160" w:after="50"/>
        <w:ind w:right="480" w:firstLine="321"/>
        <w:rPr>
          <w:rFonts w:hint="eastAsia" w:ascii="宋体" w:hAnsi="宋体" w:cs="宋体"/>
          <w:b/>
          <w:bCs/>
          <w:color w:val="auto"/>
          <w:sz w:val="32"/>
          <w:szCs w:val="32"/>
          <w:highlight w:val="none"/>
        </w:rPr>
      </w:pPr>
    </w:p>
    <w:p w14:paraId="1181F64C">
      <w:pPr>
        <w:spacing w:before="160" w:after="50"/>
        <w:ind w:right="480" w:firstLine="321"/>
        <w:rPr>
          <w:rFonts w:hint="eastAsia" w:ascii="宋体" w:hAnsi="宋体" w:cs="宋体"/>
          <w:b/>
          <w:bCs/>
          <w:color w:val="auto"/>
          <w:sz w:val="32"/>
          <w:szCs w:val="32"/>
          <w:highlight w:val="none"/>
        </w:rPr>
      </w:pPr>
    </w:p>
    <w:p w14:paraId="2999BC33">
      <w:pPr>
        <w:spacing w:before="160" w:after="50"/>
        <w:ind w:right="480" w:firstLine="321"/>
        <w:rPr>
          <w:rFonts w:hint="eastAsia" w:ascii="宋体" w:hAnsi="宋体" w:cs="宋体"/>
          <w:b/>
          <w:bCs/>
          <w:color w:val="auto"/>
          <w:sz w:val="32"/>
          <w:szCs w:val="32"/>
          <w:highlight w:val="none"/>
        </w:rPr>
      </w:pPr>
    </w:p>
    <w:p w14:paraId="18F0534F">
      <w:pPr>
        <w:spacing w:before="160" w:after="50"/>
        <w:ind w:right="480" w:firstLine="321"/>
        <w:rPr>
          <w:rFonts w:hint="eastAsia" w:ascii="宋体" w:hAnsi="宋体" w:cs="宋体"/>
          <w:b/>
          <w:bCs/>
          <w:color w:val="auto"/>
          <w:sz w:val="32"/>
          <w:szCs w:val="32"/>
          <w:highlight w:val="none"/>
        </w:rPr>
      </w:pPr>
    </w:p>
    <w:p w14:paraId="4FAB278A">
      <w:pPr>
        <w:widowControl/>
        <w:jc w:val="center"/>
        <w:rPr>
          <w:rFonts w:hint="eastAsia" w:ascii="宋体" w:hAnsi="宋体" w:cs="宋体"/>
          <w:b/>
          <w:color w:val="auto"/>
          <w:sz w:val="32"/>
          <w:szCs w:val="32"/>
          <w:highlight w:val="none"/>
        </w:rPr>
      </w:pPr>
    </w:p>
    <w:p w14:paraId="46176C72">
      <w:pPr>
        <w:widowControl/>
        <w:jc w:val="center"/>
        <w:rPr>
          <w:rFonts w:hint="eastAsia" w:ascii="宋体" w:hAnsi="宋体" w:cs="宋体"/>
          <w:b/>
          <w:color w:val="auto"/>
          <w:sz w:val="32"/>
          <w:szCs w:val="32"/>
          <w:highlight w:val="none"/>
        </w:rPr>
      </w:pPr>
    </w:p>
    <w:p w14:paraId="2C0119F9">
      <w:pPr>
        <w:widowControl/>
        <w:jc w:val="center"/>
        <w:rPr>
          <w:rFonts w:hint="eastAsia" w:ascii="宋体" w:hAnsi="宋体" w:cs="宋体"/>
          <w:color w:val="auto"/>
          <w:highlight w:val="none"/>
        </w:rPr>
      </w:pPr>
      <w:r>
        <w:rPr>
          <w:rFonts w:hint="eastAsia" w:ascii="宋体" w:hAnsi="宋体" w:cs="宋体"/>
          <w:b/>
          <w:color w:val="auto"/>
          <w:sz w:val="32"/>
          <w:szCs w:val="32"/>
          <w:highlight w:val="none"/>
        </w:rPr>
        <w:t>贵港市政府采购项目投标资格承诺函</w:t>
      </w:r>
    </w:p>
    <w:p w14:paraId="6DD7BACA">
      <w:pPr>
        <w:widowControl/>
        <w:spacing w:line="360" w:lineRule="auto"/>
        <w:ind w:firstLine="420"/>
        <w:jc w:val="left"/>
        <w:rPr>
          <w:rFonts w:hint="eastAsia" w:ascii="宋体" w:hAnsi="宋体" w:cs="宋体"/>
          <w:color w:val="auto"/>
          <w:szCs w:val="21"/>
          <w:highlight w:val="none"/>
        </w:rPr>
      </w:pPr>
    </w:p>
    <w:p w14:paraId="686F829E">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本公司郑重承诺，根据《中华人民共和国政府采购法》第二十二条的规定，本公司为参加政府采购活动的合格供应商。即本公司同时满足以下条件： </w:t>
      </w:r>
    </w:p>
    <w:p w14:paraId="13FB55FE">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1.具有独立承担民事责任的能力。 </w:t>
      </w:r>
    </w:p>
    <w:p w14:paraId="6B10F7A3">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2.具有良好的商业信誉和健全的财务会计制度。 </w:t>
      </w:r>
    </w:p>
    <w:p w14:paraId="141C4FFA">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3.具有履行合同所必需的设备和专业技术能力。 </w:t>
      </w:r>
    </w:p>
    <w:p w14:paraId="3A2F20B1">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4.有依法缴纳税收和社会保障资金的良好记录。 </w:t>
      </w:r>
    </w:p>
    <w:p w14:paraId="65DFBFF2">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5. 提交响应文件截止日期前三年内，在经营活动中没有重大违法记录。 </w:t>
      </w:r>
    </w:p>
    <w:p w14:paraId="709CAF1B">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本公司对上述承诺的真实性负责，并接受政府采购、税务、社会保障等监督管理部门、采购文件规定的资格审查机构、社会公众的监督和检查。如有虚假，将依法承担相应责任。</w:t>
      </w:r>
    </w:p>
    <w:p w14:paraId="1953A24F">
      <w:pPr>
        <w:spacing w:line="320" w:lineRule="exact"/>
        <w:jc w:val="center"/>
        <w:rPr>
          <w:rFonts w:hint="eastAsia" w:ascii="宋体" w:hAnsi="宋体" w:cs="宋体"/>
          <w:b/>
          <w:color w:val="auto"/>
          <w:sz w:val="24"/>
          <w:highlight w:val="none"/>
        </w:rPr>
      </w:pPr>
    </w:p>
    <w:p w14:paraId="3FA4AB2D">
      <w:pPr>
        <w:spacing w:line="320" w:lineRule="exact"/>
        <w:jc w:val="center"/>
        <w:rPr>
          <w:rFonts w:hint="eastAsia" w:ascii="宋体" w:hAnsi="宋体" w:cs="宋体"/>
          <w:b/>
          <w:color w:val="auto"/>
          <w:sz w:val="24"/>
          <w:highlight w:val="none"/>
        </w:rPr>
      </w:pPr>
    </w:p>
    <w:p w14:paraId="52789CB2">
      <w:pPr>
        <w:spacing w:line="320" w:lineRule="exact"/>
        <w:jc w:val="center"/>
        <w:rPr>
          <w:rFonts w:hint="eastAsia" w:ascii="宋体" w:hAnsi="宋体" w:cs="宋体"/>
          <w:b/>
          <w:color w:val="auto"/>
          <w:sz w:val="24"/>
          <w:highlight w:val="none"/>
        </w:rPr>
      </w:pPr>
    </w:p>
    <w:p w14:paraId="0859387D">
      <w:pPr>
        <w:spacing w:line="320" w:lineRule="exact"/>
        <w:jc w:val="center"/>
        <w:rPr>
          <w:rFonts w:hint="eastAsia" w:ascii="宋体" w:hAnsi="宋体" w:cs="宋体"/>
          <w:b/>
          <w:color w:val="auto"/>
          <w:sz w:val="24"/>
          <w:highlight w:val="none"/>
        </w:rPr>
      </w:pPr>
    </w:p>
    <w:p w14:paraId="26F97530">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法定代表人（签字或盖章或电子签名）：</w:t>
      </w:r>
    </w:p>
    <w:p w14:paraId="6C04AE6D">
      <w:pPr>
        <w:spacing w:line="320" w:lineRule="exact"/>
        <w:jc w:val="center"/>
        <w:rPr>
          <w:rFonts w:hint="eastAsia" w:ascii="宋体" w:hAnsi="宋体" w:cs="宋体"/>
          <w:color w:val="auto"/>
          <w:sz w:val="24"/>
          <w:highlight w:val="none"/>
        </w:rPr>
      </w:pPr>
      <w:r>
        <w:rPr>
          <w:rFonts w:hint="eastAsia" w:ascii="宋体" w:hAnsi="宋体" w:cs="宋体"/>
          <w:color w:val="auto"/>
          <w:sz w:val="24"/>
          <w:highlight w:val="none"/>
        </w:rPr>
        <w:t>供应商（公章或电子签章）：</w:t>
      </w:r>
    </w:p>
    <w:p w14:paraId="7925765C">
      <w:pPr>
        <w:spacing w:line="320" w:lineRule="exact"/>
        <w:jc w:val="center"/>
        <w:rPr>
          <w:rFonts w:hint="eastAsia" w:ascii="宋体" w:hAnsi="宋体" w:cs="宋体"/>
          <w:color w:val="auto"/>
          <w:sz w:val="24"/>
          <w:highlight w:val="none"/>
          <w:lang w:eastAsia="zh-CN"/>
        </w:rPr>
      </w:pPr>
    </w:p>
    <w:p w14:paraId="4E986944">
      <w:pPr>
        <w:spacing w:line="320" w:lineRule="exact"/>
        <w:jc w:val="center"/>
        <w:rPr>
          <w:rFonts w:hint="default" w:ascii="宋体" w:hAnsi="宋体" w:cs="宋体"/>
          <w:color w:val="auto"/>
          <w:sz w:val="24"/>
          <w:highlight w:val="none"/>
          <w:lang w:val="en-US" w:eastAsia="zh-CN"/>
        </w:rPr>
      </w:pPr>
      <w:r>
        <w:rPr>
          <w:rFonts w:hint="eastAsia" w:ascii="宋体" w:hAnsi="宋体" w:cs="宋体"/>
          <w:color w:val="auto"/>
          <w:sz w:val="24"/>
          <w:highlight w:val="none"/>
          <w:lang w:eastAsia="zh-CN"/>
        </w:rPr>
        <w:t>年</w:t>
      </w:r>
      <w:r>
        <w:rPr>
          <w:rFonts w:hint="eastAsia" w:ascii="宋体" w:hAnsi="宋体" w:cs="宋体"/>
          <w:color w:val="auto"/>
          <w:sz w:val="24"/>
          <w:highlight w:val="none"/>
          <w:lang w:val="en-US" w:eastAsia="zh-CN"/>
        </w:rPr>
        <w:t xml:space="preserve"> 月 日</w:t>
      </w:r>
    </w:p>
    <w:p w14:paraId="7E87C381">
      <w:pPr>
        <w:spacing w:line="360" w:lineRule="auto"/>
        <w:ind w:right="420"/>
        <w:contextualSpacing/>
        <w:jc w:val="left"/>
        <w:rPr>
          <w:rFonts w:hint="eastAsia" w:ascii="宋体" w:hAnsi="宋体" w:cs="宋体"/>
          <w:b/>
          <w:bCs/>
          <w:color w:val="auto"/>
          <w:sz w:val="32"/>
          <w:szCs w:val="32"/>
          <w:highlight w:val="none"/>
        </w:rPr>
      </w:pPr>
    </w:p>
    <w:p w14:paraId="421E3250">
      <w:pPr>
        <w:spacing w:line="360" w:lineRule="auto"/>
        <w:ind w:right="420"/>
        <w:contextualSpacing/>
        <w:jc w:val="left"/>
        <w:rPr>
          <w:rFonts w:hint="eastAsia" w:ascii="宋体" w:hAnsi="宋体" w:cs="宋体"/>
          <w:b/>
          <w:bCs/>
          <w:color w:val="auto"/>
          <w:sz w:val="32"/>
          <w:szCs w:val="32"/>
          <w:highlight w:val="none"/>
        </w:rPr>
      </w:pPr>
    </w:p>
    <w:p w14:paraId="36E1B6DC">
      <w:pPr>
        <w:spacing w:line="360" w:lineRule="auto"/>
        <w:ind w:right="420"/>
        <w:contextualSpacing/>
        <w:jc w:val="left"/>
        <w:rPr>
          <w:rFonts w:hint="eastAsia" w:ascii="宋体" w:hAnsi="宋体" w:cs="宋体"/>
          <w:b/>
          <w:bCs/>
          <w:color w:val="auto"/>
          <w:sz w:val="32"/>
          <w:szCs w:val="32"/>
          <w:highlight w:val="none"/>
        </w:rPr>
      </w:pPr>
    </w:p>
    <w:p w14:paraId="7714827C">
      <w:pPr>
        <w:spacing w:line="360" w:lineRule="auto"/>
        <w:ind w:right="420"/>
        <w:contextualSpacing/>
        <w:jc w:val="left"/>
        <w:rPr>
          <w:rFonts w:hint="eastAsia" w:ascii="宋体" w:hAnsi="宋体" w:cs="宋体"/>
          <w:b/>
          <w:bCs/>
          <w:color w:val="auto"/>
          <w:sz w:val="32"/>
          <w:szCs w:val="32"/>
          <w:highlight w:val="none"/>
        </w:rPr>
      </w:pPr>
    </w:p>
    <w:p w14:paraId="7F0DA8FE">
      <w:pPr>
        <w:spacing w:line="360" w:lineRule="auto"/>
        <w:ind w:right="420"/>
        <w:contextualSpacing/>
        <w:jc w:val="left"/>
        <w:rPr>
          <w:rFonts w:hint="eastAsia" w:ascii="宋体" w:hAnsi="宋体" w:cs="宋体"/>
          <w:b/>
          <w:bCs/>
          <w:color w:val="auto"/>
          <w:sz w:val="32"/>
          <w:szCs w:val="32"/>
          <w:highlight w:val="none"/>
        </w:rPr>
      </w:pPr>
    </w:p>
    <w:p w14:paraId="0664646F">
      <w:pPr>
        <w:spacing w:line="360" w:lineRule="auto"/>
        <w:ind w:right="420"/>
        <w:contextualSpacing/>
        <w:jc w:val="left"/>
        <w:rPr>
          <w:rFonts w:hint="eastAsia" w:ascii="宋体" w:hAnsi="宋体" w:cs="宋体"/>
          <w:b/>
          <w:bCs/>
          <w:color w:val="auto"/>
          <w:sz w:val="32"/>
          <w:szCs w:val="32"/>
          <w:highlight w:val="none"/>
        </w:rPr>
      </w:pPr>
    </w:p>
    <w:p w14:paraId="231957BB">
      <w:pPr>
        <w:spacing w:line="360" w:lineRule="auto"/>
        <w:ind w:right="420"/>
        <w:contextualSpacing/>
        <w:jc w:val="left"/>
        <w:rPr>
          <w:rFonts w:hint="eastAsia" w:ascii="宋体" w:hAnsi="宋体" w:cs="宋体"/>
          <w:b/>
          <w:bCs/>
          <w:color w:val="auto"/>
          <w:sz w:val="32"/>
          <w:szCs w:val="32"/>
          <w:highlight w:val="none"/>
        </w:rPr>
      </w:pPr>
    </w:p>
    <w:p w14:paraId="4D1928F4">
      <w:pPr>
        <w:spacing w:line="360" w:lineRule="auto"/>
        <w:ind w:right="420"/>
        <w:contextualSpacing/>
        <w:jc w:val="left"/>
        <w:rPr>
          <w:rFonts w:hint="eastAsia" w:ascii="宋体" w:hAnsi="宋体" w:cs="宋体"/>
          <w:b/>
          <w:bCs/>
          <w:color w:val="auto"/>
          <w:sz w:val="32"/>
          <w:szCs w:val="32"/>
          <w:highlight w:val="none"/>
        </w:rPr>
      </w:pPr>
    </w:p>
    <w:p w14:paraId="14934EBE">
      <w:pPr>
        <w:spacing w:line="360" w:lineRule="auto"/>
        <w:ind w:right="420"/>
        <w:contextualSpacing/>
        <w:jc w:val="left"/>
        <w:rPr>
          <w:rFonts w:hint="eastAsia" w:ascii="宋体" w:hAnsi="宋体" w:cs="宋体"/>
          <w:b/>
          <w:bCs/>
          <w:color w:val="auto"/>
          <w:sz w:val="32"/>
          <w:szCs w:val="32"/>
          <w:highlight w:val="none"/>
        </w:rPr>
      </w:pPr>
    </w:p>
    <w:p w14:paraId="163E96F2">
      <w:pPr>
        <w:spacing w:line="360" w:lineRule="auto"/>
        <w:ind w:right="420"/>
        <w:contextualSpacing/>
        <w:jc w:val="left"/>
        <w:rPr>
          <w:rFonts w:hint="eastAsia" w:ascii="宋体" w:hAnsi="宋体" w:cs="宋体"/>
          <w:b/>
          <w:color w:val="auto"/>
          <w:sz w:val="32"/>
          <w:szCs w:val="32"/>
          <w:highlight w:val="none"/>
        </w:rPr>
      </w:pPr>
      <w:r>
        <w:rPr>
          <w:rFonts w:hint="eastAsia" w:ascii="宋体" w:hAnsi="宋体" w:cs="宋体"/>
          <w:b/>
          <w:bCs/>
          <w:color w:val="auto"/>
          <w:sz w:val="32"/>
          <w:szCs w:val="32"/>
          <w:highlight w:val="none"/>
        </w:rPr>
        <w:br w:type="page"/>
      </w:r>
      <w:r>
        <w:rPr>
          <w:rFonts w:hint="eastAsia" w:ascii="宋体" w:hAnsi="宋体" w:cs="宋体"/>
          <w:b/>
          <w:bCs/>
          <w:color w:val="auto"/>
          <w:sz w:val="32"/>
          <w:szCs w:val="32"/>
          <w:highlight w:val="none"/>
        </w:rPr>
        <w:t>二、</w:t>
      </w:r>
      <w:r>
        <w:rPr>
          <w:rFonts w:hint="eastAsia" w:ascii="宋体" w:hAnsi="宋体" w:cs="宋体"/>
          <w:b/>
          <w:color w:val="auto"/>
          <w:sz w:val="32"/>
          <w:szCs w:val="32"/>
          <w:highlight w:val="none"/>
        </w:rPr>
        <w:t xml:space="preserve">报价文件格式 </w:t>
      </w:r>
    </w:p>
    <w:p w14:paraId="78376FB5">
      <w:pPr>
        <w:spacing w:before="160" w:after="50" w:line="360"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1.报价文件封面格式</w:t>
      </w:r>
    </w:p>
    <w:p w14:paraId="50C92899">
      <w:pPr>
        <w:spacing w:before="16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10CFE595">
      <w:pPr>
        <w:spacing w:before="160" w:after="50"/>
        <w:jc w:val="center"/>
        <w:rPr>
          <w:rFonts w:hint="eastAsia" w:ascii="宋体" w:hAnsi="宋体" w:cs="宋体"/>
          <w:color w:val="auto"/>
          <w:sz w:val="24"/>
          <w:szCs w:val="20"/>
          <w:highlight w:val="none"/>
        </w:rPr>
      </w:pPr>
      <w:r>
        <w:rPr>
          <w:rFonts w:hint="eastAsia" w:ascii="宋体" w:hAnsi="宋体" w:cs="宋体"/>
          <w:color w:val="auto"/>
          <w:sz w:val="44"/>
          <w:szCs w:val="44"/>
          <w:highlight w:val="none"/>
        </w:rPr>
        <w:t>电 子 响 应 文 件</w:t>
      </w:r>
    </w:p>
    <w:p w14:paraId="17BD5EF7">
      <w:pPr>
        <w:spacing w:before="160" w:after="50"/>
        <w:rPr>
          <w:rFonts w:hint="eastAsia" w:ascii="宋体" w:hAnsi="宋体" w:cs="宋体"/>
          <w:color w:val="auto"/>
          <w:sz w:val="24"/>
          <w:szCs w:val="20"/>
          <w:highlight w:val="none"/>
        </w:rPr>
      </w:pPr>
    </w:p>
    <w:p w14:paraId="6AEA3521">
      <w:pPr>
        <w:spacing w:before="160" w:after="50"/>
        <w:rPr>
          <w:rFonts w:hint="eastAsia" w:ascii="宋体" w:hAnsi="宋体" w:cs="宋体"/>
          <w:color w:val="auto"/>
          <w:sz w:val="24"/>
          <w:szCs w:val="20"/>
          <w:highlight w:val="none"/>
        </w:rPr>
      </w:pPr>
    </w:p>
    <w:p w14:paraId="440DB0BC">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报  价  文  件</w:t>
      </w:r>
    </w:p>
    <w:p w14:paraId="484BF83F">
      <w:pPr>
        <w:spacing w:before="160" w:after="50"/>
        <w:rPr>
          <w:rFonts w:hint="eastAsia" w:ascii="宋体" w:hAnsi="宋体" w:cs="宋体"/>
          <w:bCs/>
          <w:color w:val="auto"/>
          <w:sz w:val="24"/>
          <w:szCs w:val="20"/>
          <w:highlight w:val="none"/>
        </w:rPr>
      </w:pPr>
    </w:p>
    <w:p w14:paraId="3F431CF4">
      <w:pPr>
        <w:spacing w:before="160" w:after="50"/>
        <w:rPr>
          <w:rFonts w:hint="eastAsia" w:ascii="宋体" w:hAnsi="宋体" w:cs="宋体"/>
          <w:bCs/>
          <w:color w:val="auto"/>
          <w:sz w:val="24"/>
          <w:szCs w:val="20"/>
          <w:highlight w:val="none"/>
        </w:rPr>
      </w:pPr>
    </w:p>
    <w:p w14:paraId="32ACF579">
      <w:pPr>
        <w:spacing w:before="160" w:after="50"/>
        <w:rPr>
          <w:rFonts w:hint="eastAsia" w:ascii="宋体" w:hAnsi="宋体" w:cs="宋体"/>
          <w:bCs/>
          <w:color w:val="auto"/>
          <w:sz w:val="24"/>
          <w:szCs w:val="20"/>
          <w:highlight w:val="none"/>
        </w:rPr>
      </w:pPr>
    </w:p>
    <w:p w14:paraId="09566627">
      <w:pPr>
        <w:spacing w:before="160" w:after="50"/>
        <w:rPr>
          <w:rFonts w:hint="eastAsia" w:ascii="宋体" w:hAnsi="宋体" w:cs="宋体"/>
          <w:bCs/>
          <w:color w:val="auto"/>
          <w:sz w:val="24"/>
          <w:szCs w:val="20"/>
          <w:highlight w:val="none"/>
        </w:rPr>
      </w:pPr>
    </w:p>
    <w:p w14:paraId="2852C6AB">
      <w:pPr>
        <w:spacing w:before="160" w:after="50"/>
        <w:rPr>
          <w:rFonts w:hint="eastAsia" w:ascii="宋体" w:hAnsi="宋体" w:cs="宋体"/>
          <w:bCs/>
          <w:color w:val="auto"/>
          <w:sz w:val="24"/>
          <w:szCs w:val="20"/>
          <w:highlight w:val="none"/>
        </w:rPr>
      </w:pPr>
    </w:p>
    <w:p w14:paraId="01ED4F63">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1E26BF66">
      <w:pPr>
        <w:spacing w:before="160" w:after="50"/>
        <w:ind w:firstLine="720"/>
        <w:rPr>
          <w:rFonts w:hint="eastAsia" w:ascii="宋体" w:hAnsi="宋体" w:cs="宋体"/>
          <w:bCs/>
          <w:color w:val="auto"/>
          <w:sz w:val="32"/>
          <w:szCs w:val="32"/>
          <w:highlight w:val="none"/>
        </w:rPr>
      </w:pPr>
    </w:p>
    <w:p w14:paraId="37DAC143">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326E2272">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3435933B">
      <w:pPr>
        <w:pStyle w:val="200"/>
        <w:spacing w:before="5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2393632C">
      <w:pPr>
        <w:pStyle w:val="200"/>
        <w:spacing w:before="50" w:after="50"/>
        <w:ind w:firstLine="640"/>
        <w:rPr>
          <w:rFonts w:hint="eastAsia" w:ascii="宋体" w:hAnsi="宋体" w:cs="宋体"/>
          <w:bCs/>
          <w:color w:val="auto"/>
          <w:sz w:val="32"/>
          <w:szCs w:val="32"/>
          <w:highlight w:val="none"/>
        </w:rPr>
      </w:pPr>
    </w:p>
    <w:p w14:paraId="4A968DE9">
      <w:pPr>
        <w:pStyle w:val="200"/>
        <w:spacing w:before="50" w:after="50"/>
        <w:ind w:firstLine="720"/>
        <w:rPr>
          <w:rFonts w:hint="eastAsia" w:ascii="宋体" w:hAnsi="宋体" w:cs="宋体"/>
          <w:bCs/>
          <w:color w:val="auto"/>
          <w:sz w:val="32"/>
          <w:szCs w:val="32"/>
          <w:highlight w:val="none"/>
        </w:rPr>
      </w:pPr>
    </w:p>
    <w:p w14:paraId="0D49CACE">
      <w:pPr>
        <w:pStyle w:val="200"/>
        <w:spacing w:before="50" w:after="50"/>
        <w:ind w:firstLine="0"/>
        <w:rPr>
          <w:rFonts w:hint="eastAsia" w:ascii="宋体" w:hAnsi="宋体" w:cs="宋体"/>
          <w:bCs/>
          <w:color w:val="auto"/>
          <w:sz w:val="32"/>
          <w:szCs w:val="32"/>
          <w:highlight w:val="none"/>
        </w:rPr>
      </w:pPr>
    </w:p>
    <w:p w14:paraId="5EE0A264">
      <w:pPr>
        <w:pStyle w:val="200"/>
        <w:spacing w:before="50" w:after="50"/>
        <w:ind w:firstLine="1280"/>
        <w:rPr>
          <w:rFonts w:hint="eastAsia" w:ascii="宋体" w:hAnsi="宋体" w:cs="宋体"/>
          <w:bCs/>
          <w:color w:val="auto"/>
          <w:sz w:val="32"/>
          <w:szCs w:val="32"/>
          <w:highlight w:val="none"/>
        </w:rPr>
      </w:pPr>
    </w:p>
    <w:p w14:paraId="603B1D2F">
      <w:pPr>
        <w:spacing w:before="16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108CC75C">
      <w:pPr>
        <w:spacing w:before="160" w:after="50" w:line="360" w:lineRule="auto"/>
        <w:ind w:left="142"/>
        <w:jc w:val="left"/>
        <w:rPr>
          <w:rFonts w:hint="eastAsia" w:ascii="宋体" w:hAnsi="宋体" w:cs="宋体"/>
          <w:b/>
          <w:bCs/>
          <w:color w:val="auto"/>
          <w:sz w:val="24"/>
          <w:highlight w:val="none"/>
        </w:rPr>
      </w:pPr>
      <w:r>
        <w:rPr>
          <w:rFonts w:hint="eastAsia" w:ascii="宋体" w:hAnsi="宋体" w:cs="宋体"/>
          <w:color w:val="auto"/>
          <w:szCs w:val="21"/>
          <w:highlight w:val="none"/>
        </w:rPr>
        <w:br w:type="page" w:clear="all"/>
      </w:r>
      <w:r>
        <w:rPr>
          <w:rFonts w:hint="eastAsia" w:ascii="宋体" w:hAnsi="宋体" w:cs="宋体"/>
          <w:b/>
          <w:bCs/>
          <w:color w:val="auto"/>
          <w:sz w:val="32"/>
          <w:szCs w:val="32"/>
          <w:highlight w:val="none"/>
        </w:rPr>
        <w:t>2.报价文件目录</w:t>
      </w:r>
    </w:p>
    <w:p w14:paraId="4DF1E6D2">
      <w:pPr>
        <w:spacing w:line="520" w:lineRule="exact"/>
        <w:jc w:val="center"/>
        <w:rPr>
          <w:rFonts w:hint="eastAsia" w:ascii="宋体" w:hAnsi="宋体" w:cs="宋体"/>
          <w:b/>
          <w:bCs/>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r>
        <w:rPr>
          <w:rFonts w:hint="eastAsia" w:ascii="宋体" w:hAnsi="宋体" w:cs="宋体"/>
          <w:b/>
          <w:bCs/>
          <w:color w:val="auto"/>
          <w:sz w:val="32"/>
          <w:szCs w:val="32"/>
          <w:highlight w:val="none"/>
        </w:rPr>
        <w:br w:type="page" w:clear="all"/>
      </w:r>
    </w:p>
    <w:p w14:paraId="1FF2B1B8">
      <w:pPr>
        <w:spacing w:line="520" w:lineRule="exact"/>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竞  标  报  价  表</w:t>
      </w:r>
    </w:p>
    <w:p w14:paraId="34423261">
      <w:pPr>
        <w:spacing w:before="50" w:after="50" w:line="440" w:lineRule="exact"/>
        <w:rPr>
          <w:rFonts w:hint="eastAsia" w:ascii="宋体" w:hAnsi="宋体" w:cs="宋体"/>
          <w:color w:val="auto"/>
          <w:sz w:val="24"/>
          <w:highlight w:val="none"/>
          <w:u w:val="singl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27D8B948">
      <w:pPr>
        <w:spacing w:before="50" w:after="50" w:line="440" w:lineRule="exact"/>
        <w:rPr>
          <w:rFonts w:hint="eastAsia"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tbl>
      <w:tblPr>
        <w:tblStyle w:val="31"/>
        <w:tblpPr w:leftFromText="180" w:rightFromText="180" w:vertAnchor="text" w:horzAnchor="margin" w:tblpXSpec="center" w:tblpY="199"/>
        <w:tblOverlap w:val="never"/>
        <w:tblW w:w="969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2624"/>
        <w:gridCol w:w="1594"/>
        <w:gridCol w:w="2523"/>
        <w:gridCol w:w="2259"/>
      </w:tblGrid>
      <w:tr w14:paraId="058B2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exact"/>
        </w:trPr>
        <w:tc>
          <w:tcPr>
            <w:tcW w:w="694" w:type="dxa"/>
            <w:tcBorders>
              <w:top w:val="single" w:color="auto" w:sz="4" w:space="0"/>
              <w:left w:val="single" w:color="auto" w:sz="4" w:space="0"/>
              <w:bottom w:val="single" w:color="auto" w:sz="4" w:space="0"/>
              <w:right w:val="single" w:color="auto" w:sz="4" w:space="0"/>
            </w:tcBorders>
            <w:vAlign w:val="center"/>
          </w:tcPr>
          <w:p w14:paraId="57814E60">
            <w:pPr>
              <w:jc w:val="center"/>
              <w:rPr>
                <w:rFonts w:hint="eastAsia" w:ascii="宋体" w:hAnsi="宋体" w:cs="宋体"/>
                <w:b/>
                <w:color w:val="auto"/>
                <w:sz w:val="24"/>
                <w:highlight w:val="none"/>
              </w:rPr>
            </w:pPr>
            <w:r>
              <w:rPr>
                <w:rFonts w:hint="eastAsia" w:ascii="宋体" w:hAnsi="宋体" w:cs="宋体"/>
                <w:b/>
                <w:color w:val="auto"/>
                <w:sz w:val="24"/>
                <w:highlight w:val="none"/>
              </w:rPr>
              <w:t>序号</w:t>
            </w:r>
          </w:p>
        </w:tc>
        <w:tc>
          <w:tcPr>
            <w:tcW w:w="2624" w:type="dxa"/>
            <w:tcBorders>
              <w:top w:val="single" w:color="auto" w:sz="4" w:space="0"/>
              <w:left w:val="single" w:color="auto" w:sz="4" w:space="0"/>
              <w:bottom w:val="single" w:color="auto" w:sz="4" w:space="0"/>
              <w:right w:val="single" w:color="auto" w:sz="4" w:space="0"/>
            </w:tcBorders>
            <w:vAlign w:val="center"/>
          </w:tcPr>
          <w:p w14:paraId="12C46C7B">
            <w:pPr>
              <w:jc w:val="center"/>
              <w:rPr>
                <w:rFonts w:hint="eastAsia" w:ascii="宋体" w:hAnsi="宋体" w:cs="宋体"/>
                <w:b/>
                <w:color w:val="auto"/>
                <w:sz w:val="24"/>
                <w:highlight w:val="none"/>
              </w:rPr>
            </w:pPr>
            <w:r>
              <w:rPr>
                <w:rFonts w:hint="eastAsia" w:ascii="宋体" w:hAnsi="宋体" w:cs="宋体"/>
                <w:b/>
                <w:color w:val="auto"/>
                <w:sz w:val="24"/>
                <w:highlight w:val="none"/>
              </w:rPr>
              <w:t>服务名称</w:t>
            </w:r>
          </w:p>
        </w:tc>
        <w:tc>
          <w:tcPr>
            <w:tcW w:w="1594" w:type="dxa"/>
            <w:tcBorders>
              <w:top w:val="single" w:color="auto" w:sz="4" w:space="0"/>
              <w:left w:val="single" w:color="auto" w:sz="4" w:space="0"/>
              <w:bottom w:val="single" w:color="auto" w:sz="4" w:space="0"/>
              <w:right w:val="single" w:color="auto" w:sz="4" w:space="0"/>
            </w:tcBorders>
            <w:vAlign w:val="center"/>
          </w:tcPr>
          <w:p w14:paraId="3008284A">
            <w:pPr>
              <w:jc w:val="center"/>
              <w:rPr>
                <w:rFonts w:hint="eastAsia" w:ascii="宋体" w:hAnsi="宋体" w:cs="宋体"/>
                <w:b/>
                <w:color w:val="auto"/>
                <w:sz w:val="24"/>
                <w:highlight w:val="none"/>
              </w:rPr>
            </w:pPr>
            <w:r>
              <w:rPr>
                <w:rFonts w:hint="eastAsia" w:ascii="宋体" w:hAnsi="宋体" w:cs="宋体"/>
                <w:b/>
                <w:color w:val="auto"/>
                <w:sz w:val="24"/>
                <w:highlight w:val="none"/>
              </w:rPr>
              <w:t>数量</w:t>
            </w:r>
          </w:p>
        </w:tc>
        <w:tc>
          <w:tcPr>
            <w:tcW w:w="2523" w:type="dxa"/>
            <w:tcBorders>
              <w:top w:val="single" w:color="auto" w:sz="4" w:space="0"/>
              <w:left w:val="single" w:color="auto" w:sz="4" w:space="0"/>
              <w:bottom w:val="single" w:color="auto" w:sz="4" w:space="0"/>
              <w:right w:val="single" w:color="auto" w:sz="4" w:space="0"/>
            </w:tcBorders>
            <w:vAlign w:val="center"/>
          </w:tcPr>
          <w:p w14:paraId="12DEF951">
            <w:pPr>
              <w:jc w:val="center"/>
              <w:rPr>
                <w:rFonts w:hint="eastAsia" w:ascii="宋体" w:hAnsi="宋体" w:eastAsia="宋体" w:cs="宋体"/>
                <w:b/>
                <w:color w:val="auto"/>
                <w:sz w:val="24"/>
                <w:highlight w:val="none"/>
              </w:rPr>
            </w:pPr>
            <w:r>
              <w:rPr>
                <w:rFonts w:hint="eastAsia" w:ascii="宋体" w:hAnsi="宋体" w:cs="宋体"/>
                <w:b/>
                <w:color w:val="auto"/>
                <w:sz w:val="24"/>
                <w:highlight w:val="none"/>
                <w:lang w:val="en-US" w:eastAsia="zh-CN"/>
              </w:rPr>
              <w:t>竞标折扣率</w:t>
            </w:r>
          </w:p>
        </w:tc>
        <w:tc>
          <w:tcPr>
            <w:tcW w:w="2259" w:type="dxa"/>
            <w:tcBorders>
              <w:top w:val="single" w:color="auto" w:sz="4" w:space="0"/>
              <w:left w:val="single" w:color="auto" w:sz="4" w:space="0"/>
              <w:bottom w:val="single" w:color="auto" w:sz="4" w:space="0"/>
              <w:right w:val="single" w:color="auto" w:sz="4" w:space="0"/>
            </w:tcBorders>
            <w:vAlign w:val="center"/>
          </w:tcPr>
          <w:p w14:paraId="12456876">
            <w:pPr>
              <w:jc w:val="center"/>
              <w:rPr>
                <w:rFonts w:hint="eastAsia" w:ascii="宋体" w:hAnsi="宋体" w:cs="宋体"/>
                <w:b/>
                <w:color w:val="auto"/>
                <w:sz w:val="24"/>
                <w:highlight w:val="none"/>
              </w:rPr>
            </w:pPr>
            <w:r>
              <w:rPr>
                <w:rFonts w:hint="eastAsia" w:ascii="宋体" w:hAnsi="宋体" w:cs="宋体"/>
                <w:b/>
                <w:color w:val="auto"/>
                <w:sz w:val="24"/>
                <w:highlight w:val="none"/>
              </w:rPr>
              <w:t>备注</w:t>
            </w:r>
          </w:p>
        </w:tc>
      </w:tr>
      <w:tr w14:paraId="3DB39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trPr>
        <w:tc>
          <w:tcPr>
            <w:tcW w:w="694" w:type="dxa"/>
            <w:tcBorders>
              <w:top w:val="single" w:color="auto" w:sz="4" w:space="0"/>
              <w:left w:val="single" w:color="auto" w:sz="4" w:space="0"/>
              <w:bottom w:val="single" w:color="auto" w:sz="4" w:space="0"/>
              <w:right w:val="single" w:color="auto" w:sz="4" w:space="0"/>
            </w:tcBorders>
            <w:vAlign w:val="center"/>
          </w:tcPr>
          <w:p w14:paraId="59EFA01B">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624" w:type="dxa"/>
            <w:tcBorders>
              <w:top w:val="single" w:color="auto" w:sz="4" w:space="0"/>
              <w:left w:val="single" w:color="auto" w:sz="4" w:space="0"/>
              <w:bottom w:val="single" w:color="auto" w:sz="4" w:space="0"/>
              <w:right w:val="single" w:color="auto" w:sz="4" w:space="0"/>
            </w:tcBorders>
            <w:vAlign w:val="center"/>
          </w:tcPr>
          <w:p w14:paraId="102E85AB">
            <w:pPr>
              <w:jc w:val="center"/>
              <w:rPr>
                <w:rFonts w:hint="eastAsia" w:ascii="宋体" w:hAnsi="宋体" w:eastAsia="宋体" w:cs="宋体"/>
                <w:bCs/>
                <w:color w:val="auto"/>
                <w:sz w:val="24"/>
                <w:highlight w:val="none"/>
                <w:lang w:eastAsia="zh-CN"/>
              </w:rPr>
            </w:pPr>
            <w:r>
              <w:rPr>
                <w:rFonts w:hint="eastAsia" w:ascii="宋体" w:hAnsi="宋体" w:cs="宋体"/>
                <w:bCs/>
                <w:color w:val="auto"/>
                <w:sz w:val="24"/>
                <w:highlight w:val="none"/>
                <w:lang w:eastAsia="zh-CN"/>
              </w:rPr>
              <w:t>2026年平南县马练瑶族乡初级中学学生食堂食材配送服务</w:t>
            </w:r>
          </w:p>
        </w:tc>
        <w:tc>
          <w:tcPr>
            <w:tcW w:w="1594" w:type="dxa"/>
            <w:tcBorders>
              <w:top w:val="single" w:color="auto" w:sz="4" w:space="0"/>
              <w:left w:val="single" w:color="auto" w:sz="4" w:space="0"/>
              <w:bottom w:val="single" w:color="auto" w:sz="4" w:space="0"/>
              <w:right w:val="single" w:color="auto" w:sz="4" w:space="0"/>
            </w:tcBorders>
            <w:vAlign w:val="center"/>
          </w:tcPr>
          <w:p w14:paraId="16AF92FC">
            <w:pPr>
              <w:spacing w:line="600" w:lineRule="exact"/>
              <w:jc w:val="center"/>
              <w:rPr>
                <w:rFonts w:ascii="宋体" w:hAnsi="宋体" w:eastAsia="宋体" w:cs="宋体"/>
                <w:color w:val="auto"/>
                <w:sz w:val="24"/>
                <w:highlight w:val="none"/>
                <w:lang w:val="en-US" w:eastAsia="zh-CN"/>
              </w:rPr>
            </w:pPr>
            <w:r>
              <w:rPr>
                <w:rFonts w:hint="eastAsia" w:ascii="宋体" w:hAnsi="宋体" w:cs="宋体"/>
                <w:color w:val="auto"/>
                <w:sz w:val="24"/>
                <w:highlight w:val="none"/>
              </w:rPr>
              <w:t>1项</w:t>
            </w:r>
          </w:p>
        </w:tc>
        <w:tc>
          <w:tcPr>
            <w:tcW w:w="2523" w:type="dxa"/>
            <w:tcBorders>
              <w:top w:val="single" w:color="auto" w:sz="4" w:space="0"/>
              <w:left w:val="single" w:color="auto" w:sz="4" w:space="0"/>
              <w:bottom w:val="single" w:color="auto" w:sz="4" w:space="0"/>
              <w:right w:val="single" w:color="auto" w:sz="4" w:space="0"/>
            </w:tcBorders>
            <w:vAlign w:val="center"/>
          </w:tcPr>
          <w:p w14:paraId="4A1C1958">
            <w:pPr>
              <w:spacing w:line="360" w:lineRule="auto"/>
              <w:contextualSpacing/>
              <w:rPr>
                <w:rFonts w:hint="eastAsia" w:hAnsi="宋体" w:cs="宋体"/>
                <w:color w:val="auto"/>
                <w:spacing w:val="9"/>
                <w:position w:val="20"/>
                <w:sz w:val="21"/>
                <w:highlight w:val="none"/>
                <w:lang w:val="en-US" w:eastAsia="zh-CN"/>
              </w:rPr>
            </w:pPr>
            <w:r>
              <w:rPr>
                <w:rFonts w:hint="eastAsia" w:ascii="宋体" w:hAnsi="宋体" w:cs="宋体"/>
                <w:color w:val="auto"/>
                <w:sz w:val="24"/>
                <w:highlight w:val="none"/>
                <w:lang w:val="en-US" w:eastAsia="zh-CN"/>
              </w:rPr>
              <w:t xml:space="preserve">      </w:t>
            </w:r>
            <w:r>
              <w:rPr>
                <w:rFonts w:hint="eastAsia" w:hAnsi="宋体" w:cs="宋体"/>
                <w:color w:val="auto"/>
                <w:spacing w:val="9"/>
                <w:position w:val="20"/>
                <w:sz w:val="21"/>
                <w:highlight w:val="none"/>
                <w:lang w:val="en-US" w:eastAsia="zh-CN"/>
              </w:rPr>
              <w:t xml:space="preserve"> </w:t>
            </w:r>
          </w:p>
          <w:p w14:paraId="5D19D032">
            <w:pPr>
              <w:spacing w:line="360" w:lineRule="auto"/>
              <w:contextualSpacing/>
              <w:jc w:val="center"/>
              <w:rPr>
                <w:rFonts w:ascii="宋体" w:hAnsi="宋体" w:eastAsia="宋体" w:cs="宋体"/>
                <w:color w:val="auto"/>
                <w:sz w:val="24"/>
                <w:highlight w:val="none"/>
                <w:lang w:val="en-US" w:eastAsia="zh-CN"/>
              </w:rPr>
            </w:pPr>
            <w:r>
              <w:rPr>
                <w:rFonts w:hint="eastAsia" w:hAnsi="宋体" w:cs="宋体"/>
                <w:color w:val="auto"/>
                <w:spacing w:val="9"/>
                <w:position w:val="20"/>
                <w:sz w:val="21"/>
                <w:highlight w:val="none"/>
                <w:u w:val="single"/>
                <w:lang w:val="en-US" w:eastAsia="zh-CN"/>
              </w:rPr>
              <w:t xml:space="preserve">     </w:t>
            </w:r>
            <w:r>
              <w:rPr>
                <w:rFonts w:hint="eastAsia" w:hAnsi="宋体" w:cs="宋体"/>
                <w:color w:val="auto"/>
                <w:spacing w:val="9"/>
                <w:position w:val="20"/>
                <w:sz w:val="21"/>
                <w:highlight w:val="none"/>
                <w:lang w:val="en-US" w:eastAsia="zh-CN"/>
              </w:rPr>
              <w:t>%</w:t>
            </w:r>
          </w:p>
        </w:tc>
        <w:tc>
          <w:tcPr>
            <w:tcW w:w="2259" w:type="dxa"/>
            <w:tcBorders>
              <w:top w:val="single" w:color="auto" w:sz="4" w:space="0"/>
              <w:left w:val="single" w:color="auto" w:sz="4" w:space="0"/>
              <w:bottom w:val="single" w:color="auto" w:sz="4" w:space="0"/>
              <w:right w:val="single" w:color="auto" w:sz="4" w:space="0"/>
            </w:tcBorders>
            <w:vAlign w:val="center"/>
          </w:tcPr>
          <w:p w14:paraId="5FCF57F5">
            <w:pPr>
              <w:jc w:val="center"/>
              <w:rPr>
                <w:rFonts w:hint="eastAsia" w:ascii="宋体" w:hAnsi="宋体" w:cs="宋体"/>
                <w:b/>
                <w:color w:val="auto"/>
                <w:sz w:val="24"/>
                <w:highlight w:val="none"/>
              </w:rPr>
            </w:pPr>
          </w:p>
        </w:tc>
      </w:tr>
      <w:tr w14:paraId="5B7A3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694" w:type="dxa"/>
            <w:gridSpan w:val="5"/>
            <w:tcBorders>
              <w:top w:val="single" w:color="auto" w:sz="4" w:space="0"/>
              <w:left w:val="single" w:color="auto" w:sz="4" w:space="0"/>
              <w:bottom w:val="single" w:color="auto" w:sz="4" w:space="0"/>
              <w:right w:val="single" w:color="auto" w:sz="4" w:space="0"/>
            </w:tcBorders>
            <w:vAlign w:val="center"/>
          </w:tcPr>
          <w:p w14:paraId="3FD784F3">
            <w:pPr>
              <w:rPr>
                <w:rFonts w:hint="eastAsia" w:ascii="宋体" w:hAnsi="宋体" w:cs="宋体"/>
                <w:b/>
                <w:color w:val="auto"/>
                <w:sz w:val="24"/>
                <w:highlight w:val="none"/>
                <w:u w:val="single"/>
              </w:rPr>
            </w:pPr>
            <w:r>
              <w:rPr>
                <w:rFonts w:hint="eastAsia"/>
                <w:b w:val="0"/>
                <w:bCs w:val="0"/>
                <w:color w:val="auto"/>
                <w:sz w:val="24"/>
                <w:szCs w:val="24"/>
                <w:highlight w:val="none"/>
                <w:u w:val="single"/>
                <w:lang w:eastAsia="zh-CN"/>
              </w:rPr>
              <w:t>竞</w:t>
            </w:r>
            <w:r>
              <w:rPr>
                <w:rFonts w:hint="eastAsia"/>
                <w:b w:val="0"/>
                <w:bCs w:val="0"/>
                <w:color w:val="auto"/>
                <w:sz w:val="24"/>
                <w:szCs w:val="24"/>
                <w:highlight w:val="none"/>
                <w:u w:val="single"/>
              </w:rPr>
              <w:t xml:space="preserve">标折扣率：（大写）百分之         </w:t>
            </w:r>
            <w:r>
              <w:rPr>
                <w:rFonts w:hint="eastAsia" w:ascii="宋体" w:hAnsi="宋体" w:eastAsia="宋体" w:cs="宋体"/>
                <w:b w:val="0"/>
                <w:bCs w:val="0"/>
                <w:color w:val="auto"/>
                <w:sz w:val="24"/>
                <w:szCs w:val="24"/>
                <w:highlight w:val="none"/>
              </w:rPr>
              <w:t xml:space="preserve"> </w:t>
            </w:r>
            <w:r>
              <w:rPr>
                <w:rFonts w:hint="eastAsia" w:ascii="宋体" w:hAnsi="宋体" w:cs="宋体"/>
                <w:b w:val="0"/>
                <w:bCs w:val="0"/>
                <w:color w:val="auto"/>
                <w:sz w:val="24"/>
                <w:szCs w:val="24"/>
                <w:highlight w:val="none"/>
              </w:rPr>
              <w:t xml:space="preserve"> </w:t>
            </w:r>
          </w:p>
        </w:tc>
      </w:tr>
      <w:tr w14:paraId="72DB9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9694" w:type="dxa"/>
            <w:gridSpan w:val="5"/>
            <w:tcBorders>
              <w:top w:val="single" w:color="auto" w:sz="4" w:space="0"/>
              <w:left w:val="single" w:color="auto" w:sz="4" w:space="0"/>
              <w:bottom w:val="single" w:color="auto" w:sz="4" w:space="0"/>
              <w:right w:val="single" w:color="auto" w:sz="4" w:space="0"/>
            </w:tcBorders>
            <w:vAlign w:val="center"/>
          </w:tcPr>
          <w:p w14:paraId="0A10065B">
            <w:pPr>
              <w:spacing w:line="500" w:lineRule="exact"/>
              <w:rPr>
                <w:rFonts w:hint="eastAsia" w:ascii="宋体" w:hAnsi="宋体" w:cs="宋体"/>
                <w:color w:val="auto"/>
                <w:sz w:val="24"/>
                <w:highlight w:val="none"/>
              </w:rPr>
            </w:pPr>
            <w:r>
              <w:rPr>
                <w:rFonts w:hint="eastAsia" w:ascii="宋体" w:hAnsi="宋体" w:cs="宋体"/>
                <w:color w:val="auto"/>
                <w:sz w:val="24"/>
                <w:highlight w:val="none"/>
              </w:rPr>
              <w:t>合同履行期限：</w:t>
            </w:r>
          </w:p>
        </w:tc>
      </w:tr>
      <w:tr w14:paraId="70DAF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969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6121347">
            <w:pPr>
              <w:snapToGrid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rPr>
              <w:t>1.本项目</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应以价格折扣率报价（以%表示，折扣率报价精确到个位数）。</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报价范围：≤</w:t>
            </w:r>
            <w:r>
              <w:rPr>
                <w:rFonts w:hint="eastAsia" w:ascii="宋体" w:hAnsi="宋体" w:cs="宋体"/>
                <w:b/>
                <w:bCs/>
                <w:color w:val="auto"/>
                <w:szCs w:val="21"/>
                <w:highlight w:val="none"/>
                <w:lang w:eastAsia="zh-CN"/>
              </w:rPr>
              <w:t>90%</w:t>
            </w:r>
            <w:r>
              <w:rPr>
                <w:rFonts w:hint="eastAsia" w:ascii="宋体" w:hAnsi="宋体" w:cs="宋体"/>
                <w:b/>
                <w:bCs/>
                <w:color w:val="auto"/>
                <w:szCs w:val="21"/>
                <w:highlight w:val="none"/>
              </w:rPr>
              <w:t>（如：供货产品打九折即</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 xml:space="preserve">折扣率为90%，以此类推），否则，作无效报价处理。 </w:t>
            </w:r>
          </w:p>
          <w:p w14:paraId="3A380527">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2.实际采购时，上述数量仅作</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报价使用，结算时按实际采购数量结算。基准价设定为X，签订的合同折扣率设定为 Y%，则该原料供货单价为 X× Y%（例如：市场零售价 X=100 元，合同折扣率 Y%=90%，该原料供货单价=100× 0.90=90元）。</w:t>
            </w:r>
          </w:p>
          <w:p w14:paraId="4AEFA08E">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必须就《采购需求》中的全部内容作完整唯一报价。否则，其报价将被拒绝。如果</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所填报的内容与</w:t>
            </w:r>
            <w:r>
              <w:rPr>
                <w:rFonts w:hint="eastAsia" w:ascii="宋体" w:hAnsi="宋体" w:cs="宋体"/>
                <w:color w:val="auto"/>
                <w:szCs w:val="21"/>
                <w:highlight w:val="none"/>
                <w:lang w:eastAsia="zh-CN"/>
              </w:rPr>
              <w:t>采购文件</w:t>
            </w:r>
            <w:r>
              <w:rPr>
                <w:rFonts w:hint="eastAsia" w:ascii="宋体" w:hAnsi="宋体" w:cs="宋体"/>
                <w:color w:val="auto"/>
                <w:szCs w:val="21"/>
                <w:highlight w:val="none"/>
              </w:rPr>
              <w:t>相比较有存在漏项的状况且在评审时被接受，则将被认为该遗漏项目已包含在报价中，</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在服务时应严格按</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文件要求的内容完整提供，不得要求</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 xml:space="preserve">对其漏报的款项追加支付货款。 </w:t>
            </w:r>
          </w:p>
          <w:p w14:paraId="6E7C5CB6">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的报价大写折扣率和小写折扣率不一致的，以大写折扣率为准；对不同文字文本</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文件的解释发生异议的，以中文文本为准。如果因</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原因引起的报价失误，并在评审时被接受，其后果由</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 xml:space="preserve">自负。 </w:t>
            </w:r>
          </w:p>
          <w:p w14:paraId="404E8133">
            <w:pPr>
              <w:snapToGrid w:val="0"/>
              <w:spacing w:line="360" w:lineRule="auto"/>
              <w:jc w:val="left"/>
              <w:rPr>
                <w:rFonts w:hint="eastAsia" w:ascii="宋体" w:hAnsi="宋体" w:eastAsia="宋体" w:cs="宋体"/>
                <w:color w:val="auto"/>
                <w:spacing w:val="-6"/>
                <w:kern w:val="2"/>
                <w:sz w:val="21"/>
                <w:szCs w:val="21"/>
                <w:highlight w:val="none"/>
                <w:lang w:val="en-US" w:eastAsia="zh-CN" w:bidi="ar-SA"/>
              </w:rPr>
            </w:pPr>
            <w:r>
              <w:rPr>
                <w:rFonts w:hint="eastAsia" w:ascii="宋体" w:hAnsi="宋体" w:cs="宋体"/>
                <w:color w:val="auto"/>
                <w:szCs w:val="21"/>
                <w:highlight w:val="none"/>
              </w:rPr>
              <w:t>5.不论</w:t>
            </w:r>
            <w:r>
              <w:rPr>
                <w:rFonts w:hint="eastAsia" w:ascii="宋体" w:hAnsi="宋体" w:cs="宋体"/>
                <w:color w:val="auto"/>
                <w:szCs w:val="21"/>
                <w:highlight w:val="none"/>
                <w:lang w:eastAsia="zh-CN"/>
              </w:rPr>
              <w:t>竞</w:t>
            </w:r>
            <w:r>
              <w:rPr>
                <w:rFonts w:hint="eastAsia" w:ascii="宋体" w:hAnsi="宋体" w:cs="宋体"/>
                <w:color w:val="auto"/>
                <w:szCs w:val="21"/>
                <w:highlight w:val="none"/>
              </w:rPr>
              <w:t>标结果如何，</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均应自行承担所有与</w:t>
            </w:r>
            <w:r>
              <w:rPr>
                <w:rFonts w:hint="eastAsia" w:ascii="宋体" w:hAnsi="宋体" w:cs="宋体"/>
                <w:color w:val="auto"/>
                <w:szCs w:val="21"/>
                <w:highlight w:val="none"/>
                <w:lang w:eastAsia="zh-CN"/>
              </w:rPr>
              <w:t>竞</w:t>
            </w:r>
            <w:r>
              <w:rPr>
                <w:rFonts w:hint="eastAsia" w:ascii="宋体" w:hAnsi="宋体" w:cs="宋体"/>
                <w:color w:val="auto"/>
                <w:szCs w:val="21"/>
                <w:highlight w:val="none"/>
              </w:rPr>
              <w:t>标有关的全部费用。</w:t>
            </w:r>
          </w:p>
        </w:tc>
      </w:tr>
    </w:tbl>
    <w:p w14:paraId="59B9A30E">
      <w:pPr>
        <w:spacing w:before="50" w:after="50" w:line="440" w:lineRule="exact"/>
        <w:jc w:val="left"/>
        <w:rPr>
          <w:rFonts w:hint="eastAsia" w:ascii="宋体" w:hAnsi="宋体" w:cs="宋体"/>
          <w:color w:val="auto"/>
          <w:sz w:val="24"/>
          <w:highlight w:val="none"/>
        </w:rPr>
      </w:pPr>
    </w:p>
    <w:p w14:paraId="3553C8A9">
      <w:pPr>
        <w:spacing w:line="360" w:lineRule="auto"/>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 xml:space="preserve">注： </w:t>
      </w:r>
    </w:p>
    <w:p w14:paraId="1491B905">
      <w:pPr>
        <w:spacing w:line="360" w:lineRule="auto"/>
        <w:ind w:firstLine="48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1. 供应商的报价表必须加盖供应商电子签章并由法定代表人或者委托代理人签字或者电子签名，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44CE0237">
      <w:pPr>
        <w:spacing w:line="360" w:lineRule="auto"/>
        <w:ind w:firstLine="480"/>
        <w:contextualSpacing/>
        <w:jc w:val="left"/>
        <w:rPr>
          <w:rFonts w:hint="eastAsia"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 xml:space="preserve"> 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5F55E661">
      <w:pPr>
        <w:spacing w:line="360" w:lineRule="auto"/>
        <w:ind w:firstLine="480"/>
        <w:contextualSpacing/>
        <w:jc w:val="left"/>
        <w:rPr>
          <w:rFonts w:ascii="宋体" w:hAnsi="宋体" w:cs="仿宋_GB2312"/>
          <w:b/>
          <w:color w:val="auto"/>
          <w:sz w:val="24"/>
          <w:highlight w:val="none"/>
        </w:rPr>
      </w:pPr>
      <w:r>
        <w:rPr>
          <w:rFonts w:ascii="宋体" w:hAnsi="宋体" w:cs="仿宋_GB2312"/>
          <w:color w:val="auto"/>
          <w:sz w:val="24"/>
          <w:highlight w:val="none"/>
        </w:rPr>
        <w:t>3</w:t>
      </w:r>
      <w:r>
        <w:rPr>
          <w:rFonts w:hint="eastAsia" w:ascii="宋体" w:hAnsi="宋体" w:cs="仿宋_GB2312"/>
          <w:color w:val="auto"/>
          <w:sz w:val="24"/>
          <w:highlight w:val="none"/>
        </w:rPr>
        <w:t>.如为联合体竞标，“供应商名称”处必须列明联合体各方名称，标注联合体牵头人名称，</w:t>
      </w:r>
      <w:r>
        <w:rPr>
          <w:rFonts w:hint="eastAsia" w:ascii="宋体" w:hAnsi="宋体" w:cs="仿宋_GB2312"/>
          <w:b/>
          <w:color w:val="auto"/>
          <w:sz w:val="24"/>
          <w:highlight w:val="none"/>
        </w:rPr>
        <w:t>否则其响应文件按无效响应处理。</w:t>
      </w:r>
    </w:p>
    <w:p w14:paraId="4525B153">
      <w:pPr>
        <w:spacing w:line="360" w:lineRule="auto"/>
        <w:ind w:firstLine="480"/>
        <w:contextualSpacing/>
        <w:jc w:val="left"/>
        <w:rPr>
          <w:rFonts w:hint="eastAsia" w:ascii="宋体" w:hAnsi="宋体" w:cs="仿宋_GB2312"/>
          <w:color w:val="auto"/>
          <w:sz w:val="24"/>
          <w:highlight w:val="none"/>
        </w:rPr>
      </w:pPr>
      <w:r>
        <w:rPr>
          <w:rFonts w:ascii="宋体" w:hAnsi="宋体" w:cs="仿宋_GB2312"/>
          <w:color w:val="auto"/>
          <w:sz w:val="24"/>
          <w:highlight w:val="none"/>
        </w:rPr>
        <w:t>4</w:t>
      </w:r>
      <w:r>
        <w:rPr>
          <w:rFonts w:hint="eastAsia" w:ascii="宋体" w:hAnsi="宋体" w:cs="仿宋_GB2312"/>
          <w:color w:val="auto"/>
          <w:sz w:val="24"/>
          <w:highlight w:val="none"/>
        </w:rPr>
        <w:t>. 如为联合体竞标，</w:t>
      </w:r>
      <w:r>
        <w:rPr>
          <w:rFonts w:hint="eastAsia" w:ascii="宋体" w:hAnsi="宋体"/>
          <w:color w:val="auto"/>
          <w:spacing w:val="-6"/>
          <w:sz w:val="24"/>
          <w:highlight w:val="none"/>
        </w:rPr>
        <w:t xml:space="preserve"> 盖章处须加盖联合体牵头人电子签章</w:t>
      </w:r>
      <w:r>
        <w:rPr>
          <w:rFonts w:hint="eastAsia" w:ascii="宋体" w:hAnsi="宋体" w:cs="仿宋_GB2312"/>
          <w:color w:val="auto"/>
          <w:sz w:val="24"/>
          <w:highlight w:val="none"/>
        </w:rPr>
        <w:t>，</w:t>
      </w:r>
      <w:r>
        <w:rPr>
          <w:rFonts w:hint="eastAsia" w:ascii="宋体" w:hAnsi="宋体" w:cs="仿宋_GB2312"/>
          <w:b/>
          <w:color w:val="auto"/>
          <w:sz w:val="24"/>
          <w:highlight w:val="none"/>
        </w:rPr>
        <w:t>否则其响应文件按无效处理。</w:t>
      </w:r>
    </w:p>
    <w:p w14:paraId="5495F968">
      <w:pPr>
        <w:spacing w:before="50" w:after="50" w:line="360" w:lineRule="auto"/>
        <w:ind w:firstLine="480"/>
        <w:rPr>
          <w:rFonts w:hint="eastAsia" w:ascii="宋体" w:hAnsi="宋体" w:cs="宋体"/>
          <w:b/>
          <w:color w:val="auto"/>
          <w:spacing w:val="-6"/>
          <w:sz w:val="24"/>
          <w:highlight w:val="none"/>
        </w:rPr>
      </w:pPr>
      <w:r>
        <w:rPr>
          <w:rFonts w:ascii="宋体" w:hAnsi="宋体" w:cs="仿宋_GB2312"/>
          <w:color w:val="auto"/>
          <w:sz w:val="24"/>
          <w:highlight w:val="none"/>
        </w:rPr>
        <w:t>5</w:t>
      </w:r>
      <w:r>
        <w:rPr>
          <w:rFonts w:hint="eastAsia" w:ascii="宋体" w:hAnsi="宋体" w:cs="仿宋_GB2312"/>
          <w:color w:val="auto"/>
          <w:sz w:val="24"/>
          <w:highlight w:val="none"/>
        </w:rPr>
        <w:t>.</w:t>
      </w:r>
      <w:r>
        <w:rPr>
          <w:rFonts w:hint="eastAsia" w:ascii="宋体" w:hAnsi="宋体" w:cs="仿宋_GB2312"/>
          <w:color w:val="auto"/>
          <w:spacing w:val="-6"/>
          <w:sz w:val="24"/>
          <w:highlight w:val="none"/>
        </w:rPr>
        <w:t>如有多分标，分别列明各分标的报价表，</w:t>
      </w:r>
      <w:r>
        <w:rPr>
          <w:rFonts w:hint="eastAsia" w:ascii="宋体" w:hAnsi="宋体" w:cs="仿宋_GB2312"/>
          <w:b/>
          <w:color w:val="auto"/>
          <w:spacing w:val="-6"/>
          <w:sz w:val="24"/>
          <w:highlight w:val="none"/>
        </w:rPr>
        <w:t>否则其响应文件按无效响应处理。</w:t>
      </w:r>
    </w:p>
    <w:p w14:paraId="33D57838">
      <w:pPr>
        <w:spacing w:before="50" w:after="50"/>
        <w:ind w:firstLine="458"/>
        <w:rPr>
          <w:rFonts w:hint="eastAsia" w:ascii="宋体" w:hAnsi="宋体" w:cs="宋体"/>
          <w:b/>
          <w:color w:val="auto"/>
          <w:spacing w:val="-6"/>
          <w:sz w:val="24"/>
          <w:highlight w:val="none"/>
        </w:rPr>
      </w:pPr>
    </w:p>
    <w:p w14:paraId="4EE6FBAE">
      <w:pPr>
        <w:spacing w:before="50" w:after="50"/>
        <w:ind w:firstLine="458"/>
        <w:rPr>
          <w:rFonts w:hint="eastAsia" w:ascii="宋体" w:hAnsi="宋体" w:cs="宋体"/>
          <w:b/>
          <w:color w:val="auto"/>
          <w:spacing w:val="-6"/>
          <w:sz w:val="24"/>
          <w:highlight w:val="none"/>
        </w:rPr>
      </w:pPr>
    </w:p>
    <w:p w14:paraId="2AFD04AF">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法定代表人或者委托代理人（签字或盖章或电子签名）：</w:t>
      </w:r>
    </w:p>
    <w:p w14:paraId="3C8EF2DF">
      <w:pPr>
        <w:spacing w:before="50" w:after="50" w:line="440" w:lineRule="exact"/>
        <w:ind w:right="-817" w:firstLine="2640"/>
        <w:rPr>
          <w:rFonts w:hint="eastAsia" w:ascii="宋体" w:hAnsi="宋体" w:cs="宋体"/>
          <w:color w:val="auto"/>
          <w:sz w:val="24"/>
          <w:highlight w:val="none"/>
        </w:rPr>
      </w:pPr>
      <w:r>
        <w:rPr>
          <w:rFonts w:hint="eastAsia" w:ascii="宋体" w:hAnsi="宋体" w:cs="宋体"/>
          <w:color w:val="auto"/>
          <w:sz w:val="24"/>
          <w:highlight w:val="none"/>
        </w:rPr>
        <w:t xml:space="preserve">供应商（公章或电子签章）：      </w:t>
      </w:r>
    </w:p>
    <w:p w14:paraId="26E801E5">
      <w:pPr>
        <w:spacing w:line="360" w:lineRule="auto"/>
        <w:ind w:right="420" w:firstLine="4800"/>
        <w:contextualSpacing/>
        <w:jc w:val="left"/>
        <w:rPr>
          <w:rFonts w:hint="eastAsia" w:ascii="宋体" w:hAnsi="宋体" w:cs="宋体"/>
          <w:b/>
          <w:color w:val="auto"/>
          <w:sz w:val="32"/>
          <w:szCs w:val="32"/>
          <w:highlight w:val="none"/>
        </w:rPr>
      </w:pPr>
      <w:r>
        <w:rPr>
          <w:rFonts w:hint="eastAsia" w:ascii="宋体" w:hAnsi="宋体" w:cs="宋体"/>
          <w:color w:val="auto"/>
          <w:sz w:val="24"/>
          <w:highlight w:val="none"/>
        </w:rPr>
        <w:t>日期：   年   月   日</w:t>
      </w:r>
      <w:r>
        <w:rPr>
          <w:rFonts w:hint="eastAsia" w:ascii="宋体" w:hAnsi="宋体" w:cs="宋体"/>
          <w:b/>
          <w:bCs/>
          <w:color w:val="auto"/>
          <w:sz w:val="24"/>
          <w:highlight w:val="none"/>
        </w:rPr>
        <w:br w:type="page" w:clear="all"/>
      </w:r>
      <w:r>
        <w:rPr>
          <w:rFonts w:hint="eastAsia" w:ascii="宋体" w:hAnsi="宋体" w:cs="宋体"/>
          <w:b/>
          <w:bCs/>
          <w:color w:val="auto"/>
          <w:sz w:val="32"/>
          <w:szCs w:val="32"/>
          <w:highlight w:val="none"/>
        </w:rPr>
        <w:t>三、</w:t>
      </w:r>
      <w:r>
        <w:rPr>
          <w:rFonts w:hint="eastAsia" w:ascii="宋体" w:hAnsi="宋体" w:cs="宋体"/>
          <w:b/>
          <w:color w:val="auto"/>
          <w:sz w:val="32"/>
          <w:szCs w:val="32"/>
          <w:highlight w:val="none"/>
        </w:rPr>
        <w:t xml:space="preserve">商务技术文件格式 </w:t>
      </w:r>
    </w:p>
    <w:p w14:paraId="0C829CCC">
      <w:pPr>
        <w:spacing w:before="160" w:after="50" w:line="360"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1.商务技术文件封面格式</w:t>
      </w:r>
    </w:p>
    <w:p w14:paraId="7E3E5ED6">
      <w:pPr>
        <w:spacing w:before="16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54956B88">
      <w:pPr>
        <w:spacing w:before="160" w:after="50"/>
        <w:jc w:val="center"/>
        <w:rPr>
          <w:rFonts w:hint="eastAsia" w:ascii="宋体" w:hAnsi="宋体" w:cs="宋体"/>
          <w:color w:val="auto"/>
          <w:sz w:val="24"/>
          <w:szCs w:val="20"/>
          <w:highlight w:val="none"/>
        </w:rPr>
      </w:pPr>
      <w:r>
        <w:rPr>
          <w:rFonts w:hint="eastAsia" w:ascii="宋体" w:hAnsi="宋体" w:cs="宋体"/>
          <w:color w:val="auto"/>
          <w:sz w:val="44"/>
          <w:szCs w:val="44"/>
          <w:highlight w:val="none"/>
        </w:rPr>
        <w:t>电 子 响 应 文 件</w:t>
      </w:r>
    </w:p>
    <w:p w14:paraId="3D6A8BB8">
      <w:pPr>
        <w:spacing w:before="160" w:after="50"/>
        <w:rPr>
          <w:rFonts w:hint="eastAsia" w:ascii="宋体" w:hAnsi="宋体" w:cs="宋体"/>
          <w:color w:val="auto"/>
          <w:sz w:val="24"/>
          <w:szCs w:val="20"/>
          <w:highlight w:val="none"/>
        </w:rPr>
      </w:pPr>
    </w:p>
    <w:p w14:paraId="2C4D78FC">
      <w:pPr>
        <w:spacing w:before="160" w:after="50"/>
        <w:rPr>
          <w:rFonts w:hint="eastAsia" w:ascii="宋体" w:hAnsi="宋体" w:cs="宋体"/>
          <w:color w:val="auto"/>
          <w:sz w:val="24"/>
          <w:szCs w:val="20"/>
          <w:highlight w:val="none"/>
        </w:rPr>
      </w:pPr>
    </w:p>
    <w:p w14:paraId="641BFE5F">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商  务  技  术  文  件</w:t>
      </w:r>
    </w:p>
    <w:p w14:paraId="45CBE3B3">
      <w:pPr>
        <w:spacing w:before="160" w:after="50"/>
        <w:rPr>
          <w:rFonts w:hint="eastAsia" w:ascii="宋体" w:hAnsi="宋体" w:cs="宋体"/>
          <w:bCs/>
          <w:color w:val="auto"/>
          <w:sz w:val="24"/>
          <w:szCs w:val="20"/>
          <w:highlight w:val="none"/>
        </w:rPr>
      </w:pPr>
    </w:p>
    <w:p w14:paraId="5DA2F39D">
      <w:pPr>
        <w:spacing w:before="160" w:after="50"/>
        <w:rPr>
          <w:rFonts w:hint="eastAsia" w:ascii="宋体" w:hAnsi="宋体" w:cs="宋体"/>
          <w:bCs/>
          <w:color w:val="auto"/>
          <w:sz w:val="24"/>
          <w:szCs w:val="20"/>
          <w:highlight w:val="none"/>
        </w:rPr>
      </w:pPr>
    </w:p>
    <w:p w14:paraId="351AD63F">
      <w:pPr>
        <w:spacing w:before="160" w:after="50"/>
        <w:rPr>
          <w:rFonts w:hint="eastAsia" w:ascii="宋体" w:hAnsi="宋体" w:cs="宋体"/>
          <w:bCs/>
          <w:color w:val="auto"/>
          <w:sz w:val="24"/>
          <w:szCs w:val="20"/>
          <w:highlight w:val="none"/>
        </w:rPr>
      </w:pPr>
    </w:p>
    <w:p w14:paraId="33A167D7">
      <w:pPr>
        <w:spacing w:before="160" w:after="50"/>
        <w:rPr>
          <w:rFonts w:hint="eastAsia" w:ascii="宋体" w:hAnsi="宋体" w:cs="宋体"/>
          <w:bCs/>
          <w:color w:val="auto"/>
          <w:sz w:val="24"/>
          <w:szCs w:val="20"/>
          <w:highlight w:val="none"/>
        </w:rPr>
      </w:pPr>
    </w:p>
    <w:p w14:paraId="2E902717">
      <w:pPr>
        <w:spacing w:before="160" w:after="50"/>
        <w:rPr>
          <w:rFonts w:hint="eastAsia" w:ascii="宋体" w:hAnsi="宋体" w:cs="宋体"/>
          <w:bCs/>
          <w:color w:val="auto"/>
          <w:sz w:val="24"/>
          <w:szCs w:val="20"/>
          <w:highlight w:val="none"/>
        </w:rPr>
      </w:pPr>
    </w:p>
    <w:p w14:paraId="6D3842AC">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462EB298">
      <w:pPr>
        <w:spacing w:before="160" w:after="50"/>
        <w:ind w:firstLine="720"/>
        <w:rPr>
          <w:rFonts w:hint="eastAsia" w:ascii="宋体" w:hAnsi="宋体" w:cs="宋体"/>
          <w:bCs/>
          <w:color w:val="auto"/>
          <w:sz w:val="32"/>
          <w:szCs w:val="32"/>
          <w:highlight w:val="none"/>
        </w:rPr>
      </w:pPr>
    </w:p>
    <w:p w14:paraId="73418FC4">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7BEF4EA6">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3C8B32DF">
      <w:pPr>
        <w:pStyle w:val="200"/>
        <w:spacing w:before="5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6F6F5C75">
      <w:pPr>
        <w:pStyle w:val="200"/>
        <w:spacing w:before="50" w:after="50"/>
        <w:ind w:firstLine="640"/>
        <w:rPr>
          <w:rFonts w:hint="eastAsia" w:ascii="宋体" w:hAnsi="宋体" w:cs="宋体"/>
          <w:bCs/>
          <w:color w:val="auto"/>
          <w:sz w:val="32"/>
          <w:szCs w:val="32"/>
          <w:highlight w:val="none"/>
        </w:rPr>
      </w:pPr>
    </w:p>
    <w:p w14:paraId="58BFF10E">
      <w:pPr>
        <w:pStyle w:val="200"/>
        <w:spacing w:before="50" w:after="50"/>
        <w:ind w:firstLine="720"/>
        <w:rPr>
          <w:rFonts w:hint="eastAsia" w:ascii="宋体" w:hAnsi="宋体" w:cs="宋体"/>
          <w:bCs/>
          <w:color w:val="auto"/>
          <w:sz w:val="32"/>
          <w:szCs w:val="32"/>
          <w:highlight w:val="none"/>
        </w:rPr>
      </w:pPr>
    </w:p>
    <w:p w14:paraId="239DD16E">
      <w:pPr>
        <w:pStyle w:val="200"/>
        <w:spacing w:before="50" w:after="50"/>
        <w:ind w:firstLine="0"/>
        <w:rPr>
          <w:rFonts w:hint="eastAsia" w:ascii="宋体" w:hAnsi="宋体" w:cs="宋体"/>
          <w:bCs/>
          <w:color w:val="auto"/>
          <w:sz w:val="32"/>
          <w:szCs w:val="32"/>
          <w:highlight w:val="none"/>
        </w:rPr>
      </w:pPr>
    </w:p>
    <w:p w14:paraId="1C11EA32">
      <w:pPr>
        <w:pStyle w:val="200"/>
        <w:spacing w:before="50" w:after="50"/>
        <w:ind w:firstLine="1280"/>
        <w:rPr>
          <w:rFonts w:hint="eastAsia" w:ascii="宋体" w:hAnsi="宋体" w:cs="宋体"/>
          <w:bCs/>
          <w:color w:val="auto"/>
          <w:sz w:val="32"/>
          <w:szCs w:val="32"/>
          <w:highlight w:val="none"/>
        </w:rPr>
      </w:pPr>
    </w:p>
    <w:p w14:paraId="631568F4">
      <w:pPr>
        <w:spacing w:before="16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0C25E354">
      <w:pPr>
        <w:spacing w:before="160" w:after="50" w:line="360" w:lineRule="auto"/>
        <w:ind w:right="480" w:firstLine="240"/>
        <w:jc w:val="left"/>
        <w:rPr>
          <w:rFonts w:hint="eastAsia" w:ascii="宋体" w:hAnsi="宋体" w:cs="宋体"/>
          <w:b/>
          <w:bCs/>
          <w:color w:val="auto"/>
          <w:sz w:val="24"/>
          <w:highlight w:val="none"/>
        </w:rPr>
      </w:pPr>
      <w:r>
        <w:rPr>
          <w:rFonts w:hint="eastAsia" w:ascii="宋体" w:hAnsi="宋体" w:cs="宋体"/>
          <w:color w:val="auto"/>
          <w:sz w:val="24"/>
          <w:highlight w:val="none"/>
        </w:rPr>
        <w:br w:type="page" w:clear="all"/>
      </w:r>
      <w:r>
        <w:rPr>
          <w:rFonts w:hint="eastAsia" w:ascii="宋体" w:hAnsi="宋体" w:cs="宋体"/>
          <w:b/>
          <w:bCs/>
          <w:color w:val="auto"/>
          <w:sz w:val="32"/>
          <w:szCs w:val="32"/>
          <w:highlight w:val="none"/>
        </w:rPr>
        <w:t>2.商务技术文件目录</w:t>
      </w:r>
    </w:p>
    <w:p w14:paraId="0FE29152">
      <w:pPr>
        <w:spacing w:before="160" w:after="50" w:line="360" w:lineRule="auto"/>
        <w:ind w:firstLine="640"/>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1393FC56">
      <w:pPr>
        <w:spacing w:line="400" w:lineRule="exact"/>
        <w:rPr>
          <w:rFonts w:hint="eastAsia" w:ascii="宋体" w:hAnsi="宋体" w:cs="宋体"/>
          <w:color w:val="auto"/>
          <w:sz w:val="32"/>
          <w:szCs w:val="32"/>
          <w:highlight w:val="none"/>
        </w:rPr>
      </w:pPr>
    </w:p>
    <w:p w14:paraId="73862DAA">
      <w:pPr>
        <w:spacing w:line="520" w:lineRule="exact"/>
        <w:jc w:val="center"/>
        <w:rPr>
          <w:rFonts w:hint="eastAsia" w:ascii="宋体" w:hAnsi="宋体" w:cs="宋体"/>
          <w:color w:val="auto"/>
          <w:sz w:val="32"/>
          <w:szCs w:val="32"/>
          <w:highlight w:val="none"/>
        </w:rPr>
      </w:pPr>
      <w:r>
        <w:rPr>
          <w:rFonts w:hint="eastAsia" w:ascii="宋体" w:hAnsi="宋体" w:cs="宋体"/>
          <w:color w:val="auto"/>
          <w:sz w:val="44"/>
          <w:szCs w:val="44"/>
          <w:highlight w:val="none"/>
        </w:rPr>
        <w:br w:type="page" w:clear="all"/>
      </w:r>
      <w:r>
        <w:rPr>
          <w:rFonts w:hint="eastAsia" w:ascii="宋体" w:hAnsi="宋体" w:cs="宋体"/>
          <w:color w:val="auto"/>
          <w:sz w:val="44"/>
          <w:szCs w:val="44"/>
          <w:highlight w:val="none"/>
        </w:rPr>
        <w:t>无串通竞标行为的承诺函</w:t>
      </w:r>
    </w:p>
    <w:p w14:paraId="46561B2C">
      <w:pPr>
        <w:spacing w:line="360" w:lineRule="auto"/>
        <w:ind w:firstLine="640"/>
        <w:contextualSpacing/>
        <w:rPr>
          <w:rFonts w:hint="eastAsia" w:ascii="宋体" w:hAnsi="宋体" w:cs="宋体"/>
          <w:color w:val="auto"/>
          <w:sz w:val="32"/>
          <w:szCs w:val="32"/>
          <w:highlight w:val="none"/>
        </w:rPr>
      </w:pPr>
    </w:p>
    <w:p w14:paraId="1C5A4EEF">
      <w:pPr>
        <w:spacing w:line="360" w:lineRule="auto"/>
        <w:ind w:firstLine="482"/>
        <w:contextualSpacing/>
        <w:rPr>
          <w:rFonts w:hint="eastAsia" w:ascii="宋体" w:hAnsi="宋体" w:cs="宋体"/>
          <w:b/>
          <w:bCs/>
          <w:color w:val="auto"/>
          <w:sz w:val="24"/>
          <w:highlight w:val="none"/>
        </w:rPr>
      </w:pPr>
      <w:r>
        <w:rPr>
          <w:rFonts w:hint="eastAsia" w:ascii="宋体" w:hAnsi="宋体" w:cs="宋体"/>
          <w:b/>
          <w:bCs/>
          <w:color w:val="auto"/>
          <w:sz w:val="24"/>
          <w:highlight w:val="none"/>
        </w:rPr>
        <w:t>一、我方承诺无下列相互串通竞标的情形：</w:t>
      </w:r>
    </w:p>
    <w:p w14:paraId="7DD2969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1.不同供应商的响应文件由同一单位或者个人编制</w:t>
      </w:r>
      <w:r>
        <w:rPr>
          <w:rFonts w:hint="eastAsia" w:ascii="宋体" w:hAnsi="宋体" w:cs="宋体"/>
          <w:color w:val="auto"/>
          <w:sz w:val="24"/>
          <w:highlight w:val="none"/>
          <w:lang w:eastAsia="zh-CN"/>
        </w:rPr>
        <w:t>，或不同供应商报名的IP地址一致的；</w:t>
      </w:r>
      <w:r>
        <w:rPr>
          <w:rFonts w:hint="eastAsia" w:ascii="宋体" w:hAnsi="宋体" w:cs="宋体"/>
          <w:color w:val="auto"/>
          <w:sz w:val="24"/>
          <w:highlight w:val="none"/>
        </w:rPr>
        <w:t xml:space="preserve"> </w:t>
      </w:r>
    </w:p>
    <w:p w14:paraId="685457A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506856B2">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3.不同供应商的响应文件载明的项目管理员为同一个人；</w:t>
      </w:r>
    </w:p>
    <w:p w14:paraId="3BC7A51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4.不</w:t>
      </w:r>
      <w:r>
        <w:rPr>
          <w:rFonts w:hint="eastAsia" w:ascii="宋体" w:hAnsi="宋体" w:cs="宋体"/>
          <w:color w:val="auto"/>
          <w:spacing w:val="-6"/>
          <w:sz w:val="24"/>
          <w:highlight w:val="none"/>
        </w:rPr>
        <w:t>同供应商的响应文件异常一致或者竞标报价呈规律性差异；</w:t>
      </w:r>
    </w:p>
    <w:p w14:paraId="543219E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5.不同供应商的响应文件相互混装；</w:t>
      </w:r>
    </w:p>
    <w:p w14:paraId="73ECFE2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6.不同供应商的磋商保证金从同一单位或者个人账户转出。</w:t>
      </w:r>
    </w:p>
    <w:p w14:paraId="7C83F534">
      <w:pPr>
        <w:spacing w:line="360" w:lineRule="auto"/>
        <w:ind w:firstLine="482"/>
        <w:contextualSpacing/>
        <w:rPr>
          <w:rFonts w:hint="eastAsia" w:ascii="宋体" w:hAnsi="宋体" w:cs="宋体"/>
          <w:b/>
          <w:bCs/>
          <w:color w:val="auto"/>
          <w:sz w:val="24"/>
          <w:highlight w:val="none"/>
        </w:rPr>
      </w:pPr>
      <w:r>
        <w:rPr>
          <w:rFonts w:hint="eastAsia" w:ascii="宋体" w:hAnsi="宋体" w:cs="宋体"/>
          <w:b/>
          <w:bCs/>
          <w:color w:val="auto"/>
          <w:sz w:val="24"/>
          <w:highlight w:val="none"/>
        </w:rPr>
        <w:t>二、我方承诺无下列恶意串通的情形：</w:t>
      </w:r>
    </w:p>
    <w:p w14:paraId="3E2E6F4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110C0AF8">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6052951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3.供</w:t>
      </w:r>
      <w:r>
        <w:rPr>
          <w:rFonts w:hint="eastAsia" w:ascii="宋体" w:hAnsi="宋体" w:cs="宋体"/>
          <w:color w:val="auto"/>
          <w:spacing w:val="-6"/>
          <w:sz w:val="24"/>
          <w:highlight w:val="none"/>
        </w:rPr>
        <w:t>应商之间协商报价、技术方案等响应文件的实质性内容；</w:t>
      </w:r>
    </w:p>
    <w:p w14:paraId="67345DB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49B2192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2704B2C4">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019EE82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w:t>
      </w:r>
      <w:r>
        <w:rPr>
          <w:rFonts w:hint="eastAsia" w:ascii="宋体" w:hAnsi="宋体" w:cs="宋体"/>
          <w:color w:val="auto"/>
          <w:spacing w:val="-6"/>
          <w:sz w:val="24"/>
          <w:highlight w:val="none"/>
        </w:rPr>
        <w:t>谋求特定供应商成交或者排斥其他供应商的其他串通行为。</w:t>
      </w:r>
    </w:p>
    <w:p w14:paraId="553FDC02">
      <w:pPr>
        <w:spacing w:line="360" w:lineRule="auto"/>
        <w:ind w:firstLine="480"/>
        <w:contextualSpacing/>
        <w:rPr>
          <w:rFonts w:hint="eastAsia" w:ascii="宋体" w:hAnsi="宋体" w:cs="宋体"/>
          <w:color w:val="auto"/>
          <w:sz w:val="24"/>
          <w:highlight w:val="none"/>
        </w:rPr>
      </w:pPr>
    </w:p>
    <w:p w14:paraId="2CE6B7DF">
      <w:pPr>
        <w:spacing w:line="360" w:lineRule="auto"/>
        <w:ind w:firstLine="482"/>
        <w:contextualSpacing/>
        <w:rPr>
          <w:rFonts w:hint="eastAsia" w:ascii="宋体" w:hAnsi="宋体" w:cs="宋体"/>
          <w:b/>
          <w:bCs/>
          <w:color w:val="auto"/>
          <w:sz w:val="24"/>
          <w:highlight w:val="none"/>
        </w:rPr>
      </w:pPr>
      <w:r>
        <w:rPr>
          <w:rFonts w:hint="eastAsia" w:ascii="宋体" w:hAnsi="宋体" w:cs="宋体"/>
          <w:b/>
          <w:bCs/>
          <w:color w:val="auto"/>
          <w:sz w:val="24"/>
          <w:highlight w:val="none"/>
        </w:rPr>
        <w:t>以上情形一经核查属实，我方愿意承担一切后果，并不再寻求任何旨在减轻或者免除法律责任的辩解。</w:t>
      </w:r>
    </w:p>
    <w:p w14:paraId="4387B0B2">
      <w:pPr>
        <w:spacing w:line="360" w:lineRule="auto"/>
        <w:contextualSpacing/>
        <w:rPr>
          <w:rFonts w:hint="eastAsia" w:ascii="宋体" w:hAnsi="宋体" w:cs="宋体"/>
          <w:color w:val="auto"/>
          <w:sz w:val="24"/>
          <w:highlight w:val="none"/>
        </w:rPr>
      </w:pPr>
    </w:p>
    <w:p w14:paraId="68EAE2ED">
      <w:pPr>
        <w:spacing w:line="360" w:lineRule="auto"/>
        <w:ind w:firstLine="480"/>
        <w:contextualSpacing/>
        <w:jc w:val="center"/>
        <w:rPr>
          <w:rFonts w:hint="eastAsia" w:ascii="宋体" w:hAnsi="宋体" w:cs="宋体"/>
          <w:color w:val="auto"/>
          <w:sz w:val="24"/>
          <w:highlight w:val="none"/>
        </w:rPr>
      </w:pPr>
      <w:r>
        <w:rPr>
          <w:rFonts w:hint="eastAsia" w:ascii="宋体" w:hAnsi="宋体" w:cs="宋体"/>
          <w:color w:val="auto"/>
          <w:sz w:val="24"/>
          <w:highlight w:val="none"/>
        </w:rPr>
        <w:t>供应商名称（公章或电子签章）：</w:t>
      </w:r>
    </w:p>
    <w:p w14:paraId="4A465019">
      <w:pPr>
        <w:spacing w:line="360" w:lineRule="auto"/>
        <w:ind w:firstLine="480"/>
        <w:contextualSpacing/>
        <w:jc w:val="center"/>
        <w:rPr>
          <w:rFonts w:hint="eastAsia" w:ascii="宋体" w:hAnsi="宋体" w:cs="宋体"/>
          <w:color w:val="auto"/>
          <w:sz w:val="32"/>
          <w:szCs w:val="32"/>
          <w:highlight w:val="none"/>
        </w:rPr>
      </w:pPr>
      <w:r>
        <w:rPr>
          <w:rFonts w:hint="eastAsia" w:ascii="宋体" w:hAnsi="宋体" w:cs="宋体"/>
          <w:color w:val="auto"/>
          <w:sz w:val="24"/>
          <w:highlight w:val="none"/>
        </w:rPr>
        <w:t xml:space="preserve">                               年   月   日</w:t>
      </w:r>
    </w:p>
    <w:p w14:paraId="4D260251">
      <w:pPr>
        <w:spacing w:line="520" w:lineRule="exact"/>
        <w:jc w:val="center"/>
        <w:rPr>
          <w:rFonts w:hint="eastAsia" w:ascii="宋体" w:hAnsi="宋体" w:cs="宋体"/>
          <w:color w:val="auto"/>
          <w:sz w:val="32"/>
          <w:szCs w:val="32"/>
          <w:highlight w:val="none"/>
        </w:rPr>
      </w:pPr>
      <w:r>
        <w:rPr>
          <w:rFonts w:hint="eastAsia" w:ascii="宋体" w:hAnsi="宋体" w:cs="宋体"/>
          <w:bCs/>
          <w:color w:val="auto"/>
          <w:sz w:val="44"/>
          <w:szCs w:val="44"/>
          <w:highlight w:val="none"/>
        </w:rPr>
        <w:br w:type="page" w:clear="all"/>
      </w:r>
      <w:r>
        <w:rPr>
          <w:rFonts w:hint="eastAsia" w:ascii="宋体" w:hAnsi="宋体" w:cs="宋体"/>
          <w:bCs/>
          <w:color w:val="auto"/>
          <w:sz w:val="44"/>
          <w:szCs w:val="44"/>
          <w:highlight w:val="none"/>
        </w:rPr>
        <w:t>法定代表人证明书</w:t>
      </w:r>
    </w:p>
    <w:p w14:paraId="3A9A451D">
      <w:pPr>
        <w:spacing w:line="360" w:lineRule="auto"/>
        <w:ind w:left="540"/>
        <w:contextualSpacing/>
        <w:rPr>
          <w:rFonts w:hint="eastAsia" w:ascii="宋体" w:hAnsi="宋体" w:cs="宋体"/>
          <w:color w:val="auto"/>
          <w:sz w:val="32"/>
          <w:szCs w:val="32"/>
          <w:highlight w:val="none"/>
        </w:rPr>
      </w:pPr>
    </w:p>
    <w:p w14:paraId="671355C8">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p>
    <w:p w14:paraId="6E60EE12">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523E89B6">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53AE4B15">
      <w:pPr>
        <w:spacing w:line="360" w:lineRule="auto"/>
        <w:ind w:left="540"/>
        <w:contextualSpacing/>
        <w:rPr>
          <w:rFonts w:hint="eastAsia"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4E9612C0">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7D5CC5A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的法定代表人。</w:t>
      </w:r>
    </w:p>
    <w:p w14:paraId="739026F9">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特此证明。</w:t>
      </w:r>
    </w:p>
    <w:p w14:paraId="38D13829">
      <w:pPr>
        <w:spacing w:line="360" w:lineRule="auto"/>
        <w:ind w:left="540"/>
        <w:contextualSpacing/>
        <w:rPr>
          <w:rFonts w:hint="eastAsia" w:ascii="宋体" w:hAnsi="宋体" w:cs="宋体"/>
          <w:color w:val="auto"/>
          <w:sz w:val="24"/>
          <w:highlight w:val="none"/>
        </w:rPr>
      </w:pPr>
    </w:p>
    <w:p w14:paraId="03220D9A">
      <w:pPr>
        <w:spacing w:line="360" w:lineRule="auto"/>
        <w:ind w:left="540"/>
        <w:contextualSpacing/>
        <w:rPr>
          <w:rFonts w:hint="eastAsia" w:ascii="宋体" w:hAnsi="宋体" w:cs="宋体"/>
          <w:color w:val="auto"/>
          <w:sz w:val="24"/>
          <w:highlight w:val="none"/>
        </w:rPr>
      </w:pPr>
    </w:p>
    <w:p w14:paraId="77EF5915">
      <w:pPr>
        <w:spacing w:line="360" w:lineRule="auto"/>
        <w:ind w:left="540"/>
        <w:contextualSpacing/>
        <w:rPr>
          <w:rFonts w:hint="eastAsia" w:ascii="宋体" w:hAnsi="宋体" w:cs="宋体"/>
          <w:color w:val="auto"/>
          <w:sz w:val="24"/>
          <w:highlight w:val="none"/>
        </w:rPr>
      </w:pPr>
    </w:p>
    <w:p w14:paraId="438CB35E">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649CB7C5">
      <w:pPr>
        <w:spacing w:line="360" w:lineRule="auto"/>
        <w:ind w:left="540"/>
        <w:contextualSpacing/>
        <w:rPr>
          <w:rFonts w:hint="eastAsia" w:ascii="宋体" w:hAnsi="宋体" w:cs="宋体"/>
          <w:color w:val="auto"/>
          <w:sz w:val="24"/>
          <w:highlight w:val="none"/>
        </w:rPr>
      </w:pPr>
    </w:p>
    <w:p w14:paraId="45080073">
      <w:pPr>
        <w:spacing w:line="360" w:lineRule="auto"/>
        <w:ind w:firstLine="4080"/>
        <w:contextualSpacing/>
        <w:rPr>
          <w:rFonts w:hint="eastAsia" w:ascii="宋体" w:hAnsi="宋体" w:cs="宋体"/>
          <w:color w:val="auto"/>
          <w:sz w:val="24"/>
          <w:highlight w:val="none"/>
        </w:rPr>
      </w:pPr>
      <w:r>
        <w:rPr>
          <w:rFonts w:hint="eastAsia" w:ascii="宋体" w:hAnsi="宋体" w:cs="宋体"/>
          <w:color w:val="auto"/>
          <w:sz w:val="24"/>
          <w:highlight w:val="none"/>
        </w:rPr>
        <w:t>供应商名称（公章或电子签章）：</w:t>
      </w:r>
    </w:p>
    <w:p w14:paraId="2DCF95DA">
      <w:pPr>
        <w:spacing w:line="360" w:lineRule="auto"/>
        <w:ind w:firstLine="4080"/>
        <w:contextualSpacing/>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7339B008">
      <w:pPr>
        <w:spacing w:line="360" w:lineRule="auto"/>
        <w:contextualSpacing/>
        <w:jc w:val="center"/>
        <w:rPr>
          <w:rFonts w:hint="eastAsia" w:ascii="宋体" w:hAnsi="宋体" w:cs="宋体"/>
          <w:b/>
          <w:color w:val="auto"/>
          <w:sz w:val="24"/>
          <w:highlight w:val="none"/>
        </w:rPr>
      </w:pPr>
    </w:p>
    <w:p w14:paraId="5C93EF86">
      <w:pPr>
        <w:spacing w:line="360" w:lineRule="auto"/>
        <w:contextualSpacing/>
        <w:jc w:val="left"/>
        <w:rPr>
          <w:rFonts w:hint="eastAsia" w:ascii="宋体" w:hAnsi="宋体" w:cs="宋体"/>
          <w:color w:val="auto"/>
          <w:sz w:val="24"/>
          <w:highlight w:val="none"/>
        </w:rPr>
      </w:pPr>
    </w:p>
    <w:p w14:paraId="218FC2FF">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注：自然人竞标的无需提供，联合体竞标的只需牵头人出具。</w:t>
      </w:r>
    </w:p>
    <w:p w14:paraId="326573FC">
      <w:pPr>
        <w:spacing w:line="300" w:lineRule="auto"/>
        <w:jc w:val="left"/>
        <w:rPr>
          <w:rFonts w:hint="eastAsia" w:ascii="宋体" w:hAnsi="宋体" w:cs="宋体"/>
          <w:b/>
          <w:color w:val="auto"/>
          <w:szCs w:val="21"/>
          <w:highlight w:val="none"/>
        </w:rPr>
      </w:pPr>
    </w:p>
    <w:p w14:paraId="278B214E">
      <w:pPr>
        <w:spacing w:line="50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br w:type="page" w:clear="all"/>
      </w:r>
      <w:r>
        <w:rPr>
          <w:rFonts w:hint="eastAsia" w:ascii="宋体" w:hAnsi="宋体" w:cs="宋体"/>
          <w:color w:val="auto"/>
          <w:sz w:val="44"/>
          <w:szCs w:val="44"/>
          <w:highlight w:val="none"/>
        </w:rPr>
        <w:t xml:space="preserve"> </w:t>
      </w:r>
    </w:p>
    <w:p w14:paraId="61D0DAFC">
      <w:pPr>
        <w:spacing w:line="52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授权委托书</w:t>
      </w:r>
    </w:p>
    <w:p w14:paraId="26C175D8">
      <w:pPr>
        <w:spacing w:line="52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（非联合体竞标格式）</w:t>
      </w:r>
    </w:p>
    <w:p w14:paraId="44453348">
      <w:pPr>
        <w:spacing w:line="520" w:lineRule="exact"/>
        <w:jc w:val="center"/>
        <w:rPr>
          <w:rFonts w:hint="eastAsia" w:ascii="宋体" w:hAnsi="宋体" w:cs="宋体"/>
          <w:color w:val="auto"/>
          <w:sz w:val="44"/>
          <w:szCs w:val="44"/>
          <w:highlight w:val="none"/>
        </w:rPr>
      </w:pPr>
      <w:r>
        <w:rPr>
          <w:rFonts w:hint="eastAsia" w:ascii="宋体" w:hAnsi="宋体" w:cs="宋体"/>
          <w:color w:val="auto"/>
          <w:sz w:val="32"/>
          <w:szCs w:val="32"/>
          <w:highlight w:val="none"/>
        </w:rPr>
        <w:t>（如有委托时）</w:t>
      </w:r>
    </w:p>
    <w:p w14:paraId="0E77393A">
      <w:pPr>
        <w:spacing w:line="520" w:lineRule="exact"/>
        <w:rPr>
          <w:rFonts w:hint="eastAsia" w:ascii="宋体" w:hAnsi="宋体" w:cs="宋体"/>
          <w:color w:val="auto"/>
          <w:sz w:val="32"/>
          <w:szCs w:val="32"/>
          <w:highlight w:val="none"/>
        </w:rPr>
      </w:pPr>
    </w:p>
    <w:p w14:paraId="7EA9A514">
      <w:pPr>
        <w:spacing w:line="360" w:lineRule="auto"/>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6B149557">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w:t>
      </w:r>
      <w:r>
        <w:rPr>
          <w:rFonts w:hint="eastAsia" w:ascii="宋体" w:hAnsi="宋体" w:cs="宋体"/>
          <w:color w:val="auto"/>
          <w:sz w:val="24"/>
          <w:highlight w:val="none"/>
          <w:u w:val="single"/>
        </w:rPr>
        <w:t>□法定代表人/□负责人/□自然人本人</w:t>
      </w:r>
      <w:r>
        <w:rPr>
          <w:rFonts w:hint="eastAsia" w:ascii="宋体" w:hAnsi="宋体" w:cs="宋体"/>
          <w:color w:val="auto"/>
          <w:sz w:val="24"/>
          <w:highlight w:val="none"/>
        </w:rPr>
        <w:t>），现授权</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以我方的名义参加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项目的竞标活动，并代表我方全权办理针对上述项目的所有采购程序和环节的具体事务和签署相关文件。</w:t>
      </w:r>
    </w:p>
    <w:p w14:paraId="69765692">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我方对委托代理人的签字或者电子签名事项负全部责任。</w:t>
      </w:r>
    </w:p>
    <w:p w14:paraId="04859542">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49BBE06F">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委托代理人无转委托权，特此委托。</w:t>
      </w:r>
    </w:p>
    <w:p w14:paraId="4709ADC5">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附：法定代表人身份证明书及委托代理人有效身份证正反面复印件</w:t>
      </w:r>
    </w:p>
    <w:p w14:paraId="2396677F">
      <w:pPr>
        <w:spacing w:line="360" w:lineRule="auto"/>
        <w:rPr>
          <w:rFonts w:hint="eastAsia" w:ascii="宋体" w:hAnsi="宋体" w:cs="宋体"/>
          <w:color w:val="auto"/>
          <w:sz w:val="24"/>
          <w:highlight w:val="none"/>
        </w:rPr>
      </w:pPr>
    </w:p>
    <w:p w14:paraId="57F7E60B">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委托代理人（签字或盖章或电子签名）：     法定代表人（签字或盖章或电子签名）：                    </w:t>
      </w:r>
    </w:p>
    <w:p w14:paraId="0DCA2B67">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委托代理人身份证号码：                              </w:t>
      </w:r>
    </w:p>
    <w:p w14:paraId="4A9E5245">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27BE81EA">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供应商（公章或电子签章）：                      </w:t>
      </w:r>
    </w:p>
    <w:p w14:paraId="3C610D50">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479EB9C6">
      <w:pPr>
        <w:spacing w:line="360" w:lineRule="auto"/>
        <w:rPr>
          <w:rFonts w:hint="eastAsia" w:ascii="宋体" w:hAnsi="宋体" w:cs="宋体"/>
          <w:color w:val="auto"/>
          <w:sz w:val="24"/>
          <w:highlight w:val="none"/>
        </w:rPr>
      </w:pPr>
    </w:p>
    <w:p w14:paraId="77253E2D">
      <w:pPr>
        <w:spacing w:line="360" w:lineRule="auto"/>
        <w:rPr>
          <w:rFonts w:hint="eastAsia" w:ascii="宋体" w:hAnsi="宋体" w:cs="宋体"/>
          <w:color w:val="auto"/>
          <w:sz w:val="24"/>
          <w:highlight w:val="none"/>
        </w:rPr>
      </w:pPr>
      <w:r>
        <w:rPr>
          <w:rFonts w:hint="eastAsia" w:ascii="宋体" w:hAnsi="宋体" w:cs="宋体"/>
          <w:color w:val="auto"/>
          <w:sz w:val="24"/>
          <w:highlight w:val="none"/>
        </w:rPr>
        <w:t>注：1. 法定代表人必须在授权委托书上签字或者盖章或者电子签名，委托代理人必须在授权委托书上签字或者电子签名，</w:t>
      </w:r>
      <w:r>
        <w:rPr>
          <w:rFonts w:hint="eastAsia" w:ascii="宋体" w:hAnsi="宋体" w:cs="宋体"/>
          <w:b/>
          <w:color w:val="auto"/>
          <w:sz w:val="24"/>
          <w:highlight w:val="none"/>
        </w:rPr>
        <w:t>否则其响应文件按无效响应处理。</w:t>
      </w:r>
    </w:p>
    <w:p w14:paraId="359C685D">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2.法人、其他组织竞标时“我方”是指“我单位”，自然人竞标时“我方”是指“本人”。</w:t>
      </w:r>
    </w:p>
    <w:p w14:paraId="658CF816">
      <w:pPr>
        <w:spacing w:line="360" w:lineRule="auto"/>
        <w:ind w:firstLine="420"/>
        <w:jc w:val="left"/>
        <w:rPr>
          <w:rFonts w:hint="eastAsia" w:ascii="宋体" w:hAnsi="宋体" w:cs="宋体"/>
          <w:color w:val="auto"/>
          <w:szCs w:val="21"/>
          <w:highlight w:val="none"/>
        </w:rPr>
      </w:pPr>
    </w:p>
    <w:p w14:paraId="595837D3">
      <w:pPr>
        <w:spacing w:line="36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br w:type="page" w:clear="all"/>
      </w:r>
      <w:r>
        <w:rPr>
          <w:rFonts w:hint="eastAsia" w:ascii="宋体" w:hAnsi="宋体" w:cs="宋体"/>
          <w:color w:val="auto"/>
          <w:sz w:val="32"/>
          <w:szCs w:val="32"/>
          <w:highlight w:val="none"/>
        </w:rPr>
        <w:t>技术要求响应偏离表</w:t>
      </w:r>
    </w:p>
    <w:p w14:paraId="1EC8A580">
      <w:pPr>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采购项目编号：                 </w:t>
      </w:r>
    </w:p>
    <w:p w14:paraId="21E9EF5D">
      <w:pPr>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采购项目名称：                 </w:t>
      </w:r>
    </w:p>
    <w:p w14:paraId="61D4F719">
      <w:pPr>
        <w:spacing w:before="50" w:line="520" w:lineRule="exact"/>
        <w:jc w:val="left"/>
        <w:rPr>
          <w:rFonts w:hint="eastAsia" w:ascii="宋体" w:hAnsi="宋体" w:cs="宋体"/>
          <w:color w:val="auto"/>
          <w:szCs w:val="21"/>
          <w:highlight w:val="none"/>
          <w:u w:val="single"/>
        </w:rPr>
      </w:pPr>
    </w:p>
    <w:tbl>
      <w:tblPr>
        <w:tblStyle w:val="31"/>
        <w:tblpPr w:leftFromText="180" w:rightFromText="180" w:vertAnchor="text" w:horzAnchor="margin" w:tblpXSpec="left" w:tblpY="-9"/>
        <w:tblOverlap w:val="never"/>
        <w:tblW w:w="9919"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67"/>
        <w:gridCol w:w="2175"/>
        <w:gridCol w:w="2289"/>
        <w:gridCol w:w="2094"/>
        <w:gridCol w:w="2094"/>
      </w:tblGrid>
      <w:tr w14:paraId="00B8E1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267" w:type="dxa"/>
            <w:tcBorders>
              <w:top w:val="single" w:color="auto" w:sz="4" w:space="0"/>
              <w:left w:val="single" w:color="auto" w:sz="4" w:space="0"/>
              <w:bottom w:val="single" w:color="auto" w:sz="4" w:space="0"/>
              <w:right w:val="single" w:color="auto" w:sz="4" w:space="0"/>
            </w:tcBorders>
            <w:vAlign w:val="center"/>
          </w:tcPr>
          <w:p w14:paraId="5E87923B">
            <w:pPr>
              <w:pStyle w:val="215"/>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序号</w:t>
            </w:r>
          </w:p>
        </w:tc>
        <w:tc>
          <w:tcPr>
            <w:tcW w:w="2175" w:type="dxa"/>
            <w:tcBorders>
              <w:top w:val="single" w:color="auto" w:sz="4" w:space="0"/>
              <w:left w:val="single" w:color="auto" w:sz="4" w:space="0"/>
              <w:bottom w:val="single" w:color="auto" w:sz="4" w:space="0"/>
              <w:right w:val="single" w:color="auto" w:sz="4" w:space="0"/>
            </w:tcBorders>
            <w:vAlign w:val="center"/>
          </w:tcPr>
          <w:p w14:paraId="69849E7D">
            <w:pPr>
              <w:pStyle w:val="215"/>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名称</w:t>
            </w:r>
          </w:p>
        </w:tc>
        <w:tc>
          <w:tcPr>
            <w:tcW w:w="2289" w:type="dxa"/>
            <w:tcBorders>
              <w:top w:val="single" w:color="auto" w:sz="4" w:space="0"/>
              <w:left w:val="single" w:color="auto" w:sz="4" w:space="0"/>
              <w:bottom w:val="single" w:color="auto" w:sz="4" w:space="0"/>
              <w:right w:val="single" w:color="auto" w:sz="4" w:space="0"/>
            </w:tcBorders>
            <w:vAlign w:val="center"/>
          </w:tcPr>
          <w:p w14:paraId="6EC072EA">
            <w:pPr>
              <w:pStyle w:val="215"/>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磋商文件技术要求</w:t>
            </w:r>
          </w:p>
        </w:tc>
        <w:tc>
          <w:tcPr>
            <w:tcW w:w="2094" w:type="dxa"/>
            <w:tcBorders>
              <w:top w:val="single" w:color="auto" w:sz="4" w:space="0"/>
              <w:left w:val="single" w:color="auto" w:sz="4" w:space="0"/>
              <w:bottom w:val="single" w:color="auto" w:sz="4" w:space="0"/>
              <w:right w:val="single" w:color="auto" w:sz="4" w:space="0"/>
            </w:tcBorders>
            <w:vAlign w:val="center"/>
          </w:tcPr>
          <w:p w14:paraId="3A6EA9B1">
            <w:pPr>
              <w:pStyle w:val="215"/>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竞标响应</w:t>
            </w:r>
          </w:p>
        </w:tc>
        <w:tc>
          <w:tcPr>
            <w:tcW w:w="2094" w:type="dxa"/>
            <w:tcBorders>
              <w:top w:val="single" w:color="auto" w:sz="4" w:space="0"/>
              <w:left w:val="single" w:color="auto" w:sz="4" w:space="0"/>
              <w:bottom w:val="single" w:color="auto" w:sz="4" w:space="0"/>
              <w:right w:val="single" w:color="auto" w:sz="4" w:space="0"/>
            </w:tcBorders>
            <w:vAlign w:val="center"/>
          </w:tcPr>
          <w:p w14:paraId="35366358">
            <w:pPr>
              <w:pStyle w:val="215"/>
              <w:spacing w:line="360" w:lineRule="auto"/>
              <w:ind w:firstLine="0"/>
              <w:contextualSpacing/>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偏离说明</w:t>
            </w:r>
          </w:p>
        </w:tc>
      </w:tr>
      <w:tr w14:paraId="3239B8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267" w:type="dxa"/>
            <w:tcBorders>
              <w:top w:val="single" w:color="auto" w:sz="4" w:space="0"/>
              <w:left w:val="single" w:color="auto" w:sz="4" w:space="0"/>
              <w:bottom w:val="single" w:color="auto" w:sz="4" w:space="0"/>
              <w:right w:val="single" w:color="auto" w:sz="4" w:space="0"/>
            </w:tcBorders>
            <w:vAlign w:val="center"/>
          </w:tcPr>
          <w:p w14:paraId="39A4E7C6">
            <w:pPr>
              <w:spacing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vAlign w:val="center"/>
          </w:tcPr>
          <w:p w14:paraId="172131FA">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vAlign w:val="center"/>
          </w:tcPr>
          <w:p w14:paraId="243DB9D5">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119EE7EA">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021870C2">
            <w:pPr>
              <w:spacing w:before="160" w:line="520" w:lineRule="exact"/>
              <w:jc w:val="center"/>
              <w:rPr>
                <w:rFonts w:hint="eastAsia" w:ascii="宋体" w:hAnsi="宋体" w:cs="宋体"/>
                <w:color w:val="auto"/>
                <w:szCs w:val="21"/>
                <w:highlight w:val="none"/>
              </w:rPr>
            </w:pPr>
          </w:p>
        </w:tc>
      </w:tr>
      <w:tr w14:paraId="639CCC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7" w:hRule="atLeast"/>
        </w:trPr>
        <w:tc>
          <w:tcPr>
            <w:tcW w:w="1267" w:type="dxa"/>
            <w:tcBorders>
              <w:top w:val="single" w:color="auto" w:sz="4" w:space="0"/>
              <w:left w:val="single" w:color="auto" w:sz="4" w:space="0"/>
              <w:bottom w:val="single" w:color="auto" w:sz="4" w:space="0"/>
              <w:right w:val="single" w:color="auto" w:sz="4" w:space="0"/>
            </w:tcBorders>
            <w:vAlign w:val="center"/>
          </w:tcPr>
          <w:p w14:paraId="514274E1">
            <w:pPr>
              <w:spacing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vAlign w:val="center"/>
          </w:tcPr>
          <w:p w14:paraId="43A720CA">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vAlign w:val="center"/>
          </w:tcPr>
          <w:p w14:paraId="04AFAD93">
            <w:pPr>
              <w:spacing w:before="160" w:line="520" w:lineRule="exact"/>
              <w:ind w:left="43"/>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07AB12A7">
            <w:pPr>
              <w:spacing w:before="160" w:line="520" w:lineRule="exact"/>
              <w:ind w:left="43"/>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4F27BEF1">
            <w:pPr>
              <w:spacing w:before="160" w:line="520" w:lineRule="exact"/>
              <w:ind w:left="43"/>
              <w:jc w:val="center"/>
              <w:rPr>
                <w:rFonts w:hint="eastAsia" w:ascii="宋体" w:hAnsi="宋体" w:cs="宋体"/>
                <w:color w:val="auto"/>
                <w:szCs w:val="21"/>
                <w:highlight w:val="none"/>
              </w:rPr>
            </w:pPr>
          </w:p>
        </w:tc>
      </w:tr>
      <w:tr w14:paraId="5FBE54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1" w:hRule="atLeast"/>
        </w:trPr>
        <w:tc>
          <w:tcPr>
            <w:tcW w:w="1267" w:type="dxa"/>
            <w:tcBorders>
              <w:top w:val="single" w:color="auto" w:sz="4" w:space="0"/>
              <w:left w:val="single" w:color="auto" w:sz="4" w:space="0"/>
              <w:bottom w:val="single" w:color="auto" w:sz="4" w:space="0"/>
              <w:right w:val="single" w:color="auto" w:sz="4" w:space="0"/>
            </w:tcBorders>
            <w:vAlign w:val="center"/>
          </w:tcPr>
          <w:p w14:paraId="4A6FCD5E">
            <w:pPr>
              <w:spacing w:before="160"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vAlign w:val="center"/>
          </w:tcPr>
          <w:p w14:paraId="41E0E7CC">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vAlign w:val="center"/>
          </w:tcPr>
          <w:p w14:paraId="7A6FB5F1">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03AB1D48">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09835D3F">
            <w:pPr>
              <w:spacing w:before="160" w:line="520" w:lineRule="exact"/>
              <w:jc w:val="center"/>
              <w:rPr>
                <w:rFonts w:hint="eastAsia" w:ascii="宋体" w:hAnsi="宋体" w:cs="宋体"/>
                <w:color w:val="auto"/>
                <w:szCs w:val="21"/>
                <w:highlight w:val="none"/>
              </w:rPr>
            </w:pPr>
          </w:p>
        </w:tc>
      </w:tr>
      <w:tr w14:paraId="4C77A7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267" w:type="dxa"/>
            <w:tcBorders>
              <w:top w:val="single" w:color="auto" w:sz="4" w:space="0"/>
              <w:left w:val="single" w:color="auto" w:sz="4" w:space="0"/>
              <w:bottom w:val="single" w:color="auto" w:sz="4" w:space="0"/>
              <w:right w:val="single" w:color="auto" w:sz="4" w:space="0"/>
            </w:tcBorders>
            <w:vAlign w:val="center"/>
          </w:tcPr>
          <w:p w14:paraId="08588144">
            <w:pPr>
              <w:spacing w:before="160"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vAlign w:val="center"/>
          </w:tcPr>
          <w:p w14:paraId="19EE3F48">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vAlign w:val="center"/>
          </w:tcPr>
          <w:p w14:paraId="4732E152">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255D89DD">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5C1AF254">
            <w:pPr>
              <w:spacing w:before="160" w:line="520" w:lineRule="exact"/>
              <w:jc w:val="center"/>
              <w:rPr>
                <w:rFonts w:hint="eastAsia" w:ascii="宋体" w:hAnsi="宋体" w:cs="宋体"/>
                <w:color w:val="auto"/>
                <w:szCs w:val="21"/>
                <w:highlight w:val="none"/>
              </w:rPr>
            </w:pPr>
          </w:p>
        </w:tc>
      </w:tr>
    </w:tbl>
    <w:p w14:paraId="0CD82469">
      <w:pPr>
        <w:pStyle w:val="214"/>
        <w:spacing w:after="0" w:line="360" w:lineRule="auto"/>
        <w:contextualSpacing/>
        <w:rPr>
          <w:rFonts w:hint="eastAsia" w:ascii="宋体" w:hAnsi="宋体" w:cs="宋体"/>
          <w:color w:val="auto"/>
          <w:sz w:val="24"/>
          <w:szCs w:val="24"/>
          <w:highlight w:val="none"/>
        </w:rPr>
      </w:pPr>
      <w:r>
        <w:rPr>
          <w:rFonts w:hint="eastAsia" w:ascii="宋体" w:hAnsi="宋体" w:cs="宋体"/>
          <w:color w:val="auto"/>
          <w:sz w:val="24"/>
          <w:szCs w:val="24"/>
          <w:highlight w:val="none"/>
        </w:rPr>
        <w:t>注：</w:t>
      </w:r>
    </w:p>
    <w:p w14:paraId="688EDD74">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1. 说明：应对照磋商文件“第三章 采购需求”中的技术要求逐条作出明确响应，并作出偏离说明。</w:t>
      </w:r>
    </w:p>
    <w:p w14:paraId="17054660">
      <w:pPr>
        <w:spacing w:line="360" w:lineRule="auto"/>
        <w:contextualSpacing/>
        <w:jc w:val="left"/>
        <w:rPr>
          <w:rFonts w:hint="eastAsia" w:ascii="宋体" w:hAnsi="宋体" w:cs="宋体"/>
          <w:color w:val="auto"/>
          <w:sz w:val="24"/>
          <w:highlight w:val="none"/>
          <w:u w:val="single"/>
        </w:rPr>
      </w:pPr>
      <w:r>
        <w:rPr>
          <w:rFonts w:hint="eastAsia" w:ascii="宋体" w:hAnsi="宋体" w:cs="宋体"/>
          <w:color w:val="auto"/>
          <w:sz w:val="24"/>
          <w:highlight w:val="none"/>
        </w:rPr>
        <w:t>2.供应商应根据自身的承诺，对照磋商文件要求，在“偏离说明”中注明“正偏离”“负偏离”或者“无偏离”。既不属于“正偏离”也不属于“负偏离”即为“无偏离”。</w:t>
      </w:r>
    </w:p>
    <w:p w14:paraId="107D22D8">
      <w:pPr>
        <w:spacing w:line="360" w:lineRule="auto"/>
        <w:ind w:right="-817"/>
        <w:contextualSpacing/>
        <w:rPr>
          <w:rFonts w:hint="eastAsia" w:ascii="宋体" w:hAnsi="宋体" w:cs="宋体"/>
          <w:color w:val="auto"/>
          <w:sz w:val="24"/>
          <w:highlight w:val="none"/>
        </w:rPr>
      </w:pPr>
    </w:p>
    <w:p w14:paraId="4569505C">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法定代表人或者委托代理人（签字或盖章或电子签名）：</w:t>
      </w:r>
    </w:p>
    <w:p w14:paraId="4AC49D79">
      <w:pPr>
        <w:spacing w:line="360" w:lineRule="auto"/>
        <w:ind w:right="-817" w:firstLine="2640"/>
        <w:contextualSpacing/>
        <w:rPr>
          <w:rFonts w:hint="eastAsia" w:ascii="宋体" w:hAnsi="宋体" w:cs="宋体"/>
          <w:color w:val="auto"/>
          <w:sz w:val="24"/>
          <w:highlight w:val="none"/>
        </w:rPr>
      </w:pPr>
      <w:r>
        <w:rPr>
          <w:rFonts w:hint="eastAsia" w:ascii="宋体" w:hAnsi="宋体" w:cs="宋体"/>
          <w:color w:val="auto"/>
          <w:sz w:val="24"/>
          <w:highlight w:val="none"/>
        </w:rPr>
        <w:t xml:space="preserve">供应商（公章或电子签章）：      </w:t>
      </w:r>
    </w:p>
    <w:p w14:paraId="7A33A760">
      <w:pPr>
        <w:spacing w:line="360" w:lineRule="auto"/>
        <w:ind w:right="-817" w:firstLine="4080"/>
        <w:contextualSpacing/>
        <w:rPr>
          <w:rFonts w:hint="eastAsia" w:ascii="宋体" w:hAnsi="宋体" w:cs="宋体"/>
          <w:b/>
          <w:color w:val="auto"/>
          <w:sz w:val="32"/>
          <w:szCs w:val="32"/>
          <w:highlight w:val="none"/>
        </w:rPr>
      </w:pPr>
      <w:r>
        <w:rPr>
          <w:rFonts w:hint="eastAsia" w:ascii="宋体" w:hAnsi="宋体" w:cs="宋体"/>
          <w:color w:val="auto"/>
          <w:sz w:val="24"/>
          <w:highlight w:val="none"/>
        </w:rPr>
        <w:t>日期：   年   月   日</w:t>
      </w:r>
    </w:p>
    <w:p w14:paraId="5C94B41B">
      <w:pPr>
        <w:spacing w:line="360" w:lineRule="exact"/>
        <w:jc w:val="center"/>
        <w:rPr>
          <w:rFonts w:hint="eastAsia" w:ascii="宋体" w:hAnsi="宋体" w:cs="宋体"/>
          <w:color w:val="auto"/>
          <w:sz w:val="32"/>
          <w:szCs w:val="32"/>
          <w:highlight w:val="none"/>
        </w:rPr>
      </w:pPr>
    </w:p>
    <w:p w14:paraId="0465190B">
      <w:pPr>
        <w:spacing w:line="360" w:lineRule="exact"/>
        <w:jc w:val="center"/>
        <w:rPr>
          <w:rFonts w:hint="eastAsia" w:ascii="宋体" w:hAnsi="宋体" w:cs="宋体"/>
          <w:color w:val="auto"/>
          <w:sz w:val="32"/>
          <w:szCs w:val="32"/>
          <w:highlight w:val="none"/>
        </w:rPr>
      </w:pPr>
    </w:p>
    <w:p w14:paraId="344E61C5">
      <w:pPr>
        <w:spacing w:line="360" w:lineRule="exact"/>
        <w:jc w:val="center"/>
        <w:rPr>
          <w:rFonts w:hint="eastAsia" w:ascii="宋体" w:hAnsi="宋体" w:cs="宋体"/>
          <w:color w:val="auto"/>
          <w:sz w:val="32"/>
          <w:szCs w:val="32"/>
          <w:highlight w:val="none"/>
        </w:rPr>
      </w:pPr>
    </w:p>
    <w:p w14:paraId="5BC505D1">
      <w:pPr>
        <w:pStyle w:val="40"/>
        <w:rPr>
          <w:rFonts w:hint="eastAsia" w:ascii="宋体" w:hAnsi="宋体" w:cs="宋体"/>
          <w:color w:val="auto"/>
          <w:sz w:val="32"/>
          <w:szCs w:val="32"/>
          <w:highlight w:val="none"/>
        </w:rPr>
      </w:pPr>
    </w:p>
    <w:p w14:paraId="40CF78AF">
      <w:pPr>
        <w:rPr>
          <w:rFonts w:hint="eastAsia" w:ascii="宋体" w:hAnsi="宋体" w:cs="宋体"/>
          <w:color w:val="auto"/>
          <w:sz w:val="32"/>
          <w:szCs w:val="32"/>
          <w:highlight w:val="none"/>
        </w:rPr>
      </w:pPr>
    </w:p>
    <w:p w14:paraId="3EB52D1E">
      <w:pPr>
        <w:pStyle w:val="40"/>
        <w:rPr>
          <w:rFonts w:hint="eastAsia" w:ascii="宋体" w:hAnsi="宋体" w:cs="宋体"/>
          <w:color w:val="auto"/>
          <w:sz w:val="32"/>
          <w:szCs w:val="32"/>
          <w:highlight w:val="none"/>
        </w:rPr>
      </w:pPr>
    </w:p>
    <w:p w14:paraId="4ECD4CB2">
      <w:pPr>
        <w:rPr>
          <w:rFonts w:hint="eastAsia" w:ascii="宋体" w:hAnsi="宋体" w:cs="宋体"/>
          <w:color w:val="auto"/>
          <w:highlight w:val="none"/>
        </w:rPr>
      </w:pPr>
    </w:p>
    <w:p w14:paraId="45398A68">
      <w:pPr>
        <w:spacing w:line="36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br w:type="page" w:clear="all"/>
      </w:r>
    </w:p>
    <w:p w14:paraId="78CE0E8C">
      <w:pPr>
        <w:spacing w:line="360" w:lineRule="auto"/>
        <w:jc w:val="center"/>
        <w:rPr>
          <w:rFonts w:hint="eastAsia" w:ascii="宋体" w:hAnsi="宋体" w:cs="宋体"/>
          <w:bCs/>
          <w:color w:val="auto"/>
          <w:sz w:val="44"/>
          <w:szCs w:val="44"/>
          <w:highlight w:val="none"/>
        </w:rPr>
      </w:pPr>
      <w:r>
        <w:rPr>
          <w:rFonts w:hint="eastAsia" w:ascii="宋体" w:hAnsi="宋体" w:cs="宋体"/>
          <w:b/>
          <w:color w:val="auto"/>
          <w:sz w:val="36"/>
          <w:szCs w:val="36"/>
          <w:highlight w:val="none"/>
        </w:rPr>
        <w:t>商务要求响应偏离表格式</w:t>
      </w:r>
    </w:p>
    <w:p w14:paraId="24FD2112">
      <w:pPr>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采购项目编号：                 </w:t>
      </w:r>
    </w:p>
    <w:p w14:paraId="6F4488BF">
      <w:pPr>
        <w:spacing w:line="360" w:lineRule="exact"/>
        <w:jc w:val="left"/>
        <w:rPr>
          <w:rFonts w:hint="eastAsia" w:ascii="宋体" w:hAnsi="宋体" w:cs="宋体"/>
          <w:color w:val="auto"/>
          <w:sz w:val="24"/>
          <w:highlight w:val="none"/>
        </w:rPr>
      </w:pPr>
      <w:r>
        <w:rPr>
          <w:rFonts w:hint="eastAsia" w:ascii="宋体" w:hAnsi="宋体" w:cs="宋体"/>
          <w:color w:val="auto"/>
          <w:szCs w:val="21"/>
          <w:highlight w:val="none"/>
          <w:u w:val="single"/>
        </w:rPr>
        <w:t xml:space="preserve">采购项目名称：                 </w:t>
      </w:r>
    </w:p>
    <w:p w14:paraId="219FDBCA">
      <w:pPr>
        <w:spacing w:before="50" w:line="520" w:lineRule="exact"/>
        <w:jc w:val="left"/>
        <w:rPr>
          <w:rFonts w:hint="eastAsia" w:ascii="宋体" w:hAnsi="宋体" w:cs="宋体"/>
          <w:color w:val="auto"/>
          <w:szCs w:val="21"/>
          <w:highlight w:val="none"/>
          <w:u w:val="single"/>
        </w:rPr>
      </w:pPr>
    </w:p>
    <w:tbl>
      <w:tblPr>
        <w:tblStyle w:val="31"/>
        <w:tblpPr w:leftFromText="180" w:rightFromText="180" w:vertAnchor="text" w:horzAnchor="margin" w:tblpXSpec="left" w:tblpY="-9"/>
        <w:tblOverlap w:val="never"/>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076"/>
        <w:gridCol w:w="2386"/>
      </w:tblGrid>
      <w:tr w14:paraId="61EF40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14:paraId="229F5201">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w:t>
            </w:r>
          </w:p>
        </w:tc>
        <w:tc>
          <w:tcPr>
            <w:tcW w:w="2668" w:type="dxa"/>
            <w:tcBorders>
              <w:top w:val="single" w:color="auto" w:sz="4" w:space="0"/>
              <w:left w:val="single" w:color="auto" w:sz="4" w:space="0"/>
              <w:bottom w:val="single" w:color="auto" w:sz="4" w:space="0"/>
              <w:right w:val="single" w:color="auto" w:sz="4" w:space="0"/>
            </w:tcBorders>
            <w:vAlign w:val="center"/>
          </w:tcPr>
          <w:p w14:paraId="1D2B7DFE">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磋商文件商务要求</w:t>
            </w:r>
          </w:p>
        </w:tc>
        <w:tc>
          <w:tcPr>
            <w:tcW w:w="2076" w:type="dxa"/>
            <w:tcBorders>
              <w:top w:val="single" w:color="auto" w:sz="4" w:space="0"/>
              <w:left w:val="single" w:color="auto" w:sz="4" w:space="0"/>
              <w:bottom w:val="single" w:color="auto" w:sz="4" w:space="0"/>
              <w:right w:val="single" w:color="auto" w:sz="4" w:space="0"/>
            </w:tcBorders>
            <w:vAlign w:val="center"/>
          </w:tcPr>
          <w:p w14:paraId="5CED6EE7">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供应商的响应</w:t>
            </w:r>
          </w:p>
        </w:tc>
        <w:tc>
          <w:tcPr>
            <w:tcW w:w="2386" w:type="dxa"/>
            <w:tcBorders>
              <w:top w:val="single" w:color="auto" w:sz="4" w:space="0"/>
              <w:left w:val="single" w:color="auto" w:sz="4" w:space="0"/>
              <w:bottom w:val="single" w:color="auto" w:sz="4" w:space="0"/>
              <w:right w:val="single" w:color="auto" w:sz="4" w:space="0"/>
            </w:tcBorders>
            <w:vAlign w:val="center"/>
          </w:tcPr>
          <w:p w14:paraId="10B25822">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42AF26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14:paraId="5AF5FB00">
            <w:pPr>
              <w:spacing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4B7CA1E3">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vAlign w:val="center"/>
          </w:tcPr>
          <w:p w14:paraId="73E54905">
            <w:pPr>
              <w:spacing w:before="160" w:line="520" w:lineRule="exact"/>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vAlign w:val="center"/>
          </w:tcPr>
          <w:p w14:paraId="3398E0D1">
            <w:pPr>
              <w:spacing w:before="160" w:line="520" w:lineRule="exact"/>
              <w:jc w:val="center"/>
              <w:rPr>
                <w:rFonts w:hint="eastAsia" w:ascii="宋体" w:hAnsi="宋体" w:cs="宋体"/>
                <w:color w:val="auto"/>
                <w:szCs w:val="21"/>
                <w:highlight w:val="none"/>
              </w:rPr>
            </w:pPr>
          </w:p>
        </w:tc>
      </w:tr>
      <w:tr w14:paraId="24C3F8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14:paraId="21075489">
            <w:pPr>
              <w:spacing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4E354EA7">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vAlign w:val="center"/>
          </w:tcPr>
          <w:p w14:paraId="5B54FD79">
            <w:pPr>
              <w:spacing w:before="160" w:line="520" w:lineRule="exact"/>
              <w:ind w:left="43"/>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vAlign w:val="center"/>
          </w:tcPr>
          <w:p w14:paraId="1E9F1E0B">
            <w:pPr>
              <w:spacing w:before="160" w:line="520" w:lineRule="exact"/>
              <w:ind w:left="43"/>
              <w:jc w:val="center"/>
              <w:rPr>
                <w:rFonts w:hint="eastAsia" w:ascii="宋体" w:hAnsi="宋体" w:cs="宋体"/>
                <w:color w:val="auto"/>
                <w:szCs w:val="21"/>
                <w:highlight w:val="none"/>
              </w:rPr>
            </w:pPr>
          </w:p>
        </w:tc>
      </w:tr>
      <w:tr w14:paraId="49FC19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14:paraId="0484ADCB">
            <w:pPr>
              <w:spacing w:before="160"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0C6272B8">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vAlign w:val="center"/>
          </w:tcPr>
          <w:p w14:paraId="1A6519AD">
            <w:pPr>
              <w:spacing w:before="160" w:line="520" w:lineRule="exact"/>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vAlign w:val="center"/>
          </w:tcPr>
          <w:p w14:paraId="52BEE9C0">
            <w:pPr>
              <w:spacing w:before="160" w:line="520" w:lineRule="exact"/>
              <w:jc w:val="center"/>
              <w:rPr>
                <w:rFonts w:hint="eastAsia" w:ascii="宋体" w:hAnsi="宋体" w:cs="宋体"/>
                <w:color w:val="auto"/>
                <w:szCs w:val="21"/>
                <w:highlight w:val="none"/>
              </w:rPr>
            </w:pPr>
          </w:p>
        </w:tc>
      </w:tr>
      <w:tr w14:paraId="32B9A5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14:paraId="6816D79A">
            <w:pPr>
              <w:spacing w:before="160"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39D7C672">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vAlign w:val="center"/>
          </w:tcPr>
          <w:p w14:paraId="0A548705">
            <w:pPr>
              <w:spacing w:before="160" w:line="520" w:lineRule="exact"/>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vAlign w:val="center"/>
          </w:tcPr>
          <w:p w14:paraId="7CD73BAE">
            <w:pPr>
              <w:spacing w:before="160" w:line="520" w:lineRule="exact"/>
              <w:jc w:val="center"/>
              <w:rPr>
                <w:rFonts w:hint="eastAsia" w:ascii="宋体" w:hAnsi="宋体" w:cs="宋体"/>
                <w:color w:val="auto"/>
                <w:szCs w:val="21"/>
                <w:highlight w:val="none"/>
              </w:rPr>
            </w:pPr>
          </w:p>
        </w:tc>
      </w:tr>
    </w:tbl>
    <w:p w14:paraId="2395B98A">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20BD6112">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1. 说明：应对照磋商文件“第三章 采购需求”中的商务要求逐条作出明确响应，并作出偏离说明。</w:t>
      </w:r>
    </w:p>
    <w:p w14:paraId="7C8244D5">
      <w:pPr>
        <w:spacing w:line="360" w:lineRule="auto"/>
        <w:contextualSpacing/>
        <w:jc w:val="left"/>
        <w:rPr>
          <w:rFonts w:hint="eastAsia" w:ascii="宋体" w:hAnsi="宋体" w:cs="宋体"/>
          <w:color w:val="auto"/>
          <w:sz w:val="24"/>
          <w:highlight w:val="none"/>
          <w:u w:val="single"/>
        </w:rPr>
      </w:pPr>
      <w:r>
        <w:rPr>
          <w:rFonts w:hint="eastAsia" w:ascii="宋体" w:hAnsi="宋体" w:cs="宋体"/>
          <w:color w:val="auto"/>
          <w:sz w:val="24"/>
          <w:highlight w:val="none"/>
        </w:rPr>
        <w:t>2.供应商应根据自身的承诺，对照磋商文件要求在“偏离说明”中注明“正偏离”“负偏离”或者“无偏离”。既不属于“正偏离”也不属于“负偏离”即为“无偏离”。</w:t>
      </w:r>
    </w:p>
    <w:p w14:paraId="7CE48CDD">
      <w:pPr>
        <w:spacing w:line="360" w:lineRule="auto"/>
        <w:ind w:right="-817"/>
        <w:contextualSpacing/>
        <w:rPr>
          <w:rFonts w:hint="eastAsia" w:ascii="宋体" w:hAnsi="宋体" w:cs="宋体"/>
          <w:color w:val="auto"/>
          <w:sz w:val="24"/>
          <w:highlight w:val="none"/>
        </w:rPr>
      </w:pPr>
    </w:p>
    <w:p w14:paraId="7339D1ED">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法定代表人或者委托代理人（签字或盖章或电子签名）：</w:t>
      </w:r>
    </w:p>
    <w:p w14:paraId="129DEF21">
      <w:pPr>
        <w:spacing w:line="360" w:lineRule="auto"/>
        <w:ind w:right="-817" w:firstLine="2640"/>
        <w:contextualSpacing/>
        <w:rPr>
          <w:rFonts w:hint="eastAsia" w:ascii="宋体" w:hAnsi="宋体" w:cs="宋体"/>
          <w:color w:val="auto"/>
          <w:sz w:val="24"/>
          <w:highlight w:val="none"/>
        </w:rPr>
      </w:pPr>
      <w:r>
        <w:rPr>
          <w:rFonts w:hint="eastAsia" w:ascii="宋体" w:hAnsi="宋体" w:cs="宋体"/>
          <w:color w:val="auto"/>
          <w:sz w:val="24"/>
          <w:highlight w:val="none"/>
        </w:rPr>
        <w:t xml:space="preserve">供应商（公章或电子签章）：      </w:t>
      </w:r>
    </w:p>
    <w:p w14:paraId="4A8E9F0C">
      <w:pPr>
        <w:spacing w:line="360" w:lineRule="auto"/>
        <w:ind w:right="-817" w:firstLine="4080"/>
        <w:contextualSpacing/>
        <w:rPr>
          <w:rFonts w:hint="eastAsia" w:ascii="宋体" w:hAnsi="宋体" w:cs="宋体"/>
          <w:color w:val="auto"/>
          <w:sz w:val="24"/>
          <w:highlight w:val="none"/>
        </w:rPr>
      </w:pPr>
      <w:r>
        <w:rPr>
          <w:rFonts w:hint="eastAsia" w:ascii="宋体" w:hAnsi="宋体" w:cs="宋体"/>
          <w:color w:val="auto"/>
          <w:sz w:val="24"/>
          <w:highlight w:val="none"/>
        </w:rPr>
        <w:t>日期：   年   月   日</w:t>
      </w:r>
    </w:p>
    <w:p w14:paraId="58BFD365">
      <w:pPr>
        <w:spacing w:line="360" w:lineRule="auto"/>
        <w:ind w:right="-817" w:firstLine="4080"/>
        <w:contextualSpacing/>
        <w:rPr>
          <w:rFonts w:hint="eastAsia" w:ascii="宋体" w:hAnsi="宋体" w:cs="宋体"/>
          <w:color w:val="auto"/>
          <w:sz w:val="24"/>
          <w:highlight w:val="none"/>
        </w:rPr>
      </w:pPr>
      <w:r>
        <w:rPr>
          <w:rFonts w:hint="eastAsia" w:ascii="宋体" w:hAnsi="宋体" w:cs="宋体"/>
          <w:color w:val="auto"/>
          <w:sz w:val="24"/>
          <w:highlight w:val="none"/>
        </w:rPr>
        <w:br w:type="page" w:clear="all"/>
      </w:r>
    </w:p>
    <w:p w14:paraId="1E4DE332">
      <w:pPr>
        <w:widowControl/>
        <w:spacing w:line="225" w:lineRule="auto"/>
        <w:jc w:val="center"/>
        <w:rPr>
          <w:rFonts w:ascii="宋体" w:hAnsi="宋体" w:cs="宋体"/>
          <w:color w:val="auto"/>
          <w:sz w:val="31"/>
          <w:szCs w:val="31"/>
          <w:highlight w:val="none"/>
        </w:rPr>
      </w:pPr>
      <w:r>
        <w:rPr>
          <w:rFonts w:hint="eastAsia" w:ascii="宋体" w:hAnsi="宋体" w:cs="宋体"/>
          <w:color w:val="auto"/>
          <w:spacing w:val="9"/>
          <w:sz w:val="31"/>
          <w:szCs w:val="31"/>
          <w:highlight w:val="none"/>
        </w:rPr>
        <w:t>项目实施人员一览表</w:t>
      </w:r>
    </w:p>
    <w:p w14:paraId="3779154E">
      <w:pPr>
        <w:widowControl/>
        <w:spacing w:before="78" w:line="219" w:lineRule="auto"/>
        <w:ind w:left="122"/>
        <w:jc w:val="left"/>
        <w:rPr>
          <w:rFonts w:ascii="宋体" w:hAnsi="宋体" w:cs="宋体"/>
          <w:color w:val="auto"/>
          <w:sz w:val="24"/>
          <w:highlight w:val="none"/>
        </w:rPr>
      </w:pPr>
      <w:r>
        <w:rPr>
          <w:rFonts w:ascii="宋体" w:hAnsi="宋体" w:cs="宋体"/>
          <w:color w:val="auto"/>
          <w:spacing w:val="-2"/>
          <w:sz w:val="24"/>
          <w:highlight w:val="none"/>
        </w:rPr>
        <w:t>采购项目编号：</w:t>
      </w:r>
    </w:p>
    <w:p w14:paraId="5F7A474A">
      <w:pPr>
        <w:widowControl/>
        <w:spacing w:before="183" w:line="219" w:lineRule="auto"/>
        <w:ind w:left="122"/>
        <w:jc w:val="left"/>
        <w:rPr>
          <w:rFonts w:ascii="宋体" w:hAnsi="宋体" w:cs="宋体"/>
          <w:color w:val="auto"/>
          <w:sz w:val="24"/>
          <w:highlight w:val="none"/>
        </w:rPr>
      </w:pPr>
      <w:r>
        <w:rPr>
          <w:rFonts w:ascii="宋体" w:hAnsi="宋体" w:cs="宋体"/>
          <w:color w:val="auto"/>
          <w:spacing w:val="-2"/>
          <w:sz w:val="24"/>
          <w:highlight w:val="none"/>
        </w:rPr>
        <w:t>采购项目名称：</w:t>
      </w:r>
    </w:p>
    <w:p w14:paraId="20AD5AAB">
      <w:pPr>
        <w:widowControl/>
        <w:spacing w:line="68" w:lineRule="exact"/>
        <w:jc w:val="left"/>
        <w:rPr>
          <w:rFonts w:ascii="Arial" w:hAnsi="Arial" w:cs="Arial"/>
          <w:color w:val="auto"/>
          <w:szCs w:val="21"/>
          <w:highlight w:val="none"/>
        </w:rPr>
      </w:pPr>
    </w:p>
    <w:tbl>
      <w:tblPr>
        <w:tblStyle w:val="31"/>
        <w:tblW w:w="9577" w:type="dxa"/>
        <w:tblInd w:w="-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88"/>
        <w:gridCol w:w="1665"/>
        <w:gridCol w:w="1410"/>
        <w:gridCol w:w="2160"/>
        <w:gridCol w:w="1498"/>
        <w:gridCol w:w="1556"/>
      </w:tblGrid>
      <w:tr w14:paraId="746508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3" w:hRule="atLeast"/>
        </w:trPr>
        <w:tc>
          <w:tcPr>
            <w:tcW w:w="1288" w:type="dxa"/>
            <w:tcBorders>
              <w:top w:val="single" w:color="000000" w:sz="2" w:space="0"/>
              <w:left w:val="single" w:color="000000" w:sz="2" w:space="0"/>
              <w:bottom w:val="single" w:color="000000" w:sz="2" w:space="0"/>
              <w:right w:val="single" w:color="000000" w:sz="2" w:space="0"/>
            </w:tcBorders>
          </w:tcPr>
          <w:p w14:paraId="6F41509F">
            <w:pPr>
              <w:widowControl/>
              <w:spacing w:line="316" w:lineRule="auto"/>
              <w:jc w:val="left"/>
              <w:rPr>
                <w:rFonts w:ascii="Arial" w:hAnsi="Arial" w:cs="Arial"/>
                <w:color w:val="auto"/>
                <w:szCs w:val="21"/>
                <w:highlight w:val="none"/>
              </w:rPr>
            </w:pPr>
          </w:p>
          <w:p w14:paraId="5004DC8B">
            <w:pPr>
              <w:widowControl/>
              <w:spacing w:line="316" w:lineRule="auto"/>
              <w:jc w:val="left"/>
              <w:rPr>
                <w:rFonts w:ascii="Arial" w:hAnsi="Arial" w:cs="Arial"/>
                <w:color w:val="auto"/>
                <w:szCs w:val="21"/>
                <w:highlight w:val="none"/>
              </w:rPr>
            </w:pPr>
          </w:p>
          <w:p w14:paraId="6603C2B2">
            <w:pPr>
              <w:widowControl/>
              <w:spacing w:line="317" w:lineRule="auto"/>
              <w:jc w:val="left"/>
              <w:rPr>
                <w:rFonts w:ascii="Arial" w:hAnsi="Arial" w:cs="Arial"/>
                <w:color w:val="auto"/>
                <w:szCs w:val="21"/>
                <w:highlight w:val="none"/>
              </w:rPr>
            </w:pPr>
          </w:p>
          <w:p w14:paraId="7D02D314">
            <w:pPr>
              <w:widowControl/>
              <w:spacing w:before="78" w:line="219" w:lineRule="auto"/>
              <w:jc w:val="center"/>
              <w:rPr>
                <w:rFonts w:hint="eastAsia" w:ascii="宋体" w:hAnsi="宋体" w:eastAsia="宋体" w:cs="宋体"/>
                <w:color w:val="auto"/>
                <w:spacing w:val="-5"/>
                <w:sz w:val="24"/>
                <w:highlight w:val="none"/>
                <w:lang w:eastAsia="zh-CN"/>
              </w:rPr>
            </w:pPr>
            <w:r>
              <w:rPr>
                <w:rFonts w:hint="eastAsia" w:ascii="宋体" w:hAnsi="宋体" w:cs="宋体"/>
                <w:color w:val="auto"/>
                <w:spacing w:val="-5"/>
                <w:sz w:val="24"/>
                <w:highlight w:val="none"/>
                <w:lang w:eastAsia="zh-CN"/>
              </w:rPr>
              <w:t>序号</w:t>
            </w:r>
          </w:p>
        </w:tc>
        <w:tc>
          <w:tcPr>
            <w:tcW w:w="1665" w:type="dxa"/>
            <w:tcBorders>
              <w:top w:val="single" w:color="000000" w:sz="2" w:space="0"/>
              <w:left w:val="single" w:color="000000" w:sz="2" w:space="0"/>
              <w:bottom w:val="single" w:color="000000" w:sz="2" w:space="0"/>
              <w:right w:val="single" w:color="000000" w:sz="2" w:space="0"/>
            </w:tcBorders>
          </w:tcPr>
          <w:p w14:paraId="0B733143">
            <w:pPr>
              <w:widowControl/>
              <w:spacing w:line="316" w:lineRule="auto"/>
              <w:jc w:val="left"/>
              <w:rPr>
                <w:rFonts w:ascii="Arial" w:hAnsi="Arial" w:cs="Arial"/>
                <w:color w:val="auto"/>
                <w:szCs w:val="21"/>
                <w:highlight w:val="none"/>
                <w:lang w:eastAsia="en-US"/>
              </w:rPr>
            </w:pPr>
          </w:p>
          <w:p w14:paraId="4C4F8F06">
            <w:pPr>
              <w:widowControl/>
              <w:spacing w:line="316" w:lineRule="auto"/>
              <w:jc w:val="left"/>
              <w:rPr>
                <w:rFonts w:ascii="Arial" w:hAnsi="Arial" w:cs="Arial"/>
                <w:color w:val="auto"/>
                <w:szCs w:val="21"/>
                <w:highlight w:val="none"/>
                <w:lang w:eastAsia="en-US"/>
              </w:rPr>
            </w:pPr>
          </w:p>
          <w:p w14:paraId="411B3FA6">
            <w:pPr>
              <w:widowControl/>
              <w:spacing w:line="317" w:lineRule="auto"/>
              <w:jc w:val="left"/>
              <w:rPr>
                <w:rFonts w:ascii="Arial" w:hAnsi="Arial" w:cs="Arial"/>
                <w:color w:val="auto"/>
                <w:szCs w:val="21"/>
                <w:highlight w:val="none"/>
                <w:lang w:eastAsia="en-US"/>
              </w:rPr>
            </w:pPr>
          </w:p>
          <w:p w14:paraId="755E6334">
            <w:pPr>
              <w:widowControl/>
              <w:spacing w:before="78" w:line="219" w:lineRule="auto"/>
              <w:jc w:val="center"/>
              <w:rPr>
                <w:rFonts w:ascii="宋体" w:hAnsi="宋体" w:cs="宋体"/>
                <w:color w:val="auto"/>
                <w:sz w:val="24"/>
                <w:highlight w:val="none"/>
                <w:lang w:eastAsia="en-US"/>
              </w:rPr>
            </w:pPr>
            <w:r>
              <w:rPr>
                <w:rFonts w:hint="eastAsia" w:ascii="宋体" w:hAnsi="宋体" w:cs="宋体"/>
                <w:color w:val="auto"/>
                <w:sz w:val="24"/>
                <w:highlight w:val="none"/>
                <w:lang w:eastAsia="en-US"/>
              </w:rPr>
              <w:t>姓名</w:t>
            </w:r>
          </w:p>
        </w:tc>
        <w:tc>
          <w:tcPr>
            <w:tcW w:w="1410" w:type="dxa"/>
            <w:tcBorders>
              <w:top w:val="single" w:color="000000" w:sz="2" w:space="0"/>
              <w:left w:val="single" w:color="000000" w:sz="2" w:space="0"/>
              <w:bottom w:val="single" w:color="000000" w:sz="2" w:space="0"/>
              <w:right w:val="single" w:color="000000" w:sz="2" w:space="0"/>
            </w:tcBorders>
          </w:tcPr>
          <w:p w14:paraId="1B2259F1">
            <w:pPr>
              <w:widowControl/>
              <w:spacing w:line="316" w:lineRule="auto"/>
              <w:jc w:val="left"/>
              <w:rPr>
                <w:rFonts w:ascii="Arial" w:hAnsi="Arial" w:cs="Arial"/>
                <w:color w:val="auto"/>
                <w:szCs w:val="21"/>
                <w:highlight w:val="none"/>
                <w:lang w:eastAsia="en-US"/>
              </w:rPr>
            </w:pPr>
          </w:p>
          <w:p w14:paraId="007AC33A">
            <w:pPr>
              <w:widowControl/>
              <w:spacing w:line="316" w:lineRule="auto"/>
              <w:jc w:val="left"/>
              <w:rPr>
                <w:rFonts w:ascii="Arial" w:hAnsi="Arial" w:cs="Arial"/>
                <w:color w:val="auto"/>
                <w:szCs w:val="21"/>
                <w:highlight w:val="none"/>
                <w:lang w:eastAsia="en-US"/>
              </w:rPr>
            </w:pPr>
          </w:p>
          <w:p w14:paraId="0E84A2D4">
            <w:pPr>
              <w:widowControl/>
              <w:spacing w:line="317" w:lineRule="auto"/>
              <w:jc w:val="left"/>
              <w:rPr>
                <w:rFonts w:ascii="Arial" w:hAnsi="Arial" w:cs="Arial"/>
                <w:color w:val="auto"/>
                <w:szCs w:val="21"/>
                <w:highlight w:val="none"/>
                <w:lang w:eastAsia="en-US"/>
              </w:rPr>
            </w:pPr>
          </w:p>
          <w:p w14:paraId="6787875F">
            <w:pPr>
              <w:widowControl/>
              <w:spacing w:before="78" w:line="219" w:lineRule="auto"/>
              <w:ind w:left="402"/>
              <w:jc w:val="left"/>
              <w:rPr>
                <w:rFonts w:ascii="宋体" w:hAnsi="宋体" w:cs="宋体"/>
                <w:color w:val="auto"/>
                <w:sz w:val="24"/>
                <w:highlight w:val="none"/>
                <w:lang w:eastAsia="en-US"/>
              </w:rPr>
            </w:pPr>
            <w:r>
              <w:rPr>
                <w:rFonts w:hint="eastAsia" w:ascii="宋体" w:hAnsi="宋体" w:cs="宋体"/>
                <w:color w:val="auto"/>
                <w:spacing w:val="-6"/>
                <w:sz w:val="24"/>
                <w:highlight w:val="none"/>
                <w:lang w:eastAsia="en-US"/>
              </w:rPr>
              <w:t>职务</w:t>
            </w:r>
          </w:p>
        </w:tc>
        <w:tc>
          <w:tcPr>
            <w:tcW w:w="2160" w:type="dxa"/>
            <w:tcBorders>
              <w:top w:val="single" w:color="000000" w:sz="2" w:space="0"/>
              <w:left w:val="single" w:color="000000" w:sz="2" w:space="0"/>
              <w:bottom w:val="single" w:color="000000" w:sz="2" w:space="0"/>
              <w:right w:val="single" w:color="000000" w:sz="2" w:space="0"/>
            </w:tcBorders>
          </w:tcPr>
          <w:p w14:paraId="4C20D801">
            <w:pPr>
              <w:widowControl/>
              <w:spacing w:before="152" w:line="219" w:lineRule="auto"/>
              <w:ind w:left="279"/>
              <w:jc w:val="left"/>
              <w:rPr>
                <w:rFonts w:ascii="宋体" w:hAnsi="宋体" w:cs="宋体"/>
                <w:color w:val="auto"/>
                <w:sz w:val="24"/>
                <w:highlight w:val="none"/>
              </w:rPr>
            </w:pPr>
            <w:r>
              <w:rPr>
                <w:rFonts w:hint="eastAsia" w:ascii="宋体" w:hAnsi="宋体" w:cs="宋体"/>
                <w:color w:val="auto"/>
                <w:spacing w:val="-2"/>
                <w:sz w:val="24"/>
                <w:highlight w:val="none"/>
              </w:rPr>
              <w:t>专业技术资格</w:t>
            </w:r>
          </w:p>
          <w:p w14:paraId="5A8B9026">
            <w:pPr>
              <w:widowControl/>
              <w:spacing w:before="153" w:line="221" w:lineRule="auto"/>
              <w:ind w:left="170"/>
              <w:jc w:val="left"/>
              <w:rPr>
                <w:rFonts w:ascii="宋体" w:hAnsi="宋体" w:cs="宋体"/>
                <w:color w:val="auto"/>
                <w:sz w:val="24"/>
                <w:highlight w:val="none"/>
              </w:rPr>
            </w:pPr>
            <w:r>
              <w:rPr>
                <w:rFonts w:hint="eastAsia" w:ascii="宋体" w:hAnsi="宋体" w:cs="宋体"/>
                <w:color w:val="auto"/>
                <w:spacing w:val="-3"/>
                <w:sz w:val="24"/>
                <w:highlight w:val="none"/>
              </w:rPr>
              <w:t>（职称）或者职</w:t>
            </w:r>
          </w:p>
          <w:p w14:paraId="7BFF6E22">
            <w:pPr>
              <w:widowControl/>
              <w:spacing w:before="155" w:line="219" w:lineRule="auto"/>
              <w:ind w:left="157"/>
              <w:jc w:val="left"/>
              <w:rPr>
                <w:rFonts w:ascii="宋体" w:hAnsi="宋体" w:cs="宋体"/>
                <w:color w:val="auto"/>
                <w:sz w:val="24"/>
                <w:highlight w:val="none"/>
              </w:rPr>
            </w:pPr>
            <w:r>
              <w:rPr>
                <w:rFonts w:hint="eastAsia" w:ascii="宋体" w:hAnsi="宋体" w:cs="宋体"/>
                <w:color w:val="auto"/>
                <w:spacing w:val="-2"/>
                <w:sz w:val="24"/>
                <w:highlight w:val="none"/>
              </w:rPr>
              <w:t>业资格或者执业</w:t>
            </w:r>
          </w:p>
          <w:p w14:paraId="42A4DD82">
            <w:pPr>
              <w:widowControl/>
              <w:spacing w:before="154" w:line="219" w:lineRule="auto"/>
              <w:ind w:left="169"/>
              <w:jc w:val="left"/>
              <w:rPr>
                <w:rFonts w:ascii="宋体" w:hAnsi="宋体" w:cs="宋体"/>
                <w:color w:val="auto"/>
                <w:sz w:val="24"/>
                <w:highlight w:val="none"/>
              </w:rPr>
            </w:pPr>
            <w:r>
              <w:rPr>
                <w:rFonts w:hint="eastAsia" w:ascii="宋体" w:hAnsi="宋体" w:cs="宋体"/>
                <w:color w:val="auto"/>
                <w:spacing w:val="-3"/>
                <w:sz w:val="24"/>
                <w:highlight w:val="none"/>
              </w:rPr>
              <w:t>资格证或者其他</w:t>
            </w:r>
          </w:p>
          <w:p w14:paraId="5B4B1BDD">
            <w:pPr>
              <w:widowControl/>
              <w:spacing w:before="153" w:line="219" w:lineRule="auto"/>
              <w:ind w:left="758"/>
              <w:jc w:val="left"/>
              <w:rPr>
                <w:rFonts w:ascii="宋体" w:hAnsi="宋体" w:cs="宋体"/>
                <w:color w:val="auto"/>
                <w:sz w:val="24"/>
                <w:highlight w:val="none"/>
                <w:lang w:eastAsia="en-US"/>
              </w:rPr>
            </w:pPr>
            <w:r>
              <w:rPr>
                <w:rFonts w:hint="eastAsia" w:ascii="宋体" w:hAnsi="宋体" w:cs="宋体"/>
                <w:color w:val="auto"/>
                <w:spacing w:val="-5"/>
                <w:sz w:val="24"/>
                <w:highlight w:val="none"/>
                <w:lang w:eastAsia="en-US"/>
              </w:rPr>
              <w:t>证书</w:t>
            </w:r>
          </w:p>
        </w:tc>
        <w:tc>
          <w:tcPr>
            <w:tcW w:w="1498" w:type="dxa"/>
            <w:tcBorders>
              <w:top w:val="single" w:color="000000" w:sz="2" w:space="0"/>
              <w:left w:val="single" w:color="000000" w:sz="2" w:space="0"/>
              <w:bottom w:val="single" w:color="000000" w:sz="2" w:space="0"/>
              <w:right w:val="single" w:color="000000" w:sz="2" w:space="0"/>
            </w:tcBorders>
          </w:tcPr>
          <w:p w14:paraId="7A770D25">
            <w:pPr>
              <w:widowControl/>
              <w:spacing w:line="316" w:lineRule="auto"/>
              <w:jc w:val="left"/>
              <w:rPr>
                <w:rFonts w:ascii="Arial" w:hAnsi="Arial" w:cs="Arial"/>
                <w:color w:val="auto"/>
                <w:szCs w:val="21"/>
                <w:highlight w:val="none"/>
                <w:lang w:eastAsia="en-US"/>
              </w:rPr>
            </w:pPr>
          </w:p>
          <w:p w14:paraId="607FA929">
            <w:pPr>
              <w:widowControl/>
              <w:spacing w:line="316" w:lineRule="auto"/>
              <w:jc w:val="left"/>
              <w:rPr>
                <w:rFonts w:ascii="Arial" w:hAnsi="Arial" w:cs="Arial"/>
                <w:color w:val="auto"/>
                <w:szCs w:val="21"/>
                <w:highlight w:val="none"/>
                <w:lang w:eastAsia="en-US"/>
              </w:rPr>
            </w:pPr>
          </w:p>
          <w:p w14:paraId="346CAAD1">
            <w:pPr>
              <w:widowControl/>
              <w:spacing w:line="316" w:lineRule="auto"/>
              <w:jc w:val="left"/>
              <w:rPr>
                <w:rFonts w:ascii="Arial" w:hAnsi="Arial" w:cs="Arial"/>
                <w:color w:val="auto"/>
                <w:szCs w:val="21"/>
                <w:highlight w:val="none"/>
                <w:lang w:eastAsia="en-US"/>
              </w:rPr>
            </w:pPr>
          </w:p>
          <w:p w14:paraId="23D93C3D">
            <w:pPr>
              <w:widowControl/>
              <w:spacing w:before="78" w:line="219" w:lineRule="auto"/>
              <w:ind w:left="237"/>
              <w:jc w:val="left"/>
              <w:rPr>
                <w:rFonts w:ascii="宋体" w:hAnsi="宋体" w:cs="宋体"/>
                <w:color w:val="auto"/>
                <w:sz w:val="24"/>
                <w:highlight w:val="none"/>
                <w:lang w:eastAsia="en-US"/>
              </w:rPr>
            </w:pPr>
            <w:r>
              <w:rPr>
                <w:rFonts w:hint="eastAsia" w:ascii="宋体" w:hAnsi="宋体" w:cs="宋体"/>
                <w:color w:val="auto"/>
                <w:spacing w:val="-3"/>
                <w:sz w:val="24"/>
                <w:highlight w:val="none"/>
                <w:lang w:eastAsia="en-US"/>
              </w:rPr>
              <w:t>证书编号</w:t>
            </w:r>
          </w:p>
        </w:tc>
        <w:tc>
          <w:tcPr>
            <w:tcW w:w="1556" w:type="dxa"/>
            <w:tcBorders>
              <w:top w:val="single" w:color="000000" w:sz="2" w:space="0"/>
              <w:left w:val="single" w:color="000000" w:sz="2" w:space="0"/>
              <w:bottom w:val="single" w:color="000000" w:sz="2" w:space="0"/>
              <w:right w:val="single" w:color="000000" w:sz="2" w:space="0"/>
            </w:tcBorders>
          </w:tcPr>
          <w:p w14:paraId="1C97EC13">
            <w:pPr>
              <w:widowControl/>
              <w:spacing w:line="325" w:lineRule="auto"/>
              <w:jc w:val="left"/>
              <w:rPr>
                <w:rFonts w:ascii="Arial" w:hAnsi="Arial" w:cs="Arial"/>
                <w:color w:val="auto"/>
                <w:szCs w:val="21"/>
                <w:highlight w:val="none"/>
                <w:lang w:eastAsia="en-US"/>
              </w:rPr>
            </w:pPr>
          </w:p>
          <w:p w14:paraId="19BECEB8">
            <w:pPr>
              <w:widowControl/>
              <w:spacing w:line="325" w:lineRule="auto"/>
              <w:jc w:val="left"/>
              <w:rPr>
                <w:rFonts w:ascii="Arial" w:hAnsi="Arial" w:cs="Arial"/>
                <w:color w:val="auto"/>
                <w:szCs w:val="21"/>
                <w:highlight w:val="none"/>
                <w:lang w:eastAsia="en-US"/>
              </w:rPr>
            </w:pPr>
          </w:p>
          <w:p w14:paraId="04807E5C">
            <w:pPr>
              <w:widowControl/>
              <w:spacing w:before="78" w:line="598" w:lineRule="exact"/>
              <w:ind w:left="188"/>
              <w:jc w:val="left"/>
              <w:rPr>
                <w:rFonts w:ascii="宋体" w:hAnsi="宋体" w:cs="宋体"/>
                <w:color w:val="auto"/>
                <w:sz w:val="24"/>
                <w:highlight w:val="none"/>
                <w:lang w:eastAsia="en-US"/>
              </w:rPr>
            </w:pPr>
            <w:r>
              <w:rPr>
                <w:rFonts w:hint="eastAsia" w:ascii="宋体" w:hAnsi="宋体" w:cs="宋体"/>
                <w:color w:val="auto"/>
                <w:spacing w:val="-3"/>
                <w:position w:val="27"/>
                <w:sz w:val="24"/>
                <w:highlight w:val="none"/>
                <w:lang w:eastAsia="en-US"/>
              </w:rPr>
              <w:t>参加本单位</w:t>
            </w:r>
          </w:p>
          <w:p w14:paraId="10EB7F33">
            <w:pPr>
              <w:widowControl/>
              <w:spacing w:line="220" w:lineRule="auto"/>
              <w:ind w:left="309"/>
              <w:jc w:val="left"/>
              <w:rPr>
                <w:rFonts w:ascii="宋体" w:hAnsi="宋体" w:cs="宋体"/>
                <w:color w:val="auto"/>
                <w:sz w:val="24"/>
                <w:highlight w:val="none"/>
                <w:lang w:eastAsia="en-US"/>
              </w:rPr>
            </w:pPr>
            <w:r>
              <w:rPr>
                <w:rFonts w:hint="eastAsia" w:ascii="宋体" w:hAnsi="宋体" w:cs="宋体"/>
                <w:color w:val="auto"/>
                <w:spacing w:val="-4"/>
                <w:sz w:val="24"/>
                <w:highlight w:val="none"/>
                <w:lang w:eastAsia="en-US"/>
              </w:rPr>
              <w:t>工作时间</w:t>
            </w:r>
          </w:p>
        </w:tc>
      </w:tr>
      <w:tr w14:paraId="3758D4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288" w:type="dxa"/>
            <w:tcBorders>
              <w:top w:val="single" w:color="000000" w:sz="2" w:space="0"/>
              <w:left w:val="single" w:color="000000" w:sz="2" w:space="0"/>
              <w:bottom w:val="single" w:color="000000" w:sz="2" w:space="0"/>
              <w:right w:val="single" w:color="000000" w:sz="2" w:space="0"/>
            </w:tcBorders>
          </w:tcPr>
          <w:p w14:paraId="765E1169">
            <w:pPr>
              <w:widowControl/>
              <w:jc w:val="left"/>
              <w:rPr>
                <w:rFonts w:ascii="Arial" w:hAnsi="Arial" w:cs="Arial"/>
                <w:color w:val="auto"/>
                <w:szCs w:val="21"/>
                <w:highlight w:val="none"/>
                <w:lang w:eastAsia="en-US"/>
              </w:rPr>
            </w:pPr>
          </w:p>
        </w:tc>
        <w:tc>
          <w:tcPr>
            <w:tcW w:w="1665" w:type="dxa"/>
            <w:tcBorders>
              <w:top w:val="single" w:color="000000" w:sz="2" w:space="0"/>
              <w:left w:val="single" w:color="000000" w:sz="2" w:space="0"/>
              <w:bottom w:val="single" w:color="000000" w:sz="2" w:space="0"/>
              <w:right w:val="single" w:color="000000" w:sz="2" w:space="0"/>
            </w:tcBorders>
          </w:tcPr>
          <w:p w14:paraId="3CE6FE32">
            <w:pPr>
              <w:widowControl/>
              <w:jc w:val="left"/>
              <w:rPr>
                <w:rFonts w:ascii="Arial" w:hAnsi="Arial" w:cs="Arial"/>
                <w:color w:val="auto"/>
                <w:szCs w:val="21"/>
                <w:highlight w:val="none"/>
                <w:lang w:eastAsia="en-US"/>
              </w:rPr>
            </w:pPr>
          </w:p>
        </w:tc>
        <w:tc>
          <w:tcPr>
            <w:tcW w:w="1410" w:type="dxa"/>
            <w:tcBorders>
              <w:top w:val="single" w:color="000000" w:sz="2" w:space="0"/>
              <w:left w:val="single" w:color="000000" w:sz="2" w:space="0"/>
              <w:bottom w:val="single" w:color="000000" w:sz="2" w:space="0"/>
              <w:right w:val="single" w:color="000000" w:sz="2" w:space="0"/>
            </w:tcBorders>
          </w:tcPr>
          <w:p w14:paraId="7F63210C">
            <w:pPr>
              <w:widowControl/>
              <w:jc w:val="left"/>
              <w:rPr>
                <w:rFonts w:ascii="Arial" w:hAnsi="Arial" w:cs="Arial"/>
                <w:color w:val="auto"/>
                <w:szCs w:val="21"/>
                <w:highlight w:val="none"/>
                <w:lang w:eastAsia="en-US"/>
              </w:rPr>
            </w:pPr>
          </w:p>
        </w:tc>
        <w:tc>
          <w:tcPr>
            <w:tcW w:w="2160" w:type="dxa"/>
            <w:tcBorders>
              <w:top w:val="single" w:color="000000" w:sz="2" w:space="0"/>
              <w:left w:val="single" w:color="000000" w:sz="2" w:space="0"/>
              <w:bottom w:val="single" w:color="000000" w:sz="2" w:space="0"/>
              <w:right w:val="single" w:color="000000" w:sz="2" w:space="0"/>
            </w:tcBorders>
          </w:tcPr>
          <w:p w14:paraId="741206C0">
            <w:pPr>
              <w:widowControl/>
              <w:jc w:val="left"/>
              <w:rPr>
                <w:rFonts w:ascii="Arial" w:hAnsi="Arial" w:cs="Arial"/>
                <w:color w:val="auto"/>
                <w:szCs w:val="21"/>
                <w:highlight w:val="none"/>
                <w:lang w:eastAsia="en-US"/>
              </w:rPr>
            </w:pPr>
          </w:p>
        </w:tc>
        <w:tc>
          <w:tcPr>
            <w:tcW w:w="1498" w:type="dxa"/>
            <w:tcBorders>
              <w:top w:val="single" w:color="000000" w:sz="2" w:space="0"/>
              <w:left w:val="single" w:color="000000" w:sz="2" w:space="0"/>
              <w:bottom w:val="single" w:color="000000" w:sz="2" w:space="0"/>
              <w:right w:val="single" w:color="000000" w:sz="2" w:space="0"/>
            </w:tcBorders>
          </w:tcPr>
          <w:p w14:paraId="7D1FDEC0">
            <w:pPr>
              <w:widowControl/>
              <w:jc w:val="left"/>
              <w:rPr>
                <w:rFonts w:ascii="Arial" w:hAnsi="Arial" w:cs="Arial"/>
                <w:color w:val="auto"/>
                <w:szCs w:val="21"/>
                <w:highlight w:val="none"/>
                <w:lang w:eastAsia="en-US"/>
              </w:rPr>
            </w:pPr>
          </w:p>
        </w:tc>
        <w:tc>
          <w:tcPr>
            <w:tcW w:w="1556" w:type="dxa"/>
            <w:tcBorders>
              <w:top w:val="single" w:color="000000" w:sz="2" w:space="0"/>
              <w:left w:val="single" w:color="000000" w:sz="2" w:space="0"/>
              <w:bottom w:val="single" w:color="000000" w:sz="2" w:space="0"/>
              <w:right w:val="single" w:color="000000" w:sz="2" w:space="0"/>
            </w:tcBorders>
          </w:tcPr>
          <w:p w14:paraId="71B6982A">
            <w:pPr>
              <w:widowControl/>
              <w:jc w:val="left"/>
              <w:rPr>
                <w:rFonts w:ascii="Arial" w:hAnsi="Arial" w:cs="Arial"/>
                <w:color w:val="auto"/>
                <w:szCs w:val="21"/>
                <w:highlight w:val="none"/>
                <w:lang w:eastAsia="en-US"/>
              </w:rPr>
            </w:pPr>
          </w:p>
        </w:tc>
      </w:tr>
      <w:tr w14:paraId="626836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288" w:type="dxa"/>
            <w:tcBorders>
              <w:top w:val="single" w:color="000000" w:sz="2" w:space="0"/>
              <w:left w:val="single" w:color="000000" w:sz="2" w:space="0"/>
              <w:bottom w:val="single" w:color="000000" w:sz="2" w:space="0"/>
              <w:right w:val="single" w:color="000000" w:sz="2" w:space="0"/>
            </w:tcBorders>
          </w:tcPr>
          <w:p w14:paraId="152BD027">
            <w:pPr>
              <w:widowControl/>
              <w:jc w:val="left"/>
              <w:rPr>
                <w:rFonts w:ascii="Arial" w:hAnsi="Arial" w:cs="Arial"/>
                <w:color w:val="auto"/>
                <w:szCs w:val="21"/>
                <w:highlight w:val="none"/>
                <w:lang w:eastAsia="en-US"/>
              </w:rPr>
            </w:pPr>
          </w:p>
        </w:tc>
        <w:tc>
          <w:tcPr>
            <w:tcW w:w="1665" w:type="dxa"/>
            <w:tcBorders>
              <w:top w:val="single" w:color="000000" w:sz="2" w:space="0"/>
              <w:left w:val="single" w:color="000000" w:sz="2" w:space="0"/>
              <w:bottom w:val="single" w:color="000000" w:sz="2" w:space="0"/>
              <w:right w:val="single" w:color="000000" w:sz="2" w:space="0"/>
            </w:tcBorders>
          </w:tcPr>
          <w:p w14:paraId="7DA644F5">
            <w:pPr>
              <w:widowControl/>
              <w:jc w:val="left"/>
              <w:rPr>
                <w:rFonts w:ascii="Arial" w:hAnsi="Arial" w:cs="Arial"/>
                <w:color w:val="auto"/>
                <w:szCs w:val="21"/>
                <w:highlight w:val="none"/>
                <w:lang w:eastAsia="en-US"/>
              </w:rPr>
            </w:pPr>
          </w:p>
        </w:tc>
        <w:tc>
          <w:tcPr>
            <w:tcW w:w="1410" w:type="dxa"/>
            <w:tcBorders>
              <w:top w:val="single" w:color="000000" w:sz="2" w:space="0"/>
              <w:left w:val="single" w:color="000000" w:sz="2" w:space="0"/>
              <w:bottom w:val="single" w:color="000000" w:sz="2" w:space="0"/>
              <w:right w:val="single" w:color="000000" w:sz="2" w:space="0"/>
            </w:tcBorders>
          </w:tcPr>
          <w:p w14:paraId="7CDB8D5F">
            <w:pPr>
              <w:widowControl/>
              <w:jc w:val="left"/>
              <w:rPr>
                <w:rFonts w:ascii="Arial" w:hAnsi="Arial" w:cs="Arial"/>
                <w:color w:val="auto"/>
                <w:szCs w:val="21"/>
                <w:highlight w:val="none"/>
                <w:lang w:eastAsia="en-US"/>
              </w:rPr>
            </w:pPr>
          </w:p>
        </w:tc>
        <w:tc>
          <w:tcPr>
            <w:tcW w:w="2160" w:type="dxa"/>
            <w:tcBorders>
              <w:top w:val="single" w:color="000000" w:sz="2" w:space="0"/>
              <w:left w:val="single" w:color="000000" w:sz="2" w:space="0"/>
              <w:bottom w:val="single" w:color="000000" w:sz="2" w:space="0"/>
              <w:right w:val="single" w:color="000000" w:sz="2" w:space="0"/>
            </w:tcBorders>
          </w:tcPr>
          <w:p w14:paraId="3D5BD8CE">
            <w:pPr>
              <w:widowControl/>
              <w:jc w:val="left"/>
              <w:rPr>
                <w:rFonts w:ascii="Arial" w:hAnsi="Arial" w:cs="Arial"/>
                <w:color w:val="auto"/>
                <w:szCs w:val="21"/>
                <w:highlight w:val="none"/>
                <w:lang w:eastAsia="en-US"/>
              </w:rPr>
            </w:pPr>
          </w:p>
        </w:tc>
        <w:tc>
          <w:tcPr>
            <w:tcW w:w="1498" w:type="dxa"/>
            <w:tcBorders>
              <w:top w:val="single" w:color="000000" w:sz="2" w:space="0"/>
              <w:left w:val="single" w:color="000000" w:sz="2" w:space="0"/>
              <w:bottom w:val="single" w:color="000000" w:sz="2" w:space="0"/>
              <w:right w:val="single" w:color="000000" w:sz="2" w:space="0"/>
            </w:tcBorders>
          </w:tcPr>
          <w:p w14:paraId="2B976A1A">
            <w:pPr>
              <w:widowControl/>
              <w:jc w:val="left"/>
              <w:rPr>
                <w:rFonts w:ascii="Arial" w:hAnsi="Arial" w:cs="Arial"/>
                <w:color w:val="auto"/>
                <w:szCs w:val="21"/>
                <w:highlight w:val="none"/>
                <w:lang w:eastAsia="en-US"/>
              </w:rPr>
            </w:pPr>
          </w:p>
        </w:tc>
        <w:tc>
          <w:tcPr>
            <w:tcW w:w="1556" w:type="dxa"/>
            <w:tcBorders>
              <w:top w:val="single" w:color="000000" w:sz="2" w:space="0"/>
              <w:left w:val="single" w:color="000000" w:sz="2" w:space="0"/>
              <w:bottom w:val="single" w:color="000000" w:sz="2" w:space="0"/>
              <w:right w:val="single" w:color="000000" w:sz="2" w:space="0"/>
            </w:tcBorders>
          </w:tcPr>
          <w:p w14:paraId="422BEF37">
            <w:pPr>
              <w:widowControl/>
              <w:jc w:val="left"/>
              <w:rPr>
                <w:rFonts w:ascii="Arial" w:hAnsi="Arial" w:cs="Arial"/>
                <w:color w:val="auto"/>
                <w:szCs w:val="21"/>
                <w:highlight w:val="none"/>
                <w:lang w:eastAsia="en-US"/>
              </w:rPr>
            </w:pPr>
          </w:p>
        </w:tc>
      </w:tr>
      <w:tr w14:paraId="3E89AF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288" w:type="dxa"/>
            <w:tcBorders>
              <w:top w:val="single" w:color="000000" w:sz="2" w:space="0"/>
              <w:left w:val="single" w:color="000000" w:sz="2" w:space="0"/>
              <w:bottom w:val="single" w:color="000000" w:sz="2" w:space="0"/>
              <w:right w:val="single" w:color="000000" w:sz="2" w:space="0"/>
            </w:tcBorders>
          </w:tcPr>
          <w:p w14:paraId="52C17A21">
            <w:pPr>
              <w:widowControl/>
              <w:jc w:val="left"/>
              <w:rPr>
                <w:rFonts w:ascii="Arial" w:hAnsi="Arial" w:cs="Arial"/>
                <w:color w:val="auto"/>
                <w:szCs w:val="21"/>
                <w:highlight w:val="none"/>
                <w:lang w:eastAsia="en-US"/>
              </w:rPr>
            </w:pPr>
          </w:p>
        </w:tc>
        <w:tc>
          <w:tcPr>
            <w:tcW w:w="1665" w:type="dxa"/>
            <w:tcBorders>
              <w:top w:val="single" w:color="000000" w:sz="2" w:space="0"/>
              <w:left w:val="single" w:color="000000" w:sz="2" w:space="0"/>
              <w:bottom w:val="single" w:color="000000" w:sz="2" w:space="0"/>
              <w:right w:val="single" w:color="000000" w:sz="2" w:space="0"/>
            </w:tcBorders>
          </w:tcPr>
          <w:p w14:paraId="576245A5">
            <w:pPr>
              <w:widowControl/>
              <w:jc w:val="left"/>
              <w:rPr>
                <w:rFonts w:ascii="Arial" w:hAnsi="Arial" w:cs="Arial"/>
                <w:color w:val="auto"/>
                <w:szCs w:val="21"/>
                <w:highlight w:val="none"/>
                <w:lang w:eastAsia="en-US"/>
              </w:rPr>
            </w:pPr>
          </w:p>
        </w:tc>
        <w:tc>
          <w:tcPr>
            <w:tcW w:w="1410" w:type="dxa"/>
            <w:tcBorders>
              <w:top w:val="single" w:color="000000" w:sz="2" w:space="0"/>
              <w:left w:val="single" w:color="000000" w:sz="2" w:space="0"/>
              <w:bottom w:val="single" w:color="000000" w:sz="2" w:space="0"/>
              <w:right w:val="single" w:color="000000" w:sz="2" w:space="0"/>
            </w:tcBorders>
          </w:tcPr>
          <w:p w14:paraId="16187C81">
            <w:pPr>
              <w:widowControl/>
              <w:jc w:val="left"/>
              <w:rPr>
                <w:rFonts w:ascii="Arial" w:hAnsi="Arial" w:cs="Arial"/>
                <w:color w:val="auto"/>
                <w:szCs w:val="21"/>
                <w:highlight w:val="none"/>
                <w:lang w:eastAsia="en-US"/>
              </w:rPr>
            </w:pPr>
          </w:p>
        </w:tc>
        <w:tc>
          <w:tcPr>
            <w:tcW w:w="2160" w:type="dxa"/>
            <w:tcBorders>
              <w:top w:val="single" w:color="000000" w:sz="2" w:space="0"/>
              <w:left w:val="single" w:color="000000" w:sz="2" w:space="0"/>
              <w:bottom w:val="single" w:color="000000" w:sz="2" w:space="0"/>
              <w:right w:val="single" w:color="000000" w:sz="2" w:space="0"/>
            </w:tcBorders>
          </w:tcPr>
          <w:p w14:paraId="02FF09FF">
            <w:pPr>
              <w:widowControl/>
              <w:jc w:val="left"/>
              <w:rPr>
                <w:rFonts w:ascii="Arial" w:hAnsi="Arial" w:cs="Arial"/>
                <w:color w:val="auto"/>
                <w:szCs w:val="21"/>
                <w:highlight w:val="none"/>
                <w:lang w:eastAsia="en-US"/>
              </w:rPr>
            </w:pPr>
          </w:p>
        </w:tc>
        <w:tc>
          <w:tcPr>
            <w:tcW w:w="1498" w:type="dxa"/>
            <w:tcBorders>
              <w:top w:val="single" w:color="000000" w:sz="2" w:space="0"/>
              <w:left w:val="single" w:color="000000" w:sz="2" w:space="0"/>
              <w:bottom w:val="single" w:color="000000" w:sz="2" w:space="0"/>
              <w:right w:val="single" w:color="000000" w:sz="2" w:space="0"/>
            </w:tcBorders>
          </w:tcPr>
          <w:p w14:paraId="62D07541">
            <w:pPr>
              <w:widowControl/>
              <w:jc w:val="left"/>
              <w:rPr>
                <w:rFonts w:ascii="Arial" w:hAnsi="Arial" w:cs="Arial"/>
                <w:color w:val="auto"/>
                <w:szCs w:val="21"/>
                <w:highlight w:val="none"/>
                <w:lang w:eastAsia="en-US"/>
              </w:rPr>
            </w:pPr>
          </w:p>
        </w:tc>
        <w:tc>
          <w:tcPr>
            <w:tcW w:w="1556" w:type="dxa"/>
            <w:tcBorders>
              <w:top w:val="single" w:color="000000" w:sz="2" w:space="0"/>
              <w:left w:val="single" w:color="000000" w:sz="2" w:space="0"/>
              <w:bottom w:val="single" w:color="000000" w:sz="2" w:space="0"/>
              <w:right w:val="single" w:color="000000" w:sz="2" w:space="0"/>
            </w:tcBorders>
          </w:tcPr>
          <w:p w14:paraId="6E0D4472">
            <w:pPr>
              <w:widowControl/>
              <w:jc w:val="left"/>
              <w:rPr>
                <w:rFonts w:ascii="Arial" w:hAnsi="Arial" w:cs="Arial"/>
                <w:color w:val="auto"/>
                <w:szCs w:val="21"/>
                <w:highlight w:val="none"/>
                <w:lang w:eastAsia="en-US"/>
              </w:rPr>
            </w:pPr>
          </w:p>
        </w:tc>
      </w:tr>
    </w:tbl>
    <w:p w14:paraId="74C39533">
      <w:pPr>
        <w:widowControl/>
        <w:spacing w:line="304" w:lineRule="auto"/>
        <w:jc w:val="left"/>
        <w:rPr>
          <w:rFonts w:ascii="Arial" w:hAnsi="Arial" w:cs="Arial"/>
          <w:color w:val="auto"/>
          <w:szCs w:val="21"/>
          <w:highlight w:val="none"/>
          <w:lang w:eastAsia="en-US"/>
        </w:rPr>
      </w:pPr>
    </w:p>
    <w:p w14:paraId="7F002EC7">
      <w:pPr>
        <w:widowControl/>
        <w:spacing w:line="305" w:lineRule="auto"/>
        <w:jc w:val="left"/>
        <w:rPr>
          <w:rFonts w:ascii="Arial" w:hAnsi="Arial" w:cs="Arial"/>
          <w:color w:val="auto"/>
          <w:szCs w:val="21"/>
          <w:highlight w:val="none"/>
          <w:lang w:eastAsia="en-US"/>
        </w:rPr>
      </w:pPr>
    </w:p>
    <w:p w14:paraId="34222C71">
      <w:pPr>
        <w:widowControl/>
        <w:spacing w:before="78" w:line="224" w:lineRule="auto"/>
        <w:ind w:left="122"/>
        <w:jc w:val="left"/>
        <w:rPr>
          <w:rFonts w:ascii="宋体" w:hAnsi="宋体" w:cs="宋体"/>
          <w:color w:val="auto"/>
          <w:sz w:val="24"/>
          <w:highlight w:val="none"/>
          <w:lang w:eastAsia="en-US"/>
        </w:rPr>
      </w:pPr>
      <w:r>
        <w:rPr>
          <w:rFonts w:hint="eastAsia" w:ascii="宋体" w:hAnsi="宋体" w:cs="宋体"/>
          <w:color w:val="auto"/>
          <w:spacing w:val="-5"/>
          <w:sz w:val="24"/>
          <w:highlight w:val="none"/>
          <w:lang w:eastAsia="en-US"/>
        </w:rPr>
        <w:t>注：</w:t>
      </w:r>
    </w:p>
    <w:p w14:paraId="1E490CA7">
      <w:pPr>
        <w:widowControl/>
        <w:spacing w:before="230" w:line="518" w:lineRule="exact"/>
        <w:ind w:left="140"/>
        <w:jc w:val="left"/>
        <w:rPr>
          <w:rFonts w:ascii="宋体" w:hAnsi="宋体" w:cs="宋体"/>
          <w:color w:val="auto"/>
          <w:sz w:val="24"/>
          <w:highlight w:val="none"/>
        </w:rPr>
      </w:pPr>
      <w:r>
        <w:rPr>
          <w:rFonts w:ascii="宋体" w:hAnsi="宋体" w:cs="宋体"/>
          <w:color w:val="auto"/>
          <w:spacing w:val="-1"/>
          <w:position w:val="21"/>
          <w:sz w:val="24"/>
          <w:highlight w:val="none"/>
        </w:rPr>
        <w:t>1.</w:t>
      </w:r>
      <w:r>
        <w:rPr>
          <w:rFonts w:hint="eastAsia" w:ascii="宋体" w:hAnsi="宋体" w:cs="宋体"/>
          <w:color w:val="auto"/>
          <w:spacing w:val="-1"/>
          <w:position w:val="21"/>
          <w:sz w:val="24"/>
          <w:highlight w:val="none"/>
        </w:rPr>
        <w:t>在填写时，如本表格不适合供应商的实际情况，可根据本表格式自行制表填写。</w:t>
      </w:r>
    </w:p>
    <w:p w14:paraId="5686BD69">
      <w:pPr>
        <w:widowControl/>
        <w:spacing w:before="1" w:line="218" w:lineRule="auto"/>
        <w:ind w:left="125"/>
        <w:jc w:val="left"/>
        <w:rPr>
          <w:rFonts w:ascii="宋体" w:hAnsi="宋体" w:cs="宋体"/>
          <w:color w:val="auto"/>
          <w:sz w:val="24"/>
          <w:highlight w:val="none"/>
        </w:rPr>
      </w:pPr>
      <w:r>
        <w:rPr>
          <w:rFonts w:ascii="宋体" w:hAnsi="宋体" w:cs="宋体"/>
          <w:color w:val="auto"/>
          <w:spacing w:val="-1"/>
          <w:sz w:val="24"/>
          <w:highlight w:val="none"/>
        </w:rPr>
        <w:t>2.</w:t>
      </w:r>
      <w:r>
        <w:rPr>
          <w:rFonts w:hint="eastAsia" w:ascii="宋体" w:hAnsi="宋体" w:cs="宋体"/>
          <w:color w:val="auto"/>
          <w:spacing w:val="-1"/>
          <w:sz w:val="24"/>
          <w:highlight w:val="none"/>
        </w:rPr>
        <w:t>供应商</w:t>
      </w:r>
      <w:r>
        <w:rPr>
          <w:rFonts w:hint="eastAsia" w:ascii="宋体" w:hAnsi="宋体" w:cs="宋体"/>
          <w:color w:val="auto"/>
          <w:spacing w:val="-1"/>
          <w:sz w:val="24"/>
          <w:highlight w:val="none"/>
          <w:lang w:eastAsia="zh-CN"/>
        </w:rPr>
        <w:t>应</w:t>
      </w:r>
      <w:r>
        <w:rPr>
          <w:rFonts w:hint="eastAsia" w:ascii="宋体" w:hAnsi="宋体" w:cs="宋体"/>
          <w:color w:val="auto"/>
          <w:spacing w:val="-1"/>
          <w:sz w:val="24"/>
          <w:highlight w:val="none"/>
        </w:rPr>
        <w:t>附本表所列证书的复印件</w:t>
      </w:r>
      <w:r>
        <w:rPr>
          <w:rFonts w:hint="eastAsia" w:ascii="宋体" w:hAnsi="宋体" w:cs="宋体"/>
          <w:color w:val="auto"/>
          <w:spacing w:val="-1"/>
          <w:sz w:val="24"/>
          <w:highlight w:val="none"/>
          <w:lang w:eastAsia="zh-CN"/>
        </w:rPr>
        <w:t>或扫描件</w:t>
      </w:r>
      <w:r>
        <w:rPr>
          <w:rFonts w:hint="eastAsia" w:ascii="宋体" w:hAnsi="宋体" w:cs="宋体"/>
          <w:color w:val="auto"/>
          <w:spacing w:val="-1"/>
          <w:sz w:val="24"/>
          <w:highlight w:val="none"/>
        </w:rPr>
        <w:t>并加盖供应商电子签章。</w:t>
      </w:r>
    </w:p>
    <w:p w14:paraId="382B01C9">
      <w:pPr>
        <w:widowControl/>
        <w:spacing w:line="243" w:lineRule="auto"/>
        <w:jc w:val="left"/>
        <w:rPr>
          <w:rFonts w:ascii="Arial" w:hAnsi="Arial" w:cs="Arial"/>
          <w:color w:val="auto"/>
          <w:szCs w:val="21"/>
          <w:highlight w:val="none"/>
        </w:rPr>
      </w:pPr>
    </w:p>
    <w:p w14:paraId="2C4215AB">
      <w:pPr>
        <w:widowControl/>
        <w:spacing w:line="244" w:lineRule="auto"/>
        <w:jc w:val="left"/>
        <w:rPr>
          <w:rFonts w:ascii="Arial" w:hAnsi="Arial" w:cs="Arial"/>
          <w:color w:val="auto"/>
          <w:szCs w:val="21"/>
          <w:highlight w:val="none"/>
        </w:rPr>
      </w:pPr>
    </w:p>
    <w:p w14:paraId="3D7E3906">
      <w:pPr>
        <w:widowControl/>
        <w:spacing w:line="244" w:lineRule="auto"/>
        <w:jc w:val="left"/>
        <w:rPr>
          <w:rFonts w:ascii="Arial" w:hAnsi="Arial" w:cs="Arial"/>
          <w:color w:val="auto"/>
          <w:szCs w:val="21"/>
          <w:highlight w:val="none"/>
        </w:rPr>
      </w:pPr>
    </w:p>
    <w:p w14:paraId="6ADFB702">
      <w:pPr>
        <w:widowControl/>
        <w:spacing w:line="244" w:lineRule="auto"/>
        <w:jc w:val="left"/>
        <w:rPr>
          <w:rFonts w:ascii="Arial" w:hAnsi="Arial" w:cs="Arial"/>
          <w:color w:val="auto"/>
          <w:szCs w:val="21"/>
          <w:highlight w:val="none"/>
        </w:rPr>
      </w:pPr>
    </w:p>
    <w:p w14:paraId="229E1031">
      <w:pPr>
        <w:widowControl/>
        <w:spacing w:line="244" w:lineRule="auto"/>
        <w:jc w:val="left"/>
        <w:rPr>
          <w:rFonts w:ascii="Arial" w:hAnsi="Arial" w:cs="Arial"/>
          <w:color w:val="auto"/>
          <w:szCs w:val="21"/>
          <w:highlight w:val="none"/>
        </w:rPr>
      </w:pPr>
    </w:p>
    <w:p w14:paraId="2016603B">
      <w:pPr>
        <w:widowControl/>
        <w:spacing w:line="244" w:lineRule="auto"/>
        <w:jc w:val="left"/>
        <w:rPr>
          <w:rFonts w:ascii="Arial" w:hAnsi="Arial" w:cs="Arial"/>
          <w:color w:val="auto"/>
          <w:szCs w:val="21"/>
          <w:highlight w:val="none"/>
        </w:rPr>
      </w:pPr>
    </w:p>
    <w:p w14:paraId="595D3823">
      <w:pPr>
        <w:widowControl/>
        <w:spacing w:line="244" w:lineRule="auto"/>
        <w:jc w:val="left"/>
        <w:rPr>
          <w:rFonts w:ascii="Arial" w:hAnsi="Arial" w:cs="Arial"/>
          <w:color w:val="auto"/>
          <w:szCs w:val="21"/>
          <w:highlight w:val="none"/>
        </w:rPr>
      </w:pPr>
    </w:p>
    <w:p w14:paraId="3F6B509A">
      <w:pPr>
        <w:widowControl/>
        <w:spacing w:before="79" w:line="401" w:lineRule="auto"/>
        <w:ind w:left="123"/>
        <w:jc w:val="right"/>
        <w:rPr>
          <w:rFonts w:ascii="宋体" w:hAnsi="宋体" w:cs="宋体"/>
          <w:color w:val="auto"/>
          <w:sz w:val="24"/>
          <w:highlight w:val="none"/>
        </w:rPr>
      </w:pPr>
      <w:r>
        <w:rPr>
          <w:rFonts w:hint="eastAsia" w:ascii="宋体" w:hAnsi="宋体" w:cs="宋体"/>
          <w:color w:val="auto"/>
          <w:spacing w:val="-1"/>
          <w:sz w:val="24"/>
          <w:highlight w:val="none"/>
        </w:rPr>
        <w:t>法定代表人或者委托代理人（</w:t>
      </w:r>
      <w:r>
        <w:rPr>
          <w:rFonts w:hint="eastAsia" w:ascii="宋体" w:hAnsi="宋体" w:cs="宋体"/>
          <w:color w:val="auto"/>
          <w:sz w:val="24"/>
          <w:highlight w:val="none"/>
        </w:rPr>
        <w:t>签字或盖章或电子签名</w:t>
      </w:r>
      <w:r>
        <w:rPr>
          <w:rFonts w:hint="eastAsia" w:ascii="宋体" w:hAnsi="宋体" w:cs="宋体"/>
          <w:color w:val="auto"/>
          <w:spacing w:val="4"/>
          <w:sz w:val="24"/>
          <w:highlight w:val="none"/>
        </w:rPr>
        <w:t>）：</w:t>
      </w:r>
    </w:p>
    <w:p w14:paraId="6F0675D6">
      <w:pPr>
        <w:widowControl/>
        <w:spacing w:before="1" w:line="218" w:lineRule="auto"/>
        <w:ind w:left="122"/>
        <w:jc w:val="center"/>
        <w:rPr>
          <w:rFonts w:ascii="宋体" w:hAnsi="宋体" w:cs="宋体"/>
          <w:color w:val="auto"/>
          <w:sz w:val="24"/>
          <w:highlight w:val="none"/>
        </w:rPr>
      </w:pPr>
      <w:r>
        <w:rPr>
          <w:rFonts w:hint="eastAsia" w:ascii="宋体" w:hAnsi="宋体" w:cs="宋体"/>
          <w:color w:val="auto"/>
          <w:spacing w:val="-2"/>
          <w:sz w:val="24"/>
          <w:highlight w:val="none"/>
        </w:rPr>
        <w:t xml:space="preserve">       供应商名称（电子签章</w:t>
      </w:r>
      <w:r>
        <w:rPr>
          <w:rFonts w:hint="eastAsia" w:ascii="宋体" w:hAnsi="宋体" w:cs="宋体"/>
          <w:color w:val="auto"/>
          <w:spacing w:val="2"/>
          <w:sz w:val="24"/>
          <w:highlight w:val="none"/>
        </w:rPr>
        <w:t>）：</w:t>
      </w:r>
    </w:p>
    <w:p w14:paraId="53FE04E4">
      <w:pPr>
        <w:widowControl/>
        <w:spacing w:before="234" w:line="220" w:lineRule="auto"/>
        <w:ind w:left="164" w:right="392"/>
        <w:jc w:val="center"/>
        <w:rPr>
          <w:rFonts w:ascii="宋体" w:hAnsi="宋体" w:cs="宋体"/>
          <w:color w:val="auto"/>
          <w:sz w:val="24"/>
          <w:highlight w:val="none"/>
        </w:rPr>
      </w:pPr>
      <w:r>
        <w:rPr>
          <w:rFonts w:hint="eastAsia" w:ascii="宋体" w:hAnsi="宋体" w:cs="宋体"/>
          <w:color w:val="auto"/>
          <w:spacing w:val="-22"/>
          <w:sz w:val="24"/>
          <w:highlight w:val="none"/>
        </w:rPr>
        <w:t xml:space="preserve">                                                       日 期 ：</w:t>
      </w:r>
    </w:p>
    <w:p w14:paraId="0405E8B9">
      <w:pPr>
        <w:pStyle w:val="319"/>
        <w:rPr>
          <w:color w:val="auto"/>
          <w:highlight w:val="none"/>
        </w:rPr>
      </w:pPr>
    </w:p>
    <w:p w14:paraId="4336B30E">
      <w:pPr>
        <w:pStyle w:val="198"/>
        <w:rPr>
          <w:rFonts w:hint="eastAsia"/>
          <w:color w:val="auto"/>
          <w:highlight w:val="none"/>
        </w:rPr>
      </w:pPr>
    </w:p>
    <w:p w14:paraId="3356D0D5">
      <w:pPr>
        <w:spacing w:line="520" w:lineRule="exact"/>
        <w:ind w:firstLine="7040"/>
        <w:jc w:val="center"/>
        <w:rPr>
          <w:rFonts w:hint="eastAsia" w:ascii="宋体" w:hAnsi="宋体" w:cs="宋体"/>
          <w:bCs/>
          <w:color w:val="auto"/>
          <w:sz w:val="44"/>
          <w:szCs w:val="44"/>
          <w:highlight w:val="none"/>
        </w:rPr>
      </w:pPr>
    </w:p>
    <w:p w14:paraId="43EA3D7C">
      <w:pPr>
        <w:spacing w:line="520" w:lineRule="exact"/>
        <w:ind w:firstLine="7040"/>
        <w:jc w:val="center"/>
        <w:rPr>
          <w:rFonts w:hint="eastAsia" w:ascii="宋体" w:hAnsi="宋体" w:cs="宋体"/>
          <w:bCs/>
          <w:color w:val="auto"/>
          <w:sz w:val="44"/>
          <w:szCs w:val="44"/>
          <w:highlight w:val="none"/>
        </w:rPr>
      </w:pPr>
    </w:p>
    <w:p w14:paraId="72CA2180">
      <w:pPr>
        <w:spacing w:line="520" w:lineRule="exact"/>
        <w:ind w:firstLine="7040"/>
        <w:jc w:val="center"/>
        <w:rPr>
          <w:rFonts w:hint="eastAsia" w:ascii="宋体" w:hAnsi="宋体" w:cs="宋体"/>
          <w:bCs/>
          <w:color w:val="auto"/>
          <w:sz w:val="44"/>
          <w:szCs w:val="44"/>
          <w:highlight w:val="none"/>
        </w:rPr>
      </w:pPr>
    </w:p>
    <w:p w14:paraId="6906738A">
      <w:pPr>
        <w:spacing w:line="300" w:lineRule="auto"/>
        <w:rPr>
          <w:rFonts w:hint="eastAsia" w:ascii="宋体" w:hAnsi="宋体" w:cs="宋体"/>
          <w:color w:val="auto"/>
          <w:szCs w:val="21"/>
          <w:highlight w:val="none"/>
          <w:u w:val="single"/>
        </w:rPr>
      </w:pPr>
    </w:p>
    <w:p w14:paraId="73426453">
      <w:pPr>
        <w:spacing w:line="300" w:lineRule="auto"/>
        <w:rPr>
          <w:rFonts w:hint="eastAsia" w:ascii="宋体" w:hAnsi="宋体" w:cs="宋体"/>
          <w:b/>
          <w:bCs/>
          <w:color w:val="auto"/>
          <w:sz w:val="24"/>
          <w:highlight w:val="none"/>
        </w:rPr>
      </w:pPr>
      <w:r>
        <w:rPr>
          <w:rFonts w:hint="eastAsia" w:ascii="宋体" w:hAnsi="宋体" w:cs="宋体"/>
          <w:b/>
          <w:bCs/>
          <w:color w:val="auto"/>
          <w:sz w:val="24"/>
          <w:highlight w:val="none"/>
        </w:rPr>
        <w:t>其他文书、文件格式</w:t>
      </w:r>
    </w:p>
    <w:p w14:paraId="2CCB7056">
      <w:pPr>
        <w:spacing w:line="300" w:lineRule="auto"/>
        <w:rPr>
          <w:rFonts w:hint="eastAsia" w:ascii="宋体" w:hAnsi="宋体" w:cs="宋体"/>
          <w:b/>
          <w:bCs/>
          <w:color w:val="auto"/>
          <w:sz w:val="24"/>
          <w:highlight w:val="none"/>
        </w:rPr>
      </w:pPr>
    </w:p>
    <w:p w14:paraId="44C99868">
      <w:pPr>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中小企业声明函（服务）</w:t>
      </w:r>
    </w:p>
    <w:p w14:paraId="23319364">
      <w:pPr>
        <w:spacing w:before="2" w:line="500" w:lineRule="exact"/>
        <w:ind w:firstLine="708"/>
        <w:rPr>
          <w:rFonts w:hint="eastAsia" w:ascii="宋体" w:hAnsi="宋体" w:cs="宋体"/>
          <w:b/>
          <w:bCs/>
          <w:color w:val="auto"/>
          <w:sz w:val="24"/>
          <w:highlight w:val="none"/>
        </w:rPr>
      </w:pPr>
    </w:p>
    <w:p w14:paraId="7C6E9177">
      <w:pPr>
        <w:pStyle w:val="40"/>
        <w:spacing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本公司（联合体）郑重声明，根据《政府采购促进中小企业发展管理办法》（财库﹝2020﹞46号）的规定，本公司（联合体）参加</w:t>
      </w:r>
      <w:r>
        <w:rPr>
          <w:rFonts w:hint="eastAsia" w:ascii="宋体" w:hAnsi="宋体" w:cs="宋体"/>
          <w:color w:val="auto"/>
          <w:sz w:val="24"/>
          <w:highlight w:val="none"/>
          <w:u w:val="single"/>
        </w:rPr>
        <w:t>（单位名称）</w:t>
      </w:r>
      <w:r>
        <w:rPr>
          <w:rFonts w:hint="eastAsia" w:ascii="宋体" w:hAnsi="宋体" w:cs="宋体"/>
          <w:color w:val="auto"/>
          <w:sz w:val="24"/>
          <w:highlight w:val="none"/>
        </w:rPr>
        <w:t>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采购活动，服务全部由符合政策要求的中小企业承接。相关企业（含联合体中的中小企业、签订分包意向协议的中小企业）的具体情况如下：</w:t>
      </w:r>
    </w:p>
    <w:p w14:paraId="7EF29C80">
      <w:pPr>
        <w:tabs>
          <w:tab w:val="left" w:pos="1384"/>
          <w:tab w:val="left" w:pos="4562"/>
          <w:tab w:val="left" w:pos="6803"/>
        </w:tabs>
        <w:spacing w:before="13" w:line="500" w:lineRule="exact"/>
        <w:ind w:right="142" w:firstLine="772"/>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5BF86CCE">
      <w:pPr>
        <w:tabs>
          <w:tab w:val="left" w:pos="1065"/>
          <w:tab w:val="left" w:pos="4262"/>
          <w:tab w:val="left" w:pos="6477"/>
        </w:tabs>
        <w:spacing w:before="20" w:line="500" w:lineRule="exact"/>
        <w:ind w:right="84" w:firstLine="772"/>
        <w:rPr>
          <w:rFonts w:hint="eastAsia" w:ascii="宋体" w:hAnsi="宋体" w:cs="宋体"/>
          <w:color w:val="auto"/>
          <w:sz w:val="24"/>
          <w:highlight w:val="none"/>
          <w:u w:val="single"/>
        </w:rPr>
      </w:pPr>
      <w:r>
        <w:rPr>
          <w:rFonts w:hint="eastAsia" w:ascii="宋体" w:hAnsi="宋体" w:cs="宋体"/>
          <w:color w:val="auto"/>
          <w:sz w:val="24"/>
          <w:highlight w:val="none"/>
        </w:rPr>
        <w:t>2.</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1F6E7092">
      <w:pPr>
        <w:pStyle w:val="40"/>
        <w:spacing w:before="34"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0F260963">
      <w:pPr>
        <w:pStyle w:val="40"/>
        <w:spacing w:before="34"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6D25FEAE">
      <w:pPr>
        <w:pStyle w:val="40"/>
        <w:spacing w:before="25"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33BDAD9A">
      <w:pPr>
        <w:pStyle w:val="40"/>
        <w:spacing w:before="56" w:line="500" w:lineRule="exact"/>
        <w:ind w:right="1808" w:firstLine="705"/>
        <w:rPr>
          <w:rFonts w:hint="eastAsia" w:ascii="宋体" w:hAnsi="宋体" w:cs="宋体"/>
          <w:color w:val="auto"/>
          <w:sz w:val="24"/>
          <w:highlight w:val="none"/>
        </w:rPr>
      </w:pPr>
    </w:p>
    <w:p w14:paraId="128F05F5">
      <w:pPr>
        <w:pStyle w:val="40"/>
        <w:spacing w:before="56" w:line="500" w:lineRule="exact"/>
        <w:ind w:right="650" w:firstLine="5625"/>
        <w:rPr>
          <w:rFonts w:hint="eastAsia" w:ascii="宋体" w:hAnsi="宋体" w:cs="宋体"/>
          <w:color w:val="auto"/>
          <w:sz w:val="24"/>
          <w:highlight w:val="none"/>
        </w:rPr>
      </w:pPr>
      <w:r>
        <w:rPr>
          <w:rFonts w:hint="eastAsia" w:ascii="宋体" w:hAnsi="宋体" w:cs="宋体"/>
          <w:color w:val="auto"/>
          <w:sz w:val="24"/>
          <w:highlight w:val="none"/>
          <w:lang w:eastAsia="zh-CN"/>
        </w:rPr>
        <w:t>企业名称（章）</w:t>
      </w:r>
      <w:r>
        <w:rPr>
          <w:rFonts w:hint="eastAsia" w:ascii="宋体" w:hAnsi="宋体" w:cs="宋体"/>
          <w:color w:val="auto"/>
          <w:sz w:val="24"/>
          <w:highlight w:val="none"/>
        </w:rPr>
        <w:t xml:space="preserve">： </w:t>
      </w:r>
    </w:p>
    <w:p w14:paraId="556FBBA1">
      <w:pPr>
        <w:pStyle w:val="40"/>
        <w:spacing w:before="56" w:line="500" w:lineRule="exact"/>
        <w:ind w:right="1808" w:firstLine="5625"/>
        <w:rPr>
          <w:rFonts w:hint="eastAsia" w:ascii="宋体" w:hAnsi="宋体" w:cs="宋体"/>
          <w:color w:val="auto"/>
          <w:sz w:val="24"/>
          <w:highlight w:val="none"/>
        </w:rPr>
      </w:pPr>
      <w:r>
        <w:rPr>
          <w:rFonts w:hint="eastAsia" w:ascii="宋体" w:hAnsi="宋体" w:cs="宋体"/>
          <w:color w:val="auto"/>
          <w:sz w:val="24"/>
          <w:highlight w:val="none"/>
        </w:rPr>
        <w:t>日 期：</w:t>
      </w:r>
    </w:p>
    <w:p w14:paraId="782B3E60">
      <w:pPr>
        <w:spacing w:line="520" w:lineRule="exact"/>
        <w:jc w:val="left"/>
        <w:rPr>
          <w:rFonts w:hint="eastAsia" w:ascii="宋体" w:hAnsi="宋体" w:cs="宋体"/>
          <w:color w:val="auto"/>
          <w:sz w:val="24"/>
          <w:highlight w:val="none"/>
        </w:rPr>
      </w:pPr>
      <w:r>
        <w:rPr>
          <w:rFonts w:hint="eastAsia" w:ascii="宋体" w:hAnsi="宋体" w:cs="宋体"/>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31AD72DE">
      <w:pPr>
        <w:spacing w:line="520" w:lineRule="exact"/>
        <w:jc w:val="center"/>
        <w:rPr>
          <w:rFonts w:hint="eastAsia" w:ascii="宋体" w:hAnsi="宋体" w:cs="宋体"/>
          <w:color w:val="auto"/>
          <w:sz w:val="24"/>
          <w:highlight w:val="none"/>
        </w:rPr>
      </w:pPr>
      <w:r>
        <w:rPr>
          <w:rFonts w:hint="eastAsia" w:ascii="宋体" w:hAnsi="宋体" w:cs="宋体"/>
          <w:color w:val="auto"/>
          <w:sz w:val="24"/>
          <w:highlight w:val="none"/>
        </w:rPr>
        <w:br w:type="page" w:clear="all"/>
      </w:r>
    </w:p>
    <w:p w14:paraId="2B06AFEC">
      <w:pPr>
        <w:spacing w:line="520" w:lineRule="exact"/>
        <w:jc w:val="center"/>
        <w:rPr>
          <w:rFonts w:hint="eastAsia" w:ascii="宋体" w:hAnsi="宋体" w:cs="宋体"/>
          <w:color w:val="auto"/>
          <w:sz w:val="24"/>
          <w:highlight w:val="none"/>
        </w:rPr>
      </w:pPr>
    </w:p>
    <w:p w14:paraId="18001357">
      <w:pPr>
        <w:spacing w:line="520" w:lineRule="exact"/>
        <w:jc w:val="center"/>
        <w:rPr>
          <w:rFonts w:hint="eastAsia" w:ascii="宋体" w:hAnsi="宋体" w:cs="宋体"/>
          <w:color w:val="auto"/>
          <w:sz w:val="32"/>
          <w:szCs w:val="32"/>
          <w:highlight w:val="none"/>
        </w:rPr>
      </w:pPr>
      <w:r>
        <w:rPr>
          <w:rFonts w:hint="eastAsia" w:ascii="宋体" w:hAnsi="宋体" w:cs="宋体"/>
          <w:color w:val="auto"/>
          <w:sz w:val="44"/>
          <w:szCs w:val="44"/>
          <w:highlight w:val="none"/>
        </w:rPr>
        <w:t>残疾人福利性单位声明函</w:t>
      </w:r>
    </w:p>
    <w:p w14:paraId="0A80D083">
      <w:pPr>
        <w:spacing w:line="360" w:lineRule="auto"/>
        <w:contextualSpacing/>
        <w:rPr>
          <w:rFonts w:hint="eastAsia" w:ascii="宋体" w:hAnsi="宋体" w:cs="宋体"/>
          <w:color w:val="auto"/>
          <w:sz w:val="32"/>
          <w:szCs w:val="32"/>
          <w:highlight w:val="none"/>
        </w:rPr>
      </w:pPr>
    </w:p>
    <w:p w14:paraId="087D19C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单位的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773FBF62">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7A407228">
      <w:pPr>
        <w:spacing w:line="360" w:lineRule="auto"/>
        <w:contextualSpacing/>
        <w:rPr>
          <w:rFonts w:hint="eastAsia" w:ascii="宋体" w:hAnsi="宋体" w:cs="宋体"/>
          <w:color w:val="auto"/>
          <w:sz w:val="24"/>
          <w:highlight w:val="none"/>
        </w:rPr>
      </w:pPr>
    </w:p>
    <w:p w14:paraId="6956B6A8">
      <w:pPr>
        <w:spacing w:line="360" w:lineRule="auto"/>
        <w:contextualSpacing/>
        <w:rPr>
          <w:rFonts w:hint="eastAsia" w:ascii="宋体" w:hAnsi="宋体" w:cs="宋体"/>
          <w:color w:val="auto"/>
          <w:sz w:val="24"/>
          <w:highlight w:val="none"/>
        </w:rPr>
      </w:pPr>
    </w:p>
    <w:p w14:paraId="28EF2985">
      <w:pPr>
        <w:spacing w:line="360" w:lineRule="auto"/>
        <w:contextualSpacing/>
        <w:rPr>
          <w:rFonts w:hint="eastAsia" w:ascii="宋体" w:hAnsi="宋体" w:cs="宋体"/>
          <w:color w:val="auto"/>
          <w:sz w:val="24"/>
          <w:highlight w:val="none"/>
        </w:rPr>
      </w:pPr>
    </w:p>
    <w:p w14:paraId="498C1540">
      <w:pPr>
        <w:spacing w:line="360" w:lineRule="auto"/>
        <w:ind w:firstLine="3600"/>
        <w:contextualSpacing/>
        <w:rPr>
          <w:rFonts w:hint="eastAsia" w:ascii="宋体" w:hAnsi="宋体" w:cs="宋体"/>
          <w:color w:val="auto"/>
          <w:sz w:val="24"/>
          <w:highlight w:val="none"/>
        </w:rPr>
      </w:pPr>
      <w:r>
        <w:rPr>
          <w:rFonts w:hint="eastAsia" w:ascii="宋体" w:hAnsi="宋体" w:cs="宋体"/>
          <w:color w:val="auto"/>
          <w:sz w:val="24"/>
          <w:highlight w:val="none"/>
        </w:rPr>
        <w:t>供应商（公章或电子签章）：</w:t>
      </w:r>
    </w:p>
    <w:p w14:paraId="387404B4">
      <w:pPr>
        <w:spacing w:line="360" w:lineRule="auto"/>
        <w:ind w:firstLine="3600"/>
        <w:contextualSpacing/>
        <w:rPr>
          <w:rFonts w:hint="eastAsia" w:ascii="宋体" w:hAnsi="宋体" w:cs="宋体"/>
          <w:color w:val="auto"/>
          <w:sz w:val="24"/>
          <w:highlight w:val="none"/>
        </w:rPr>
      </w:pPr>
      <w:r>
        <w:rPr>
          <w:rFonts w:hint="eastAsia" w:ascii="宋体" w:hAnsi="宋体" w:cs="宋体"/>
          <w:color w:val="auto"/>
          <w:sz w:val="24"/>
          <w:highlight w:val="none"/>
        </w:rPr>
        <w:t>日  期：</w:t>
      </w:r>
    </w:p>
    <w:p w14:paraId="50AA68DC">
      <w:pPr>
        <w:spacing w:line="360" w:lineRule="auto"/>
        <w:contextualSpacing/>
        <w:rPr>
          <w:rFonts w:hint="eastAsia" w:ascii="宋体" w:hAnsi="宋体" w:cs="宋体"/>
          <w:color w:val="auto"/>
          <w:sz w:val="24"/>
          <w:highlight w:val="none"/>
        </w:rPr>
      </w:pPr>
    </w:p>
    <w:p w14:paraId="7EC685C1">
      <w:pPr>
        <w:spacing w:line="360" w:lineRule="auto"/>
        <w:contextualSpacing/>
        <w:rPr>
          <w:rFonts w:hint="eastAsia" w:ascii="宋体" w:hAnsi="宋体" w:cs="宋体"/>
          <w:color w:val="auto"/>
          <w:sz w:val="24"/>
          <w:highlight w:val="none"/>
        </w:rPr>
      </w:pPr>
    </w:p>
    <w:p w14:paraId="777E1D97">
      <w:pPr>
        <w:spacing w:line="360" w:lineRule="auto"/>
        <w:contextualSpacing/>
        <w:rPr>
          <w:rFonts w:hint="eastAsia" w:ascii="宋体" w:hAnsi="宋体" w:cs="宋体"/>
          <w:color w:val="auto"/>
          <w:sz w:val="24"/>
          <w:highlight w:val="none"/>
        </w:rPr>
      </w:pPr>
    </w:p>
    <w:p w14:paraId="63BB595A">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58DBFC1D">
      <w:pPr>
        <w:spacing w:line="360" w:lineRule="auto"/>
        <w:contextualSpacing/>
        <w:rPr>
          <w:rFonts w:hint="eastAsia" w:ascii="宋体" w:hAnsi="宋体" w:cs="宋体"/>
          <w:color w:val="auto"/>
          <w:sz w:val="24"/>
          <w:highlight w:val="none"/>
        </w:rPr>
      </w:pPr>
    </w:p>
    <w:p w14:paraId="3AB55D96">
      <w:pPr>
        <w:spacing w:line="520" w:lineRule="exact"/>
        <w:rPr>
          <w:rFonts w:hint="eastAsia" w:ascii="宋体" w:hAnsi="宋体" w:cs="宋体"/>
          <w:color w:val="auto"/>
          <w:sz w:val="32"/>
          <w:szCs w:val="32"/>
          <w:highlight w:val="none"/>
        </w:rPr>
      </w:pPr>
    </w:p>
    <w:p w14:paraId="6E57C220">
      <w:pPr>
        <w:spacing w:line="520" w:lineRule="exact"/>
        <w:rPr>
          <w:rFonts w:hint="eastAsia" w:ascii="宋体" w:hAnsi="宋体" w:cs="宋体"/>
          <w:color w:val="auto"/>
          <w:sz w:val="32"/>
          <w:szCs w:val="32"/>
          <w:highlight w:val="none"/>
        </w:rPr>
      </w:pPr>
    </w:p>
    <w:p w14:paraId="5A4989E4">
      <w:pPr>
        <w:spacing w:line="520" w:lineRule="exact"/>
        <w:rPr>
          <w:rFonts w:hint="eastAsia" w:ascii="宋体" w:hAnsi="宋体" w:cs="宋体"/>
          <w:color w:val="auto"/>
          <w:sz w:val="32"/>
          <w:szCs w:val="32"/>
          <w:highlight w:val="none"/>
        </w:rPr>
      </w:pPr>
    </w:p>
    <w:p w14:paraId="53F38359">
      <w:pPr>
        <w:spacing w:line="520" w:lineRule="exact"/>
        <w:rPr>
          <w:rFonts w:hint="eastAsia" w:ascii="宋体" w:hAnsi="宋体" w:cs="宋体"/>
          <w:color w:val="auto"/>
          <w:sz w:val="32"/>
          <w:szCs w:val="32"/>
          <w:highlight w:val="none"/>
        </w:rPr>
      </w:pPr>
    </w:p>
    <w:p w14:paraId="1893FEDA">
      <w:pPr>
        <w:spacing w:line="520" w:lineRule="exact"/>
        <w:rPr>
          <w:rFonts w:hint="eastAsia" w:ascii="宋体" w:hAnsi="宋体" w:cs="宋体"/>
          <w:color w:val="auto"/>
          <w:sz w:val="32"/>
          <w:szCs w:val="32"/>
          <w:highlight w:val="none"/>
        </w:rPr>
      </w:pPr>
    </w:p>
    <w:p w14:paraId="3982E462">
      <w:pPr>
        <w:spacing w:line="520" w:lineRule="exact"/>
        <w:rPr>
          <w:rFonts w:hint="eastAsia" w:ascii="宋体" w:hAnsi="宋体" w:cs="宋体"/>
          <w:color w:val="auto"/>
          <w:sz w:val="32"/>
          <w:szCs w:val="32"/>
          <w:highlight w:val="none"/>
        </w:rPr>
      </w:pPr>
    </w:p>
    <w:p w14:paraId="1D29E39B">
      <w:pPr>
        <w:pStyle w:val="241"/>
        <w:shd w:val="clear" w:color="auto" w:fill="FFFFFF"/>
        <w:jc w:val="center"/>
        <w:rPr>
          <w:rFonts w:hint="eastAsia" w:ascii="宋体" w:hAnsi="宋体" w:cs="宋体"/>
          <w:b/>
          <w:bCs/>
          <w:color w:val="auto"/>
          <w:sz w:val="36"/>
          <w:szCs w:val="36"/>
          <w:highlight w:val="none"/>
        </w:rPr>
      </w:pPr>
    </w:p>
    <w:p w14:paraId="3BE91A59">
      <w:pPr>
        <w:pStyle w:val="241"/>
        <w:shd w:val="clear" w:color="auto" w:fill="FFFFFF"/>
        <w:jc w:val="center"/>
        <w:rPr>
          <w:rFonts w:ascii="宋体" w:hAnsi="宋体" w:cs="宋体"/>
          <w:color w:val="auto"/>
          <w:sz w:val="36"/>
          <w:szCs w:val="36"/>
          <w:highlight w:val="none"/>
        </w:rPr>
      </w:pPr>
      <w:r>
        <w:rPr>
          <w:rFonts w:hint="eastAsia" w:ascii="宋体" w:hAnsi="宋体" w:cs="宋体"/>
          <w:b/>
          <w:bCs/>
          <w:color w:val="auto"/>
          <w:sz w:val="36"/>
          <w:szCs w:val="36"/>
          <w:highlight w:val="none"/>
        </w:rPr>
        <w:t>关于符合本国产品标准的声明函</w:t>
      </w:r>
    </w:p>
    <w:p w14:paraId="5F1A3CE3">
      <w:pPr>
        <w:widowControl/>
        <w:shd w:val="clear" w:color="auto" w:fill="FFFFFF"/>
        <w:spacing w:before="30" w:after="30"/>
        <w:ind w:firstLine="480"/>
        <w:jc w:val="left"/>
        <w:rPr>
          <w:rFonts w:hint="eastAsia" w:ascii="宋体" w:hAnsi="宋体" w:cs="宋体"/>
          <w:color w:val="auto"/>
          <w:sz w:val="24"/>
          <w:highlight w:val="none"/>
        </w:rPr>
      </w:pPr>
      <w:r>
        <w:rPr>
          <w:rFonts w:hint="eastAsia" w:ascii="宋体" w:hAnsi="宋体" w:cs="宋体"/>
          <w:color w:val="auto"/>
          <w:sz w:val="24"/>
          <w:highlight w:val="none"/>
        </w:rPr>
        <w:t> </w:t>
      </w:r>
    </w:p>
    <w:p w14:paraId="1D480482">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450D6B63">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i/>
          <w:iCs/>
          <w:color w:val="auto"/>
          <w:sz w:val="24"/>
          <w:highlight w:val="none"/>
        </w:rPr>
        <w:t>（产品名称1）</w:t>
      </w:r>
      <w:r>
        <w:rPr>
          <w:rFonts w:hint="eastAsia" w:ascii="宋体" w:hAnsi="宋体" w:cs="宋体"/>
          <w:i/>
          <w:iCs/>
          <w:color w:val="auto"/>
          <w:sz w:val="18"/>
          <w:szCs w:val="18"/>
          <w:highlight w:val="none"/>
          <w:vertAlign w:val="superscript"/>
        </w:rPr>
        <w:t>1</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i/>
          <w:iCs/>
          <w:color w:val="auto"/>
          <w:sz w:val="18"/>
          <w:szCs w:val="18"/>
          <w:highlight w:val="none"/>
          <w:vertAlign w:val="superscript"/>
        </w:rPr>
        <w:t>2</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i/>
          <w:iCs/>
          <w:color w:val="auto"/>
          <w:sz w:val="18"/>
          <w:szCs w:val="18"/>
          <w:highlight w:val="none"/>
          <w:vertAlign w:val="superscript"/>
        </w:rPr>
        <w:t>3</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i/>
          <w:iCs/>
          <w:color w:val="auto"/>
          <w:sz w:val="18"/>
          <w:szCs w:val="18"/>
          <w:highlight w:val="none"/>
          <w:vertAlign w:val="superscript"/>
        </w:rPr>
        <w:t>4</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i/>
          <w:iCs/>
          <w:color w:val="auto"/>
          <w:sz w:val="18"/>
          <w:szCs w:val="18"/>
          <w:highlight w:val="none"/>
          <w:vertAlign w:val="superscript"/>
        </w:rPr>
        <w:t>5</w:t>
      </w:r>
      <w:r>
        <w:rPr>
          <w:rFonts w:hint="eastAsia" w:ascii="宋体" w:hAnsi="宋体" w:cs="宋体"/>
          <w:color w:val="auto"/>
          <w:sz w:val="24"/>
          <w:highlight w:val="none"/>
        </w:rPr>
        <w:t>在中国境内完成。</w:t>
      </w:r>
    </w:p>
    <w:p w14:paraId="139AFFC5">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i/>
          <w:iCs/>
          <w:color w:val="auto"/>
          <w:sz w:val="24"/>
          <w:highlight w:val="none"/>
        </w:rPr>
        <w:t>（产品名称2）</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color w:val="auto"/>
          <w:sz w:val="24"/>
          <w:highlight w:val="none"/>
        </w:rPr>
        <w:t>在中国境内完成。</w:t>
      </w:r>
    </w:p>
    <w:p w14:paraId="477724F1">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w:t>
      </w:r>
    </w:p>
    <w:p w14:paraId="66E76E8F">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138CE692">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 </w:t>
      </w:r>
    </w:p>
    <w:p w14:paraId="016E0B28">
      <w:pPr>
        <w:widowControl/>
        <w:shd w:val="clear" w:color="auto" w:fill="FFFFFF"/>
        <w:spacing w:before="30" w:after="30"/>
        <w:jc w:val="right"/>
        <w:rPr>
          <w:rFonts w:hint="eastAsia" w:ascii="宋体" w:hAnsi="宋体" w:cs="宋体"/>
          <w:color w:val="auto"/>
          <w:sz w:val="24"/>
          <w:highlight w:val="none"/>
        </w:rPr>
      </w:pPr>
      <w:r>
        <w:rPr>
          <w:rFonts w:hint="eastAsia" w:ascii="宋体" w:hAnsi="宋体" w:cs="宋体"/>
          <w:color w:val="auto"/>
          <w:sz w:val="24"/>
          <w:highlight w:val="none"/>
        </w:rPr>
        <w:t>公司（单位）名称（盖章）：　        </w:t>
      </w:r>
    </w:p>
    <w:p w14:paraId="27919109">
      <w:pPr>
        <w:widowControl/>
        <w:shd w:val="clear" w:color="auto" w:fill="FFFFFF"/>
        <w:jc w:val="right"/>
        <w:rPr>
          <w:rFonts w:hint="eastAsia" w:ascii="宋体" w:hAnsi="宋体" w:cs="宋体"/>
          <w:color w:val="auto"/>
          <w:sz w:val="24"/>
          <w:highlight w:val="none"/>
        </w:rPr>
      </w:pPr>
      <w:r>
        <w:rPr>
          <w:rFonts w:hint="eastAsia" w:ascii="宋体" w:hAnsi="宋体" w:cs="宋体"/>
          <w:color w:val="auto"/>
          <w:sz w:val="24"/>
          <w:highlight w:val="none"/>
        </w:rPr>
        <w:t>日期：　     年　  月　  日         </w:t>
      </w:r>
    </w:p>
    <w:p w14:paraId="6CE7D939">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__________________</w:t>
      </w:r>
    </w:p>
    <w:p w14:paraId="26D091CC">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1.产品如有型号，请在“产品名称”栏一并填写。</w:t>
      </w:r>
    </w:p>
    <w:p w14:paraId="4B17D759">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2.生产厂名与厂址应与生产厂营业执照载明的相关信息保持一致。</w:t>
      </w:r>
    </w:p>
    <w:p w14:paraId="6DF24D67">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3.该产品的中国境内生产的组件成本占比相关要求实施前，“规定比例”栏可不填，下同。</w:t>
      </w:r>
    </w:p>
    <w:p w14:paraId="700DF788">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4.该产品的关键组件要求实施前，“关键组件”栏可不填，下同。</w:t>
      </w:r>
    </w:p>
    <w:p w14:paraId="38222725">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5.该产品的关键工序要求实施前，“关键工序”栏可不填，下同。</w:t>
      </w:r>
    </w:p>
    <w:p w14:paraId="59864BBD">
      <w:pPr>
        <w:spacing w:line="520" w:lineRule="exact"/>
        <w:rPr>
          <w:rFonts w:hint="eastAsia" w:ascii="宋体" w:hAnsi="宋体" w:cs="宋体"/>
          <w:color w:val="auto"/>
          <w:sz w:val="32"/>
          <w:szCs w:val="32"/>
          <w:highlight w:val="none"/>
        </w:rPr>
      </w:pPr>
    </w:p>
    <w:p w14:paraId="2CEA6B6F">
      <w:pPr>
        <w:pStyle w:val="40"/>
        <w:rPr>
          <w:rFonts w:hint="eastAsia" w:ascii="宋体" w:hAnsi="宋体" w:cs="宋体"/>
          <w:color w:val="auto"/>
          <w:sz w:val="32"/>
          <w:szCs w:val="32"/>
          <w:highlight w:val="none"/>
        </w:rPr>
      </w:pPr>
    </w:p>
    <w:p w14:paraId="7FE7524A">
      <w:pPr>
        <w:rPr>
          <w:rFonts w:hint="eastAsia" w:ascii="宋体" w:hAnsi="宋体" w:cs="宋体"/>
          <w:color w:val="auto"/>
          <w:sz w:val="32"/>
          <w:szCs w:val="32"/>
          <w:highlight w:val="none"/>
        </w:rPr>
      </w:pPr>
    </w:p>
    <w:p w14:paraId="2A9CBAC9">
      <w:pPr>
        <w:pStyle w:val="40"/>
        <w:rPr>
          <w:rFonts w:hint="eastAsia" w:ascii="宋体" w:hAnsi="宋体" w:cs="宋体"/>
          <w:color w:val="auto"/>
          <w:sz w:val="32"/>
          <w:szCs w:val="32"/>
          <w:highlight w:val="none"/>
        </w:rPr>
      </w:pPr>
    </w:p>
    <w:p w14:paraId="75F8DF00">
      <w:pPr>
        <w:rPr>
          <w:rFonts w:hint="eastAsia" w:ascii="宋体" w:hAnsi="宋体" w:cs="宋体"/>
          <w:color w:val="auto"/>
          <w:sz w:val="32"/>
          <w:szCs w:val="32"/>
          <w:highlight w:val="none"/>
        </w:rPr>
      </w:pPr>
    </w:p>
    <w:p w14:paraId="5AAA148F">
      <w:pPr>
        <w:pStyle w:val="40"/>
        <w:rPr>
          <w:rFonts w:hint="eastAsia" w:ascii="宋体" w:hAnsi="宋体" w:cs="宋体"/>
          <w:color w:val="auto"/>
          <w:sz w:val="32"/>
          <w:szCs w:val="32"/>
          <w:highlight w:val="none"/>
        </w:rPr>
      </w:pPr>
    </w:p>
    <w:p w14:paraId="2A31AB6D">
      <w:pPr>
        <w:pStyle w:val="40"/>
        <w:rPr>
          <w:rFonts w:hint="eastAsia"/>
          <w:color w:val="auto"/>
          <w:highlight w:val="none"/>
        </w:rPr>
      </w:pPr>
      <w:r>
        <w:rPr>
          <w:rFonts w:hint="eastAsia"/>
          <w:color w:val="auto"/>
          <w:highlight w:val="none"/>
        </w:rPr>
        <w:br w:type="page" w:clear="all"/>
      </w:r>
    </w:p>
    <w:p w14:paraId="372C8344">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44"/>
          <w:szCs w:val="44"/>
          <w:highlight w:val="none"/>
        </w:rPr>
        <w:t>质疑函（格式）</w:t>
      </w:r>
    </w:p>
    <w:p w14:paraId="5A156460">
      <w:pPr>
        <w:pStyle w:val="222"/>
        <w:spacing w:line="360" w:lineRule="auto"/>
        <w:ind w:firstLine="482"/>
        <w:contextualSpacing/>
        <w:rPr>
          <w:rFonts w:hint="eastAsia" w:hAnsi="宋体" w:cs="宋体"/>
          <w:b/>
          <w:bCs/>
          <w:color w:val="auto"/>
          <w:sz w:val="24"/>
          <w:szCs w:val="24"/>
          <w:highlight w:val="none"/>
        </w:rPr>
      </w:pPr>
      <w:r>
        <w:rPr>
          <w:rFonts w:hint="eastAsia" w:hAnsi="宋体" w:cs="宋体"/>
          <w:b/>
          <w:bCs/>
          <w:color w:val="auto"/>
          <w:sz w:val="24"/>
          <w:szCs w:val="24"/>
          <w:highlight w:val="none"/>
        </w:rPr>
        <w:t>一、质疑供应商基本信息：</w:t>
      </w:r>
    </w:p>
    <w:p w14:paraId="75599D7D">
      <w:pPr>
        <w:pStyle w:val="222"/>
        <w:spacing w:line="360" w:lineRule="auto"/>
        <w:ind w:firstLine="480"/>
        <w:contextualSpacing/>
        <w:rPr>
          <w:rFonts w:hint="eastAsia" w:hAnsi="宋体" w:cs="宋体"/>
          <w:bCs/>
          <w:color w:val="auto"/>
          <w:sz w:val="24"/>
          <w:szCs w:val="24"/>
          <w:highlight w:val="none"/>
          <w:u w:val="single"/>
        </w:rPr>
      </w:pPr>
      <w:r>
        <w:rPr>
          <w:rFonts w:hint="eastAsia" w:hAnsi="宋体" w:cs="宋体"/>
          <w:bCs/>
          <w:color w:val="auto"/>
          <w:sz w:val="24"/>
          <w:szCs w:val="24"/>
          <w:highlight w:val="none"/>
        </w:rPr>
        <w:t>质疑供应商：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1547E64">
      <w:pPr>
        <w:pStyle w:val="222"/>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632FB8D">
      <w:pPr>
        <w:pStyle w:val="222"/>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5F8573D">
      <w:pPr>
        <w:pStyle w:val="222"/>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p>
    <w:p w14:paraId="55BF9D39">
      <w:pPr>
        <w:pStyle w:val="222"/>
        <w:spacing w:line="360" w:lineRule="auto"/>
        <w:ind w:firstLine="480"/>
        <w:contextualSpacing/>
        <w:rPr>
          <w:rFonts w:hint="eastAsia" w:hAnsi="宋体" w:cs="宋体"/>
          <w:bCs/>
          <w:color w:val="auto"/>
          <w:sz w:val="24"/>
          <w:szCs w:val="24"/>
          <w:highlight w:val="none"/>
          <w:u w:val="singl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D621D7E">
      <w:pPr>
        <w:pStyle w:val="222"/>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34707C46">
      <w:pPr>
        <w:pStyle w:val="222"/>
        <w:spacing w:line="360" w:lineRule="auto"/>
        <w:ind w:firstLine="482"/>
        <w:contextualSpacing/>
        <w:rPr>
          <w:rFonts w:hint="eastAsia" w:hAnsi="宋体" w:cs="宋体"/>
          <w:b/>
          <w:bCs/>
          <w:color w:val="auto"/>
          <w:sz w:val="24"/>
          <w:szCs w:val="24"/>
          <w:highlight w:val="none"/>
        </w:rPr>
      </w:pPr>
      <w:r>
        <w:rPr>
          <w:rFonts w:hint="eastAsia" w:hAnsi="宋体" w:cs="宋体"/>
          <w:b/>
          <w:bCs/>
          <w:color w:val="auto"/>
          <w:sz w:val="24"/>
          <w:szCs w:val="24"/>
          <w:highlight w:val="none"/>
        </w:rPr>
        <w:t>二、质疑项目基本情况：</w:t>
      </w:r>
    </w:p>
    <w:p w14:paraId="4B7B7A9A">
      <w:pPr>
        <w:pStyle w:val="222"/>
        <w:spacing w:line="360" w:lineRule="auto"/>
        <w:ind w:left="25" w:firstLine="472"/>
        <w:contextualSpacing/>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43EBB2B9">
      <w:pPr>
        <w:pStyle w:val="222"/>
        <w:spacing w:line="360" w:lineRule="auto"/>
        <w:ind w:left="25" w:firstLine="472"/>
        <w:contextualSpacing/>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38370D44">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42F71F08">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质疑事项：</w:t>
      </w:r>
    </w:p>
    <w:p w14:paraId="5A7FB5F8">
      <w:pPr>
        <w:pStyle w:val="222"/>
        <w:spacing w:line="360" w:lineRule="auto"/>
        <w:ind w:left="25" w:firstLine="352"/>
        <w:contextualSpacing/>
        <w:rPr>
          <w:rFonts w:hint="eastAsia" w:hAnsi="宋体" w:cs="宋体"/>
          <w:color w:val="auto"/>
          <w:sz w:val="24"/>
          <w:szCs w:val="24"/>
          <w:highlight w:val="none"/>
        </w:rPr>
      </w:pPr>
      <w:r>
        <w:rPr>
          <w:rFonts w:hint="eastAsia" w:hAnsi="宋体" w:cs="宋体"/>
          <w:color w:val="auto"/>
          <w:sz w:val="24"/>
          <w:szCs w:val="24"/>
          <w:highlight w:val="none"/>
        </w:rPr>
        <w:t>□采购文件   采购文件获取日期：</w:t>
      </w:r>
      <w:r>
        <w:rPr>
          <w:rFonts w:hint="eastAsia" w:hAnsi="宋体" w:cs="宋体"/>
          <w:bCs/>
          <w:color w:val="auto"/>
          <w:sz w:val="24"/>
          <w:szCs w:val="24"/>
          <w:highlight w:val="none"/>
          <w:u w:val="single"/>
        </w:rPr>
        <w:t xml:space="preserve">                                   </w:t>
      </w:r>
    </w:p>
    <w:p w14:paraId="3300E359">
      <w:pPr>
        <w:pStyle w:val="222"/>
        <w:spacing w:line="360" w:lineRule="auto"/>
        <w:ind w:left="25" w:firstLine="352"/>
        <w:contextualSpacing/>
        <w:rPr>
          <w:rFonts w:hint="eastAsia" w:hAnsi="宋体" w:cs="宋体"/>
          <w:color w:val="auto"/>
          <w:sz w:val="24"/>
          <w:szCs w:val="24"/>
          <w:highlight w:val="none"/>
        </w:rPr>
      </w:pPr>
      <w:r>
        <w:rPr>
          <w:rFonts w:hint="eastAsia" w:hAnsi="宋体" w:cs="宋体"/>
          <w:color w:val="auto"/>
          <w:sz w:val="24"/>
          <w:szCs w:val="24"/>
          <w:highlight w:val="none"/>
        </w:rPr>
        <w:t xml:space="preserve">□采购过程   </w:t>
      </w:r>
    </w:p>
    <w:p w14:paraId="330FBC0A">
      <w:pPr>
        <w:pStyle w:val="222"/>
        <w:spacing w:line="360" w:lineRule="auto"/>
        <w:ind w:left="25" w:firstLine="352"/>
        <w:contextualSpacing/>
        <w:rPr>
          <w:rFonts w:hint="eastAsia" w:hAnsi="宋体" w:cs="宋体"/>
          <w:bCs/>
          <w:color w:val="auto"/>
          <w:sz w:val="24"/>
          <w:szCs w:val="24"/>
          <w:highlight w:val="none"/>
          <w:u w:val="single"/>
        </w:rPr>
      </w:pPr>
      <w:r>
        <w:rPr>
          <w:rFonts w:hint="eastAsia" w:hAnsi="宋体" w:cs="宋体"/>
          <w:color w:val="auto"/>
          <w:sz w:val="24"/>
          <w:szCs w:val="24"/>
          <w:highlight w:val="none"/>
        </w:rPr>
        <w:t xml:space="preserve">□成交结果   </w:t>
      </w:r>
    </w:p>
    <w:p w14:paraId="4872989F">
      <w:pPr>
        <w:pStyle w:val="222"/>
        <w:spacing w:line="360" w:lineRule="auto"/>
        <w:ind w:left="25" w:firstLine="472"/>
        <w:contextualSpacing/>
        <w:rPr>
          <w:rFonts w:hint="eastAsia" w:hAnsi="宋体" w:cs="宋体"/>
          <w:b/>
          <w:color w:val="auto"/>
          <w:sz w:val="24"/>
          <w:szCs w:val="24"/>
          <w:highlight w:val="none"/>
        </w:rPr>
      </w:pPr>
      <w:r>
        <w:rPr>
          <w:rFonts w:hint="eastAsia" w:hAnsi="宋体" w:cs="宋体"/>
          <w:b/>
          <w:color w:val="auto"/>
          <w:sz w:val="24"/>
          <w:szCs w:val="24"/>
          <w:highlight w:val="none"/>
        </w:rPr>
        <w:t>三、质疑事项具体内容</w:t>
      </w:r>
    </w:p>
    <w:p w14:paraId="223197C8">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质疑事项1：</w:t>
      </w:r>
      <w:r>
        <w:rPr>
          <w:rFonts w:hint="eastAsia" w:hAnsi="宋体" w:cs="宋体"/>
          <w:bCs/>
          <w:color w:val="auto"/>
          <w:sz w:val="24"/>
          <w:szCs w:val="24"/>
          <w:highlight w:val="none"/>
          <w:u w:val="single"/>
        </w:rPr>
        <w:t xml:space="preserve">                                                                    </w:t>
      </w:r>
    </w:p>
    <w:p w14:paraId="3ED4C16B">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事实依据：</w:t>
      </w:r>
      <w:r>
        <w:rPr>
          <w:rFonts w:hint="eastAsia" w:hAnsi="宋体" w:cs="宋体"/>
          <w:bCs/>
          <w:color w:val="auto"/>
          <w:sz w:val="24"/>
          <w:szCs w:val="24"/>
          <w:highlight w:val="none"/>
          <w:u w:val="single"/>
        </w:rPr>
        <w:t xml:space="preserve">                                                                      </w:t>
      </w:r>
    </w:p>
    <w:p w14:paraId="1D387893">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法律依据：</w:t>
      </w:r>
      <w:r>
        <w:rPr>
          <w:rFonts w:hint="eastAsia" w:hAnsi="宋体" w:cs="宋体"/>
          <w:color w:val="auto"/>
          <w:sz w:val="24"/>
          <w:szCs w:val="24"/>
          <w:highlight w:val="none"/>
          <w:u w:val="single"/>
        </w:rPr>
        <w:t xml:space="preserve">                                                        </w:t>
      </w:r>
      <w:r>
        <w:rPr>
          <w:rFonts w:hint="eastAsia" w:hAnsi="宋体" w:cs="宋体"/>
          <w:bCs/>
          <w:color w:val="auto"/>
          <w:sz w:val="24"/>
          <w:szCs w:val="24"/>
          <w:highlight w:val="none"/>
          <w:u w:val="single"/>
        </w:rPr>
        <w:t xml:space="preserve">               </w:t>
      </w:r>
    </w:p>
    <w:p w14:paraId="4A9F678E">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质疑事项2</w:t>
      </w:r>
    </w:p>
    <w:p w14:paraId="042383E9">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w:t>
      </w:r>
    </w:p>
    <w:p w14:paraId="6D6DEB65">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四、与质疑事项相关的质疑请求：</w:t>
      </w:r>
    </w:p>
    <w:p w14:paraId="44D6B14A">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2173FEBF">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签字（</w:t>
      </w:r>
      <w:r>
        <w:rPr>
          <w:rFonts w:hint="eastAsia" w:hAnsi="宋体" w:cs="宋体"/>
          <w:color w:val="auto"/>
          <w:sz w:val="24"/>
          <w:szCs w:val="24"/>
          <w:highlight w:val="none"/>
          <w:lang w:eastAsia="zh-CN"/>
        </w:rPr>
        <w:t>签</w:t>
      </w:r>
      <w:r>
        <w:rPr>
          <w:rFonts w:hint="eastAsia" w:hAnsi="宋体" w:cs="宋体"/>
          <w:color w:val="auto"/>
          <w:sz w:val="24"/>
          <w:szCs w:val="24"/>
          <w:highlight w:val="none"/>
        </w:rPr>
        <w:t>章）：                                       公章：</w:t>
      </w:r>
    </w:p>
    <w:p w14:paraId="4D462B20">
      <w:pPr>
        <w:pStyle w:val="222"/>
        <w:spacing w:line="360" w:lineRule="auto"/>
        <w:ind w:firstLine="480"/>
        <w:contextualSpacing/>
        <w:rPr>
          <w:rFonts w:hint="eastAsia" w:hAnsi="宋体" w:cs="宋体"/>
          <w:b/>
          <w:color w:val="auto"/>
          <w:sz w:val="24"/>
          <w:szCs w:val="24"/>
          <w:highlight w:val="none"/>
        </w:rPr>
      </w:pPr>
      <w:r>
        <w:rPr>
          <w:rFonts w:hint="eastAsia" w:hAnsi="宋体" w:cs="宋体"/>
          <w:color w:val="auto"/>
          <w:sz w:val="24"/>
          <w:szCs w:val="24"/>
          <w:highlight w:val="none"/>
        </w:rPr>
        <w:t>日期：</w:t>
      </w:r>
    </w:p>
    <w:p w14:paraId="45015F85">
      <w:pPr>
        <w:pStyle w:val="222"/>
        <w:spacing w:line="360" w:lineRule="auto"/>
        <w:contextualSpacing/>
        <w:rPr>
          <w:rFonts w:hint="eastAsia" w:hAnsi="宋体" w:cs="宋体"/>
          <w:b/>
          <w:color w:val="auto"/>
          <w:sz w:val="24"/>
          <w:szCs w:val="24"/>
          <w:highlight w:val="none"/>
        </w:rPr>
      </w:pPr>
      <w:r>
        <w:rPr>
          <w:rFonts w:hint="eastAsia" w:hAnsi="宋体" w:cs="宋体"/>
          <w:b/>
          <w:color w:val="auto"/>
          <w:sz w:val="24"/>
          <w:szCs w:val="24"/>
          <w:highlight w:val="none"/>
        </w:rPr>
        <w:t>说明：</w:t>
      </w:r>
    </w:p>
    <w:p w14:paraId="3C47F42F">
      <w:pPr>
        <w:pStyle w:val="222"/>
        <w:spacing w:line="360" w:lineRule="auto"/>
        <w:ind w:left="25" w:firstLine="354"/>
        <w:contextualSpacing/>
        <w:rPr>
          <w:rFonts w:hint="eastAsia" w:hAnsi="宋体" w:cs="宋体"/>
          <w:b/>
          <w:bCs/>
          <w:color w:val="auto"/>
          <w:sz w:val="24"/>
          <w:szCs w:val="24"/>
          <w:highlight w:val="none"/>
        </w:rPr>
      </w:pPr>
      <w:r>
        <w:rPr>
          <w:rFonts w:hint="eastAsia" w:hAnsi="宋体" w:cs="宋体"/>
          <w:b/>
          <w:color w:val="auto"/>
          <w:sz w:val="24"/>
          <w:szCs w:val="24"/>
          <w:highlight w:val="none"/>
        </w:rPr>
        <w:t>1.供应商提出质疑时，应提交质疑函和必要的证明材料</w:t>
      </w:r>
      <w:r>
        <w:rPr>
          <w:rFonts w:hint="eastAsia" w:hAnsi="宋体" w:cs="宋体"/>
          <w:b/>
          <w:bCs/>
          <w:color w:val="auto"/>
          <w:sz w:val="24"/>
          <w:szCs w:val="24"/>
          <w:highlight w:val="none"/>
        </w:rPr>
        <w:t>。</w:t>
      </w:r>
    </w:p>
    <w:p w14:paraId="69661A15">
      <w:pPr>
        <w:pStyle w:val="222"/>
        <w:spacing w:line="360" w:lineRule="auto"/>
        <w:ind w:left="25" w:firstLine="354"/>
        <w:contextualSpacing/>
        <w:rPr>
          <w:rFonts w:hint="eastAsia" w:hAnsi="宋体" w:cs="宋体"/>
          <w:b/>
          <w:color w:val="auto"/>
          <w:sz w:val="24"/>
          <w:szCs w:val="24"/>
          <w:highlight w:val="none"/>
        </w:rPr>
      </w:pPr>
      <w:r>
        <w:rPr>
          <w:rFonts w:hint="eastAsia" w:hAnsi="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23FF31E">
      <w:pPr>
        <w:pStyle w:val="222"/>
        <w:spacing w:line="360" w:lineRule="auto"/>
        <w:ind w:left="25" w:firstLine="354"/>
        <w:contextualSpacing/>
        <w:rPr>
          <w:rFonts w:hint="eastAsia" w:hAnsi="宋体" w:cs="宋体"/>
          <w:b/>
          <w:color w:val="auto"/>
          <w:sz w:val="24"/>
          <w:szCs w:val="24"/>
          <w:highlight w:val="none"/>
        </w:rPr>
      </w:pPr>
      <w:r>
        <w:rPr>
          <w:rFonts w:hint="eastAsia" w:hAnsi="宋体" w:cs="宋体"/>
          <w:b/>
          <w:color w:val="auto"/>
          <w:sz w:val="24"/>
          <w:szCs w:val="24"/>
          <w:highlight w:val="none"/>
        </w:rPr>
        <w:t>3.质疑函的质疑事项应具体、明确，并有必要的事实依据和法律依据。</w:t>
      </w:r>
    </w:p>
    <w:p w14:paraId="50914AB4">
      <w:pPr>
        <w:pStyle w:val="222"/>
        <w:spacing w:line="360" w:lineRule="auto"/>
        <w:ind w:left="25" w:firstLine="354"/>
        <w:contextualSpacing/>
        <w:rPr>
          <w:rFonts w:hint="eastAsia" w:hAnsi="宋体" w:cs="宋体"/>
          <w:b/>
          <w:color w:val="auto"/>
          <w:sz w:val="24"/>
          <w:szCs w:val="24"/>
          <w:highlight w:val="none"/>
        </w:rPr>
      </w:pPr>
      <w:r>
        <w:rPr>
          <w:rFonts w:hint="eastAsia" w:hAnsi="宋体" w:cs="宋体"/>
          <w:b/>
          <w:color w:val="auto"/>
          <w:sz w:val="24"/>
          <w:szCs w:val="24"/>
          <w:highlight w:val="none"/>
        </w:rPr>
        <w:t>4.质疑函的质疑请求应与质疑事项相关。</w:t>
      </w:r>
    </w:p>
    <w:p w14:paraId="5852D9D2">
      <w:pPr>
        <w:pStyle w:val="222"/>
        <w:spacing w:line="360" w:lineRule="auto"/>
        <w:ind w:left="25" w:firstLine="354"/>
        <w:contextualSpacing/>
        <w:rPr>
          <w:rFonts w:hint="eastAsia" w:hAnsi="宋体" w:cs="宋体"/>
          <w:b/>
          <w:color w:val="auto"/>
          <w:highlight w:val="none"/>
        </w:rPr>
      </w:pPr>
      <w:r>
        <w:rPr>
          <w:rFonts w:hint="eastAsia" w:hAnsi="宋体" w:cs="宋体"/>
          <w:b/>
          <w:color w:val="auto"/>
          <w:sz w:val="24"/>
          <w:szCs w:val="24"/>
          <w:highlight w:val="none"/>
        </w:rPr>
        <w:t>5.质疑供应商为法人或者其他组织的，质疑函应由法定代表人、主要负责人，或者其授权代表签字或者盖章，并加盖公章。</w:t>
      </w:r>
    </w:p>
    <w:p w14:paraId="5B09729C">
      <w:pPr>
        <w:pStyle w:val="222"/>
        <w:rPr>
          <w:rFonts w:hint="eastAsia" w:hAnsi="宋体" w:cs="宋体"/>
          <w:b/>
          <w:color w:val="auto"/>
          <w:sz w:val="24"/>
          <w:szCs w:val="24"/>
          <w:highlight w:val="none"/>
        </w:rPr>
      </w:pPr>
    </w:p>
    <w:p w14:paraId="72BDB389">
      <w:pPr>
        <w:rPr>
          <w:rFonts w:hint="eastAsia" w:ascii="宋体" w:hAnsi="宋体" w:cs="宋体"/>
          <w:color w:val="auto"/>
          <w:sz w:val="32"/>
          <w:szCs w:val="40"/>
          <w:highlight w:val="none"/>
        </w:rPr>
      </w:pPr>
    </w:p>
    <w:p w14:paraId="08A1170C">
      <w:pPr>
        <w:rPr>
          <w:rFonts w:hint="eastAsia" w:ascii="宋体" w:hAnsi="宋体" w:cs="宋体"/>
          <w:color w:val="auto"/>
          <w:sz w:val="32"/>
          <w:szCs w:val="40"/>
          <w:highlight w:val="none"/>
        </w:rPr>
      </w:pPr>
    </w:p>
    <w:p w14:paraId="1C2AA67C">
      <w:pPr>
        <w:rPr>
          <w:rFonts w:hint="eastAsia" w:ascii="宋体" w:hAnsi="宋体" w:cs="宋体"/>
          <w:color w:val="auto"/>
          <w:sz w:val="32"/>
          <w:szCs w:val="40"/>
          <w:highlight w:val="none"/>
        </w:rPr>
      </w:pPr>
    </w:p>
    <w:p w14:paraId="51E816FD">
      <w:pPr>
        <w:rPr>
          <w:rFonts w:hint="eastAsia" w:ascii="宋体" w:hAnsi="宋体" w:cs="宋体"/>
          <w:color w:val="auto"/>
          <w:sz w:val="32"/>
          <w:szCs w:val="40"/>
          <w:highlight w:val="none"/>
        </w:rPr>
      </w:pPr>
    </w:p>
    <w:p w14:paraId="1805861C">
      <w:pPr>
        <w:rPr>
          <w:rFonts w:hint="eastAsia" w:ascii="宋体" w:hAnsi="宋体" w:cs="宋体"/>
          <w:color w:val="auto"/>
          <w:sz w:val="32"/>
          <w:szCs w:val="40"/>
          <w:highlight w:val="none"/>
        </w:rPr>
      </w:pPr>
    </w:p>
    <w:p w14:paraId="6763042B">
      <w:pPr>
        <w:rPr>
          <w:rFonts w:hint="eastAsia" w:ascii="宋体" w:hAnsi="宋体" w:cs="宋体"/>
          <w:color w:val="auto"/>
          <w:sz w:val="32"/>
          <w:szCs w:val="40"/>
          <w:highlight w:val="none"/>
        </w:rPr>
      </w:pPr>
    </w:p>
    <w:p w14:paraId="748AF29E">
      <w:pPr>
        <w:rPr>
          <w:rFonts w:hint="eastAsia" w:ascii="宋体" w:hAnsi="宋体" w:cs="宋体"/>
          <w:color w:val="auto"/>
          <w:sz w:val="32"/>
          <w:szCs w:val="40"/>
          <w:highlight w:val="none"/>
        </w:rPr>
      </w:pPr>
    </w:p>
    <w:p w14:paraId="4E536BE3">
      <w:pPr>
        <w:rPr>
          <w:rFonts w:hint="eastAsia" w:ascii="宋体" w:hAnsi="宋体" w:cs="宋体"/>
          <w:color w:val="auto"/>
          <w:sz w:val="32"/>
          <w:szCs w:val="40"/>
          <w:highlight w:val="none"/>
        </w:rPr>
      </w:pPr>
    </w:p>
    <w:p w14:paraId="2ABBF8A6">
      <w:pPr>
        <w:rPr>
          <w:rFonts w:hint="eastAsia" w:ascii="宋体" w:hAnsi="宋体" w:cs="宋体"/>
          <w:color w:val="auto"/>
          <w:sz w:val="32"/>
          <w:szCs w:val="40"/>
          <w:highlight w:val="none"/>
        </w:rPr>
      </w:pPr>
    </w:p>
    <w:p w14:paraId="1C4D5810">
      <w:pPr>
        <w:rPr>
          <w:rFonts w:hint="eastAsia" w:ascii="宋体" w:hAnsi="宋体" w:cs="宋体"/>
          <w:color w:val="auto"/>
          <w:sz w:val="32"/>
          <w:szCs w:val="40"/>
          <w:highlight w:val="none"/>
        </w:rPr>
      </w:pPr>
    </w:p>
    <w:p w14:paraId="05DD1799">
      <w:pPr>
        <w:rPr>
          <w:rFonts w:hint="eastAsia" w:ascii="宋体" w:hAnsi="宋体" w:cs="宋体"/>
          <w:color w:val="auto"/>
          <w:sz w:val="32"/>
          <w:szCs w:val="40"/>
          <w:highlight w:val="none"/>
        </w:rPr>
      </w:pPr>
    </w:p>
    <w:p w14:paraId="0DFB3E31">
      <w:pPr>
        <w:rPr>
          <w:rFonts w:hint="eastAsia" w:ascii="宋体" w:hAnsi="宋体" w:cs="宋体"/>
          <w:color w:val="auto"/>
          <w:sz w:val="32"/>
          <w:szCs w:val="40"/>
          <w:highlight w:val="none"/>
        </w:rPr>
      </w:pPr>
    </w:p>
    <w:p w14:paraId="63045A81">
      <w:pPr>
        <w:rPr>
          <w:rFonts w:hint="eastAsia" w:ascii="宋体" w:hAnsi="宋体" w:cs="宋体"/>
          <w:color w:val="auto"/>
          <w:sz w:val="32"/>
          <w:szCs w:val="40"/>
          <w:highlight w:val="none"/>
        </w:rPr>
      </w:pPr>
    </w:p>
    <w:p w14:paraId="01CB59CE">
      <w:pPr>
        <w:rPr>
          <w:rFonts w:hint="eastAsia" w:ascii="宋体" w:hAnsi="宋体" w:cs="宋体"/>
          <w:color w:val="auto"/>
          <w:sz w:val="32"/>
          <w:szCs w:val="40"/>
          <w:highlight w:val="none"/>
        </w:rPr>
      </w:pPr>
    </w:p>
    <w:p w14:paraId="5C77124A">
      <w:pPr>
        <w:pStyle w:val="198"/>
        <w:rPr>
          <w:rFonts w:hint="eastAsia" w:ascii="宋体" w:hAnsi="宋体" w:eastAsia="宋体" w:cs="宋体"/>
          <w:color w:val="auto"/>
          <w:sz w:val="44"/>
          <w:szCs w:val="44"/>
          <w:highlight w:val="none"/>
        </w:rPr>
      </w:pPr>
      <w:r>
        <w:rPr>
          <w:rFonts w:hint="eastAsia"/>
          <w:color w:val="auto"/>
          <w:highlight w:val="none"/>
        </w:rPr>
        <w:br w:type="page" w:clear="all"/>
      </w:r>
    </w:p>
    <w:p w14:paraId="70FD928C">
      <w:pPr>
        <w:spacing w:line="360" w:lineRule="auto"/>
        <w:jc w:val="center"/>
        <w:rPr>
          <w:rFonts w:hint="eastAsia"/>
          <w:color w:val="auto"/>
          <w:highlight w:val="none"/>
        </w:rPr>
      </w:pPr>
      <w:r>
        <w:rPr>
          <w:rFonts w:hint="eastAsia" w:ascii="宋体" w:hAnsi="宋体" w:cs="宋体"/>
          <w:b/>
          <w:bCs/>
          <w:color w:val="auto"/>
          <w:sz w:val="44"/>
          <w:szCs w:val="44"/>
          <w:highlight w:val="none"/>
        </w:rPr>
        <w:t>投诉书（格式）</w:t>
      </w:r>
    </w:p>
    <w:p w14:paraId="4A3CBDF9">
      <w:pPr>
        <w:pStyle w:val="222"/>
        <w:spacing w:line="360" w:lineRule="auto"/>
        <w:ind w:firstLine="482"/>
        <w:rPr>
          <w:rFonts w:hint="eastAsia" w:hAnsi="宋体" w:cs="宋体"/>
          <w:b/>
          <w:bCs/>
          <w:color w:val="auto"/>
          <w:sz w:val="24"/>
          <w:szCs w:val="24"/>
          <w:highlight w:val="none"/>
        </w:rPr>
      </w:pPr>
      <w:r>
        <w:rPr>
          <w:rFonts w:hint="eastAsia" w:hAnsi="宋体" w:cs="宋体"/>
          <w:b/>
          <w:bCs/>
          <w:color w:val="auto"/>
          <w:sz w:val="24"/>
          <w:szCs w:val="24"/>
          <w:highlight w:val="none"/>
        </w:rPr>
        <w:t>一、投诉相关主体基本情况：</w:t>
      </w:r>
    </w:p>
    <w:p w14:paraId="233F11AA">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7AC629B8">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2F8441C9">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法定代表人/主要负责人：</w:t>
      </w:r>
      <w:r>
        <w:rPr>
          <w:rFonts w:hint="eastAsia" w:hAnsi="宋体" w:cs="宋体"/>
          <w:bCs/>
          <w:color w:val="auto"/>
          <w:sz w:val="24"/>
          <w:szCs w:val="24"/>
          <w:highlight w:val="none"/>
          <w:u w:val="single"/>
        </w:rPr>
        <w:t xml:space="preserve">                                                         </w:t>
      </w:r>
    </w:p>
    <w:p w14:paraId="52D7D877">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5C8F57DA">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3C9E4A0">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503B89B7">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39CCEFD">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被投诉人1：</w:t>
      </w:r>
    </w:p>
    <w:p w14:paraId="051F9116">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448DE6AA">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E39E8F8">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1D633DC">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被投诉人2：</w:t>
      </w:r>
    </w:p>
    <w:p w14:paraId="3EED6C7F">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w:t>
      </w:r>
    </w:p>
    <w:p w14:paraId="123C6806">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相关供应商：</w:t>
      </w:r>
      <w:r>
        <w:rPr>
          <w:rFonts w:hint="eastAsia" w:hAnsi="宋体" w:cs="宋体"/>
          <w:bCs/>
          <w:color w:val="auto"/>
          <w:sz w:val="24"/>
          <w:szCs w:val="24"/>
          <w:highlight w:val="none"/>
          <w:u w:val="single"/>
        </w:rPr>
        <w:t xml:space="preserve">                                                                       </w:t>
      </w:r>
    </w:p>
    <w:p w14:paraId="196DDAB2">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43E8E1E6">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3E094AB">
      <w:pPr>
        <w:pStyle w:val="222"/>
        <w:spacing w:line="360" w:lineRule="auto"/>
        <w:ind w:firstLine="482"/>
        <w:rPr>
          <w:rFonts w:hint="eastAsia" w:hAnsi="宋体" w:cs="宋体"/>
          <w:b/>
          <w:bCs/>
          <w:color w:val="auto"/>
          <w:sz w:val="24"/>
          <w:szCs w:val="24"/>
          <w:highlight w:val="none"/>
        </w:rPr>
      </w:pPr>
      <w:r>
        <w:rPr>
          <w:rFonts w:hint="eastAsia" w:hAnsi="宋体" w:cs="宋体"/>
          <w:b/>
          <w:bCs/>
          <w:color w:val="auto"/>
          <w:sz w:val="24"/>
          <w:szCs w:val="24"/>
          <w:highlight w:val="none"/>
        </w:rPr>
        <w:t>二、投诉项目基本情况：</w:t>
      </w:r>
    </w:p>
    <w:p w14:paraId="61E807FC">
      <w:pPr>
        <w:pStyle w:val="222"/>
        <w:spacing w:line="360" w:lineRule="auto"/>
        <w:ind w:left="25" w:firstLine="472"/>
        <w:rPr>
          <w:rFonts w:hint="eastAsia"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6BA594D2">
      <w:pPr>
        <w:pStyle w:val="222"/>
        <w:spacing w:line="360" w:lineRule="auto"/>
        <w:ind w:left="25" w:firstLine="472"/>
        <w:rPr>
          <w:rFonts w:hint="eastAsia"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1726CADB">
      <w:pPr>
        <w:pStyle w:val="222"/>
        <w:spacing w:line="360" w:lineRule="auto"/>
        <w:ind w:left="25" w:firstLine="472"/>
        <w:rPr>
          <w:rFonts w:hint="eastAsia" w:hAnsi="宋体" w:cs="宋体"/>
          <w:bCs/>
          <w:color w:val="auto"/>
          <w:sz w:val="24"/>
          <w:szCs w:val="24"/>
          <w:highlight w:val="none"/>
          <w:u w:val="singl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15C374EC">
      <w:pPr>
        <w:pStyle w:val="222"/>
        <w:spacing w:line="360" w:lineRule="auto"/>
        <w:ind w:left="25" w:firstLine="472"/>
        <w:rPr>
          <w:rFonts w:hint="eastAsia" w:hAnsi="宋体" w:cs="宋体"/>
          <w:bCs/>
          <w:color w:val="auto"/>
          <w:sz w:val="24"/>
          <w:szCs w:val="24"/>
          <w:highlight w:val="none"/>
          <w:u w:val="single"/>
        </w:rPr>
      </w:pPr>
      <w:r>
        <w:rPr>
          <w:rFonts w:hint="eastAsia" w:hAnsi="宋体" w:cs="宋体"/>
          <w:color w:val="auto"/>
          <w:sz w:val="24"/>
          <w:szCs w:val="24"/>
          <w:highlight w:val="none"/>
        </w:rPr>
        <w:t>代理机构名称：</w:t>
      </w:r>
      <w:r>
        <w:rPr>
          <w:rFonts w:hint="eastAsia" w:hAnsi="宋体" w:cs="宋体"/>
          <w:bCs/>
          <w:color w:val="auto"/>
          <w:sz w:val="24"/>
          <w:szCs w:val="24"/>
          <w:highlight w:val="none"/>
          <w:u w:val="single"/>
        </w:rPr>
        <w:t xml:space="preserve">                                                                      </w:t>
      </w:r>
    </w:p>
    <w:p w14:paraId="01666299">
      <w:pPr>
        <w:pStyle w:val="222"/>
        <w:spacing w:line="360" w:lineRule="auto"/>
        <w:ind w:left="25" w:firstLine="472"/>
        <w:rPr>
          <w:rFonts w:hint="eastAsia" w:hAnsi="宋体" w:cs="宋体"/>
          <w:bCs/>
          <w:color w:val="auto"/>
          <w:sz w:val="24"/>
          <w:szCs w:val="24"/>
          <w:highlight w:val="none"/>
          <w:u w:val="single"/>
        </w:rPr>
      </w:pPr>
      <w:r>
        <w:rPr>
          <w:rFonts w:hint="eastAsia" w:hAnsi="宋体" w:cs="宋体"/>
          <w:bCs/>
          <w:color w:val="auto"/>
          <w:sz w:val="24"/>
          <w:szCs w:val="24"/>
          <w:highlight w:val="none"/>
        </w:rPr>
        <w:t>采购文件公告：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0CB03160">
      <w:pPr>
        <w:pStyle w:val="222"/>
        <w:spacing w:line="360" w:lineRule="auto"/>
        <w:ind w:left="25" w:firstLine="472"/>
        <w:rPr>
          <w:rFonts w:hint="eastAsia" w:hAnsi="宋体" w:cs="宋体"/>
          <w:b/>
          <w:color w:val="auto"/>
          <w:sz w:val="24"/>
          <w:szCs w:val="24"/>
          <w:highlight w:val="none"/>
        </w:rPr>
      </w:pPr>
      <w:r>
        <w:rPr>
          <w:rFonts w:hint="eastAsia" w:hAnsi="宋体" w:cs="宋体"/>
          <w:bCs/>
          <w:color w:val="auto"/>
          <w:sz w:val="24"/>
          <w:szCs w:val="24"/>
          <w:highlight w:val="none"/>
        </w:rPr>
        <w:t>采购结果公告：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5CE3ABAB">
      <w:pPr>
        <w:pStyle w:val="222"/>
        <w:spacing w:line="360" w:lineRule="auto"/>
        <w:ind w:left="25" w:firstLine="472"/>
        <w:rPr>
          <w:rFonts w:hint="eastAsia" w:hAnsi="宋体" w:cs="宋体"/>
          <w:b/>
          <w:color w:val="auto"/>
          <w:sz w:val="24"/>
          <w:szCs w:val="24"/>
          <w:highlight w:val="none"/>
        </w:rPr>
      </w:pPr>
      <w:r>
        <w:rPr>
          <w:rFonts w:hint="eastAsia" w:hAnsi="宋体" w:cs="宋体"/>
          <w:b/>
          <w:color w:val="auto"/>
          <w:sz w:val="24"/>
          <w:szCs w:val="24"/>
          <w:highlight w:val="none"/>
        </w:rPr>
        <w:t>三、质疑基本情况</w:t>
      </w:r>
    </w:p>
    <w:p w14:paraId="71076C39">
      <w:pPr>
        <w:pStyle w:val="222"/>
        <w:spacing w:line="360" w:lineRule="auto"/>
        <w:ind w:firstLine="480"/>
        <w:rPr>
          <w:rFonts w:hint="eastAsia" w:hAnsi="宋体" w:cs="宋体"/>
          <w:color w:val="auto"/>
          <w:sz w:val="24"/>
          <w:szCs w:val="24"/>
          <w:highlight w:val="none"/>
        </w:rPr>
      </w:pPr>
      <w:r>
        <w:rPr>
          <w:rFonts w:hint="eastAsia" w:hAnsi="宋体" w:cs="宋体"/>
          <w:color w:val="auto"/>
          <w:sz w:val="24"/>
          <w:szCs w:val="24"/>
          <w:highlight w:val="none"/>
        </w:rPr>
        <w:t>投诉人于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日，向</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提出质疑，质疑事项为：</w:t>
      </w:r>
    </w:p>
    <w:p w14:paraId="71B6A52E">
      <w:pPr>
        <w:pStyle w:val="222"/>
        <w:spacing w:line="360" w:lineRule="auto"/>
        <w:ind w:firstLine="241"/>
        <w:rPr>
          <w:rFonts w:hint="eastAsia" w:hAnsi="宋体" w:cs="宋体"/>
          <w:bCs/>
          <w:color w:val="auto"/>
          <w:sz w:val="24"/>
          <w:szCs w:val="24"/>
          <w:highlight w:val="none"/>
          <w:u w:val="single"/>
        </w:rPr>
      </w:pP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327399B2">
      <w:pPr>
        <w:pStyle w:val="222"/>
        <w:spacing w:line="360" w:lineRule="auto"/>
        <w:ind w:firstLine="241"/>
        <w:rPr>
          <w:rFonts w:hint="eastAsia"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3CEE2E24">
      <w:pPr>
        <w:pStyle w:val="222"/>
        <w:spacing w:line="360" w:lineRule="auto"/>
        <w:ind w:firstLine="480"/>
        <w:rPr>
          <w:rFonts w:hint="eastAsia" w:hAnsi="宋体" w:cs="宋体"/>
          <w:color w:val="auto"/>
          <w:sz w:val="24"/>
          <w:szCs w:val="24"/>
          <w:highlight w:val="none"/>
        </w:rPr>
      </w:pPr>
      <w:r>
        <w:rPr>
          <w:rFonts w:hint="eastAsia" w:hAnsi="宋体" w:cs="宋体"/>
          <w:bCs/>
          <w:color w:val="auto"/>
          <w:sz w:val="24"/>
          <w:szCs w:val="24"/>
          <w:highlight w:val="none"/>
          <w:u w:val="single"/>
        </w:rPr>
        <w:t>采购人/代理机构</w:t>
      </w:r>
      <w:r>
        <w:rPr>
          <w:rFonts w:hint="eastAsia" w:hAnsi="宋体" w:cs="宋体"/>
          <w:bCs/>
          <w:color w:val="auto"/>
          <w:sz w:val="24"/>
          <w:szCs w:val="24"/>
          <w:highlight w:val="none"/>
        </w:rPr>
        <w:t>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r>
        <w:rPr>
          <w:rFonts w:hint="eastAsia" w:hAnsi="宋体" w:cs="宋体"/>
          <w:bCs/>
          <w:color w:val="auto"/>
          <w:sz w:val="24"/>
          <w:szCs w:val="24"/>
          <w:highlight w:val="none"/>
        </w:rPr>
        <w:t xml:space="preserve">就质疑事项作出了答复/没有在法定期限内作出答复。                                                                                             </w:t>
      </w:r>
    </w:p>
    <w:p w14:paraId="49510254">
      <w:pPr>
        <w:pStyle w:val="222"/>
        <w:spacing w:line="360" w:lineRule="auto"/>
        <w:ind w:left="25" w:firstLine="472"/>
        <w:rPr>
          <w:rFonts w:hint="eastAsia" w:hAnsi="宋体" w:cs="宋体"/>
          <w:b/>
          <w:color w:val="auto"/>
          <w:sz w:val="24"/>
          <w:szCs w:val="24"/>
          <w:highlight w:val="none"/>
        </w:rPr>
      </w:pPr>
      <w:r>
        <w:rPr>
          <w:rFonts w:hint="eastAsia" w:hAnsi="宋体" w:cs="宋体"/>
          <w:b/>
          <w:color w:val="auto"/>
          <w:sz w:val="24"/>
          <w:szCs w:val="24"/>
          <w:highlight w:val="none"/>
        </w:rPr>
        <w:t>四、投诉事项具体内容</w:t>
      </w:r>
    </w:p>
    <w:p w14:paraId="39AD265E">
      <w:pPr>
        <w:pStyle w:val="222"/>
        <w:spacing w:line="360" w:lineRule="auto"/>
        <w:ind w:left="25" w:firstLine="472"/>
        <w:rPr>
          <w:rFonts w:hint="eastAsia" w:hAnsi="宋体" w:cs="宋体"/>
          <w:bCs/>
          <w:color w:val="auto"/>
          <w:sz w:val="24"/>
          <w:szCs w:val="24"/>
          <w:highlight w:val="none"/>
          <w:u w:val="single"/>
        </w:rPr>
      </w:pPr>
      <w:r>
        <w:rPr>
          <w:rFonts w:hint="eastAsia" w:hAnsi="宋体" w:cs="宋体"/>
          <w:color w:val="auto"/>
          <w:sz w:val="24"/>
          <w:szCs w:val="24"/>
          <w:highlight w:val="none"/>
        </w:rPr>
        <w:t>投诉事项1：</w:t>
      </w:r>
      <w:r>
        <w:rPr>
          <w:rFonts w:hint="eastAsia" w:hAnsi="宋体" w:cs="宋体"/>
          <w:bCs/>
          <w:color w:val="auto"/>
          <w:sz w:val="24"/>
          <w:szCs w:val="24"/>
          <w:highlight w:val="none"/>
          <w:u w:val="single"/>
        </w:rPr>
        <w:t xml:space="preserve">                                                                           </w:t>
      </w:r>
    </w:p>
    <w:p w14:paraId="300686B8">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事实依据：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25D5A8D0">
      <w:pPr>
        <w:pStyle w:val="222"/>
        <w:spacing w:line="360" w:lineRule="auto"/>
        <w:ind w:left="25" w:firstLine="472"/>
        <w:rPr>
          <w:rFonts w:hint="eastAsia" w:hAnsi="宋体" w:cs="宋体"/>
          <w:color w:val="auto"/>
          <w:sz w:val="24"/>
          <w:szCs w:val="24"/>
          <w:highlight w:val="none"/>
        </w:rPr>
      </w:pPr>
      <w:r>
        <w:rPr>
          <w:rFonts w:hint="eastAsia" w:hAnsi="宋体" w:cs="宋体"/>
          <w:bCs/>
          <w:color w:val="auto"/>
          <w:sz w:val="24"/>
          <w:szCs w:val="24"/>
          <w:highlight w:val="none"/>
          <w:u w:val="single"/>
        </w:rPr>
        <w:t xml:space="preserve">                                                                                        </w:t>
      </w:r>
    </w:p>
    <w:p w14:paraId="0110688F">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法律依据：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67C9AB94">
      <w:pPr>
        <w:pStyle w:val="222"/>
        <w:spacing w:line="360" w:lineRule="auto"/>
        <w:ind w:left="25" w:firstLine="352"/>
        <w:rPr>
          <w:rFonts w:hint="eastAsia"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437FC6BC">
      <w:pPr>
        <w:pStyle w:val="222"/>
        <w:spacing w:line="360" w:lineRule="auto"/>
        <w:ind w:left="25" w:firstLine="472"/>
        <w:rPr>
          <w:rFonts w:hint="eastAsia" w:hAnsi="宋体" w:cs="宋体"/>
          <w:bCs/>
          <w:color w:val="auto"/>
          <w:sz w:val="24"/>
          <w:szCs w:val="24"/>
          <w:highlight w:val="none"/>
        </w:rPr>
      </w:pPr>
      <w:r>
        <w:rPr>
          <w:rFonts w:hint="eastAsia" w:hAnsi="宋体" w:cs="宋体"/>
          <w:color w:val="auto"/>
          <w:sz w:val="24"/>
          <w:szCs w:val="24"/>
          <w:highlight w:val="none"/>
        </w:rPr>
        <w:t xml:space="preserve">投诉事项2  </w:t>
      </w:r>
      <w:r>
        <w:rPr>
          <w:rFonts w:hint="eastAsia" w:hAnsi="宋体" w:cs="宋体"/>
          <w:bCs/>
          <w:color w:val="auto"/>
          <w:sz w:val="24"/>
          <w:szCs w:val="24"/>
          <w:highlight w:val="none"/>
        </w:rPr>
        <w:t xml:space="preserve">   </w:t>
      </w:r>
    </w:p>
    <w:p w14:paraId="4E19D320">
      <w:pPr>
        <w:pStyle w:val="222"/>
        <w:spacing w:line="360" w:lineRule="auto"/>
        <w:ind w:left="25" w:firstLine="472"/>
        <w:rPr>
          <w:rFonts w:hint="eastAsia" w:hAnsi="宋体" w:cs="宋体"/>
          <w:bCs/>
          <w:color w:val="auto"/>
          <w:sz w:val="24"/>
          <w:szCs w:val="24"/>
          <w:highlight w:val="none"/>
        </w:rPr>
      </w:pPr>
      <w:r>
        <w:rPr>
          <w:rFonts w:hint="eastAsia" w:hAnsi="宋体" w:cs="宋体"/>
          <w:bCs/>
          <w:color w:val="auto"/>
          <w:sz w:val="24"/>
          <w:szCs w:val="24"/>
          <w:highlight w:val="none"/>
        </w:rPr>
        <w:t>……</w:t>
      </w:r>
    </w:p>
    <w:p w14:paraId="0DCEF42D">
      <w:pPr>
        <w:pStyle w:val="222"/>
        <w:spacing w:line="360" w:lineRule="auto"/>
        <w:ind w:left="25" w:firstLine="472"/>
        <w:rPr>
          <w:rFonts w:hint="eastAsia" w:hAnsi="宋体" w:cs="宋体"/>
          <w:b/>
          <w:color w:val="auto"/>
          <w:sz w:val="24"/>
          <w:szCs w:val="24"/>
          <w:highlight w:val="none"/>
        </w:rPr>
      </w:pPr>
      <w:r>
        <w:rPr>
          <w:rFonts w:hint="eastAsia" w:hAnsi="宋体" w:cs="宋体"/>
          <w:b/>
          <w:color w:val="auto"/>
          <w:sz w:val="24"/>
          <w:szCs w:val="24"/>
          <w:highlight w:val="none"/>
        </w:rPr>
        <w:t>五、与投诉事项相关的投诉请求：</w:t>
      </w:r>
    </w:p>
    <w:p w14:paraId="77BC22BC">
      <w:pPr>
        <w:pStyle w:val="222"/>
        <w:spacing w:line="360" w:lineRule="auto"/>
        <w:ind w:left="25" w:firstLine="472"/>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6A6499DF">
      <w:pPr>
        <w:pStyle w:val="222"/>
        <w:spacing w:line="360" w:lineRule="auto"/>
        <w:ind w:left="25" w:firstLine="472"/>
        <w:rPr>
          <w:rFonts w:hint="eastAsia" w:hAnsi="宋体" w:cs="宋体"/>
          <w:color w:val="auto"/>
          <w:sz w:val="24"/>
          <w:szCs w:val="24"/>
          <w:highlight w:val="none"/>
        </w:rPr>
      </w:pPr>
      <w:r>
        <w:rPr>
          <w:rFonts w:hint="eastAsia" w:hAnsi="宋体" w:cs="宋体"/>
          <w:color w:val="auto"/>
          <w:sz w:val="24"/>
          <w:szCs w:val="24"/>
          <w:highlight w:val="none"/>
        </w:rPr>
        <w:t>签字（</w:t>
      </w:r>
      <w:r>
        <w:rPr>
          <w:rFonts w:hint="eastAsia" w:hAnsi="宋体" w:cs="宋体"/>
          <w:color w:val="auto"/>
          <w:sz w:val="24"/>
          <w:szCs w:val="24"/>
          <w:highlight w:val="none"/>
          <w:lang w:eastAsia="zh-CN"/>
        </w:rPr>
        <w:t>签</w:t>
      </w:r>
      <w:r>
        <w:rPr>
          <w:rFonts w:hint="eastAsia" w:hAnsi="宋体" w:cs="宋体"/>
          <w:color w:val="auto"/>
          <w:sz w:val="24"/>
          <w:szCs w:val="24"/>
          <w:highlight w:val="none"/>
        </w:rPr>
        <w:t>章）：                                       公章：</w:t>
      </w:r>
    </w:p>
    <w:p w14:paraId="5A60CF00">
      <w:pPr>
        <w:pStyle w:val="222"/>
        <w:spacing w:line="360" w:lineRule="auto"/>
        <w:ind w:left="25" w:firstLine="472"/>
        <w:rPr>
          <w:rFonts w:hint="eastAsia" w:hAnsi="宋体" w:cs="宋体"/>
          <w:color w:val="auto"/>
          <w:sz w:val="24"/>
          <w:szCs w:val="24"/>
          <w:highlight w:val="none"/>
        </w:rPr>
      </w:pPr>
      <w:r>
        <w:rPr>
          <w:rFonts w:hint="eastAsia" w:hAnsi="宋体" w:cs="宋体"/>
          <w:color w:val="auto"/>
          <w:sz w:val="24"/>
          <w:szCs w:val="24"/>
          <w:highlight w:val="none"/>
        </w:rPr>
        <w:t>日期：</w:t>
      </w:r>
    </w:p>
    <w:p w14:paraId="6445B351">
      <w:pPr>
        <w:pStyle w:val="222"/>
        <w:spacing w:line="360" w:lineRule="auto"/>
        <w:ind w:left="25" w:firstLine="472"/>
        <w:rPr>
          <w:rFonts w:hint="eastAsia" w:hAnsi="宋体" w:cs="宋体"/>
          <w:b/>
          <w:color w:val="auto"/>
          <w:sz w:val="24"/>
          <w:szCs w:val="24"/>
          <w:highlight w:val="none"/>
        </w:rPr>
      </w:pPr>
      <w:r>
        <w:rPr>
          <w:rFonts w:hint="eastAsia" w:hAnsi="宋体" w:cs="宋体"/>
          <w:bCs/>
          <w:color w:val="auto"/>
          <w:sz w:val="24"/>
          <w:szCs w:val="24"/>
          <w:highlight w:val="none"/>
        </w:rPr>
        <w:t xml:space="preserve">                                                                                 </w:t>
      </w:r>
    </w:p>
    <w:p w14:paraId="06961776">
      <w:pPr>
        <w:pStyle w:val="222"/>
        <w:spacing w:line="360" w:lineRule="auto"/>
        <w:rPr>
          <w:rFonts w:hint="eastAsia" w:hAnsi="宋体" w:cs="宋体"/>
          <w:b/>
          <w:color w:val="auto"/>
          <w:sz w:val="24"/>
          <w:szCs w:val="24"/>
          <w:highlight w:val="none"/>
        </w:rPr>
      </w:pPr>
      <w:r>
        <w:rPr>
          <w:rFonts w:hint="eastAsia" w:hAnsi="宋体" w:cs="宋体"/>
          <w:b/>
          <w:color w:val="auto"/>
          <w:sz w:val="24"/>
          <w:szCs w:val="24"/>
          <w:highlight w:val="none"/>
        </w:rPr>
        <w:t>说明：</w:t>
      </w:r>
    </w:p>
    <w:p w14:paraId="0DC97439">
      <w:pPr>
        <w:pStyle w:val="222"/>
        <w:spacing w:line="360" w:lineRule="auto"/>
        <w:ind w:left="25" w:firstLine="354"/>
        <w:rPr>
          <w:rFonts w:hint="eastAsia" w:hAnsi="宋体" w:cs="宋体"/>
          <w:b/>
          <w:bCs/>
          <w:color w:val="auto"/>
          <w:sz w:val="24"/>
          <w:szCs w:val="24"/>
          <w:highlight w:val="none"/>
        </w:rPr>
      </w:pPr>
      <w:r>
        <w:rPr>
          <w:rFonts w:hint="eastAsia" w:hAnsi="宋体" w:cs="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cs="宋体"/>
          <w:b/>
          <w:bCs/>
          <w:color w:val="auto"/>
          <w:sz w:val="24"/>
          <w:szCs w:val="24"/>
          <w:highlight w:val="none"/>
        </w:rPr>
        <w:t>。</w:t>
      </w:r>
    </w:p>
    <w:p w14:paraId="79249867">
      <w:pPr>
        <w:pStyle w:val="222"/>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36FC65B">
      <w:pPr>
        <w:pStyle w:val="222"/>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3.投诉书应简要列明质疑事项，质疑函、质疑答复等作为附件材料提供。</w:t>
      </w:r>
    </w:p>
    <w:p w14:paraId="74367FFD">
      <w:pPr>
        <w:pStyle w:val="222"/>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4.投诉书的投诉事项应具体、明确，并有必要的事实依据和法律依据。</w:t>
      </w:r>
    </w:p>
    <w:p w14:paraId="3177035C">
      <w:pPr>
        <w:pStyle w:val="222"/>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5.投诉书的投诉请求应与投诉事项相关。</w:t>
      </w:r>
    </w:p>
    <w:p w14:paraId="14B3DCDC">
      <w:pPr>
        <w:pStyle w:val="222"/>
        <w:spacing w:line="360" w:lineRule="auto"/>
        <w:ind w:left="25" w:firstLine="354"/>
        <w:rPr>
          <w:rFonts w:hint="eastAsia" w:hAnsi="宋体" w:cs="宋体"/>
          <w:b/>
          <w:color w:val="auto"/>
          <w:highlight w:val="none"/>
        </w:rPr>
      </w:pPr>
      <w:r>
        <w:rPr>
          <w:rFonts w:hint="eastAsia" w:hAnsi="宋体" w:cs="宋体"/>
          <w:b/>
          <w:color w:val="auto"/>
          <w:sz w:val="24"/>
          <w:szCs w:val="24"/>
          <w:highlight w:val="none"/>
        </w:rPr>
        <w:t>6.投诉人为法人或者其他组织的，投诉书应由法定代表人、主要负责人，或者其授权代表签字或者盖章，并加盖公章。</w:t>
      </w:r>
    </w:p>
    <w:p w14:paraId="141E1364">
      <w:pPr>
        <w:pStyle w:val="196"/>
        <w:jc w:val="center"/>
        <w:rPr>
          <w:rFonts w:hint="eastAsia" w:ascii="宋体" w:hAnsi="宋体" w:cs="宋体"/>
          <w:color w:val="auto"/>
          <w:highlight w:val="none"/>
        </w:rPr>
      </w:pPr>
      <w:bookmarkStart w:id="48" w:name="_Toc28631"/>
      <w:r>
        <w:rPr>
          <w:rFonts w:hint="eastAsia" w:ascii="宋体" w:hAnsi="宋体" w:cs="宋体"/>
          <w:color w:val="auto"/>
          <w:highlight w:val="none"/>
        </w:rPr>
        <w:t>第六章 合同文本</w:t>
      </w:r>
      <w:bookmarkEnd w:id="48"/>
    </w:p>
    <w:p w14:paraId="35FD317A">
      <w:pPr>
        <w:snapToGrid w:val="0"/>
        <w:spacing w:line="380" w:lineRule="exact"/>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广西壮族自治区政府采购合同（格式）</w:t>
      </w:r>
    </w:p>
    <w:p w14:paraId="6FAE1160">
      <w:pPr>
        <w:pStyle w:val="259"/>
        <w:rPr>
          <w:rFonts w:hint="eastAsia" w:cs="宋体"/>
          <w:color w:val="auto"/>
          <w:highlight w:val="none"/>
        </w:rPr>
      </w:pPr>
    </w:p>
    <w:p w14:paraId="677FB899">
      <w:pPr>
        <w:spacing w:line="360" w:lineRule="auto"/>
        <w:ind w:right="800"/>
        <w:rPr>
          <w:rFonts w:hint="eastAsia" w:ascii="宋体" w:hAnsi="宋体" w:cs="宋体"/>
          <w:bCs/>
          <w:color w:val="auto"/>
          <w:szCs w:val="21"/>
          <w:highlight w:val="none"/>
          <w:u w:val="single"/>
        </w:rPr>
      </w:pPr>
      <w:r>
        <w:rPr>
          <w:rFonts w:hint="eastAsia" w:ascii="宋体" w:hAnsi="宋体" w:cs="宋体"/>
          <w:color w:val="auto"/>
          <w:szCs w:val="21"/>
          <w:highlight w:val="none"/>
        </w:rPr>
        <w:t>采购计划号：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bCs/>
          <w:color w:val="auto"/>
          <w:szCs w:val="21"/>
          <w:highlight w:val="none"/>
        </w:rPr>
        <w:t>合同编号：</w:t>
      </w:r>
      <w:r>
        <w:rPr>
          <w:rFonts w:hint="eastAsia" w:ascii="宋体" w:hAnsi="宋体" w:cs="宋体"/>
          <w:color w:val="auto"/>
          <w:szCs w:val="21"/>
          <w:highlight w:val="none"/>
          <w:u w:val="single"/>
        </w:rPr>
        <w:t xml:space="preserve">                  </w:t>
      </w:r>
    </w:p>
    <w:p w14:paraId="723829F1">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采购人（甲方）：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供应商（乙方）：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E79D177">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p>
    <w:p w14:paraId="6D6D3762">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签订地点：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签订时间：</w:t>
      </w:r>
      <w:r>
        <w:rPr>
          <w:rFonts w:hint="eastAsia" w:ascii="宋体" w:hAnsi="宋体" w:cs="宋体"/>
          <w:color w:val="auto"/>
          <w:szCs w:val="21"/>
          <w:highlight w:val="none"/>
          <w:u w:val="single"/>
        </w:rPr>
        <w:t xml:space="preserve">                        </w:t>
      </w:r>
    </w:p>
    <w:p w14:paraId="483AA7A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本合同为中小企业预留合同：</w:t>
      </w:r>
      <w:r>
        <w:rPr>
          <w:rFonts w:hint="eastAsia" w:ascii="宋体" w:hAnsi="宋体" w:cs="宋体"/>
          <w:color w:val="auto"/>
          <w:szCs w:val="21"/>
          <w:highlight w:val="none"/>
          <w:u w:val="single"/>
        </w:rPr>
        <w:t>（是/否）</w:t>
      </w:r>
      <w:r>
        <w:rPr>
          <w:rFonts w:hint="eastAsia" w:ascii="宋体" w:hAnsi="宋体" w:cs="宋体"/>
          <w:color w:val="auto"/>
          <w:szCs w:val="21"/>
          <w:highlight w:val="none"/>
        </w:rPr>
        <w:t>。</w:t>
      </w:r>
    </w:p>
    <w:p w14:paraId="202B6AA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根据《中华人民共和国政府采购法》、《中华人民共和国民法典》等法律、法规规定，按照</w:t>
      </w:r>
      <w:r>
        <w:rPr>
          <w:rFonts w:hint="eastAsia" w:ascii="宋体" w:hAnsi="宋体"/>
          <w:color w:val="auto"/>
          <w:szCs w:val="21"/>
          <w:highlight w:val="none"/>
          <w:lang w:eastAsia="zh-CN"/>
        </w:rPr>
        <w:t>采购文件</w:t>
      </w:r>
      <w:r>
        <w:rPr>
          <w:rFonts w:hint="eastAsia" w:ascii="宋体" w:hAnsi="宋体"/>
          <w:color w:val="auto"/>
          <w:szCs w:val="21"/>
          <w:highlight w:val="none"/>
        </w:rPr>
        <w:t>规定条款和乙方</w:t>
      </w:r>
      <w:r>
        <w:rPr>
          <w:rFonts w:hint="eastAsia" w:ascii="宋体" w:hAnsi="宋体"/>
          <w:color w:val="auto"/>
          <w:szCs w:val="21"/>
          <w:highlight w:val="none"/>
          <w:lang w:eastAsia="zh-CN"/>
        </w:rPr>
        <w:t>响应</w:t>
      </w:r>
      <w:r>
        <w:rPr>
          <w:rFonts w:hint="eastAsia" w:ascii="宋体" w:hAnsi="宋体"/>
          <w:color w:val="auto"/>
          <w:szCs w:val="21"/>
          <w:highlight w:val="none"/>
        </w:rPr>
        <w:t>文件及其承诺，甲乙双方签订本合同。</w:t>
      </w:r>
    </w:p>
    <w:p w14:paraId="0B4F97B9">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第一条　合同标的</w:t>
      </w:r>
    </w:p>
    <w:p w14:paraId="0892A7A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1.项目一览表</w:t>
      </w:r>
    </w:p>
    <w:tbl>
      <w:tblPr>
        <w:tblStyle w:val="31"/>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2507"/>
      </w:tblGrid>
      <w:tr w14:paraId="0DDB1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vAlign w:val="center"/>
          </w:tcPr>
          <w:p w14:paraId="3BB1ABC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213" w:type="dxa"/>
            <w:tcBorders>
              <w:top w:val="single" w:color="auto" w:sz="4" w:space="0"/>
              <w:left w:val="single" w:color="auto" w:sz="4" w:space="0"/>
              <w:bottom w:val="single" w:color="auto" w:sz="4" w:space="0"/>
              <w:right w:val="single" w:color="auto" w:sz="4" w:space="0"/>
            </w:tcBorders>
            <w:vAlign w:val="center"/>
          </w:tcPr>
          <w:p w14:paraId="63DECC5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名称</w:t>
            </w:r>
          </w:p>
        </w:tc>
        <w:tc>
          <w:tcPr>
            <w:tcW w:w="2400" w:type="dxa"/>
            <w:tcBorders>
              <w:top w:val="single" w:color="auto" w:sz="4" w:space="0"/>
              <w:left w:val="single" w:color="auto" w:sz="4" w:space="0"/>
              <w:bottom w:val="single" w:color="auto" w:sz="4" w:space="0"/>
              <w:right w:val="single" w:color="auto" w:sz="4" w:space="0"/>
            </w:tcBorders>
            <w:vAlign w:val="center"/>
          </w:tcPr>
          <w:p w14:paraId="683C020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服务内容</w:t>
            </w:r>
          </w:p>
        </w:tc>
        <w:tc>
          <w:tcPr>
            <w:tcW w:w="1320" w:type="dxa"/>
            <w:tcBorders>
              <w:top w:val="single" w:color="auto" w:sz="4" w:space="0"/>
              <w:left w:val="single" w:color="auto" w:sz="4" w:space="0"/>
              <w:bottom w:val="single" w:color="auto" w:sz="4" w:space="0"/>
              <w:right w:val="single" w:color="auto" w:sz="4" w:space="0"/>
            </w:tcBorders>
            <w:vAlign w:val="center"/>
          </w:tcPr>
          <w:p w14:paraId="3F30D71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数  量</w:t>
            </w:r>
          </w:p>
        </w:tc>
        <w:tc>
          <w:tcPr>
            <w:tcW w:w="1200" w:type="dxa"/>
            <w:tcBorders>
              <w:top w:val="single" w:color="auto" w:sz="4" w:space="0"/>
              <w:left w:val="single" w:color="auto" w:sz="4" w:space="0"/>
              <w:bottom w:val="single" w:color="auto" w:sz="4" w:space="0"/>
              <w:right w:val="single" w:color="auto" w:sz="4" w:space="0"/>
            </w:tcBorders>
            <w:vAlign w:val="center"/>
          </w:tcPr>
          <w:p w14:paraId="47197DB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2507" w:type="dxa"/>
            <w:tcBorders>
              <w:top w:val="single" w:color="auto" w:sz="4" w:space="0"/>
              <w:left w:val="single" w:color="auto" w:sz="4" w:space="0"/>
              <w:bottom w:val="single" w:color="auto" w:sz="4" w:space="0"/>
              <w:right w:val="single" w:color="auto" w:sz="4" w:space="0"/>
            </w:tcBorders>
            <w:vAlign w:val="center"/>
          </w:tcPr>
          <w:p w14:paraId="6C2B2850">
            <w:pPr>
              <w:spacing w:line="360" w:lineRule="auto"/>
              <w:jc w:val="center"/>
              <w:rPr>
                <w:rFonts w:ascii="宋体" w:hAnsi="宋体" w:cs="宋体"/>
                <w:color w:val="auto"/>
                <w:szCs w:val="21"/>
                <w:highlight w:val="none"/>
              </w:rPr>
            </w:pPr>
            <w:r>
              <w:rPr>
                <w:rFonts w:ascii="宋体" w:hAnsi="宋体" w:cs="宋体"/>
                <w:color w:val="auto"/>
                <w:szCs w:val="21"/>
                <w:highlight w:val="none"/>
              </w:rPr>
              <w:t>折扣率</w:t>
            </w:r>
          </w:p>
        </w:tc>
      </w:tr>
      <w:tr w14:paraId="0EEE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vAlign w:val="center"/>
          </w:tcPr>
          <w:p w14:paraId="77BF38A3">
            <w:pPr>
              <w:spacing w:line="360" w:lineRule="auto"/>
              <w:jc w:val="center"/>
              <w:rPr>
                <w:rFonts w:ascii="宋体" w:hAnsi="宋体" w:cs="宋体"/>
                <w:color w:val="auto"/>
                <w:szCs w:val="21"/>
                <w:highlight w:val="none"/>
              </w:rPr>
            </w:pPr>
          </w:p>
        </w:tc>
        <w:tc>
          <w:tcPr>
            <w:tcW w:w="1213" w:type="dxa"/>
            <w:tcBorders>
              <w:top w:val="single" w:color="auto" w:sz="4" w:space="0"/>
              <w:left w:val="single" w:color="auto" w:sz="4" w:space="0"/>
              <w:bottom w:val="single" w:color="auto" w:sz="4" w:space="0"/>
              <w:right w:val="single" w:color="auto" w:sz="4" w:space="0"/>
            </w:tcBorders>
            <w:vAlign w:val="center"/>
          </w:tcPr>
          <w:p w14:paraId="555E9C54">
            <w:pPr>
              <w:spacing w:line="360" w:lineRule="auto"/>
              <w:jc w:val="center"/>
              <w:rPr>
                <w:rFonts w:ascii="宋体" w:hAnsi="宋体" w:cs="宋体"/>
                <w:color w:val="auto"/>
                <w:szCs w:val="21"/>
                <w:highlight w:val="none"/>
              </w:rPr>
            </w:pPr>
          </w:p>
        </w:tc>
        <w:tc>
          <w:tcPr>
            <w:tcW w:w="2400" w:type="dxa"/>
            <w:tcBorders>
              <w:top w:val="single" w:color="auto" w:sz="4" w:space="0"/>
              <w:left w:val="single" w:color="auto" w:sz="4" w:space="0"/>
              <w:bottom w:val="single" w:color="auto" w:sz="4" w:space="0"/>
              <w:right w:val="single" w:color="auto" w:sz="4" w:space="0"/>
            </w:tcBorders>
            <w:vAlign w:val="center"/>
          </w:tcPr>
          <w:p w14:paraId="4D968505">
            <w:pPr>
              <w:spacing w:line="360" w:lineRule="auto"/>
              <w:jc w:val="center"/>
              <w:rPr>
                <w:rFonts w:ascii="宋体" w:hAnsi="宋体" w:cs="宋体"/>
                <w:color w:val="auto"/>
                <w:szCs w:val="21"/>
                <w:highlight w:val="none"/>
              </w:rPr>
            </w:pPr>
          </w:p>
        </w:tc>
        <w:tc>
          <w:tcPr>
            <w:tcW w:w="1320" w:type="dxa"/>
            <w:tcBorders>
              <w:top w:val="single" w:color="auto" w:sz="4" w:space="0"/>
              <w:left w:val="single" w:color="auto" w:sz="4" w:space="0"/>
              <w:bottom w:val="single" w:color="auto" w:sz="4" w:space="0"/>
              <w:right w:val="single" w:color="auto" w:sz="4" w:space="0"/>
            </w:tcBorders>
            <w:vAlign w:val="center"/>
          </w:tcPr>
          <w:p w14:paraId="3732B3B4">
            <w:pPr>
              <w:spacing w:line="360" w:lineRule="auto"/>
              <w:jc w:val="center"/>
              <w:rPr>
                <w:rFonts w:ascii="宋体" w:hAnsi="宋体" w:cs="宋体"/>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vAlign w:val="center"/>
          </w:tcPr>
          <w:p w14:paraId="1EA5E1ED">
            <w:pPr>
              <w:spacing w:line="360" w:lineRule="auto"/>
              <w:jc w:val="center"/>
              <w:rPr>
                <w:rFonts w:ascii="宋体" w:hAnsi="宋体" w:cs="宋体"/>
                <w:color w:val="auto"/>
                <w:szCs w:val="21"/>
                <w:highlight w:val="none"/>
              </w:rPr>
            </w:pPr>
          </w:p>
        </w:tc>
        <w:tc>
          <w:tcPr>
            <w:tcW w:w="2507" w:type="dxa"/>
            <w:tcBorders>
              <w:top w:val="single" w:color="auto" w:sz="4" w:space="0"/>
              <w:left w:val="single" w:color="auto" w:sz="4" w:space="0"/>
              <w:bottom w:val="single" w:color="auto" w:sz="4" w:space="0"/>
              <w:right w:val="single" w:color="auto" w:sz="4" w:space="0"/>
            </w:tcBorders>
            <w:vAlign w:val="center"/>
          </w:tcPr>
          <w:p w14:paraId="668CD906">
            <w:pPr>
              <w:spacing w:line="360" w:lineRule="auto"/>
              <w:jc w:val="center"/>
              <w:rPr>
                <w:rFonts w:ascii="宋体" w:hAnsi="宋体" w:cs="宋体"/>
                <w:color w:val="auto"/>
                <w:szCs w:val="21"/>
                <w:highlight w:val="none"/>
              </w:rPr>
            </w:pPr>
          </w:p>
        </w:tc>
      </w:tr>
    </w:tbl>
    <w:p w14:paraId="4543783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折扣率将作为食材或货物实际结算的合同折扣率，结算时以</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实际采购量进行结算。</w:t>
      </w:r>
    </w:p>
    <w:p w14:paraId="001F81FF">
      <w:pPr>
        <w:spacing w:line="360" w:lineRule="auto"/>
        <w:ind w:firstLine="420" w:firstLineChars="200"/>
        <w:jc w:val="left"/>
        <w:rPr>
          <w:rFonts w:hint="eastAsia" w:ascii="宋体" w:hAnsi="宋体" w:eastAsia="宋体" w:cs="宋体"/>
          <w:color w:val="auto"/>
          <w:highlight w:val="none"/>
          <w:lang w:eastAsia="zh-CN"/>
        </w:rPr>
      </w:pPr>
      <w:r>
        <w:rPr>
          <w:rFonts w:hint="eastAsia" w:ascii="宋体" w:hAnsi="宋体" w:cs="宋体"/>
          <w:color w:val="auto"/>
          <w:szCs w:val="21"/>
          <w:highlight w:val="none"/>
          <w:lang w:eastAsia="zh-CN"/>
        </w:rPr>
        <w:t>3.</w:t>
      </w:r>
      <w:r>
        <w:rPr>
          <w:rFonts w:hint="eastAsia" w:ascii="宋体" w:hAnsi="宋体" w:cs="宋体"/>
          <w:color w:val="auto"/>
          <w:highlight w:val="none"/>
        </w:rPr>
        <w:t>供货结算价格要随着市场的价格变化而变化，食品原料市场价格调查时间安排按照以下流程：</w:t>
      </w:r>
      <w:r>
        <w:rPr>
          <w:rFonts w:hint="eastAsia" w:ascii="宋体" w:hAnsi="宋体" w:eastAsia="宋体" w:cs="宋体"/>
          <w:color w:val="auto"/>
          <w:highlight w:val="none"/>
        </w:rPr>
        <w:t>以平南县物价部门每月发布的监测价格和平南县城大型超市、农贸市场同品质价格为参照依据</w:t>
      </w:r>
      <w:r>
        <w:rPr>
          <w:rFonts w:hint="eastAsia" w:ascii="宋体" w:hAnsi="宋体" w:eastAsia="宋体" w:cs="宋体"/>
          <w:color w:val="auto"/>
          <w:highlight w:val="none"/>
          <w:lang w:eastAsia="zh-CN"/>
        </w:rPr>
        <w:t>。</w:t>
      </w:r>
    </w:p>
    <w:p w14:paraId="3EA6E729">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)平南县物价部门每月发布的监测价格表上有对应品种价格的，</w:t>
      </w:r>
      <w:r>
        <w:rPr>
          <w:rFonts w:hint="eastAsia" w:ascii="宋体" w:hAnsi="宋体" w:cs="宋体"/>
          <w:color w:val="auto"/>
          <w:highlight w:val="none"/>
          <w:lang w:eastAsia="zh-CN"/>
        </w:rPr>
        <w:t>甲方</w:t>
      </w:r>
      <w:r>
        <w:rPr>
          <w:rFonts w:hint="eastAsia" w:ascii="宋体" w:hAnsi="宋体" w:eastAsia="宋体" w:cs="宋体"/>
          <w:color w:val="auto"/>
          <w:highlight w:val="none"/>
        </w:rPr>
        <w:t>与</w:t>
      </w:r>
      <w:r>
        <w:rPr>
          <w:rFonts w:hint="eastAsia" w:ascii="宋体" w:hAnsi="宋体" w:cs="宋体"/>
          <w:color w:val="auto"/>
          <w:highlight w:val="none"/>
          <w:lang w:eastAsia="zh-CN"/>
        </w:rPr>
        <w:t>乙方</w:t>
      </w:r>
      <w:r>
        <w:rPr>
          <w:rFonts w:hint="eastAsia" w:ascii="宋体" w:hAnsi="宋体" w:eastAsia="宋体" w:cs="宋体"/>
          <w:color w:val="auto"/>
          <w:highlight w:val="none"/>
        </w:rPr>
        <w:t>当月对应品种采购价格的结算按照县物价部门上一个月发布的监测价格表执行，结算时</w:t>
      </w:r>
      <w:r>
        <w:rPr>
          <w:rFonts w:hint="eastAsia" w:ascii="宋体" w:hAnsi="宋体" w:cs="宋体"/>
          <w:color w:val="auto"/>
          <w:highlight w:val="none"/>
          <w:lang w:eastAsia="zh-CN"/>
        </w:rPr>
        <w:t>乙方</w:t>
      </w:r>
      <w:r>
        <w:rPr>
          <w:rFonts w:hint="eastAsia" w:ascii="宋体" w:hAnsi="宋体" w:eastAsia="宋体" w:cs="宋体"/>
          <w:color w:val="auto"/>
          <w:highlight w:val="none"/>
        </w:rPr>
        <w:t>附上县物价部门上一个月发布的监测价格表给</w:t>
      </w:r>
      <w:r>
        <w:rPr>
          <w:rFonts w:hint="eastAsia" w:ascii="宋体" w:hAnsi="宋体" w:cs="宋体"/>
          <w:color w:val="auto"/>
          <w:highlight w:val="none"/>
          <w:lang w:eastAsia="zh-CN"/>
        </w:rPr>
        <w:t>甲方</w:t>
      </w:r>
      <w:r>
        <w:rPr>
          <w:rFonts w:hint="eastAsia" w:ascii="宋体" w:hAnsi="宋体" w:eastAsia="宋体" w:cs="宋体"/>
          <w:color w:val="auto"/>
          <w:highlight w:val="none"/>
        </w:rPr>
        <w:t>存档。</w:t>
      </w:r>
    </w:p>
    <w:p w14:paraId="6995D95C">
      <w:pPr>
        <w:spacing w:line="360" w:lineRule="auto"/>
        <w:ind w:firstLine="420" w:firstLineChars="200"/>
        <w:jc w:val="left"/>
        <w:rPr>
          <w:rFonts w:hint="eastAsia"/>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)平南县物价部门每月发布的监测价格表没有公布的食品和食材实行多方询价小组询价。教育局组织由教育局、市监局、配送企业代表、学校代表(每次</w:t>
      </w:r>
      <w:r>
        <w:rPr>
          <w:rFonts w:hint="eastAsia" w:ascii="宋体" w:hAnsi="宋体" w:cs="宋体"/>
          <w:color w:val="auto"/>
          <w:highlight w:val="none"/>
          <w:lang w:eastAsia="zh-CN"/>
        </w:rPr>
        <w:t>有三所以上</w:t>
      </w:r>
      <w:r>
        <w:rPr>
          <w:rFonts w:hint="eastAsia" w:ascii="宋体" w:hAnsi="宋体" w:eastAsia="宋体" w:cs="宋体"/>
          <w:color w:val="auto"/>
          <w:highlight w:val="none"/>
        </w:rPr>
        <w:t>学校派出的代表)、学校膳食安全委员会代表(每次不少于3人)组成的多方询价小组，可不定期邀请人大代表和政协委员代表监督到城区内大型</w:t>
      </w:r>
      <w:r>
        <w:rPr>
          <w:rFonts w:hint="eastAsia" w:ascii="宋体" w:hAnsi="宋体" w:cs="宋体"/>
          <w:color w:val="auto"/>
          <w:highlight w:val="none"/>
        </w:rPr>
        <w:t>超市对重要商品的价格进行采价，特价及促销价除外</w:t>
      </w:r>
      <w:r>
        <w:rPr>
          <w:rFonts w:hint="eastAsia" w:ascii="宋体" w:hAnsi="宋体" w:cs="宋体"/>
          <w:color w:val="auto"/>
          <w:highlight w:val="none"/>
          <w:lang w:eastAsia="zh-CN"/>
        </w:rPr>
        <w:t>，</w:t>
      </w:r>
      <w:r>
        <w:rPr>
          <w:rFonts w:hint="eastAsia" w:ascii="宋体" w:hAnsi="宋体" w:cs="宋体"/>
          <w:color w:val="auto"/>
          <w:highlight w:val="none"/>
        </w:rPr>
        <w:t>如大型超市没有配送的商品，则到城区的大型农贸市场采价。每月询价二次，上下半月不定期各询一次取二次询价的平均值作为</w:t>
      </w:r>
      <w:r>
        <w:rPr>
          <w:rFonts w:hint="eastAsia" w:ascii="宋体" w:hAnsi="宋体" w:cs="宋体"/>
          <w:color w:val="auto"/>
          <w:highlight w:val="none"/>
          <w:lang w:eastAsia="zh-CN"/>
        </w:rPr>
        <w:t>甲方</w:t>
      </w:r>
      <w:r>
        <w:rPr>
          <w:rFonts w:hint="eastAsia" w:ascii="宋体" w:hAnsi="宋体" w:cs="宋体"/>
          <w:color w:val="auto"/>
          <w:highlight w:val="none"/>
        </w:rPr>
        <w:t>和</w:t>
      </w:r>
      <w:r>
        <w:rPr>
          <w:rFonts w:hint="eastAsia" w:ascii="宋体" w:hAnsi="宋体" w:cs="宋体"/>
          <w:color w:val="auto"/>
          <w:highlight w:val="none"/>
          <w:lang w:eastAsia="zh-CN"/>
        </w:rPr>
        <w:t>乙方</w:t>
      </w:r>
      <w:r>
        <w:rPr>
          <w:rFonts w:hint="eastAsia" w:ascii="宋体" w:hAnsi="宋体" w:cs="宋体"/>
          <w:color w:val="auto"/>
          <w:highlight w:val="none"/>
        </w:rPr>
        <w:t>确定下一个月食材结算价格且实行全县统一价格。</w:t>
      </w:r>
    </w:p>
    <w:p w14:paraId="60497C81">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3</w:t>
      </w:r>
      <w:r>
        <w:rPr>
          <w:rFonts w:hint="eastAsia" w:ascii="宋体" w:hAnsi="宋体" w:cs="宋体"/>
          <w:color w:val="auto"/>
          <w:highlight w:val="none"/>
          <w:lang w:eastAsia="zh-CN"/>
        </w:rPr>
        <w:t>）乙方以</w:t>
      </w:r>
      <w:r>
        <w:rPr>
          <w:rFonts w:hint="eastAsia" w:ascii="宋体" w:hAnsi="宋体" w:eastAsia="宋体" w:cs="宋体"/>
          <w:color w:val="auto"/>
          <w:highlight w:val="none"/>
        </w:rPr>
        <w:t>平南县物价部门每月发布的监测价格和平南县城大型超市、农贸市场同品质价格为参照依据</w:t>
      </w:r>
      <w:r>
        <w:rPr>
          <w:rFonts w:hint="eastAsia" w:ascii="宋体" w:hAnsi="宋体" w:cs="宋体"/>
          <w:color w:val="auto"/>
          <w:highlight w:val="none"/>
        </w:rPr>
        <w:t>，并根据规定在参考价格的基础上进行</w:t>
      </w:r>
      <w:r>
        <w:rPr>
          <w:rFonts w:hint="eastAsia" w:ascii="宋体" w:hAnsi="宋体" w:cs="宋体"/>
          <w:b/>
          <w:bCs/>
          <w:color w:val="auto"/>
          <w:highlight w:val="none"/>
          <w:lang w:eastAsia="zh-CN"/>
        </w:rPr>
        <w:t>“价格90%以下折扣”（按实际成交折扣率为准</w:t>
      </w:r>
      <w:r>
        <w:rPr>
          <w:rFonts w:hint="eastAsia" w:ascii="宋体" w:hAnsi="宋体" w:cs="宋体"/>
          <w:color w:val="auto"/>
          <w:highlight w:val="none"/>
          <w:lang w:eastAsia="zh-CN"/>
        </w:rPr>
        <w:t>）</w:t>
      </w:r>
      <w:r>
        <w:rPr>
          <w:rFonts w:hint="eastAsia" w:ascii="宋体" w:hAnsi="宋体" w:cs="宋体"/>
          <w:color w:val="auto"/>
          <w:highlight w:val="none"/>
        </w:rPr>
        <w:t>，在</w:t>
      </w:r>
      <w:r>
        <w:rPr>
          <w:rFonts w:hint="eastAsia" w:ascii="宋体" w:hAnsi="宋体" w:cs="宋体"/>
          <w:color w:val="auto"/>
          <w:highlight w:val="none"/>
          <w:lang w:eastAsia="zh-CN"/>
        </w:rPr>
        <w:t>每</w:t>
      </w:r>
      <w:r>
        <w:rPr>
          <w:rFonts w:hint="eastAsia" w:ascii="宋体" w:hAnsi="宋体" w:cs="宋体"/>
          <w:color w:val="auto"/>
          <w:highlight w:val="none"/>
        </w:rPr>
        <w:t>月30</w:t>
      </w:r>
      <w:r>
        <w:rPr>
          <w:rFonts w:hint="eastAsia" w:ascii="宋体" w:hAnsi="宋体" w:cs="宋体"/>
          <w:color w:val="auto"/>
          <w:highlight w:val="none"/>
          <w:lang w:eastAsia="zh-CN"/>
        </w:rPr>
        <w:t>日前形成下一个月甲方学生食</w:t>
      </w:r>
      <w:r>
        <w:rPr>
          <w:rFonts w:hint="eastAsia" w:ascii="宋体" w:hAnsi="宋体" w:cs="宋体"/>
          <w:color w:val="auto"/>
          <w:highlight w:val="none"/>
        </w:rPr>
        <w:t>堂食品及食材结算价格表。基准价不能高于市场上的最高价，如果价格不能协商确定的，供应商暂停供应该食材，对不按时、不按质、不按量、不按单配送到位的，</w:t>
      </w:r>
      <w:r>
        <w:rPr>
          <w:rFonts w:hint="eastAsia" w:ascii="宋体" w:hAnsi="宋体" w:cs="宋体"/>
          <w:color w:val="auto"/>
          <w:highlight w:val="none"/>
          <w:lang w:eastAsia="zh-CN"/>
        </w:rPr>
        <w:t>采购人有启动应急预案的权利（遇不可抗力除外</w:t>
      </w:r>
      <w:r>
        <w:rPr>
          <w:rFonts w:hint="eastAsia" w:ascii="宋体" w:hAnsi="宋体" w:cs="宋体"/>
          <w:color w:val="auto"/>
          <w:highlight w:val="none"/>
        </w:rPr>
        <w:t>），从其他</w:t>
      </w:r>
      <w:r>
        <w:rPr>
          <w:rFonts w:hint="eastAsia" w:ascii="宋体" w:hAnsi="宋体" w:cs="宋体"/>
          <w:color w:val="auto"/>
          <w:highlight w:val="none"/>
          <w:lang w:eastAsia="zh-CN"/>
        </w:rPr>
        <w:t>供应商</w:t>
      </w:r>
      <w:r>
        <w:rPr>
          <w:rFonts w:hint="eastAsia" w:ascii="宋体" w:hAnsi="宋体" w:cs="宋体"/>
          <w:color w:val="auto"/>
          <w:highlight w:val="none"/>
        </w:rPr>
        <w:t>或具有保证食品安全的供应商采购。</w:t>
      </w:r>
    </w:p>
    <w:p w14:paraId="0D2292D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4.合同合计金额包括但不限于满足本次</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全部采购需求所应提供的服务，以及伴随的货物和工程（如有）的价格；包含</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服务、货物、工程的成本、运输（含保险）、安装（如有）、调试、检验、技术服务、培训、税费等所有费用。如</w:t>
      </w:r>
      <w:r>
        <w:rPr>
          <w:rFonts w:hint="eastAsia" w:ascii="宋体" w:hAnsi="宋体" w:cs="宋体"/>
          <w:color w:val="auto"/>
          <w:szCs w:val="21"/>
          <w:highlight w:val="none"/>
          <w:lang w:eastAsia="zh-CN"/>
        </w:rPr>
        <w:t>采购文件</w:t>
      </w:r>
      <w:r>
        <w:rPr>
          <w:rFonts w:hint="eastAsia" w:ascii="宋体" w:hAnsi="宋体" w:cs="宋体"/>
          <w:color w:val="auto"/>
          <w:szCs w:val="21"/>
          <w:highlight w:val="none"/>
        </w:rPr>
        <w:t>对其另有规定的，从其规定。</w:t>
      </w:r>
    </w:p>
    <w:p w14:paraId="286AAED5">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第二条　质量保证</w:t>
      </w:r>
    </w:p>
    <w:p w14:paraId="5EA798C1">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1.乙方供应的食材或货物必须达到国家标准；乙方提供食材或货物样本，同时对每批次食品原料进行检测，具有食品安监部门或国家承认的检测机构出具的检测报告（同批次），供货时提供。</w:t>
      </w:r>
    </w:p>
    <w:p w14:paraId="606B8388">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前未购买食品安全责任保险的，在签订合同后一个月内必须到相关的保险公司进行投保，投保险种为食品安全责任保险，否则甲方有权</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合同。服务期间保险到期的，应按照不低于原</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承诺保额进行续保至服务期满。</w:t>
      </w:r>
    </w:p>
    <w:p w14:paraId="32977A9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3.甲方负责定期或不定期组织市场监管、卫健委等部门进行食品质量卫生监督检查，以确保所供食材或货物质量。</w:t>
      </w:r>
    </w:p>
    <w:p w14:paraId="6D7AD85B">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第三条　权利保证</w:t>
      </w:r>
    </w:p>
    <w:p w14:paraId="6AD2538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1.乙方应保证所提供服务在使用时不会侵犯任何第三方的专利权、商标权、工业设计权等知识产权及其他合法权利，且所有权、处分权等没有受到任何限制。</w:t>
      </w:r>
    </w:p>
    <w:p w14:paraId="3C4660A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628402DD">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第四条　交付和验收</w:t>
      </w:r>
    </w:p>
    <w:p w14:paraId="62A1CEF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1.服务期限：</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；服务地点：</w:t>
      </w:r>
      <w:r>
        <w:rPr>
          <w:rFonts w:hint="eastAsia" w:ascii="宋体" w:hAnsi="宋体" w:cs="宋体"/>
          <w:color w:val="auto"/>
          <w:szCs w:val="21"/>
          <w:highlight w:val="none"/>
          <w:u w:val="single"/>
        </w:rPr>
        <w:t xml:space="preserve"> 甲方指定地点</w:t>
      </w:r>
      <w:r>
        <w:rPr>
          <w:rFonts w:ascii="宋体" w:hAnsi="宋体" w:cs="宋体"/>
          <w:color w:val="auto"/>
          <w:szCs w:val="21"/>
          <w:highlight w:val="none"/>
          <w:u w:val="single"/>
        </w:rPr>
        <w:t xml:space="preserve"> </w:t>
      </w:r>
      <w:r>
        <w:rPr>
          <w:rFonts w:hint="eastAsia" w:ascii="宋体" w:hAnsi="宋体" w:cs="宋体"/>
          <w:color w:val="auto"/>
          <w:szCs w:val="21"/>
          <w:highlight w:val="none"/>
        </w:rPr>
        <w:t>；交货方式：一般供货要求：</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420A40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2.乙方应按</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文件的承诺向甲方提供相应的服务，并提供所服务内容的相关技术资料。</w:t>
      </w:r>
    </w:p>
    <w:p w14:paraId="09949BB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3.乙方提供不符合</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文件和本合同规定的服务成果，甲方有权拒绝接受。</w:t>
      </w:r>
    </w:p>
    <w:p w14:paraId="45367CC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乙方完成配送服务后应及时书面通知甲方进行最终验收，甲方应在收到通知后七个工作日内进行合同最终验收，逾期不开始验收的，乙方可视同验收合格。最终验收合格后由甲乙双方签署验收单并加盖甲方公章，甲乙双方各执一份。</w:t>
      </w:r>
    </w:p>
    <w:p w14:paraId="2114C75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5.甲乙双方应按照《广西壮族自治区政府采购项目履约验收管理办法》、双方合同、</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文件进行最终验收。</w:t>
      </w:r>
    </w:p>
    <w:p w14:paraId="55D8C1E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6.甲方在当批次验收或者初步验收或者最终验收过程中如发现乙方提供的服务成果不满足</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文件及本合同规定的，可暂缓向乙方付款，直到乙方及时完善并提交相应的服务成果且经甲方验收合格后，方可办理付款。</w:t>
      </w:r>
    </w:p>
    <w:p w14:paraId="33852EC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7.甲方最终验收时以书面形式提出异议的，乙方应自收到甲方书面异议后五个工作日内及时予以解决，否则甲方有权不出具服务最终验收合格单。</w:t>
      </w:r>
    </w:p>
    <w:p w14:paraId="6CAE2C8C">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第五条  售后服务及培训</w:t>
      </w:r>
    </w:p>
    <w:p w14:paraId="79EB107E">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1.乙方应按照国家有关法律法规和本合同所附的《商务要求偏离表》要求为甲方提供相应的售后服务。</w:t>
      </w:r>
    </w:p>
    <w:p w14:paraId="3BDA279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2.甲方应提供必要测试条件（如场地、电源、水源等）。</w:t>
      </w:r>
    </w:p>
    <w:p w14:paraId="52CD522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3.乙方负责甲方有关人员的培训。培训时间、地点：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w:t>
      </w:r>
    </w:p>
    <w:p w14:paraId="30AD17F6">
      <w:pPr>
        <w:snapToGrid w:val="0"/>
        <w:spacing w:line="360" w:lineRule="auto"/>
        <w:ind w:firstLine="422" w:firstLineChars="200"/>
        <w:rPr>
          <w:rFonts w:ascii="宋体" w:hAnsi="宋体" w:cs="宋体"/>
          <w:color w:val="auto"/>
          <w:szCs w:val="21"/>
          <w:highlight w:val="none"/>
          <w:u w:val="single"/>
        </w:rPr>
      </w:pPr>
      <w:r>
        <w:rPr>
          <w:rFonts w:hint="eastAsia" w:ascii="宋体" w:hAnsi="宋体" w:cs="宋体"/>
          <w:b/>
          <w:color w:val="auto"/>
          <w:szCs w:val="21"/>
          <w:highlight w:val="none"/>
        </w:rPr>
        <w:t>第六条　付款方式</w:t>
      </w:r>
    </w:p>
    <w:p w14:paraId="601A7A4C">
      <w:pPr>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甲乙双方同意本合同金额的支付按以下第</w:t>
      </w:r>
      <w:r>
        <w:rPr>
          <w:rFonts w:hint="eastAsia" w:ascii="宋体" w:hAnsi="宋体"/>
          <w:color w:val="auto"/>
          <w:szCs w:val="21"/>
          <w:highlight w:val="none"/>
          <w:u w:val="single"/>
        </w:rPr>
        <w:t>2</w:t>
      </w:r>
      <w:r>
        <w:rPr>
          <w:rFonts w:hint="eastAsia" w:ascii="宋体" w:hAnsi="宋体"/>
          <w:color w:val="auto"/>
          <w:szCs w:val="21"/>
          <w:highlight w:val="none"/>
        </w:rPr>
        <w:t>项约定执行：</w:t>
      </w:r>
    </w:p>
    <w:p w14:paraId="67D59CA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1.一次性支付</w:t>
      </w:r>
    </w:p>
    <w:p w14:paraId="70FBC94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2.分期支付</w:t>
      </w:r>
    </w:p>
    <w:p w14:paraId="2E106D24">
      <w:pPr>
        <w:spacing w:line="360" w:lineRule="auto"/>
        <w:ind w:firstLine="420" w:firstLineChars="200"/>
        <w:rPr>
          <w:rFonts w:ascii="宋体" w:hAnsi="宋体"/>
          <w:color w:val="auto"/>
          <w:szCs w:val="21"/>
          <w:highlight w:val="none"/>
        </w:rPr>
      </w:pPr>
      <w:r>
        <w:rPr>
          <w:rFonts w:hint="eastAsia"/>
          <w:bCs/>
          <w:color w:val="auto"/>
          <w:highlight w:val="none"/>
        </w:rPr>
        <w:t>一般情况下甲方按月进行结算，采购资金由甲方财务账户转入乙方账户。每月25日前，乙方向甲方开具上一月份月度供货相应数额的发票（农副产品免税的开具免税发票），甲方收到发票后15个工作日内支付。特殊情况，需临时改变结算方式，双方可通过协商解决</w:t>
      </w:r>
      <w:r>
        <w:rPr>
          <w:rFonts w:hint="eastAsia" w:ascii="宋体" w:hAnsi="宋体"/>
          <w:color w:val="auto"/>
          <w:szCs w:val="21"/>
          <w:highlight w:val="none"/>
        </w:rPr>
        <w:t>。</w:t>
      </w:r>
    </w:p>
    <w:p w14:paraId="104F3D3A">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第七条　履约保证金</w:t>
      </w:r>
    </w:p>
    <w:p w14:paraId="330DEEB9">
      <w:pPr>
        <w:spacing w:line="360" w:lineRule="auto"/>
        <w:rPr>
          <w:rFonts w:hint="eastAsia" w:ascii="宋体" w:hAnsi="宋体" w:cs="宋体"/>
          <w:color w:val="auto"/>
          <w:highlight w:val="none"/>
        </w:rPr>
      </w:pPr>
      <w:r>
        <w:rPr>
          <w:rFonts w:hint="eastAsia" w:ascii="宋体" w:hAnsi="宋体" w:cs="宋体"/>
          <w:color w:val="auto"/>
          <w:highlight w:val="none"/>
        </w:rPr>
        <w:t>履约保证金金额：</w:t>
      </w:r>
      <w:r>
        <w:rPr>
          <w:rFonts w:hint="eastAsia" w:ascii="宋体" w:hAnsi="宋体" w:cs="宋体"/>
          <w:color w:val="auto"/>
          <w:highlight w:val="none"/>
        </w:rPr>
        <w:t>人民币</w:t>
      </w:r>
      <w:r>
        <w:rPr>
          <w:rFonts w:hint="eastAsia" w:ascii="宋体" w:hAnsi="宋体" w:cs="宋体"/>
          <w:color w:val="auto"/>
          <w:highlight w:val="none"/>
          <w:lang w:eastAsia="zh-CN"/>
        </w:rPr>
        <w:t>贰万伍仟元整(¥25000.00）</w:t>
      </w:r>
      <w:r>
        <w:rPr>
          <w:rFonts w:hint="eastAsia" w:ascii="宋体" w:hAnsi="宋体" w:cs="宋体"/>
          <w:color w:val="auto"/>
          <w:highlight w:val="none"/>
        </w:rPr>
        <w:t>。</w:t>
      </w:r>
    </w:p>
    <w:p w14:paraId="0F3FA58C">
      <w:pPr>
        <w:spacing w:line="360" w:lineRule="auto"/>
        <w:rPr>
          <w:rFonts w:hint="eastAsia" w:ascii="宋体" w:hAnsi="宋体" w:cs="宋体"/>
          <w:color w:val="auto"/>
          <w:highlight w:val="none"/>
        </w:rPr>
      </w:pPr>
      <w:r>
        <w:rPr>
          <w:rFonts w:hint="eastAsia" w:ascii="宋体" w:hAnsi="宋体" w:cs="宋体"/>
          <w:color w:val="auto"/>
          <w:highlight w:val="none"/>
        </w:rPr>
        <w:t>履约保证金递交方式：转账或电汇等非现金形式。</w:t>
      </w:r>
    </w:p>
    <w:p w14:paraId="6F317CCE">
      <w:pPr>
        <w:spacing w:line="360" w:lineRule="auto"/>
        <w:rPr>
          <w:rFonts w:hint="eastAsia" w:ascii="宋体" w:hAnsi="宋体" w:cs="宋体"/>
          <w:color w:val="auto"/>
          <w:highlight w:val="none"/>
        </w:rPr>
      </w:pPr>
      <w:r>
        <w:rPr>
          <w:rFonts w:hint="eastAsia" w:ascii="宋体" w:hAnsi="宋体" w:cs="宋体"/>
          <w:color w:val="auto"/>
          <w:highlight w:val="none"/>
        </w:rPr>
        <w:t>履约保证金退付方式、时间及条件：</w:t>
      </w:r>
    </w:p>
    <w:p w14:paraId="337B1C2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合同签订前，乙方按</w:t>
      </w:r>
      <w:r>
        <w:rPr>
          <w:rFonts w:hint="eastAsia" w:ascii="宋体" w:hAnsi="宋体" w:cs="宋体"/>
          <w:color w:val="auto"/>
          <w:highlight w:val="none"/>
          <w:lang w:eastAsia="zh-CN"/>
        </w:rPr>
        <w:t>要求</w:t>
      </w:r>
      <w:r>
        <w:rPr>
          <w:rFonts w:hint="eastAsia" w:ascii="宋体" w:hAnsi="宋体" w:cs="宋体"/>
          <w:color w:val="auto"/>
          <w:highlight w:val="none"/>
        </w:rPr>
        <w:t>向甲方指定账户交纳履约保证金。乙方按照合同要求完成服务工作，合同期满，经甲方验收合格后，履约保证金全额退回（不计利息）。</w:t>
      </w:r>
    </w:p>
    <w:p w14:paraId="3B7BE4F3">
      <w:pPr>
        <w:pStyle w:val="17"/>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履约保证金指定账户：</w:t>
      </w:r>
    </w:p>
    <w:p w14:paraId="5D4E5396">
      <w:pPr>
        <w:pStyle w:val="17"/>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 xml:space="preserve">账户全称： </w:t>
      </w:r>
    </w:p>
    <w:p w14:paraId="0C9D5C8F">
      <w:pPr>
        <w:pStyle w:val="17"/>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 xml:space="preserve">账  号： </w:t>
      </w:r>
    </w:p>
    <w:p w14:paraId="2ECA1DCE">
      <w:pPr>
        <w:pStyle w:val="17"/>
        <w:spacing w:line="360" w:lineRule="auto"/>
        <w:ind w:firstLine="420" w:firstLineChars="200"/>
        <w:contextualSpacing/>
        <w:rPr>
          <w:color w:val="auto"/>
          <w:highlight w:val="none"/>
        </w:rPr>
      </w:pPr>
      <w:r>
        <w:rPr>
          <w:rFonts w:hint="eastAsia" w:hAnsi="宋体" w:cs="宋体"/>
          <w:color w:val="auto"/>
          <w:sz w:val="21"/>
          <w:highlight w:val="none"/>
        </w:rPr>
        <w:t>开户行：</w:t>
      </w:r>
      <w:r>
        <w:rPr>
          <w:rFonts w:hint="eastAsia" w:hAnsi="宋体" w:cs="宋体"/>
          <w:color w:val="auto"/>
          <w:sz w:val="21"/>
          <w:highlight w:val="none"/>
        </w:rPr>
        <w:t xml:space="preserve"> </w:t>
      </w:r>
    </w:p>
    <w:p w14:paraId="1DC2E0AB">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第八条  税费</w:t>
      </w:r>
    </w:p>
    <w:p w14:paraId="169C237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本合同执行中相关的一切税费均由乙方负担，合同另有约定的除外。</w:t>
      </w:r>
    </w:p>
    <w:p w14:paraId="41AABDF6">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第九条　违约责任</w:t>
      </w:r>
    </w:p>
    <w:p w14:paraId="2EC299DD">
      <w:pPr>
        <w:snapToGrid w:val="0"/>
        <w:spacing w:line="360" w:lineRule="auto"/>
        <w:ind w:firstLine="420" w:firstLineChars="200"/>
        <w:jc w:val="left"/>
        <w:rPr>
          <w:rFonts w:hint="eastAsia" w:ascii="宋体" w:hAnsi="宋体" w:cs="Arial"/>
          <w:bCs/>
          <w:color w:val="auto"/>
          <w:szCs w:val="21"/>
          <w:highlight w:val="none"/>
        </w:rPr>
      </w:pPr>
      <w:r>
        <w:rPr>
          <w:rFonts w:hint="eastAsia" w:ascii="宋体" w:hAnsi="宋体" w:cs="宋体"/>
          <w:color w:val="auto"/>
          <w:szCs w:val="21"/>
          <w:highlight w:val="none"/>
        </w:rPr>
        <w:t>1.</w:t>
      </w:r>
      <w:r>
        <w:rPr>
          <w:rFonts w:hint="eastAsia"/>
          <w:color w:val="auto"/>
          <w:highlight w:val="none"/>
        </w:rPr>
        <w:t>乙</w:t>
      </w:r>
      <w:r>
        <w:rPr>
          <w:rFonts w:hint="eastAsia" w:ascii="宋体" w:hAnsi="宋体" w:cs="Arial"/>
          <w:bCs/>
          <w:color w:val="auto"/>
          <w:szCs w:val="21"/>
          <w:highlight w:val="none"/>
        </w:rPr>
        <w:t>方提供假冒伪劣、过期、变质食品的，甲方有权要求无条件退货并及时换货，首次发现违约行为的乙方按违约货款额 5% 收取违约金并赔偿经济损失；第二次发现违约行为的乙方按违约货款额 10% 收取违约金并赔偿经济损失，由甲方在履约保证金</w:t>
      </w:r>
      <w:r>
        <w:rPr>
          <w:rFonts w:hint="eastAsia"/>
          <w:color w:val="auto"/>
          <w:highlight w:val="none"/>
        </w:rPr>
        <w:t>中</w:t>
      </w:r>
      <w:r>
        <w:rPr>
          <w:rFonts w:hint="eastAsia" w:ascii="宋体" w:hAnsi="宋体" w:cs="Arial"/>
          <w:bCs/>
          <w:color w:val="auto"/>
          <w:szCs w:val="21"/>
          <w:highlight w:val="none"/>
        </w:rPr>
        <w:t>扣除，履约保证金不足的可以从乙方货款中扣除，同时甲方可以解除合同。乙方累计发生3次违约行为或乙方因重大过错给甲方造成损失的，甲方有权解除合同，履约保证金不予退还，且乙方应赔偿甲方损失。甲方因合同解除需重新组织采购的，在采购人确定新的供应商前，甲方有权向第三方临时采购货物，期间采购货物所增加的费用（高于原</w:t>
      </w:r>
      <w:r>
        <w:rPr>
          <w:rFonts w:hint="eastAsia" w:ascii="宋体" w:hAnsi="宋体" w:cs="Arial"/>
          <w:bCs/>
          <w:color w:val="auto"/>
          <w:szCs w:val="21"/>
          <w:highlight w:val="none"/>
          <w:lang w:eastAsia="zh-CN"/>
        </w:rPr>
        <w:t>成交</w:t>
      </w:r>
      <w:r>
        <w:rPr>
          <w:rFonts w:hint="eastAsia" w:ascii="宋体" w:hAnsi="宋体" w:cs="Arial"/>
          <w:bCs/>
          <w:color w:val="auto"/>
          <w:szCs w:val="21"/>
          <w:highlight w:val="none"/>
        </w:rPr>
        <w:t>单价的）由乙方承担。</w:t>
      </w:r>
    </w:p>
    <w:p w14:paraId="0934F400">
      <w:pPr>
        <w:snapToGrid w:val="0"/>
        <w:spacing w:line="360" w:lineRule="auto"/>
        <w:ind w:firstLine="210" w:firstLineChars="100"/>
        <w:rPr>
          <w:rFonts w:hint="eastAsia" w:ascii="宋体" w:hAnsi="宋体" w:cs="Arial"/>
          <w:bCs/>
          <w:color w:val="auto"/>
          <w:szCs w:val="21"/>
          <w:highlight w:val="none"/>
        </w:rPr>
      </w:pPr>
      <w:r>
        <w:rPr>
          <w:rFonts w:hint="eastAsia" w:ascii="宋体" w:hAnsi="宋体" w:cs="Arial"/>
          <w:bCs/>
          <w:color w:val="auto"/>
          <w:szCs w:val="21"/>
          <w:highlight w:val="none"/>
        </w:rPr>
        <w:t>2.乙方若提供有毒有害食品，造成食品安全事故的，经有关单位鉴定原因后，如确实为乙方提供的食品问题，乙方须负担全额的住院费、医药费、护理费、护工费等全部费用，甲方将取消乙方的供货资格，没收其履约保证金，乙方同时承担相应的民事及刑事法律责任及放弃先诉抗辩权。甲方可以扣留乙方的货款用于支付乙方负担的住院费、医药费、护理费、护工费等费用。</w:t>
      </w:r>
    </w:p>
    <w:p w14:paraId="3AE18452">
      <w:pPr>
        <w:snapToGrid w:val="0"/>
        <w:spacing w:line="360" w:lineRule="auto"/>
        <w:ind w:firstLine="210" w:firstLineChars="100"/>
        <w:rPr>
          <w:rFonts w:hint="eastAsia" w:ascii="宋体" w:hAnsi="宋体" w:cs="Arial"/>
          <w:bCs/>
          <w:color w:val="auto"/>
          <w:szCs w:val="21"/>
          <w:highlight w:val="none"/>
        </w:rPr>
      </w:pPr>
      <w:r>
        <w:rPr>
          <w:rFonts w:hint="eastAsia" w:ascii="宋体" w:hAnsi="宋体" w:cs="Arial"/>
          <w:bCs/>
          <w:color w:val="auto"/>
          <w:szCs w:val="21"/>
          <w:highlight w:val="none"/>
        </w:rPr>
        <w:t>3.乙方故意提供假冒伪劣、过期、变质产品的，采购人可以拒付未付的所有货款，并没收所有履约保证金，同时甲方有权</w:t>
      </w:r>
      <w:r>
        <w:rPr>
          <w:rFonts w:hint="eastAsia" w:ascii="宋体" w:hAnsi="宋体" w:cs="Arial"/>
          <w:bCs/>
          <w:color w:val="auto"/>
          <w:szCs w:val="21"/>
          <w:highlight w:val="none"/>
          <w:lang w:eastAsia="zh-CN"/>
        </w:rPr>
        <w:t>依法终止</w:t>
      </w:r>
      <w:r>
        <w:rPr>
          <w:rFonts w:hint="eastAsia" w:ascii="宋体" w:hAnsi="宋体" w:cs="Arial"/>
          <w:bCs/>
          <w:color w:val="auto"/>
          <w:szCs w:val="21"/>
          <w:highlight w:val="none"/>
        </w:rPr>
        <w:t>合同。</w:t>
      </w:r>
    </w:p>
    <w:p w14:paraId="1115435E">
      <w:pPr>
        <w:snapToGrid w:val="0"/>
        <w:spacing w:line="360" w:lineRule="auto"/>
        <w:ind w:firstLine="420" w:firstLineChars="200"/>
        <w:rPr>
          <w:rFonts w:hint="eastAsia" w:ascii="宋体" w:hAnsi="宋体" w:cs="宋体"/>
          <w:bCs/>
          <w:color w:val="auto"/>
          <w:szCs w:val="21"/>
          <w:highlight w:val="none"/>
        </w:rPr>
      </w:pPr>
      <w:r>
        <w:rPr>
          <w:rFonts w:hint="eastAsia" w:ascii="宋体" w:hAnsi="宋体" w:cs="Arial"/>
          <w:bCs/>
          <w:color w:val="auto"/>
          <w:szCs w:val="21"/>
          <w:highlight w:val="none"/>
        </w:rPr>
        <w:t>4.</w:t>
      </w:r>
      <w:r>
        <w:rPr>
          <w:rFonts w:hint="eastAsia" w:ascii="宋体" w:hAnsi="宋体" w:cs="宋体"/>
          <w:bCs/>
          <w:color w:val="auto"/>
          <w:szCs w:val="21"/>
          <w:highlight w:val="none"/>
        </w:rPr>
        <w:t>乙方涉及违约的违约金和损失赔偿由甲方从履约保证金中扣减，乙方在15个工作日内补足履约保证金。乙方未按要求补足履约保证金的，甲方有权取消合同并按合同金额10% 收取乙方违约金。</w:t>
      </w:r>
    </w:p>
    <w:p w14:paraId="27C3807E">
      <w:pPr>
        <w:snapToGrid w:val="0"/>
        <w:spacing w:line="360" w:lineRule="auto"/>
        <w:ind w:firstLine="420" w:firstLineChars="200"/>
        <w:rPr>
          <w:rFonts w:hint="eastAsia"/>
          <w:color w:val="auto"/>
          <w:highlight w:val="none"/>
        </w:rPr>
      </w:pPr>
      <w:r>
        <w:rPr>
          <w:rFonts w:hint="eastAsia" w:ascii="宋体" w:hAnsi="宋体" w:cs="宋体"/>
          <w:color w:val="auto"/>
          <w:szCs w:val="21"/>
          <w:highlight w:val="none"/>
        </w:rPr>
        <w:t>5.因政策变动或其他人力不可抗拒原因导致合同无法履行的，任何一方不负违约责任。</w:t>
      </w:r>
    </w:p>
    <w:p w14:paraId="0AED6269">
      <w:pPr>
        <w:spacing w:line="360" w:lineRule="auto"/>
        <w:ind w:firstLine="422" w:firstLineChars="200"/>
        <w:rPr>
          <w:rFonts w:hint="eastAsia" w:ascii="宋体" w:hAnsi="宋体"/>
          <w:color w:val="auto"/>
          <w:szCs w:val="21"/>
          <w:highlight w:val="none"/>
        </w:rPr>
      </w:pPr>
      <w:r>
        <w:rPr>
          <w:rFonts w:hint="eastAsia" w:ascii="宋体" w:hAnsi="宋体" w:cs="宋体"/>
          <w:b/>
          <w:color w:val="auto"/>
          <w:szCs w:val="21"/>
          <w:highlight w:val="none"/>
        </w:rPr>
        <w:t>第十条　</w:t>
      </w:r>
      <w:r>
        <w:rPr>
          <w:rFonts w:hint="eastAsia" w:ascii="宋体" w:hAnsi="宋体"/>
          <w:b/>
          <w:color w:val="auto"/>
          <w:szCs w:val="21"/>
          <w:highlight w:val="none"/>
        </w:rPr>
        <w:t>监督办法与退出机制</w:t>
      </w:r>
    </w:p>
    <w:p w14:paraId="39F83C19">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有下列第（</w:t>
      </w:r>
      <w:r>
        <w:rPr>
          <w:rFonts w:hint="eastAsia" w:ascii="宋体" w:hAnsi="宋体" w:cs="宋体"/>
          <w:color w:val="auto"/>
          <w:szCs w:val="21"/>
          <w:highlight w:val="none"/>
          <w:lang w:eastAsia="zh-CN"/>
        </w:rPr>
        <w:t>1）、（2）、（3）、（12）、（13）、（14）</w:t>
      </w:r>
      <w:r>
        <w:rPr>
          <w:rFonts w:hint="eastAsia" w:ascii="宋体" w:hAnsi="宋体" w:cs="宋体"/>
          <w:color w:val="auto"/>
          <w:szCs w:val="21"/>
          <w:highlight w:val="none"/>
        </w:rPr>
        <w:t>情况之一的，</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停止</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供应资格，有除上述序号以外其他下列情况之一的，</w:t>
      </w:r>
      <w:r>
        <w:rPr>
          <w:rFonts w:hint="eastAsia" w:ascii="宋体" w:hAnsi="宋体" w:eastAsia="宋体" w:cs="宋体"/>
          <w:color w:val="auto"/>
          <w:szCs w:val="21"/>
          <w:highlight w:val="none"/>
        </w:rPr>
        <w:t>经核查属实，</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约谈</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，责令整改，整改不到位或一个学期同一问题发生达二次（含二次）以上的，</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有权单方面解除与</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签订的采购协议并由</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承担由此造成</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一切损失，</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启动应急预案。</w:t>
      </w:r>
    </w:p>
    <w:p w14:paraId="4A627C23">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（1）违反食品安全法律法规，被市场监管部门吊销或注销食品生产或食品经营许可证的</w:t>
      </w:r>
      <w:r>
        <w:rPr>
          <w:rFonts w:hint="eastAsia" w:ascii="宋体" w:hAnsi="宋体" w:cs="宋体"/>
          <w:color w:val="auto"/>
          <w:szCs w:val="21"/>
          <w:highlight w:val="none"/>
          <w:lang w:eastAsia="zh-CN"/>
        </w:rPr>
        <w:t>停止供应资格</w:t>
      </w:r>
      <w:r>
        <w:rPr>
          <w:rFonts w:hint="eastAsia" w:ascii="宋体" w:hAnsi="宋体" w:cs="宋体"/>
          <w:color w:val="auto"/>
          <w:szCs w:val="21"/>
          <w:highlight w:val="none"/>
        </w:rPr>
        <w:t>；违反相关法律法规，被登记机构吊销营业执照的。</w:t>
      </w:r>
    </w:p>
    <w:p w14:paraId="37B1C345">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（2）供货期内因食品安全质量问题引发食品安全事故的。</w:t>
      </w:r>
    </w:p>
    <w:p w14:paraId="57C0B9B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（3）给</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配送《</w:t>
      </w:r>
      <w:r>
        <w:rPr>
          <w:rFonts w:hint="eastAsia" w:ascii="宋体" w:hAnsi="宋体" w:eastAsia="宋体" w:cs="宋体"/>
          <w:color w:val="auto"/>
          <w:kern w:val="1"/>
          <w:szCs w:val="21"/>
          <w:highlight w:val="none"/>
        </w:rPr>
        <w:t>中华人民共和国食品安全法</w:t>
      </w:r>
      <w:r>
        <w:rPr>
          <w:rFonts w:hint="eastAsia" w:ascii="宋体" w:hAnsi="宋体" w:cs="宋体"/>
          <w:color w:val="auto"/>
          <w:szCs w:val="21"/>
          <w:highlight w:val="none"/>
        </w:rPr>
        <w:t>》规定禁止生产经营食品的。</w:t>
      </w:r>
    </w:p>
    <w:p w14:paraId="0CD74EA2">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（4）生产、经营者的生产经营条件发生变化，不符合生产经营要求，有发生食品安全事故潜在风险，所配送产品不符合食品安全标准的。</w:t>
      </w:r>
    </w:p>
    <w:p w14:paraId="00309688">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（5）出现降低供货质量标准，擅自更换履约人等其他违反法律法规或合同的行为的。</w:t>
      </w:r>
    </w:p>
    <w:p w14:paraId="7CC2D765">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（6）配送的食材价格高于县(市、区)及周边地区的同期市场价格(市场实际交易价)并拒绝调整的；擅自更换采购合同约定的品牌、型号、规格的；擅自更换和</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约定的食谱所需食材品种的；供货时无正当理由拒绝供货或不按约定时间、地点送货的。</w:t>
      </w:r>
    </w:p>
    <w:p w14:paraId="4E6BBA8E">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（7）供货期间存在克扣、减量、延时、拒绝供货或服务态度恶劣等行为，情节较为严重的。</w:t>
      </w:r>
    </w:p>
    <w:p w14:paraId="3B3C9B9A">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（8）未按照供货合同规定按时向</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提供相关证件、食材抽检报告、分批次自检报告、检疫证明、销售凭证等资料的。</w:t>
      </w:r>
    </w:p>
    <w:p w14:paraId="64EA3FDD">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（9）在供货期间除不可抗力因素外不能按时交货，且给</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造成损失的。</w:t>
      </w:r>
    </w:p>
    <w:p w14:paraId="65EAAA5C">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（10）未按供货合同规定按时缴纳履约保证金，未按时提供发票、未履行服务承诺和食品安全保证书的。</w:t>
      </w:r>
    </w:p>
    <w:p w14:paraId="36AA8BF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（11）拒绝接受</w:t>
      </w:r>
      <w:r>
        <w:rPr>
          <w:rFonts w:hint="eastAsia" w:ascii="宋体" w:hAnsi="宋体" w:cs="宋体"/>
          <w:color w:val="auto"/>
          <w:szCs w:val="21"/>
          <w:highlight w:val="none"/>
          <w:lang w:eastAsia="zh-CN"/>
        </w:rPr>
        <w:t>政府相关职能部门监督检查要</w:t>
      </w:r>
      <w:r>
        <w:rPr>
          <w:rFonts w:hint="eastAsia" w:ascii="宋体" w:hAnsi="宋体" w:cs="宋体"/>
          <w:color w:val="auto"/>
          <w:szCs w:val="21"/>
          <w:highlight w:val="none"/>
        </w:rPr>
        <w:t>求的；向</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虚开销售凭证、发票的。</w:t>
      </w:r>
    </w:p>
    <w:p w14:paraId="230C88D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（12）因供货商自身原因不能继续履行合同的或在每一个合同期内二次评议不合格的。</w:t>
      </w:r>
    </w:p>
    <w:p w14:paraId="4C59606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食品价格不执行</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时约定的折扣。</w:t>
      </w:r>
    </w:p>
    <w:p w14:paraId="2F54BCD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配送的食材</w:t>
      </w:r>
      <w:r>
        <w:rPr>
          <w:rFonts w:hint="eastAsia" w:ascii="宋体" w:hAnsi="宋体" w:cs="宋体"/>
          <w:color w:val="auto"/>
          <w:kern w:val="0"/>
          <w:szCs w:val="21"/>
          <w:highlight w:val="none"/>
        </w:rPr>
        <w:t>不经教育局同意就向</w:t>
      </w:r>
      <w:r>
        <w:rPr>
          <w:rFonts w:hint="eastAsia" w:ascii="宋体" w:hAnsi="宋体" w:cs="宋体"/>
          <w:color w:val="auto"/>
          <w:kern w:val="0"/>
          <w:szCs w:val="21"/>
          <w:highlight w:val="none"/>
          <w:lang w:eastAsia="zh-CN"/>
        </w:rPr>
        <w:t>甲方供应</w:t>
      </w:r>
      <w:r>
        <w:rPr>
          <w:rFonts w:hint="eastAsia" w:ascii="宋体" w:hAnsi="宋体" w:cs="宋体"/>
          <w:color w:val="auto"/>
          <w:kern w:val="0"/>
          <w:szCs w:val="21"/>
          <w:highlight w:val="none"/>
        </w:rPr>
        <w:t>，</w:t>
      </w:r>
      <w:r>
        <w:rPr>
          <w:rFonts w:hint="eastAsia" w:ascii="宋体" w:hAnsi="宋体" w:cs="宋体"/>
          <w:color w:val="auto"/>
          <w:szCs w:val="21"/>
          <w:highlight w:val="none"/>
        </w:rPr>
        <w:t>或不服从教育局、市监局等相关部门常规管理，影响</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食材采购工作的。</w:t>
      </w:r>
    </w:p>
    <w:p w14:paraId="0D54262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配送超过保质期、腐败变质、不经检验检疫的食品。</w:t>
      </w:r>
    </w:p>
    <w:p w14:paraId="217DD9B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存在严重食品安全隐患，被相关管理部门责令整改。</w:t>
      </w:r>
    </w:p>
    <w:p w14:paraId="36029C7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17）</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不按时按质按量配送或拒绝配送，以次充好，短斤缺两，服务态度恶劣。</w:t>
      </w:r>
    </w:p>
    <w:p w14:paraId="3FF72E3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不经</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同意，擅自改变</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采购清单的种类、品牌、质量和数量。</w:t>
      </w:r>
    </w:p>
    <w:p w14:paraId="2563517F">
      <w:pPr>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2.条件运用(条件运用适用于日常管理，已满足退出条件的，不适用条件运用</w:t>
      </w:r>
      <w:r>
        <w:rPr>
          <w:rFonts w:hint="eastAsia" w:ascii="宋体" w:hAnsi="宋体" w:cs="宋体"/>
          <w:color w:val="auto"/>
          <w:szCs w:val="21"/>
          <w:highlight w:val="none"/>
          <w:lang w:eastAsia="zh-CN"/>
        </w:rPr>
        <w:t>）</w:t>
      </w:r>
    </w:p>
    <w:p w14:paraId="715EDC3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（1）定期测评。</w:t>
      </w:r>
      <w:r>
        <w:rPr>
          <w:rFonts w:hint="eastAsia" w:ascii="宋体" w:hAnsi="宋体" w:cs="宋体"/>
          <w:color w:val="auto"/>
          <w:szCs w:val="21"/>
          <w:highlight w:val="none"/>
          <w:lang w:eastAsia="zh-CN"/>
        </w:rPr>
        <w:t>每月甲方</w:t>
      </w:r>
      <w:r>
        <w:rPr>
          <w:rFonts w:hint="eastAsia" w:ascii="宋体" w:hAnsi="宋体" w:cs="宋体"/>
          <w:color w:val="auto"/>
          <w:szCs w:val="21"/>
          <w:highlight w:val="none"/>
        </w:rPr>
        <w:t>根据《供应商测评体系》</w:t>
      </w:r>
      <w:r>
        <w:rPr>
          <w:rFonts w:hint="eastAsia" w:ascii="宋体" w:hAnsi="宋体" w:eastAsia="宋体" w:cs="宋体"/>
          <w:color w:val="auto"/>
          <w:szCs w:val="21"/>
          <w:highlight w:val="none"/>
        </w:rPr>
        <w:t>对供应商进行综合测评</w:t>
      </w:r>
      <w:r>
        <w:rPr>
          <w:rFonts w:hint="eastAsia" w:ascii="宋体" w:hAnsi="宋体" w:cs="宋体"/>
          <w:color w:val="auto"/>
          <w:szCs w:val="21"/>
          <w:highlight w:val="none"/>
          <w:lang w:val="en-US" w:eastAsia="zh-CN"/>
        </w:rPr>
        <w:t>，《供应商测评体系》包括</w:t>
      </w:r>
      <w:r>
        <w:rPr>
          <w:rFonts w:hint="eastAsia" w:ascii="宋体" w:hAnsi="宋体" w:eastAsia="宋体" w:cs="宋体"/>
          <w:color w:val="auto"/>
          <w:szCs w:val="21"/>
          <w:highlight w:val="none"/>
        </w:rPr>
        <w:t>食材质量、服务水平、价格、协议执行情况、承诺兑现等方面因素</w:t>
      </w:r>
      <w:r>
        <w:rPr>
          <w:rFonts w:hint="eastAsia" w:ascii="宋体" w:hAnsi="宋体" w:cs="宋体"/>
          <w:color w:val="auto"/>
          <w:szCs w:val="21"/>
          <w:highlight w:val="none"/>
        </w:rPr>
        <w:t>，对测评分数低于95分的供应商进行约谈整改，测评分数低于90分的供应商暂停供货一个月，测评分数低于85分的供应商</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其供货合同。违反食品安全法律法规、发生食品安全事故的供应商，</w:t>
      </w:r>
      <w:r>
        <w:rPr>
          <w:rFonts w:hint="eastAsia" w:ascii="宋体" w:hAnsi="宋体" w:cs="宋体"/>
          <w:color w:val="auto"/>
          <w:szCs w:val="21"/>
          <w:highlight w:val="none"/>
          <w:lang w:eastAsia="zh-CN"/>
        </w:rPr>
        <w:t>要报监管部门列入“黑名单”</w:t>
      </w:r>
      <w:r>
        <w:rPr>
          <w:rFonts w:hint="eastAsia" w:ascii="宋体" w:hAnsi="宋体" w:cs="宋体"/>
          <w:color w:val="auto"/>
          <w:szCs w:val="21"/>
          <w:highlight w:val="none"/>
        </w:rPr>
        <w:t>，</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有权单方面解除与</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签订的采购协议。</w:t>
      </w:r>
    </w:p>
    <w:p w14:paraId="3101A6B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（2）投诉运用。供应商经营过程中，在国务院互联网+督查平台被投诉举报(核查属实)1次的停止其供货一个月，2次的</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其供货合同；供应商在12345政务服务便民热线平台被投诉举报(核查属实)1次的进行约谈整改，2次的停止其供货一个月，3次的</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其供货合同；供应商被</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师生投诉举报(核查属实)1次的进行提醒教育，2次的进行约谈，3次的停止其供货一个月，4次的</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w:t>
      </w:r>
    </w:p>
    <w:p w14:paraId="3600422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利用不正当手段拉拢</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管理人员、</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员或验收人员的，发现一次，当月</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货款按50%结算，发现两次的，扣除当月</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货款并</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合同。</w:t>
      </w:r>
    </w:p>
    <w:p w14:paraId="2FFC5D62">
      <w:pPr>
        <w:spacing w:line="360" w:lineRule="auto"/>
        <w:ind w:firstLine="308" w:firstLineChars="147"/>
        <w:jc w:val="left"/>
        <w:rPr>
          <w:rFonts w:hint="eastAsia" w:ascii="宋体" w:hAnsi="宋体" w:cs="宋体"/>
          <w:bCs/>
          <w:color w:val="auto"/>
          <w:szCs w:val="21"/>
          <w:highlight w:val="none"/>
          <w:u w:val="singl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在履约期间，</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及其法人，被相关部门列入失信被执行人、列为重大税收违法失信主体和政府采购严重违法失信行为记录名单，或者被有关部门列为黑名单，</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有权单方面解除与</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 xml:space="preserve">签订的采购协议。  </w:t>
      </w:r>
    </w:p>
    <w:p w14:paraId="1ED51121">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第十一条  不可抗力事件处理</w:t>
      </w:r>
    </w:p>
    <w:p w14:paraId="770B746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1.在合同有效期内，任何一方因不可抗力事件导致不能履行合同，则合同履行期可延长，其延长期与不可抗力影响期相同。</w:t>
      </w:r>
    </w:p>
    <w:p w14:paraId="604112F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2.不可抗力事件发生后，应立即通知对方，并寄送有关权威机构出具的证明。</w:t>
      </w:r>
    </w:p>
    <w:p w14:paraId="564B7AA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3.不可抗力事件延续一百二十天以上，双方应通过友好协商，确定是否继续履行合同。</w:t>
      </w:r>
    </w:p>
    <w:p w14:paraId="78D714CA">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第十二条  合同争议解决</w:t>
      </w:r>
    </w:p>
    <w:p w14:paraId="3C550F7C">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1.因服务质量问题发生争议的，应邀请国家认可的质量检测机构进行鉴定。服务符合标准的，鉴定费由甲方承担；服务不符合标准的，鉴定费由乙方承担。</w:t>
      </w:r>
    </w:p>
    <w:p w14:paraId="3EDB9DE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2.因履行本合同引起的或者与本合同有关的争议，甲乙双方应首先通过友好协商解决，如果协商不能解决，可向甲方所在地有管辖权</w:t>
      </w:r>
      <w:r>
        <w:rPr>
          <w:rFonts w:hint="eastAsia" w:ascii="宋体" w:hAnsi="宋体" w:cs="宋体"/>
          <w:color w:val="auto"/>
          <w:szCs w:val="21"/>
          <w:highlight w:val="none"/>
          <w:lang w:val="en-US" w:eastAsia="zh-CN"/>
        </w:rPr>
        <w:t>的</w:t>
      </w:r>
      <w:r>
        <w:rPr>
          <w:rFonts w:hint="eastAsia" w:ascii="宋体" w:hAnsi="宋体" w:cs="宋体"/>
          <w:color w:val="auto"/>
          <w:szCs w:val="21"/>
          <w:highlight w:val="none"/>
        </w:rPr>
        <w:t>人民法院提起诉讼。</w:t>
      </w:r>
    </w:p>
    <w:p w14:paraId="30EA7AE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3.诉讼期间，本合同继续履行。</w:t>
      </w:r>
    </w:p>
    <w:p w14:paraId="6108703D">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第十二条  合同生效及其它</w:t>
      </w:r>
    </w:p>
    <w:p w14:paraId="1F513DA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1.合同经双方法定代表人或者授权代表签字并加盖单位公章后生效（委托代理人签字的需后附授权委托书，格式自拟）。</w:t>
      </w:r>
    </w:p>
    <w:p w14:paraId="4423EB6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2.合同执行中涉及采购资金和采购内容修改或者补充的，须经监督部门审批，并签书面补充协议报监督部门备案，方可作为主合同不可分割的一部分。</w:t>
      </w:r>
    </w:p>
    <w:p w14:paraId="649203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3.本合同未尽事宜，遵照《中华人民共和国民法典》有关条文执行。</w:t>
      </w:r>
    </w:p>
    <w:p w14:paraId="0D3EF68A">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第十三条　合同的变更、终止与转让</w:t>
      </w:r>
    </w:p>
    <w:p w14:paraId="01FB38D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1.除《中华人民共和国政府采购法》第五十条规定的情形外，本合同一经签订，甲乙双方不得擅自变更、中止或者终止。</w:t>
      </w:r>
    </w:p>
    <w:p w14:paraId="41BF7F4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2.乙方不得擅自转让其应履行的合同义务。</w:t>
      </w:r>
    </w:p>
    <w:p w14:paraId="29FBD042">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第十四条　签订本合同依据</w:t>
      </w:r>
    </w:p>
    <w:p w14:paraId="25BA341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olor w:val="auto"/>
          <w:szCs w:val="21"/>
          <w:highlight w:val="none"/>
          <w:lang w:eastAsia="zh-CN"/>
        </w:rPr>
        <w:t>成交</w:t>
      </w:r>
      <w:r>
        <w:rPr>
          <w:rFonts w:hint="eastAsia" w:ascii="宋体" w:hAnsi="宋体"/>
          <w:color w:val="auto"/>
          <w:szCs w:val="21"/>
          <w:highlight w:val="none"/>
        </w:rPr>
        <w:t>通知书</w:t>
      </w:r>
      <w:r>
        <w:rPr>
          <w:rFonts w:hint="eastAsia" w:ascii="宋体" w:hAnsi="宋体" w:cs="宋体"/>
          <w:color w:val="auto"/>
          <w:szCs w:val="21"/>
          <w:highlight w:val="none"/>
        </w:rPr>
        <w:t>；</w:t>
      </w:r>
    </w:p>
    <w:p w14:paraId="29DA4A3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报价表</w:t>
      </w:r>
      <w:r>
        <w:rPr>
          <w:rFonts w:hint="eastAsia" w:ascii="宋体" w:hAnsi="宋体" w:cs="宋体"/>
          <w:color w:val="auto"/>
          <w:szCs w:val="21"/>
          <w:highlight w:val="none"/>
        </w:rPr>
        <w:t>；</w:t>
      </w:r>
    </w:p>
    <w:p w14:paraId="6560CC8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3.商务要求偏离表和技术要求偏离表；</w:t>
      </w:r>
    </w:p>
    <w:p w14:paraId="4E41ED78">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w:t>
      </w:r>
      <w:r>
        <w:rPr>
          <w:rFonts w:hint="eastAsia" w:ascii="宋体" w:hAnsi="宋体" w:cs="宋体"/>
          <w:color w:val="auto"/>
          <w:szCs w:val="21"/>
          <w:highlight w:val="none"/>
        </w:rPr>
        <w:t>服务实施方案；</w:t>
      </w:r>
    </w:p>
    <w:p w14:paraId="0C9DC1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文件中的其他相关文件。</w:t>
      </w:r>
    </w:p>
    <w:p w14:paraId="3F62E077">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上述合同文件互相补充和解释。如果合同文件之间存在矛盾或者不一致之处，以上述文件的排列顺序在先者为准。</w:t>
      </w:r>
    </w:p>
    <w:p w14:paraId="6A567DE7">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第十五条　</w:t>
      </w:r>
      <w:r>
        <w:rPr>
          <w:rFonts w:hint="eastAsia" w:ascii="宋体" w:hAnsi="宋体" w:cs="宋体"/>
          <w:color w:val="auto"/>
          <w:szCs w:val="21"/>
          <w:highlight w:val="none"/>
        </w:rPr>
        <w:t>本合同一式四份，具有同等法律效力，甲方两份，采购代理机构一份，乙</w:t>
      </w:r>
      <w:r>
        <w:rPr>
          <w:rFonts w:hint="eastAsia" w:ascii="宋体" w:hAnsi="宋体" w:cs="宋体"/>
          <w:color w:val="auto"/>
          <w:szCs w:val="21"/>
          <w:highlight w:val="none"/>
          <w:lang w:eastAsia="zh-CN"/>
        </w:rPr>
        <w:t>方</w:t>
      </w:r>
      <w:r>
        <w:rPr>
          <w:rFonts w:hint="eastAsia" w:ascii="宋体" w:hAnsi="宋体" w:cs="宋体"/>
          <w:color w:val="auto"/>
          <w:szCs w:val="21"/>
          <w:highlight w:val="none"/>
        </w:rPr>
        <w:t>一份（可根据需要另增加）。</w:t>
      </w:r>
    </w:p>
    <w:p w14:paraId="340A20D4">
      <w:pPr>
        <w:spacing w:line="360" w:lineRule="auto"/>
        <w:ind w:firstLine="420" w:firstLineChars="200"/>
        <w:rPr>
          <w:rFonts w:ascii="宋体" w:hAnsi="宋体" w:cs="宋体"/>
          <w:color w:val="auto"/>
          <w:szCs w:val="21"/>
          <w:highlight w:val="none"/>
        </w:rPr>
      </w:pP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42831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vAlign w:val="center"/>
          </w:tcPr>
          <w:p w14:paraId="7D738982">
            <w:pPr>
              <w:snapToGrid w:val="0"/>
              <w:spacing w:line="360" w:lineRule="auto"/>
              <w:rPr>
                <w:rFonts w:ascii="宋体" w:hAnsi="宋体"/>
                <w:color w:val="auto"/>
                <w:szCs w:val="21"/>
                <w:highlight w:val="none"/>
              </w:rPr>
            </w:pPr>
            <w:r>
              <w:rPr>
                <w:rFonts w:hint="eastAsia" w:ascii="宋体" w:hAnsi="宋体"/>
                <w:color w:val="auto"/>
                <w:szCs w:val="21"/>
                <w:highlight w:val="none"/>
              </w:rPr>
              <w:t xml:space="preserve">甲方（章）           </w:t>
            </w:r>
          </w:p>
          <w:p w14:paraId="5DEBF6D6">
            <w:pPr>
              <w:snapToGrid w:val="0"/>
              <w:spacing w:line="360" w:lineRule="auto"/>
              <w:rPr>
                <w:rFonts w:ascii="宋体" w:hAnsi="宋体"/>
                <w:color w:val="auto"/>
                <w:szCs w:val="21"/>
                <w:highlight w:val="none"/>
              </w:rPr>
            </w:pPr>
          </w:p>
          <w:p w14:paraId="02C1380F">
            <w:pPr>
              <w:snapToGrid w:val="0"/>
              <w:spacing w:line="360" w:lineRule="auto"/>
              <w:ind w:firstLine="945" w:firstLineChars="450"/>
              <w:jc w:val="right"/>
              <w:rPr>
                <w:rFonts w:ascii="宋体" w:hAnsi="宋体"/>
                <w:color w:val="auto"/>
                <w:szCs w:val="21"/>
                <w:highlight w:val="none"/>
              </w:rPr>
            </w:pPr>
            <w:r>
              <w:rPr>
                <w:rFonts w:hint="eastAsia" w:ascii="宋体" w:hAnsi="宋体"/>
                <w:color w:val="auto"/>
                <w:szCs w:val="21"/>
                <w:highlight w:val="none"/>
              </w:rPr>
              <w:t>年   月   日</w:t>
            </w:r>
          </w:p>
        </w:tc>
        <w:tc>
          <w:tcPr>
            <w:tcW w:w="4517" w:type="dxa"/>
            <w:vAlign w:val="center"/>
          </w:tcPr>
          <w:p w14:paraId="2349ED08">
            <w:pPr>
              <w:snapToGrid w:val="0"/>
              <w:spacing w:line="360" w:lineRule="auto"/>
              <w:rPr>
                <w:rFonts w:ascii="宋体" w:hAnsi="宋体"/>
                <w:color w:val="auto"/>
                <w:szCs w:val="21"/>
                <w:highlight w:val="none"/>
              </w:rPr>
            </w:pPr>
            <w:r>
              <w:rPr>
                <w:rFonts w:hint="eastAsia" w:ascii="宋体" w:hAnsi="宋体"/>
                <w:color w:val="auto"/>
                <w:szCs w:val="21"/>
                <w:highlight w:val="none"/>
              </w:rPr>
              <w:t xml:space="preserve">乙方（章）              </w:t>
            </w:r>
          </w:p>
          <w:p w14:paraId="613B5297">
            <w:pPr>
              <w:snapToGrid w:val="0"/>
              <w:spacing w:line="360" w:lineRule="auto"/>
              <w:rPr>
                <w:rFonts w:ascii="宋体" w:hAnsi="宋体"/>
                <w:color w:val="auto"/>
                <w:szCs w:val="21"/>
                <w:highlight w:val="none"/>
              </w:rPr>
            </w:pPr>
          </w:p>
          <w:p w14:paraId="6E87614A">
            <w:pPr>
              <w:snapToGrid w:val="0"/>
              <w:spacing w:line="360" w:lineRule="auto"/>
              <w:jc w:val="right"/>
              <w:rPr>
                <w:rFonts w:ascii="宋体" w:hAnsi="宋体"/>
                <w:color w:val="auto"/>
                <w:szCs w:val="21"/>
                <w:highlight w:val="none"/>
              </w:rPr>
            </w:pPr>
            <w:r>
              <w:rPr>
                <w:rFonts w:hint="eastAsia" w:ascii="宋体" w:hAnsi="宋体"/>
                <w:color w:val="auto"/>
                <w:szCs w:val="21"/>
                <w:highlight w:val="none"/>
              </w:rPr>
              <w:t xml:space="preserve"> 年   月   日</w:t>
            </w:r>
          </w:p>
        </w:tc>
      </w:tr>
      <w:tr w14:paraId="367BF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vAlign w:val="center"/>
          </w:tcPr>
          <w:p w14:paraId="0509A61C">
            <w:pPr>
              <w:snapToGrid w:val="0"/>
              <w:spacing w:line="360" w:lineRule="auto"/>
              <w:rPr>
                <w:rFonts w:ascii="宋体" w:hAnsi="宋体"/>
                <w:color w:val="auto"/>
                <w:szCs w:val="21"/>
                <w:highlight w:val="none"/>
              </w:rPr>
            </w:pPr>
            <w:r>
              <w:rPr>
                <w:rFonts w:hint="eastAsia" w:ascii="宋体" w:hAnsi="宋体"/>
                <w:color w:val="auto"/>
                <w:szCs w:val="21"/>
                <w:highlight w:val="none"/>
              </w:rPr>
              <w:t>单位地址：</w:t>
            </w:r>
          </w:p>
        </w:tc>
        <w:tc>
          <w:tcPr>
            <w:tcW w:w="4517" w:type="dxa"/>
            <w:vAlign w:val="center"/>
          </w:tcPr>
          <w:p w14:paraId="5FB8D380">
            <w:pPr>
              <w:snapToGrid w:val="0"/>
              <w:spacing w:line="360" w:lineRule="auto"/>
              <w:rPr>
                <w:rFonts w:ascii="宋体" w:hAnsi="宋体"/>
                <w:color w:val="auto"/>
                <w:szCs w:val="21"/>
                <w:highlight w:val="none"/>
              </w:rPr>
            </w:pPr>
            <w:r>
              <w:rPr>
                <w:rFonts w:hint="eastAsia" w:ascii="宋体" w:hAnsi="宋体"/>
                <w:color w:val="auto"/>
                <w:szCs w:val="21"/>
                <w:highlight w:val="none"/>
              </w:rPr>
              <w:t>单位地址：</w:t>
            </w:r>
          </w:p>
        </w:tc>
      </w:tr>
      <w:tr w14:paraId="3897F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4516" w:type="dxa"/>
          </w:tcPr>
          <w:p w14:paraId="5BEBDD56">
            <w:pPr>
              <w:snapToGrid w:val="0"/>
              <w:spacing w:line="360" w:lineRule="auto"/>
              <w:rPr>
                <w:rFonts w:ascii="宋体" w:hAnsi="宋体"/>
                <w:color w:val="auto"/>
                <w:szCs w:val="21"/>
                <w:highlight w:val="none"/>
              </w:rPr>
            </w:pPr>
            <w:r>
              <w:rPr>
                <w:rFonts w:hint="eastAsia" w:ascii="宋体" w:hAnsi="宋体"/>
                <w:color w:val="auto"/>
                <w:szCs w:val="21"/>
                <w:highlight w:val="none"/>
              </w:rPr>
              <w:t>法定代表人或者委托代理人：</w:t>
            </w:r>
          </w:p>
        </w:tc>
        <w:tc>
          <w:tcPr>
            <w:tcW w:w="4517" w:type="dxa"/>
          </w:tcPr>
          <w:p w14:paraId="2783C41F">
            <w:pPr>
              <w:snapToGrid w:val="0"/>
              <w:spacing w:line="360" w:lineRule="auto"/>
              <w:rPr>
                <w:rFonts w:ascii="宋体" w:hAnsi="宋体"/>
                <w:color w:val="auto"/>
                <w:szCs w:val="21"/>
                <w:highlight w:val="none"/>
              </w:rPr>
            </w:pPr>
            <w:r>
              <w:rPr>
                <w:rFonts w:hint="eastAsia" w:ascii="宋体" w:hAnsi="宋体"/>
                <w:color w:val="auto"/>
                <w:szCs w:val="21"/>
                <w:highlight w:val="none"/>
              </w:rPr>
              <w:t>法定代表人或者委托代理人：</w:t>
            </w:r>
          </w:p>
        </w:tc>
      </w:tr>
      <w:tr w14:paraId="25C7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516" w:type="dxa"/>
            <w:vAlign w:val="center"/>
          </w:tcPr>
          <w:p w14:paraId="356D5DAD">
            <w:pPr>
              <w:snapToGrid w:val="0"/>
              <w:spacing w:line="360" w:lineRule="auto"/>
              <w:rPr>
                <w:rFonts w:ascii="宋体" w:hAnsi="宋体"/>
                <w:color w:val="auto"/>
                <w:szCs w:val="21"/>
                <w:highlight w:val="none"/>
              </w:rPr>
            </w:pPr>
            <w:r>
              <w:rPr>
                <w:rFonts w:hint="eastAsia" w:ascii="宋体" w:hAnsi="宋体"/>
                <w:color w:val="auto"/>
                <w:szCs w:val="21"/>
                <w:highlight w:val="none"/>
              </w:rPr>
              <w:t>电话：</w:t>
            </w:r>
          </w:p>
        </w:tc>
        <w:tc>
          <w:tcPr>
            <w:tcW w:w="4517" w:type="dxa"/>
            <w:vAlign w:val="center"/>
          </w:tcPr>
          <w:p w14:paraId="41A7FB0C">
            <w:pPr>
              <w:snapToGrid w:val="0"/>
              <w:spacing w:line="360" w:lineRule="auto"/>
              <w:rPr>
                <w:rFonts w:ascii="宋体" w:hAnsi="宋体"/>
                <w:color w:val="auto"/>
                <w:szCs w:val="21"/>
                <w:highlight w:val="none"/>
              </w:rPr>
            </w:pPr>
            <w:r>
              <w:rPr>
                <w:rFonts w:hint="eastAsia" w:ascii="宋体" w:hAnsi="宋体"/>
                <w:color w:val="auto"/>
                <w:szCs w:val="21"/>
                <w:highlight w:val="none"/>
              </w:rPr>
              <w:t>电话：</w:t>
            </w:r>
          </w:p>
        </w:tc>
      </w:tr>
      <w:tr w14:paraId="28E7E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516" w:type="dxa"/>
            <w:vAlign w:val="center"/>
          </w:tcPr>
          <w:p w14:paraId="615C5496">
            <w:pPr>
              <w:snapToGrid w:val="0"/>
              <w:spacing w:line="360" w:lineRule="auto"/>
              <w:rPr>
                <w:rFonts w:ascii="宋体" w:hAnsi="宋体"/>
                <w:color w:val="auto"/>
                <w:szCs w:val="21"/>
                <w:highlight w:val="none"/>
              </w:rPr>
            </w:pPr>
            <w:r>
              <w:rPr>
                <w:rFonts w:hint="eastAsia" w:ascii="宋体" w:hAnsi="宋体"/>
                <w:color w:val="auto"/>
                <w:szCs w:val="21"/>
                <w:highlight w:val="none"/>
              </w:rPr>
              <w:t>电子邮箱：</w:t>
            </w:r>
          </w:p>
        </w:tc>
        <w:tc>
          <w:tcPr>
            <w:tcW w:w="4517" w:type="dxa"/>
            <w:vAlign w:val="center"/>
          </w:tcPr>
          <w:p w14:paraId="1BF5CFC5">
            <w:pPr>
              <w:snapToGrid w:val="0"/>
              <w:spacing w:line="360" w:lineRule="auto"/>
              <w:rPr>
                <w:rFonts w:ascii="宋体" w:hAnsi="宋体"/>
                <w:color w:val="auto"/>
                <w:szCs w:val="21"/>
                <w:highlight w:val="none"/>
              </w:rPr>
            </w:pPr>
            <w:r>
              <w:rPr>
                <w:rFonts w:hint="eastAsia" w:ascii="宋体" w:hAnsi="宋体"/>
                <w:color w:val="auto"/>
                <w:szCs w:val="21"/>
                <w:highlight w:val="none"/>
              </w:rPr>
              <w:t>电子邮箱：</w:t>
            </w:r>
          </w:p>
        </w:tc>
      </w:tr>
      <w:tr w14:paraId="015FC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vAlign w:val="center"/>
          </w:tcPr>
          <w:p w14:paraId="4DF3457A">
            <w:pPr>
              <w:snapToGrid w:val="0"/>
              <w:spacing w:line="360" w:lineRule="auto"/>
              <w:rPr>
                <w:rFonts w:ascii="宋体" w:hAnsi="宋体"/>
                <w:color w:val="auto"/>
                <w:szCs w:val="21"/>
                <w:highlight w:val="none"/>
              </w:rPr>
            </w:pPr>
            <w:r>
              <w:rPr>
                <w:rFonts w:hint="eastAsia" w:ascii="宋体" w:hAnsi="宋体"/>
                <w:color w:val="auto"/>
                <w:szCs w:val="21"/>
                <w:highlight w:val="none"/>
              </w:rPr>
              <w:t>开户银行：</w:t>
            </w:r>
          </w:p>
        </w:tc>
        <w:tc>
          <w:tcPr>
            <w:tcW w:w="4517" w:type="dxa"/>
            <w:vAlign w:val="center"/>
          </w:tcPr>
          <w:p w14:paraId="071EE8B2">
            <w:pPr>
              <w:snapToGrid w:val="0"/>
              <w:spacing w:line="360" w:lineRule="auto"/>
              <w:rPr>
                <w:rFonts w:ascii="宋体" w:hAnsi="宋体"/>
                <w:color w:val="auto"/>
                <w:szCs w:val="21"/>
                <w:highlight w:val="none"/>
              </w:rPr>
            </w:pPr>
            <w:r>
              <w:rPr>
                <w:rFonts w:hint="eastAsia" w:ascii="宋体" w:hAnsi="宋体"/>
                <w:color w:val="auto"/>
                <w:szCs w:val="21"/>
                <w:highlight w:val="none"/>
              </w:rPr>
              <w:t>开户银行：</w:t>
            </w:r>
          </w:p>
        </w:tc>
      </w:tr>
      <w:tr w14:paraId="7DFEC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16" w:type="dxa"/>
            <w:vAlign w:val="center"/>
          </w:tcPr>
          <w:p w14:paraId="0BF7B4DC">
            <w:pPr>
              <w:snapToGrid w:val="0"/>
              <w:spacing w:line="360" w:lineRule="auto"/>
              <w:rPr>
                <w:rFonts w:ascii="宋体" w:hAnsi="宋体"/>
                <w:color w:val="auto"/>
                <w:szCs w:val="21"/>
                <w:highlight w:val="none"/>
              </w:rPr>
            </w:pPr>
            <w:r>
              <w:rPr>
                <w:rFonts w:hint="eastAsia" w:ascii="宋体" w:hAnsi="宋体"/>
                <w:color w:val="auto"/>
                <w:szCs w:val="21"/>
                <w:highlight w:val="none"/>
              </w:rPr>
              <w:t>账号：</w:t>
            </w:r>
          </w:p>
        </w:tc>
        <w:tc>
          <w:tcPr>
            <w:tcW w:w="4517" w:type="dxa"/>
            <w:vAlign w:val="center"/>
          </w:tcPr>
          <w:p w14:paraId="341F1365">
            <w:pPr>
              <w:snapToGrid w:val="0"/>
              <w:spacing w:line="360" w:lineRule="auto"/>
              <w:rPr>
                <w:rFonts w:ascii="宋体" w:hAnsi="宋体"/>
                <w:color w:val="auto"/>
                <w:szCs w:val="21"/>
                <w:highlight w:val="none"/>
              </w:rPr>
            </w:pPr>
            <w:r>
              <w:rPr>
                <w:rFonts w:hint="eastAsia" w:ascii="宋体" w:hAnsi="宋体"/>
                <w:color w:val="auto"/>
                <w:szCs w:val="21"/>
                <w:highlight w:val="none"/>
              </w:rPr>
              <w:t>账号：</w:t>
            </w:r>
          </w:p>
        </w:tc>
      </w:tr>
      <w:tr w14:paraId="1F4B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vAlign w:val="center"/>
          </w:tcPr>
          <w:p w14:paraId="0AD3011D">
            <w:pPr>
              <w:snapToGrid w:val="0"/>
              <w:spacing w:line="360" w:lineRule="auto"/>
              <w:rPr>
                <w:rFonts w:ascii="宋体" w:hAnsi="宋体"/>
                <w:color w:val="auto"/>
                <w:szCs w:val="21"/>
                <w:highlight w:val="none"/>
              </w:rPr>
            </w:pPr>
            <w:r>
              <w:rPr>
                <w:rFonts w:hint="eastAsia" w:ascii="宋体" w:hAnsi="宋体"/>
                <w:color w:val="auto"/>
                <w:szCs w:val="21"/>
                <w:highlight w:val="none"/>
              </w:rPr>
              <w:t>邮政编码：</w:t>
            </w:r>
          </w:p>
        </w:tc>
        <w:tc>
          <w:tcPr>
            <w:tcW w:w="4517" w:type="dxa"/>
            <w:vAlign w:val="center"/>
          </w:tcPr>
          <w:p w14:paraId="5C1084C6">
            <w:pPr>
              <w:snapToGrid w:val="0"/>
              <w:spacing w:line="360" w:lineRule="auto"/>
              <w:rPr>
                <w:rFonts w:ascii="宋体" w:hAnsi="宋体"/>
                <w:color w:val="auto"/>
                <w:szCs w:val="21"/>
                <w:highlight w:val="none"/>
              </w:rPr>
            </w:pPr>
            <w:r>
              <w:rPr>
                <w:rFonts w:hint="eastAsia" w:ascii="宋体" w:hAnsi="宋体"/>
                <w:color w:val="auto"/>
                <w:szCs w:val="21"/>
                <w:highlight w:val="none"/>
              </w:rPr>
              <w:t>邮政编码：</w:t>
            </w:r>
          </w:p>
        </w:tc>
      </w:tr>
    </w:tbl>
    <w:p w14:paraId="4580DAD5">
      <w:pPr>
        <w:snapToGrid w:val="0"/>
        <w:spacing w:line="360" w:lineRule="auto"/>
        <w:rPr>
          <w:rFonts w:ascii="宋体" w:hAnsi="宋体" w:cs="Arial"/>
          <w:b/>
          <w:color w:val="auto"/>
          <w:position w:val="-2"/>
          <w:sz w:val="24"/>
          <w:highlight w:val="none"/>
        </w:rPr>
      </w:pPr>
    </w:p>
    <w:p w14:paraId="78501182">
      <w:pPr>
        <w:rPr>
          <w:color w:val="auto"/>
          <w:highlight w:val="none"/>
        </w:rPr>
      </w:pPr>
    </w:p>
    <w:sectPr>
      <w:footerReference r:id="rId9" w:type="default"/>
      <w:pgSz w:w="11906" w:h="16838"/>
      <w:pgMar w:top="1134" w:right="1134" w:bottom="1134" w:left="1134" w:header="851" w:footer="992" w:gutter="0"/>
      <w:pgNumType w:start="1"/>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20106090300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onsolas">
    <w:panose1 w:val="020B0609020204030204"/>
    <w:charset w:val="00"/>
    <w:family w:val="auto"/>
    <w:pitch w:val="default"/>
    <w:sig w:usb0="E10002FF" w:usb1="4000FCFF" w:usb2="00000009" w:usb3="00000000" w:csb0="6000019F" w:csb1="DFD70000"/>
  </w:font>
  <w:font w:name="iconfont">
    <w:altName w:val="Segoe Print"/>
    <w:panose1 w:val="020B0603030008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ngLiU">
    <w:panose1 w:val="02020509000000000000"/>
    <w:charset w:val="88"/>
    <w:family w:val="auto"/>
    <w:pitch w:val="default"/>
    <w:sig w:usb0="A00002FF" w:usb1="28CFFCFA" w:usb2="00000016" w:usb3="00000000" w:csb0="00100001" w:csb1="00000000"/>
  </w:font>
  <w:font w:name="Tahoma">
    <w:panose1 w:val="020B0604030504040204"/>
    <w:charset w:val="00"/>
    <w:family w:val="auto"/>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0"/>
    <w:family w:val="auto"/>
    <w:pitch w:val="default"/>
    <w:sig w:usb0="00000000" w:usb1="00000000" w:usb2="00000000" w:usb3="00000000" w:csb0="80000000" w:csb1="00000000"/>
  </w:font>
  <w:font w:name="宋?">
    <w:altName w:val="Malgun Gothic"/>
    <w:panose1 w:val="00000000000000000000"/>
    <w:charset w:val="81"/>
    <w:family w:val="roman"/>
    <w:pitch w:val="default"/>
    <w:sig w:usb0="00000000" w:usb1="00000000" w:usb2="00000010" w:usb3="00000000" w:csb0="00080000" w:csb1="00000000"/>
  </w:font>
  <w:font w:name="Malgun Gothic">
    <w:panose1 w:val="020B0503020000020004"/>
    <w:charset w:val="81"/>
    <w:family w:val="auto"/>
    <w:pitch w:val="default"/>
    <w:sig w:usb0="900002AF" w:usb1="01D77CFB" w:usb2="00000012" w:usb3="00000000" w:csb0="00080001" w:csb1="00000000"/>
  </w:font>
  <w:font w:name="Kingsoft U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93C97">
    <w:pPr>
      <w:pStyle w:val="228"/>
      <w:jc w:val="center"/>
    </w:pPr>
  </w:p>
  <w:p w14:paraId="0588189C">
    <w:pPr>
      <w:pStyle w:val="2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7AAFC">
    <w:pPr>
      <w:pStyle w:val="228"/>
      <w:jc w:val="center"/>
    </w:pPr>
  </w:p>
  <w:p w14:paraId="01B7A72A">
    <w:pPr>
      <w:pStyle w:val="22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39B52">
    <w:pPr>
      <w:pStyle w:val="228"/>
      <w:jc w:val="cente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_x0000_s723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5D7898F">
                          <w:pPr>
                            <w:pStyle w:val="228"/>
                          </w:pPr>
                          <w:r>
                            <w:fldChar w:fldCharType="begin"/>
                          </w:r>
                          <w:r>
                            <w:instrText xml:space="preserve"> PAGE  \* MERGEFORMAT </w:instrText>
                          </w:r>
                          <w:r>
                            <w:fldChar w:fldCharType="separate"/>
                          </w:r>
                          <w:r>
                            <w:t>37</w:t>
                          </w:r>
                          <w:r>
                            <w:fldChar w:fldCharType="end"/>
                          </w:r>
                        </w:p>
                      </w:txbxContent>
                    </wps:txbx>
                    <wps:bodyPr wrap="none" lIns="0" tIns="0" rIns="0" bIns="0" upright="1">
                      <a:spAutoFit/>
                    </wps:bodyPr>
                  </wps:wsp>
                </a:graphicData>
              </a:graphic>
            </wp:anchor>
          </w:drawing>
        </mc:Choice>
        <mc:Fallback>
          <w:pict>
            <v:rect id="_x0000_s7230"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5dblS&#10;0AAAAAUBAAAPAAAAAAAAAAEAIAAAACIAAABkcnMvZG93bnJldi54bWxQSwECFAAUAAAACACHTuJA&#10;jxop/7cBAACIAwAADgAAAAAAAAABACAAAAAfAQAAZHJzL2Uyb0RvYy54bWxQSwUGAAAAAAYABgBZ&#10;AQAASAUAAAAA&#10;">
              <v:fill on="f" focussize="0,0"/>
              <v:stroke on="f"/>
              <v:imagedata o:title=""/>
              <o:lock v:ext="edit" aspectratio="f"/>
              <v:textbox inset="0mm,0mm,0mm,0mm" style="mso-fit-shape-to-text:t;">
                <w:txbxContent>
                  <w:p w14:paraId="25D7898F">
                    <w:pPr>
                      <w:pStyle w:val="228"/>
                    </w:pPr>
                    <w:r>
                      <w:fldChar w:fldCharType="begin"/>
                    </w:r>
                    <w:r>
                      <w:instrText xml:space="preserve"> PAGE  \* MERGEFORMAT </w:instrText>
                    </w:r>
                    <w:r>
                      <w:fldChar w:fldCharType="separate"/>
                    </w:r>
                    <w:r>
                      <w:t>37</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321BC">
    <w:pPr>
      <w:pStyle w:val="228"/>
      <w:jc w:val="cente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_x0000_s4099"/>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C5A539D">
                          <w:pPr>
                            <w:pStyle w:val="20"/>
                          </w:pPr>
                          <w:r>
                            <w:fldChar w:fldCharType="begin"/>
                          </w:r>
                          <w:r>
                            <w:instrText xml:space="preserve"> PAGE  \* MERGEFORMAT </w:instrText>
                          </w:r>
                          <w:r>
                            <w:fldChar w:fldCharType="separate"/>
                          </w:r>
                          <w:r>
                            <w:t>3</w:t>
                          </w:r>
                          <w:r>
                            <w:fldChar w:fldCharType="end"/>
                          </w:r>
                        </w:p>
                      </w:txbxContent>
                    </wps:txbx>
                    <wps:bodyPr wrap="none" lIns="0" tIns="0" rIns="0" bIns="0" upright="1">
                      <a:spAutoFit/>
                    </wps:bodyPr>
                  </wps:wsp>
                </a:graphicData>
              </a:graphic>
            </wp:anchor>
          </w:drawing>
        </mc:Choice>
        <mc:Fallback>
          <w:pict>
            <v:rect id="_x0000_s4099"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uXW5UtAA&#10;AAAFAQAADwAAAAAAAAABACAAAAAiAAAAZHJzL2Rvd25yZXYueG1sUEsBAhQAFAAAAAgAh07iQIEo&#10;C0u1AQAAiAMAAA4AAAAAAAAAAQAgAAAAHwEAAGRycy9lMm9Eb2MueG1sUEsFBgAAAAAGAAYAWQEA&#10;AEYFAAAAAA==&#10;">
              <v:fill on="f" focussize="0,0"/>
              <v:stroke on="f"/>
              <v:imagedata o:title=""/>
              <o:lock v:ext="edit" aspectratio="f"/>
              <v:textbox inset="0mm,0mm,0mm,0mm" style="mso-fit-shape-to-text:t;">
                <w:txbxContent>
                  <w:p w14:paraId="3C5A539D">
                    <w:pPr>
                      <w:pStyle w:val="20"/>
                    </w:pPr>
                    <w:r>
                      <w:fldChar w:fldCharType="begin"/>
                    </w:r>
                    <w:r>
                      <w:instrText xml:space="preserve"> PAGE  \* MERGEFORMAT </w:instrText>
                    </w:r>
                    <w:r>
                      <w:fldChar w:fldCharType="separate"/>
                    </w:r>
                    <w:r>
                      <w:t>3</w:t>
                    </w:r>
                    <w:r>
                      <w:fldChar w:fldCharType="end"/>
                    </w:r>
                  </w:p>
                </w:txbxContent>
              </v:textbox>
            </v:rect>
          </w:pict>
        </mc:Fallback>
      </mc:AlternateContent>
    </w:r>
  </w:p>
  <w:p w14:paraId="4E59EA46">
    <w:pPr>
      <w:pStyle w:val="2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AEA2E">
    <w:pPr>
      <w:pStyle w:val="231"/>
      <w:pBdr>
        <w:bottom w:val="none" w:color="000000" w:sz="0" w:space="0"/>
      </w:pBdr>
      <w:jc w:val="both"/>
      <w:rPr>
        <w:rFonts w:hint="eastAsia" w:ascii="宋体" w:hAnsi="宋体" w:cs="宋体"/>
        <w:sz w:val="15"/>
        <w:szCs w:val="15"/>
        <w:lang w:eastAsia="zh-CN"/>
      </w:rPr>
    </w:pPr>
    <w:r>
      <w:rPr>
        <w:rFonts w:hint="eastAsia" w:ascii="宋体" w:hAnsi="宋体" w:cs="宋体"/>
        <w:sz w:val="15"/>
        <w:szCs w:val="15"/>
        <w:lang w:eastAsia="zh-CN"/>
      </w:rPr>
      <w:t xml:space="preserve"> </w:t>
    </w:r>
    <w:r>
      <w:rPr>
        <w:rFonts w:hint="eastAsia" w:ascii="宋体" w:hAnsi="宋体" w:cs="宋体"/>
        <w:sz w:val="15"/>
        <w:szCs w:val="15"/>
      </w:rPr>
      <w:t>项目名称：</w:t>
    </w:r>
    <w:r>
      <w:rPr>
        <w:rFonts w:hint="eastAsia" w:ascii="宋体" w:hAnsi="宋体" w:cs="宋体"/>
        <w:sz w:val="15"/>
        <w:szCs w:val="15"/>
        <w:lang w:eastAsia="zh-CN"/>
      </w:rPr>
      <w:t>信息科存储与核心服务器维保服务项目</w:t>
    </w:r>
    <w:r>
      <w:rPr>
        <w:rFonts w:hint="eastAsia" w:ascii="宋体" w:hAnsi="宋体" w:cs="宋体"/>
        <w:sz w:val="15"/>
        <w:szCs w:val="15"/>
      </w:rPr>
      <w:t xml:space="preserve">   </w:t>
    </w:r>
    <w:r>
      <w:rPr>
        <w:rFonts w:hint="eastAsia" w:ascii="宋体" w:hAnsi="宋体" w:cs="宋体"/>
        <w:sz w:val="15"/>
        <w:szCs w:val="15"/>
        <w:lang w:val="en-US" w:eastAsia="zh-CN"/>
      </w:rPr>
      <w:t xml:space="preserve">                                   项目编号：GGZC2026-C3-990084-YZLZ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AA5B6">
    <w:pPr>
      <w:pStyle w:val="231"/>
      <w:pBdr>
        <w:bottom w:val="none" w:color="000000" w:sz="0" w:space="0"/>
      </w:pBdr>
      <w:jc w:val="both"/>
      <w:rPr>
        <w:rFonts w:hint="eastAsia" w:ascii="宋体" w:hAnsi="宋体" w:cs="宋体"/>
        <w:sz w:val="15"/>
        <w:szCs w:val="15"/>
        <w:lang w:eastAsia="zh-CN"/>
      </w:rPr>
    </w:pPr>
    <w:r>
      <w:rPr>
        <w:rFonts w:hint="eastAsia" w:ascii="宋体" w:hAnsi="宋体" w:cs="宋体"/>
        <w:sz w:val="15"/>
        <w:szCs w:val="15"/>
        <w:lang w:eastAsia="zh-CN"/>
      </w:rPr>
      <w:t xml:space="preserve"> </w:t>
    </w:r>
  </w:p>
  <w:p w14:paraId="0344B7A9">
    <w:pPr>
      <w:pStyle w:val="231"/>
      <w:pBdr>
        <w:bottom w:val="none" w:color="000000"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588A1">
    <w:pPr>
      <w:pStyle w:val="231"/>
      <w:pBdr>
        <w:bottom w:val="none" w:color="000000"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3"/>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00000001"/>
    <w:multiLevelType w:val="singleLevel"/>
    <w:tmpl w:val="00000001"/>
    <w:lvl w:ilvl="0" w:tentative="0">
      <w:start w:val="1"/>
      <w:numFmt w:val="chineseCounting"/>
      <w:suff w:val="nothing"/>
      <w:lvlText w:val="%1、"/>
      <w:lvlJc w:val="left"/>
      <w:rPr>
        <w:rFonts w:hint="eastAsia"/>
      </w:rPr>
    </w:lvl>
  </w:abstractNum>
  <w:abstractNum w:abstractNumId="2">
    <w:nsid w:val="00000002"/>
    <w:multiLevelType w:val="multilevel"/>
    <w:tmpl w:val="00000002"/>
    <w:lvl w:ilvl="0" w:tentative="0">
      <w:start w:val="1"/>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420"/>
  <w:characterSpacingControl w:val="doNotCompress"/>
  <w:compat>
    <w:balanceSingleByteDoubleByteWidth/>
    <w:ulTrailSpace/>
    <w:doNotExpandShiftReturn/>
    <w:useFELayout/>
    <w:splitPgBreakAndParaMark/>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D3296"/>
    <w:rsid w:val="02C24E60"/>
    <w:rsid w:val="040127EE"/>
    <w:rsid w:val="08D83D40"/>
    <w:rsid w:val="0A3A159C"/>
    <w:rsid w:val="0D1204D1"/>
    <w:rsid w:val="117621C1"/>
    <w:rsid w:val="15FB249C"/>
    <w:rsid w:val="16782B60"/>
    <w:rsid w:val="1BAB599E"/>
    <w:rsid w:val="226508ED"/>
    <w:rsid w:val="22AB7CC8"/>
    <w:rsid w:val="23737B15"/>
    <w:rsid w:val="24D63DE0"/>
    <w:rsid w:val="25427C93"/>
    <w:rsid w:val="28A3009E"/>
    <w:rsid w:val="2C060A3E"/>
    <w:rsid w:val="2D5A58C2"/>
    <w:rsid w:val="34174945"/>
    <w:rsid w:val="373C7109"/>
    <w:rsid w:val="37BA5B13"/>
    <w:rsid w:val="414016D0"/>
    <w:rsid w:val="44B244EA"/>
    <w:rsid w:val="49B30506"/>
    <w:rsid w:val="4E6C423B"/>
    <w:rsid w:val="53231A63"/>
    <w:rsid w:val="55D4507A"/>
    <w:rsid w:val="5B35379B"/>
    <w:rsid w:val="5BDD5DA4"/>
    <w:rsid w:val="5C2858D7"/>
    <w:rsid w:val="5CC20BEA"/>
    <w:rsid w:val="5DC215C2"/>
    <w:rsid w:val="65855BC4"/>
    <w:rsid w:val="66980E70"/>
    <w:rsid w:val="68571CB7"/>
    <w:rsid w:val="73AD3A5D"/>
    <w:rsid w:val="747A5AF5"/>
    <w:rsid w:val="753F5076"/>
    <w:rsid w:val="7A1563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nhideWhenUsed="0" w:uiPriority="0"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35" w:semiHidden="0" w:name="caption"/>
    <w:lsdException w:qFormat="1" w:unhideWhenUsed="0" w:uiPriority="99"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99"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qFormat="1" w:unhideWhenUsed="0" w:uiPriority="99" w:semiHidden="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167"/>
    <w:qFormat/>
    <w:uiPriority w:val="9"/>
    <w:pPr>
      <w:keepNext/>
      <w:keepLines/>
      <w:spacing w:before="360" w:after="80"/>
      <w:outlineLvl w:val="0"/>
    </w:pPr>
    <w:rPr>
      <w:rFonts w:ascii="Arial" w:hAnsi="Arial" w:eastAsia="Arial" w:cs="Arial"/>
      <w:color w:val="366091"/>
      <w:sz w:val="40"/>
      <w:szCs w:val="40"/>
    </w:rPr>
  </w:style>
  <w:style w:type="paragraph" w:styleId="3">
    <w:name w:val="heading 2"/>
    <w:basedOn w:val="1"/>
    <w:next w:val="1"/>
    <w:link w:val="168"/>
    <w:qFormat/>
    <w:uiPriority w:val="9"/>
    <w:pPr>
      <w:keepNext/>
      <w:keepLines/>
      <w:spacing w:before="160" w:after="80"/>
      <w:outlineLvl w:val="1"/>
    </w:pPr>
    <w:rPr>
      <w:rFonts w:ascii="Arial" w:hAnsi="Arial" w:eastAsia="Arial" w:cs="Arial"/>
      <w:color w:val="366091"/>
      <w:sz w:val="32"/>
      <w:szCs w:val="32"/>
    </w:rPr>
  </w:style>
  <w:style w:type="paragraph" w:styleId="4">
    <w:name w:val="heading 3"/>
    <w:basedOn w:val="1"/>
    <w:next w:val="1"/>
    <w:link w:val="169"/>
    <w:qFormat/>
    <w:uiPriority w:val="9"/>
    <w:pPr>
      <w:keepNext/>
      <w:keepLines/>
      <w:spacing w:before="160" w:after="80"/>
      <w:outlineLvl w:val="2"/>
    </w:pPr>
    <w:rPr>
      <w:rFonts w:ascii="Arial" w:hAnsi="Arial" w:eastAsia="Arial" w:cs="Arial"/>
      <w:color w:val="366091"/>
      <w:sz w:val="28"/>
      <w:szCs w:val="28"/>
    </w:rPr>
  </w:style>
  <w:style w:type="paragraph" w:styleId="5">
    <w:name w:val="heading 4"/>
    <w:basedOn w:val="1"/>
    <w:next w:val="1"/>
    <w:link w:val="170"/>
    <w:qFormat/>
    <w:uiPriority w:val="9"/>
    <w:pPr>
      <w:keepNext/>
      <w:keepLines/>
      <w:spacing w:before="80" w:after="40"/>
      <w:outlineLvl w:val="3"/>
    </w:pPr>
    <w:rPr>
      <w:rFonts w:ascii="Arial" w:hAnsi="Arial" w:eastAsia="Arial" w:cs="Arial"/>
      <w:i/>
      <w:iCs/>
      <w:color w:val="366091"/>
    </w:rPr>
  </w:style>
  <w:style w:type="paragraph" w:styleId="6">
    <w:name w:val="heading 5"/>
    <w:basedOn w:val="1"/>
    <w:next w:val="1"/>
    <w:link w:val="171"/>
    <w:qFormat/>
    <w:uiPriority w:val="9"/>
    <w:pPr>
      <w:keepNext/>
      <w:keepLines/>
      <w:spacing w:before="80" w:after="40"/>
      <w:outlineLvl w:val="4"/>
    </w:pPr>
    <w:rPr>
      <w:rFonts w:ascii="Arial" w:hAnsi="Arial" w:eastAsia="Arial" w:cs="Arial"/>
      <w:color w:val="366091"/>
    </w:rPr>
  </w:style>
  <w:style w:type="paragraph" w:styleId="7">
    <w:name w:val="heading 6"/>
    <w:basedOn w:val="1"/>
    <w:next w:val="1"/>
    <w:link w:val="172"/>
    <w:qFormat/>
    <w:uiPriority w:val="9"/>
    <w:pPr>
      <w:keepNext/>
      <w:keepLines/>
      <w:spacing w:before="40" w:after="0"/>
      <w:outlineLvl w:val="5"/>
    </w:pPr>
    <w:rPr>
      <w:rFonts w:ascii="Arial" w:hAnsi="Arial" w:eastAsia="Arial" w:cs="Arial"/>
      <w:i/>
      <w:iCs/>
      <w:color w:val="585858"/>
    </w:rPr>
  </w:style>
  <w:style w:type="paragraph" w:styleId="8">
    <w:name w:val="heading 7"/>
    <w:basedOn w:val="1"/>
    <w:next w:val="1"/>
    <w:link w:val="173"/>
    <w:qFormat/>
    <w:uiPriority w:val="9"/>
    <w:pPr>
      <w:keepNext/>
      <w:keepLines/>
      <w:spacing w:before="40" w:after="0"/>
      <w:outlineLvl w:val="6"/>
    </w:pPr>
    <w:rPr>
      <w:rFonts w:ascii="Arial" w:hAnsi="Arial" w:eastAsia="Arial" w:cs="Arial"/>
      <w:color w:val="585858"/>
    </w:rPr>
  </w:style>
  <w:style w:type="paragraph" w:styleId="9">
    <w:name w:val="heading 8"/>
    <w:basedOn w:val="1"/>
    <w:next w:val="1"/>
    <w:link w:val="174"/>
    <w:qFormat/>
    <w:uiPriority w:val="9"/>
    <w:pPr>
      <w:keepNext/>
      <w:keepLines/>
      <w:spacing w:after="0"/>
      <w:outlineLvl w:val="7"/>
    </w:pPr>
    <w:rPr>
      <w:rFonts w:ascii="Arial" w:hAnsi="Arial" w:eastAsia="Arial" w:cs="Arial"/>
      <w:i/>
      <w:iCs/>
      <w:color w:val="262626"/>
    </w:rPr>
  </w:style>
  <w:style w:type="paragraph" w:styleId="10">
    <w:name w:val="heading 9"/>
    <w:basedOn w:val="1"/>
    <w:next w:val="1"/>
    <w:link w:val="175"/>
    <w:qFormat/>
    <w:uiPriority w:val="9"/>
    <w:pPr>
      <w:keepNext/>
      <w:keepLines/>
      <w:spacing w:after="0"/>
      <w:outlineLvl w:val="8"/>
    </w:pPr>
    <w:rPr>
      <w:rFonts w:ascii="Arial" w:hAnsi="Arial" w:eastAsia="Arial" w:cs="Arial"/>
      <w:i/>
      <w:iCs/>
      <w:color w:val="262626"/>
    </w:rPr>
  </w:style>
  <w:style w:type="character" w:default="1" w:styleId="33">
    <w:name w:val="Default Paragraph Font"/>
    <w:qFormat/>
    <w:uiPriority w:val="1"/>
  </w:style>
  <w:style w:type="table" w:default="1" w:styleId="31">
    <w:name w:val="Normal Table"/>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qFormat/>
    <w:uiPriority w:val="39"/>
    <w:pPr>
      <w:spacing w:after="100"/>
      <w:ind w:left="1320"/>
    </w:pPr>
  </w:style>
  <w:style w:type="paragraph" w:styleId="12">
    <w:name w:val="caption"/>
    <w:basedOn w:val="1"/>
    <w:next w:val="1"/>
    <w:qFormat/>
    <w:uiPriority w:val="35"/>
    <w:pPr>
      <w:spacing w:after="200" w:line="240" w:lineRule="auto"/>
    </w:pPr>
    <w:rPr>
      <w:i/>
      <w:iCs/>
      <w:color w:val="1F497D"/>
      <w:sz w:val="18"/>
      <w:szCs w:val="18"/>
    </w:rPr>
  </w:style>
  <w:style w:type="paragraph" w:styleId="13">
    <w:name w:val="annotation text"/>
    <w:basedOn w:val="1"/>
    <w:qFormat/>
    <w:uiPriority w:val="99"/>
    <w:pPr>
      <w:jc w:val="left"/>
    </w:pPr>
  </w:style>
  <w:style w:type="paragraph" w:styleId="14">
    <w:name w:val="Body Text"/>
    <w:basedOn w:val="1"/>
    <w:next w:val="1"/>
    <w:qFormat/>
    <w:uiPriority w:val="0"/>
    <w:pPr>
      <w:spacing w:after="120"/>
    </w:pPr>
  </w:style>
  <w:style w:type="paragraph" w:styleId="15">
    <w:name w:val="toc 5"/>
    <w:basedOn w:val="1"/>
    <w:next w:val="1"/>
    <w:qFormat/>
    <w:uiPriority w:val="39"/>
    <w:pPr>
      <w:spacing w:after="100"/>
      <w:ind w:left="880"/>
    </w:pPr>
  </w:style>
  <w:style w:type="paragraph" w:styleId="16">
    <w:name w:val="toc 3"/>
    <w:basedOn w:val="1"/>
    <w:next w:val="1"/>
    <w:qFormat/>
    <w:uiPriority w:val="39"/>
    <w:pPr>
      <w:spacing w:after="100"/>
      <w:ind w:left="440"/>
    </w:pPr>
  </w:style>
  <w:style w:type="paragraph" w:styleId="17">
    <w:name w:val="Plain Text"/>
    <w:basedOn w:val="1"/>
    <w:qFormat/>
    <w:uiPriority w:val="0"/>
    <w:pPr>
      <w:widowControl w:val="0"/>
      <w:jc w:val="both"/>
    </w:pPr>
    <w:rPr>
      <w:rFonts w:ascii="宋体" w:hAnsi="Times New Roman" w:eastAsia="宋体" w:cs="Times New Roman"/>
      <w:kern w:val="2"/>
      <w:sz w:val="21"/>
      <w:szCs w:val="21"/>
      <w:lang w:val="en-US" w:eastAsia="zh-CN" w:bidi="ar-SA"/>
    </w:rPr>
  </w:style>
  <w:style w:type="paragraph" w:styleId="18">
    <w:name w:val="toc 8"/>
    <w:basedOn w:val="1"/>
    <w:next w:val="1"/>
    <w:qFormat/>
    <w:uiPriority w:val="39"/>
    <w:pPr>
      <w:spacing w:after="100"/>
      <w:ind w:left="1540"/>
    </w:pPr>
  </w:style>
  <w:style w:type="paragraph" w:styleId="19">
    <w:name w:val="endnote text"/>
    <w:basedOn w:val="1"/>
    <w:link w:val="192"/>
    <w:qFormat/>
    <w:uiPriority w:val="99"/>
    <w:pPr>
      <w:spacing w:after="0" w:line="240" w:lineRule="auto"/>
    </w:pPr>
    <w:rPr>
      <w:sz w:val="20"/>
      <w:szCs w:val="20"/>
    </w:rPr>
  </w:style>
  <w:style w:type="paragraph" w:styleId="20">
    <w:name w:val="footer"/>
    <w:basedOn w:val="1"/>
    <w:next w:val="1"/>
    <w:link w:val="190"/>
    <w:qFormat/>
    <w:uiPriority w:val="99"/>
    <w:pPr>
      <w:tabs>
        <w:tab w:val="center" w:pos="4844"/>
        <w:tab w:val="right" w:pos="9689"/>
      </w:tabs>
      <w:spacing w:after="0" w:line="240" w:lineRule="auto"/>
    </w:pPr>
  </w:style>
  <w:style w:type="paragraph" w:styleId="21">
    <w:name w:val="header"/>
    <w:basedOn w:val="1"/>
    <w:link w:val="189"/>
    <w:qFormat/>
    <w:uiPriority w:val="99"/>
    <w:pPr>
      <w:tabs>
        <w:tab w:val="center" w:pos="4844"/>
        <w:tab w:val="right" w:pos="9689"/>
      </w:tabs>
      <w:spacing w:after="0" w:line="240" w:lineRule="auto"/>
    </w:pPr>
  </w:style>
  <w:style w:type="paragraph" w:styleId="22">
    <w:name w:val="toc 1"/>
    <w:basedOn w:val="1"/>
    <w:next w:val="1"/>
    <w:qFormat/>
    <w:uiPriority w:val="39"/>
    <w:pPr>
      <w:spacing w:after="100"/>
    </w:pPr>
  </w:style>
  <w:style w:type="paragraph" w:styleId="23">
    <w:name w:val="toc 4"/>
    <w:basedOn w:val="1"/>
    <w:next w:val="1"/>
    <w:qFormat/>
    <w:uiPriority w:val="39"/>
    <w:pPr>
      <w:spacing w:after="100"/>
      <w:ind w:left="660"/>
    </w:pPr>
  </w:style>
  <w:style w:type="paragraph" w:styleId="24">
    <w:name w:val="Subtitle"/>
    <w:basedOn w:val="1"/>
    <w:next w:val="1"/>
    <w:link w:val="177"/>
    <w:qFormat/>
    <w:uiPriority w:val="11"/>
    <w:rPr>
      <w:color w:val="585858"/>
      <w:spacing w:val="15"/>
      <w:sz w:val="28"/>
      <w:szCs w:val="28"/>
    </w:rPr>
  </w:style>
  <w:style w:type="paragraph" w:styleId="25">
    <w:name w:val="footnote text"/>
    <w:basedOn w:val="1"/>
    <w:link w:val="191"/>
    <w:qFormat/>
    <w:uiPriority w:val="99"/>
    <w:pPr>
      <w:spacing w:after="0" w:line="240" w:lineRule="auto"/>
    </w:pPr>
    <w:rPr>
      <w:sz w:val="20"/>
      <w:szCs w:val="20"/>
    </w:rPr>
  </w:style>
  <w:style w:type="paragraph" w:styleId="26">
    <w:name w:val="toc 6"/>
    <w:basedOn w:val="1"/>
    <w:next w:val="1"/>
    <w:qFormat/>
    <w:uiPriority w:val="39"/>
    <w:pPr>
      <w:spacing w:after="100"/>
      <w:ind w:left="1100"/>
    </w:pPr>
  </w:style>
  <w:style w:type="paragraph" w:styleId="27">
    <w:name w:val="table of figures"/>
    <w:basedOn w:val="1"/>
    <w:next w:val="1"/>
    <w:qFormat/>
    <w:uiPriority w:val="99"/>
    <w:pPr>
      <w:spacing w:after="0" w:afterAutospacing="0"/>
    </w:pPr>
  </w:style>
  <w:style w:type="paragraph" w:styleId="28">
    <w:name w:val="toc 2"/>
    <w:basedOn w:val="1"/>
    <w:next w:val="1"/>
    <w:qFormat/>
    <w:uiPriority w:val="39"/>
    <w:pPr>
      <w:spacing w:after="100"/>
      <w:ind w:left="220"/>
    </w:pPr>
  </w:style>
  <w:style w:type="paragraph" w:styleId="29">
    <w:name w:val="toc 9"/>
    <w:basedOn w:val="1"/>
    <w:next w:val="1"/>
    <w:qFormat/>
    <w:uiPriority w:val="39"/>
    <w:pPr>
      <w:spacing w:after="100"/>
      <w:ind w:left="1760"/>
    </w:pPr>
  </w:style>
  <w:style w:type="paragraph" w:styleId="30">
    <w:name w:val="Title"/>
    <w:basedOn w:val="1"/>
    <w:next w:val="1"/>
    <w:link w:val="176"/>
    <w:qFormat/>
    <w:uiPriority w:val="10"/>
    <w:pPr>
      <w:spacing w:after="80" w:line="240" w:lineRule="auto"/>
      <w:contextualSpacing/>
    </w:pPr>
    <w:rPr>
      <w:rFonts w:ascii="Arial" w:hAnsi="Arial" w:eastAsia="Arial" w:cs="Arial"/>
      <w:spacing w:val="-10"/>
      <w:sz w:val="56"/>
      <w:szCs w:val="56"/>
    </w:rPr>
  </w:style>
  <w:style w:type="table" w:styleId="32">
    <w:name w:val="Table Grid"/>
    <w:basedOn w:val="31"/>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4">
    <w:name w:val="Strong"/>
    <w:basedOn w:val="33"/>
    <w:qFormat/>
    <w:uiPriority w:val="22"/>
    <w:rPr>
      <w:b/>
      <w:bCs/>
    </w:rPr>
  </w:style>
  <w:style w:type="character" w:styleId="35">
    <w:name w:val="endnote reference"/>
    <w:basedOn w:val="33"/>
    <w:qFormat/>
    <w:uiPriority w:val="99"/>
    <w:rPr>
      <w:vertAlign w:val="superscript"/>
    </w:rPr>
  </w:style>
  <w:style w:type="character" w:styleId="36">
    <w:name w:val="FollowedHyperlink"/>
    <w:basedOn w:val="33"/>
    <w:qFormat/>
    <w:uiPriority w:val="99"/>
    <w:rPr>
      <w:color w:val="800080"/>
      <w:u w:val="single"/>
    </w:rPr>
  </w:style>
  <w:style w:type="character" w:styleId="37">
    <w:name w:val="Emphasis"/>
    <w:basedOn w:val="33"/>
    <w:qFormat/>
    <w:uiPriority w:val="20"/>
    <w:rPr>
      <w:i/>
      <w:iCs/>
    </w:rPr>
  </w:style>
  <w:style w:type="character" w:styleId="38">
    <w:name w:val="Hyperlink"/>
    <w:basedOn w:val="33"/>
    <w:qFormat/>
    <w:uiPriority w:val="99"/>
    <w:rPr>
      <w:color w:val="0000FF"/>
      <w:u w:val="single"/>
    </w:rPr>
  </w:style>
  <w:style w:type="character" w:styleId="39">
    <w:name w:val="footnote reference"/>
    <w:basedOn w:val="33"/>
    <w:qFormat/>
    <w:uiPriority w:val="99"/>
    <w:rPr>
      <w:vertAlign w:val="superscript"/>
    </w:rPr>
  </w:style>
  <w:style w:type="paragraph" w:customStyle="1" w:styleId="40">
    <w:name w:val="正文文本1"/>
    <w:basedOn w:val="1"/>
    <w:next w:val="41"/>
    <w:link w:val="205"/>
    <w:qFormat/>
    <w:uiPriority w:val="0"/>
    <w:pPr>
      <w:spacing w:after="120"/>
    </w:pPr>
  </w:style>
  <w:style w:type="paragraph" w:customStyle="1" w:styleId="41">
    <w:name w:val="_Style 2"/>
    <w:basedOn w:val="1"/>
    <w:next w:val="1"/>
    <w:qFormat/>
    <w:uiPriority w:val="34"/>
    <w:pPr>
      <w:widowControl/>
      <w:spacing w:line="360" w:lineRule="auto"/>
      <w:ind w:firstLine="420"/>
      <w:jc w:val="left"/>
    </w:pPr>
    <w:rPr>
      <w:rFonts w:ascii="Arial" w:hAnsi="Arial"/>
      <w:bCs/>
      <w:sz w:val="24"/>
      <w:szCs w:val="36"/>
    </w:rPr>
  </w:style>
  <w:style w:type="table" w:customStyle="1" w:styleId="42">
    <w:name w:val="Table Grid Light"/>
    <w:basedOn w:val="31"/>
    <w:qFormat/>
    <w:uiPriority w:val="59"/>
    <w:pPr>
      <w:spacing w:after="0" w:line="240" w:lineRule="auto"/>
    </w:pPr>
    <w:tblPr>
      <w:tblBorders>
        <w:top w:val="single" w:color="AEAEAE" w:sz="4" w:space="0"/>
        <w:left w:val="single" w:color="AEAEAE" w:sz="4" w:space="0"/>
        <w:bottom w:val="single" w:color="AEAEAE" w:sz="4" w:space="0"/>
        <w:right w:val="single" w:color="AEAEAE" w:sz="4" w:space="0"/>
        <w:insideH w:val="single" w:color="AEAEAE" w:sz="4" w:space="0"/>
        <w:insideV w:val="single" w:color="AEAEAE"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3">
    <w:name w:val="Plain Table 1"/>
    <w:basedOn w:val="31"/>
    <w:qFormat/>
    <w:uiPriority w:val="59"/>
    <w:pPr>
      <w:spacing w:after="0" w:line="240" w:lineRule="auto"/>
    </w:pPr>
    <w:tblPr>
      <w:tblBorders>
        <w:top w:val="single" w:color="AEAEAE" w:sz="4" w:space="0"/>
        <w:left w:val="single" w:color="AEAEAE" w:sz="4" w:space="0"/>
        <w:bottom w:val="single" w:color="AEAEAE" w:sz="4" w:space="0"/>
        <w:right w:val="single" w:color="AEAEAE" w:sz="4" w:space="0"/>
        <w:insideH w:val="single" w:color="AEAEAE" w:sz="4" w:space="0"/>
        <w:insideV w:val="single" w:color="AEAEAE"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fill="F1F1F1"/>
      </w:tcPr>
    </w:tblStylePr>
    <w:tblStylePr w:type="band2Vert"/>
    <w:tblStylePr w:type="band1Horz">
      <w:tcPr>
        <w:shd w:val="clear" w:color="F1F1F1" w:fill="F1F1F1"/>
      </w:tcPr>
    </w:tblStylePr>
    <w:tblStylePr w:type="band2Horz"/>
    <w:tblStylePr w:type="neCell"/>
    <w:tblStylePr w:type="nwCell"/>
    <w:tblStylePr w:type="seCell"/>
    <w:tblStylePr w:type="swCell"/>
  </w:style>
  <w:style w:type="table" w:customStyle="1" w:styleId="44">
    <w:name w:val="Plain Table 2"/>
    <w:basedOn w:val="31"/>
    <w:qFormat/>
    <w:uiPriority w:val="59"/>
    <w:pPr>
      <w:spacing w:after="0" w:line="240" w:lineRule="auto"/>
    </w:pPr>
    <w:tblPr>
      <w:tblBorders>
        <w:top w:val="single" w:color="000000" w:sz="4" w:space="0"/>
        <w:left w:val="none" w:color="000000" w:sz="4" w:space="0"/>
        <w:bottom w:val="single" w:color="000000" w:sz="4" w:space="0"/>
        <w:right w:val="none" w:color="000000"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sz="4" w:space="0"/>
          <w:bottom w:val="single" w:color="000000"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band1Horz">
      <w:tcPr>
        <w:tcBorders>
          <w:top w:val="single" w:color="000000" w:sz="4" w:space="0"/>
          <w:bottom w:val="single" w:color="000000" w:sz="4" w:space="0"/>
        </w:tcBorders>
      </w:tcPr>
    </w:tblStylePr>
    <w:tblStylePr w:type="band2Horz"/>
    <w:tblStylePr w:type="neCell"/>
    <w:tblStylePr w:type="nwCell"/>
    <w:tblStylePr w:type="seCell"/>
    <w:tblStylePr w:type="swCell"/>
  </w:style>
  <w:style w:type="table" w:customStyle="1" w:styleId="45">
    <w:name w:val="Plain Table 3"/>
    <w:basedOn w:val="31"/>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fill="F1F1F1"/>
      </w:tcPr>
    </w:tblStylePr>
    <w:tblStylePr w:type="band2Vert"/>
    <w:tblStylePr w:type="band1Horz">
      <w:rPr>
        <w:rFonts w:ascii="Arial" w:hAnsi="Arial"/>
        <w:color w:val="404040"/>
        <w:sz w:val="22"/>
      </w:rPr>
      <w:tcPr>
        <w:shd w:val="clear" w:color="F1F1F1" w:fill="F1F1F1"/>
      </w:tcPr>
    </w:tblStylePr>
    <w:tblStylePr w:type="band2Horz"/>
    <w:tblStylePr w:type="neCell"/>
    <w:tblStylePr w:type="nwCell"/>
    <w:tblStylePr w:type="seCell"/>
    <w:tblStylePr w:type="swCell"/>
  </w:style>
  <w:style w:type="table" w:customStyle="1" w:styleId="46">
    <w:name w:val="Plain Table 4"/>
    <w:basedOn w:val="31"/>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fill="F1F1F1"/>
      </w:tcPr>
    </w:tblStylePr>
    <w:tblStylePr w:type="band2Vert"/>
    <w:tblStylePr w:type="band1Horz">
      <w:rPr>
        <w:rFonts w:ascii="Arial" w:hAnsi="Arial"/>
        <w:color w:val="404040"/>
        <w:sz w:val="22"/>
      </w:rPr>
      <w:tcPr>
        <w:shd w:val="clear" w:color="F1F1F1" w:fill="F1F1F1"/>
      </w:tcPr>
    </w:tblStylePr>
    <w:tblStylePr w:type="band2Horz"/>
    <w:tblStylePr w:type="neCell"/>
    <w:tblStylePr w:type="nwCell"/>
    <w:tblStylePr w:type="seCell"/>
    <w:tblStylePr w:type="swCell"/>
  </w:style>
  <w:style w:type="table" w:customStyle="1" w:styleId="47">
    <w:name w:val="Plain Table 5"/>
    <w:basedOn w:val="31"/>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fill="F1F1F1"/>
      </w:tcPr>
    </w:tblStylePr>
    <w:tblStylePr w:type="band2Vert"/>
    <w:tblStylePr w:type="band1Horz">
      <w:rPr>
        <w:rFonts w:ascii="Arial" w:hAnsi="Arial"/>
        <w:color w:val="404040"/>
        <w:sz w:val="22"/>
      </w:rPr>
      <w:tcPr>
        <w:shd w:val="clear" w:color="F1F1F1" w:fill="F1F1F1"/>
      </w:tcPr>
    </w:tblStylePr>
    <w:tblStylePr w:type="band2Horz"/>
    <w:tblStylePr w:type="neCell"/>
    <w:tblStylePr w:type="nwCell"/>
    <w:tblStylePr w:type="seCell"/>
    <w:tblStylePr w:type="swCell"/>
  </w:style>
  <w:style w:type="table" w:customStyle="1" w:styleId="48">
    <w:name w:val="Grid Table 1 Light"/>
    <w:basedOn w:val="31"/>
    <w:qFormat/>
    <w:uiPriority w:val="99"/>
    <w:pPr>
      <w:spacing w:after="0" w:line="240" w:lineRule="auto"/>
    </w:pPr>
    <w:tblPr>
      <w:tblBorders>
        <w:top w:val="single" w:color="979797" w:sz="4" w:space="0"/>
        <w:left w:val="single" w:color="979797" w:sz="4" w:space="0"/>
        <w:bottom w:val="single" w:color="979797" w:sz="4" w:space="0"/>
        <w:right w:val="single" w:color="979797" w:sz="4" w:space="0"/>
        <w:insideH w:val="single" w:color="979797" w:sz="4" w:space="0"/>
        <w:insideV w:val="single" w:color="979797" w:sz="4" w:space="0"/>
      </w:tblBorders>
    </w:tblPr>
    <w:tblStylePr w:type="firstRow">
      <w:rPr>
        <w:b/>
        <w:color w:val="404040"/>
      </w:rPr>
      <w:tcPr>
        <w:tcBorders>
          <w:bottom w:val="single" w:color="696969"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sz="4" w:space="0"/>
          <w:left w:val="single" w:color="979797" w:sz="4" w:space="0"/>
          <w:bottom w:val="single" w:color="979797" w:sz="4" w:space="0"/>
          <w:right w:val="single" w:color="979797" w:sz="4" w:space="0"/>
        </w:tcBorders>
      </w:tcPr>
    </w:tblStylePr>
    <w:tblStylePr w:type="band2Horz"/>
    <w:tblStylePr w:type="neCell"/>
    <w:tblStylePr w:type="nwCell"/>
    <w:tblStylePr w:type="seCell"/>
    <w:tblStylePr w:type="swCell"/>
  </w:style>
  <w:style w:type="table" w:customStyle="1" w:styleId="49">
    <w:name w:val="Grid Table 1 Light - Accent 1"/>
    <w:basedOn w:val="31"/>
    <w:qFormat/>
    <w:uiPriority w:val="99"/>
    <w:pPr>
      <w:spacing w:after="0" w:line="240" w:lineRule="auto"/>
    </w:pPr>
    <w:tblPr>
      <w:tblBorders>
        <w:top w:val="single" w:color="B7CCE4" w:sz="4" w:space="0"/>
        <w:left w:val="single" w:color="B7CCE4" w:sz="4" w:space="0"/>
        <w:bottom w:val="single" w:color="B7CCE4" w:sz="4" w:space="0"/>
        <w:right w:val="single" w:color="B7CCE4" w:sz="4" w:space="0"/>
        <w:insideH w:val="single" w:color="B7CCE4" w:sz="4" w:space="0"/>
        <w:insideV w:val="single" w:color="B7CCE4" w:sz="4" w:space="0"/>
      </w:tblBorders>
    </w:tblPr>
    <w:tblStylePr w:type="firstRow">
      <w:rPr>
        <w:b/>
        <w:color w:val="404040"/>
      </w:rPr>
      <w:tcPr>
        <w:tcBorders>
          <w:bottom w:val="single" w:color="98B5D8"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sz="4" w:space="0"/>
          <w:left w:val="single" w:color="B7CCE4" w:sz="4" w:space="0"/>
          <w:bottom w:val="single" w:color="B7CCE4" w:sz="4" w:space="0"/>
          <w:right w:val="single" w:color="B7CCE4" w:sz="4" w:space="0"/>
        </w:tcBorders>
      </w:tcPr>
    </w:tblStylePr>
    <w:tblStylePr w:type="band2Horz"/>
    <w:tblStylePr w:type="neCell"/>
    <w:tblStylePr w:type="nwCell"/>
    <w:tblStylePr w:type="seCell"/>
    <w:tblStylePr w:type="swCell"/>
  </w:style>
  <w:style w:type="table" w:customStyle="1" w:styleId="50">
    <w:name w:val="Grid Table 1 Light - Accent 2"/>
    <w:basedOn w:val="31"/>
    <w:qFormat/>
    <w:uiPriority w:val="99"/>
    <w:pPr>
      <w:spacing w:after="0" w:line="240" w:lineRule="auto"/>
    </w:pPr>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Pr>
    <w:tblStylePr w:type="firstRow">
      <w:rPr>
        <w:b/>
        <w:color w:val="404040"/>
      </w:rPr>
      <w:tcPr>
        <w:tcBorders>
          <w:bottom w:val="single" w:color="DA9896"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sz="4" w:space="0"/>
          <w:left w:val="single" w:color="E5B8B7" w:sz="4" w:space="0"/>
          <w:bottom w:val="single" w:color="E5B8B7" w:sz="4" w:space="0"/>
          <w:right w:val="single" w:color="E5B8B7" w:sz="4" w:space="0"/>
        </w:tcBorders>
      </w:tcPr>
    </w:tblStylePr>
    <w:tblStylePr w:type="band2Horz"/>
    <w:tblStylePr w:type="neCell"/>
    <w:tblStylePr w:type="nwCell"/>
    <w:tblStylePr w:type="seCell"/>
    <w:tblStylePr w:type="swCell"/>
  </w:style>
  <w:style w:type="table" w:customStyle="1" w:styleId="51">
    <w:name w:val="Grid Table 1 Light - Accent 3"/>
    <w:basedOn w:val="31"/>
    <w:qFormat/>
    <w:uiPriority w:val="99"/>
    <w:pPr>
      <w:spacing w:after="0" w:line="240" w:lineRule="auto"/>
    </w:pPr>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b/>
        <w:color w:val="404040"/>
      </w:rPr>
      <w:tcPr>
        <w:tcBorders>
          <w:bottom w:val="single" w:color="C4D79E"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sz="4" w:space="0"/>
          <w:left w:val="single" w:color="D6E3BB" w:sz="4" w:space="0"/>
          <w:bottom w:val="single" w:color="D6E3BB" w:sz="4" w:space="0"/>
          <w:right w:val="single" w:color="D6E3BB" w:sz="4" w:space="0"/>
        </w:tcBorders>
      </w:tcPr>
    </w:tblStylePr>
    <w:tblStylePr w:type="band2Horz"/>
    <w:tblStylePr w:type="neCell"/>
    <w:tblStylePr w:type="nwCell"/>
    <w:tblStylePr w:type="seCell"/>
    <w:tblStylePr w:type="swCell"/>
  </w:style>
  <w:style w:type="table" w:customStyle="1" w:styleId="52">
    <w:name w:val="Grid Table 1 Light - Accent 4"/>
    <w:basedOn w:val="31"/>
    <w:qFormat/>
    <w:uiPriority w:val="99"/>
    <w:pPr>
      <w:spacing w:after="0" w:line="240" w:lineRule="auto"/>
    </w:pPr>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b/>
        <w:color w:val="404040"/>
      </w:rPr>
      <w:tcPr>
        <w:tcBorders>
          <w:bottom w:val="single" w:color="B4A4C8"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sz="4" w:space="0"/>
          <w:left w:val="single" w:color="CBC0D9" w:sz="4" w:space="0"/>
          <w:bottom w:val="single" w:color="CBC0D9" w:sz="4" w:space="0"/>
          <w:right w:val="single" w:color="CBC0D9" w:sz="4" w:space="0"/>
        </w:tcBorders>
      </w:tcPr>
    </w:tblStylePr>
    <w:tblStylePr w:type="band2Horz"/>
    <w:tblStylePr w:type="neCell"/>
    <w:tblStylePr w:type="nwCell"/>
    <w:tblStylePr w:type="seCell"/>
    <w:tblStylePr w:type="swCell"/>
  </w:style>
  <w:style w:type="table" w:customStyle="1" w:styleId="53">
    <w:name w:val="Grid Table 1 Light - Accent 5"/>
    <w:basedOn w:val="31"/>
    <w:qFormat/>
    <w:uiPriority w:val="99"/>
    <w:pPr>
      <w:spacing w:after="0" w:line="240" w:lineRule="auto"/>
    </w:pPr>
    <w:tblPr>
      <w:tblBorders>
        <w:top w:val="single" w:color="B6DDE7" w:sz="4" w:space="0"/>
        <w:left w:val="single" w:color="B6DDE7" w:sz="4" w:space="0"/>
        <w:bottom w:val="single" w:color="B6DDE7" w:sz="4" w:space="0"/>
        <w:right w:val="single" w:color="B6DDE7" w:sz="4" w:space="0"/>
        <w:insideH w:val="single" w:color="B6DDE7" w:sz="4" w:space="0"/>
        <w:insideV w:val="single" w:color="B6DDE7" w:sz="4" w:space="0"/>
      </w:tblBorders>
    </w:tblPr>
    <w:tblStylePr w:type="firstRow">
      <w:rPr>
        <w:b/>
        <w:color w:val="404040"/>
      </w:rPr>
      <w:tcPr>
        <w:tcBorders>
          <w:bottom w:val="single" w:color="95CEDD"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sz="4" w:space="0"/>
          <w:left w:val="single" w:color="B6DDE7" w:sz="4" w:space="0"/>
          <w:bottom w:val="single" w:color="B6DDE7" w:sz="4" w:space="0"/>
          <w:right w:val="single" w:color="B6DDE7" w:sz="4" w:space="0"/>
        </w:tcBorders>
      </w:tcPr>
    </w:tblStylePr>
    <w:tblStylePr w:type="band2Horz"/>
    <w:tblStylePr w:type="neCell"/>
    <w:tblStylePr w:type="nwCell"/>
    <w:tblStylePr w:type="seCell"/>
    <w:tblStylePr w:type="swCell"/>
  </w:style>
  <w:style w:type="table" w:customStyle="1" w:styleId="54">
    <w:name w:val="Grid Table 1 Light - Accent 6"/>
    <w:basedOn w:val="31"/>
    <w:qFormat/>
    <w:uiPriority w:val="99"/>
    <w:pPr>
      <w:spacing w:after="0" w:line="240" w:lineRule="auto"/>
    </w:pPr>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b/>
        <w:color w:val="404040"/>
      </w:rPr>
      <w:tcPr>
        <w:tcBorders>
          <w:bottom w:val="single" w:color="FAC192"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tblStylePr w:type="band2Horz"/>
    <w:tblStylePr w:type="neCell"/>
    <w:tblStylePr w:type="nwCell"/>
    <w:tblStylePr w:type="seCell"/>
    <w:tblStylePr w:type="swCell"/>
  </w:style>
  <w:style w:type="table" w:customStyle="1" w:styleId="55">
    <w:name w:val="Grid Table 2"/>
    <w:basedOn w:val="31"/>
    <w:qFormat/>
    <w:uiPriority w:val="99"/>
    <w:pPr>
      <w:spacing w:after="0" w:line="240" w:lineRule="auto"/>
    </w:pPr>
    <w:tblPr>
      <w:tblBorders>
        <w:bottom w:val="single" w:color="696969" w:sz="4" w:space="0"/>
        <w:insideH w:val="single" w:color="696969" w:sz="4" w:space="0"/>
        <w:insideV w:val="single" w:color="696969" w:sz="4" w:space="0"/>
      </w:tblBorders>
    </w:tblPr>
    <w:tblStylePr w:type="firstRow">
      <w:rPr>
        <w:b/>
        <w:color w:val="404040"/>
      </w:rPr>
      <w:tcPr>
        <w:tcBorders>
          <w:top w:val="nil"/>
          <w:left w:val="nil"/>
          <w:bottom w:val="single" w:color="696969" w:sz="12" w:space="0"/>
          <w:right w:val="nil"/>
        </w:tcBorders>
        <w:shd w:val="clear" w:color="FFFFFF" w:fill="auto"/>
      </w:tcPr>
    </w:tblStylePr>
    <w:tblStylePr w:type="lastRow">
      <w:rPr>
        <w:b/>
        <w:color w:val="404040"/>
      </w:rPr>
      <w:tcPr>
        <w:tcBorders>
          <w:top w:val="single" w:color="696969"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fill="CACACA"/>
      </w:tcPr>
    </w:tblStylePr>
    <w:tblStylePr w:type="band2Vert"/>
    <w:tblStylePr w:type="band1Horz">
      <w:rPr>
        <w:rFonts w:ascii="Arial" w:hAnsi="Arial"/>
        <w:color w:val="404040"/>
        <w:sz w:val="22"/>
      </w:rPr>
      <w:tcPr>
        <w:shd w:val="clear" w:color="CACACA" w:fill="CACACA"/>
      </w:tcPr>
    </w:tblStylePr>
    <w:tblStylePr w:type="band2Horz"/>
    <w:tblStylePr w:type="neCell"/>
    <w:tblStylePr w:type="nwCell"/>
    <w:tblStylePr w:type="seCell"/>
    <w:tblStylePr w:type="swCell"/>
  </w:style>
  <w:style w:type="table" w:customStyle="1" w:styleId="56">
    <w:name w:val="Grid Table 2 - Accent 1"/>
    <w:basedOn w:val="31"/>
    <w:qFormat/>
    <w:uiPriority w:val="99"/>
    <w:pPr>
      <w:spacing w:after="0" w:line="240" w:lineRule="auto"/>
    </w:pPr>
    <w:tblPr>
      <w:tblBorders>
        <w:bottom w:val="single" w:color="5D8BC2" w:sz="4" w:space="0"/>
        <w:insideH w:val="single" w:color="5D8BC2" w:sz="4" w:space="0"/>
        <w:insideV w:val="single" w:color="5D8BC2" w:sz="4" w:space="0"/>
      </w:tblBorders>
    </w:tblPr>
    <w:tblStylePr w:type="firstRow">
      <w:rPr>
        <w:b/>
        <w:color w:val="404040"/>
      </w:rPr>
      <w:tcPr>
        <w:tcBorders>
          <w:top w:val="nil"/>
          <w:left w:val="nil"/>
          <w:bottom w:val="single" w:color="5D8BC2" w:sz="12" w:space="0"/>
          <w:right w:val="nil"/>
        </w:tcBorders>
        <w:shd w:val="clear" w:color="FFFFFF" w:fill="auto"/>
      </w:tcPr>
    </w:tblStylePr>
    <w:tblStylePr w:type="lastRow">
      <w:rPr>
        <w:b/>
        <w:color w:val="404040"/>
      </w:rPr>
      <w:tcPr>
        <w:tcBorders>
          <w:top w:val="single" w:color="5D8BC2"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fill="DBE5F1"/>
      </w:tcPr>
    </w:tblStylePr>
    <w:tblStylePr w:type="band2Vert"/>
    <w:tblStylePr w:type="band1Horz">
      <w:rPr>
        <w:rFonts w:ascii="Arial" w:hAnsi="Arial"/>
        <w:color w:val="404040"/>
        <w:sz w:val="22"/>
      </w:rPr>
      <w:tcPr>
        <w:shd w:val="clear" w:color="DBE5F1" w:fill="DBE5F1"/>
      </w:tcPr>
    </w:tblStylePr>
    <w:tblStylePr w:type="band2Horz"/>
    <w:tblStylePr w:type="neCell"/>
    <w:tblStylePr w:type="nwCell"/>
    <w:tblStylePr w:type="seCell"/>
    <w:tblStylePr w:type="swCell"/>
  </w:style>
  <w:style w:type="table" w:customStyle="1" w:styleId="57">
    <w:name w:val="Grid Table 2 - Accent 2"/>
    <w:basedOn w:val="31"/>
    <w:qFormat/>
    <w:uiPriority w:val="99"/>
    <w:pPr>
      <w:spacing w:after="0" w:line="240" w:lineRule="auto"/>
    </w:pPr>
    <w:tblPr>
      <w:tblBorders>
        <w:bottom w:val="single" w:color="D99795" w:sz="4" w:space="0"/>
        <w:insideH w:val="single" w:color="D99795" w:sz="4" w:space="0"/>
        <w:insideV w:val="single" w:color="D99795" w:sz="4" w:space="0"/>
      </w:tblBorders>
    </w:tblPr>
    <w:tblStylePr w:type="firstRow">
      <w:rPr>
        <w:b/>
        <w:color w:val="404040"/>
      </w:rPr>
      <w:tcPr>
        <w:tcBorders>
          <w:top w:val="nil"/>
          <w:left w:val="nil"/>
          <w:bottom w:val="single" w:color="D99795" w:sz="12" w:space="0"/>
          <w:right w:val="nil"/>
        </w:tcBorders>
        <w:shd w:val="clear" w:color="FFFFFF" w:fill="auto"/>
      </w:tcPr>
    </w:tblStylePr>
    <w:tblStylePr w:type="lastRow">
      <w:rPr>
        <w:b/>
        <w:color w:val="404040"/>
      </w:rPr>
      <w:tcPr>
        <w:tcBorders>
          <w:top w:val="single" w:color="D997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cPr>
    </w:tblStylePr>
    <w:tblStylePr w:type="band2Vert"/>
    <w:tblStylePr w:type="band1Horz">
      <w:rPr>
        <w:rFonts w:ascii="Arial" w:hAnsi="Arial"/>
        <w:color w:val="404040"/>
        <w:sz w:val="22"/>
      </w:rPr>
      <w:tcPr>
        <w:shd w:val="clear" w:color="F2DCDC" w:fill="F2DCDC"/>
      </w:tcPr>
    </w:tblStylePr>
    <w:tblStylePr w:type="band2Horz"/>
    <w:tblStylePr w:type="neCell"/>
    <w:tblStylePr w:type="nwCell"/>
    <w:tblStylePr w:type="seCell"/>
    <w:tblStylePr w:type="swCell"/>
  </w:style>
  <w:style w:type="table" w:customStyle="1" w:styleId="58">
    <w:name w:val="Grid Table 2 - Accent 3"/>
    <w:basedOn w:val="31"/>
    <w:qFormat/>
    <w:uiPriority w:val="99"/>
    <w:pPr>
      <w:spacing w:after="0" w:line="240" w:lineRule="auto"/>
    </w:pPr>
    <w:tblPr>
      <w:tblBorders>
        <w:bottom w:val="single" w:color="9BBB59" w:sz="4" w:space="0"/>
        <w:insideH w:val="single" w:color="9BBB59" w:sz="4" w:space="0"/>
        <w:insideV w:val="single" w:color="9BBB59" w:sz="4" w:space="0"/>
      </w:tblBorders>
    </w:tblPr>
    <w:tblStylePr w:type="firstRow">
      <w:rPr>
        <w:b/>
        <w:color w:val="404040"/>
      </w:rPr>
      <w:tcPr>
        <w:tcBorders>
          <w:top w:val="nil"/>
          <w:left w:val="nil"/>
          <w:bottom w:val="single" w:color="9BBB59" w:sz="12" w:space="0"/>
          <w:right w:val="nil"/>
        </w:tcBorders>
        <w:shd w:val="clear" w:color="FFFFFF" w:fill="auto"/>
      </w:tcPr>
    </w:tblStylePr>
    <w:tblStylePr w:type="lastRow">
      <w:rPr>
        <w:b/>
        <w:color w:val="404040"/>
      </w:rPr>
      <w:tcPr>
        <w:tcBorders>
          <w:top w:val="single" w:color="9BBB59"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fill="EAF1DD"/>
      </w:tcPr>
    </w:tblStylePr>
    <w:tblStylePr w:type="band2Vert"/>
    <w:tblStylePr w:type="band1Horz">
      <w:rPr>
        <w:rFonts w:ascii="Arial" w:hAnsi="Arial"/>
        <w:color w:val="404040"/>
        <w:sz w:val="22"/>
      </w:rPr>
      <w:tcPr>
        <w:shd w:val="clear" w:color="EAF1DD" w:fill="EAF1DD"/>
      </w:tcPr>
    </w:tblStylePr>
    <w:tblStylePr w:type="band2Horz"/>
    <w:tblStylePr w:type="neCell"/>
    <w:tblStylePr w:type="nwCell"/>
    <w:tblStylePr w:type="seCell"/>
    <w:tblStylePr w:type="swCell"/>
  </w:style>
  <w:style w:type="table" w:customStyle="1" w:styleId="59">
    <w:name w:val="Grid Table 2 - Accent 4"/>
    <w:basedOn w:val="31"/>
    <w:qFormat/>
    <w:uiPriority w:val="99"/>
    <w:pPr>
      <w:spacing w:after="0" w:line="240" w:lineRule="auto"/>
    </w:pPr>
    <w:tblPr>
      <w:tblBorders>
        <w:bottom w:val="single" w:color="B2A1C6" w:sz="4" w:space="0"/>
        <w:insideH w:val="single" w:color="B2A1C6" w:sz="4" w:space="0"/>
        <w:insideV w:val="single" w:color="B2A1C6" w:sz="4" w:space="0"/>
      </w:tblBorders>
    </w:tblPr>
    <w:tblStylePr w:type="firstRow">
      <w:rPr>
        <w:b/>
        <w:color w:val="404040"/>
      </w:rPr>
      <w:tcPr>
        <w:tcBorders>
          <w:top w:val="nil"/>
          <w:left w:val="nil"/>
          <w:bottom w:val="single" w:color="B2A1C6" w:sz="12" w:space="0"/>
          <w:right w:val="nil"/>
        </w:tcBorders>
        <w:shd w:val="clear" w:color="FFFFFF" w:fill="auto"/>
      </w:tcPr>
    </w:tblStylePr>
    <w:tblStylePr w:type="lastRow">
      <w:rPr>
        <w:b/>
        <w:color w:val="404040"/>
      </w:rPr>
      <w:tcPr>
        <w:tcBorders>
          <w:top w:val="single" w:color="B2A1C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cPr>
    </w:tblStylePr>
    <w:tblStylePr w:type="band2Vert"/>
    <w:tblStylePr w:type="band1Horz">
      <w:rPr>
        <w:rFonts w:ascii="Arial" w:hAnsi="Arial"/>
        <w:color w:val="404040"/>
        <w:sz w:val="22"/>
      </w:rPr>
      <w:tcPr>
        <w:shd w:val="clear" w:color="E5DFEC" w:fill="E5DFEC"/>
      </w:tcPr>
    </w:tblStylePr>
    <w:tblStylePr w:type="band2Horz"/>
    <w:tblStylePr w:type="neCell"/>
    <w:tblStylePr w:type="nwCell"/>
    <w:tblStylePr w:type="seCell"/>
    <w:tblStylePr w:type="swCell"/>
  </w:style>
  <w:style w:type="table" w:customStyle="1" w:styleId="60">
    <w:name w:val="Grid Table 2 - Accent 5"/>
    <w:basedOn w:val="31"/>
    <w:qFormat/>
    <w:uiPriority w:val="99"/>
    <w:pPr>
      <w:spacing w:after="0" w:line="240" w:lineRule="auto"/>
    </w:pPr>
    <w:tblPr>
      <w:tblBorders>
        <w:bottom w:val="single" w:color="4BACC6" w:sz="4" w:space="0"/>
        <w:insideH w:val="single" w:color="4BACC6" w:sz="4" w:space="0"/>
        <w:insideV w:val="single" w:color="4BACC6" w:sz="4" w:space="0"/>
      </w:tblBorders>
    </w:tblPr>
    <w:tblStylePr w:type="firstRow">
      <w:rPr>
        <w:b/>
        <w:color w:val="404040"/>
      </w:rPr>
      <w:tcPr>
        <w:tcBorders>
          <w:top w:val="nil"/>
          <w:left w:val="nil"/>
          <w:bottom w:val="single" w:color="4BACC6" w:sz="12" w:space="0"/>
          <w:right w:val="nil"/>
        </w:tcBorders>
        <w:shd w:val="clear" w:color="FFFFFF" w:fill="auto"/>
      </w:tcPr>
    </w:tblStylePr>
    <w:tblStylePr w:type="lastRow">
      <w:rPr>
        <w:b/>
        <w:color w:val="404040"/>
      </w:rPr>
      <w:tcPr>
        <w:tcBorders>
          <w:top w:val="single" w:color="4BACC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cPr>
    </w:tblStylePr>
    <w:tblStylePr w:type="band2Vert"/>
    <w:tblStylePr w:type="band1Horz">
      <w:rPr>
        <w:rFonts w:ascii="Arial" w:hAnsi="Arial"/>
        <w:color w:val="404040"/>
        <w:sz w:val="22"/>
      </w:rPr>
      <w:tcPr>
        <w:shd w:val="clear" w:color="DAEEF3" w:fill="DAEEF3"/>
      </w:tcPr>
    </w:tblStylePr>
    <w:tblStylePr w:type="band2Horz"/>
    <w:tblStylePr w:type="neCell"/>
    <w:tblStylePr w:type="nwCell"/>
    <w:tblStylePr w:type="seCell"/>
    <w:tblStylePr w:type="swCell"/>
  </w:style>
  <w:style w:type="table" w:customStyle="1" w:styleId="61">
    <w:name w:val="Grid Table 2 - Accent 6"/>
    <w:basedOn w:val="31"/>
    <w:qFormat/>
    <w:uiPriority w:val="99"/>
    <w:pPr>
      <w:spacing w:after="0" w:line="240" w:lineRule="auto"/>
    </w:pPr>
    <w:tblPr>
      <w:tblBorders>
        <w:bottom w:val="single" w:color="F79646" w:sz="4" w:space="0"/>
        <w:insideH w:val="single" w:color="F79646" w:sz="4" w:space="0"/>
        <w:insideV w:val="single" w:color="F79646" w:sz="4" w:space="0"/>
      </w:tblBorders>
    </w:tblPr>
    <w:tblStylePr w:type="firstRow">
      <w:rPr>
        <w:b/>
        <w:color w:val="404040"/>
      </w:rPr>
      <w:tcPr>
        <w:tcBorders>
          <w:top w:val="nil"/>
          <w:left w:val="nil"/>
          <w:bottom w:val="single" w:color="F79646" w:sz="12" w:space="0"/>
          <w:right w:val="nil"/>
        </w:tcBorders>
        <w:shd w:val="clear" w:color="FFFFFF" w:fill="auto"/>
      </w:tcPr>
    </w:tblStylePr>
    <w:tblStylePr w:type="lastRow">
      <w:rPr>
        <w:b/>
        <w:color w:val="404040"/>
      </w:rPr>
      <w:tcPr>
        <w:tcBorders>
          <w:top w:val="single" w:color="F7964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fill="FDE9D9"/>
      </w:tcPr>
    </w:tblStylePr>
    <w:tblStylePr w:type="band2Vert"/>
    <w:tblStylePr w:type="band1Horz">
      <w:rPr>
        <w:rFonts w:ascii="Arial" w:hAnsi="Arial"/>
        <w:color w:val="404040"/>
        <w:sz w:val="22"/>
      </w:rPr>
      <w:tcPr>
        <w:shd w:val="clear" w:color="FDE9D9" w:fill="FDE9D9"/>
      </w:tcPr>
    </w:tblStylePr>
    <w:tblStylePr w:type="band2Horz"/>
    <w:tblStylePr w:type="neCell"/>
    <w:tblStylePr w:type="nwCell"/>
    <w:tblStylePr w:type="seCell"/>
    <w:tblStylePr w:type="swCell"/>
  </w:style>
  <w:style w:type="table" w:customStyle="1" w:styleId="62">
    <w:name w:val="Grid Table 3"/>
    <w:basedOn w:val="31"/>
    <w:qFormat/>
    <w:uiPriority w:val="99"/>
    <w:pPr>
      <w:spacing w:after="0" w:line="240" w:lineRule="auto"/>
    </w:pPr>
    <w:tblPr>
      <w:tblBorders>
        <w:bottom w:val="single" w:color="696969" w:sz="4" w:space="0"/>
        <w:insideH w:val="single" w:color="696969" w:sz="4" w:space="0"/>
        <w:insideV w:val="single" w:color="696969"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fill="CACACA"/>
      </w:tcPr>
    </w:tblStylePr>
    <w:tblStylePr w:type="band2Vert"/>
    <w:tblStylePr w:type="band1Horz">
      <w:rPr>
        <w:rFonts w:ascii="Arial" w:hAnsi="Arial"/>
        <w:color w:val="404040"/>
        <w:sz w:val="22"/>
      </w:rPr>
      <w:tcPr>
        <w:shd w:val="clear" w:color="CACACA" w:fill="CACACA"/>
      </w:tcPr>
    </w:tblStylePr>
    <w:tblStylePr w:type="band2Horz"/>
    <w:tblStylePr w:type="neCell"/>
    <w:tblStylePr w:type="nwCell"/>
    <w:tblStylePr w:type="seCell"/>
    <w:tblStylePr w:type="swCell"/>
  </w:style>
  <w:style w:type="table" w:customStyle="1" w:styleId="63">
    <w:name w:val="Grid Table 3 - Accent 1"/>
    <w:basedOn w:val="31"/>
    <w:qFormat/>
    <w:uiPriority w:val="99"/>
    <w:pPr>
      <w:spacing w:after="0" w:line="240" w:lineRule="auto"/>
    </w:pPr>
    <w:tblPr>
      <w:tblBorders>
        <w:bottom w:val="single" w:color="5D8BC2" w:sz="4" w:space="0"/>
        <w:insideH w:val="single" w:color="5D8BC2" w:sz="4" w:space="0"/>
        <w:insideV w:val="single" w:color="5D8BC2"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fill="DBE5F1"/>
      </w:tcPr>
    </w:tblStylePr>
    <w:tblStylePr w:type="band2Vert"/>
    <w:tblStylePr w:type="band1Horz">
      <w:rPr>
        <w:rFonts w:ascii="Arial" w:hAnsi="Arial"/>
        <w:color w:val="404040"/>
        <w:sz w:val="22"/>
      </w:rPr>
      <w:tcPr>
        <w:shd w:val="clear" w:color="DBE5F1" w:fill="DBE5F1"/>
      </w:tcPr>
    </w:tblStylePr>
    <w:tblStylePr w:type="band2Horz"/>
    <w:tblStylePr w:type="neCell"/>
    <w:tblStylePr w:type="nwCell"/>
    <w:tblStylePr w:type="seCell"/>
    <w:tblStylePr w:type="swCell"/>
  </w:style>
  <w:style w:type="table" w:customStyle="1" w:styleId="64">
    <w:name w:val="Grid Table 3 - Accent 2"/>
    <w:basedOn w:val="31"/>
    <w:qFormat/>
    <w:uiPriority w:val="99"/>
    <w:pPr>
      <w:spacing w:after="0" w:line="240" w:lineRule="auto"/>
    </w:pPr>
    <w:tblPr>
      <w:tblBorders>
        <w:bottom w:val="single" w:color="D99795" w:sz="4" w:space="0"/>
        <w:insideH w:val="single" w:color="D99795" w:sz="4" w:space="0"/>
        <w:insideV w:val="single" w:color="D997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fill="F2DCDC"/>
      </w:tcPr>
    </w:tblStylePr>
    <w:tblStylePr w:type="band2Vert"/>
    <w:tblStylePr w:type="band1Horz">
      <w:rPr>
        <w:rFonts w:ascii="Arial" w:hAnsi="Arial"/>
        <w:color w:val="404040"/>
        <w:sz w:val="22"/>
      </w:rPr>
      <w:tcPr>
        <w:shd w:val="clear" w:color="F2DCDC" w:fill="F2DCDC"/>
      </w:tcPr>
    </w:tblStylePr>
    <w:tblStylePr w:type="band2Horz"/>
    <w:tblStylePr w:type="neCell"/>
    <w:tblStylePr w:type="nwCell"/>
    <w:tblStylePr w:type="seCell"/>
    <w:tblStylePr w:type="swCell"/>
  </w:style>
  <w:style w:type="table" w:customStyle="1" w:styleId="65">
    <w:name w:val="Grid Table 3 - Accent 3"/>
    <w:basedOn w:val="31"/>
    <w:qFormat/>
    <w:uiPriority w:val="99"/>
    <w:pPr>
      <w:spacing w:after="0" w:line="240" w:lineRule="auto"/>
    </w:pPr>
    <w:tblPr>
      <w:tblBorders>
        <w:bottom w:val="single" w:color="9BBB59" w:sz="4" w:space="0"/>
        <w:insideH w:val="single" w:color="9BBB59" w:sz="4" w:space="0"/>
        <w:insideV w:val="single" w:color="9BBB59"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fill="EAF1DD"/>
      </w:tcPr>
    </w:tblStylePr>
    <w:tblStylePr w:type="band2Vert"/>
    <w:tblStylePr w:type="band1Horz">
      <w:rPr>
        <w:rFonts w:ascii="Arial" w:hAnsi="Arial"/>
        <w:color w:val="404040"/>
        <w:sz w:val="22"/>
      </w:rPr>
      <w:tcPr>
        <w:shd w:val="clear" w:color="EAF1DD" w:fill="EAF1DD"/>
      </w:tcPr>
    </w:tblStylePr>
    <w:tblStylePr w:type="band2Horz"/>
    <w:tblStylePr w:type="neCell"/>
    <w:tblStylePr w:type="nwCell"/>
    <w:tblStylePr w:type="seCell"/>
    <w:tblStylePr w:type="swCell"/>
  </w:style>
  <w:style w:type="table" w:customStyle="1" w:styleId="66">
    <w:name w:val="Grid Table 3 - Accent 4"/>
    <w:basedOn w:val="31"/>
    <w:qFormat/>
    <w:uiPriority w:val="99"/>
    <w:pPr>
      <w:spacing w:after="0" w:line="240" w:lineRule="auto"/>
    </w:pPr>
    <w:tblPr>
      <w:tblBorders>
        <w:bottom w:val="single" w:color="B2A1C6" w:sz="4" w:space="0"/>
        <w:insideH w:val="single" w:color="B2A1C6" w:sz="4" w:space="0"/>
        <w:insideV w:val="single" w:color="B2A1C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fill="E5DFEC"/>
      </w:tcPr>
    </w:tblStylePr>
    <w:tblStylePr w:type="band2Vert"/>
    <w:tblStylePr w:type="band1Horz">
      <w:rPr>
        <w:rFonts w:ascii="Arial" w:hAnsi="Arial"/>
        <w:color w:val="404040"/>
        <w:sz w:val="22"/>
      </w:rPr>
      <w:tcPr>
        <w:shd w:val="clear" w:color="E5DFEC" w:fill="E5DFEC"/>
      </w:tcPr>
    </w:tblStylePr>
    <w:tblStylePr w:type="band2Horz"/>
    <w:tblStylePr w:type="neCell"/>
    <w:tblStylePr w:type="nwCell"/>
    <w:tblStylePr w:type="seCell"/>
    <w:tblStylePr w:type="swCell"/>
  </w:style>
  <w:style w:type="table" w:customStyle="1" w:styleId="67">
    <w:name w:val="Grid Table 3 - Accent 5"/>
    <w:basedOn w:val="31"/>
    <w:qFormat/>
    <w:uiPriority w:val="99"/>
    <w:pPr>
      <w:spacing w:after="0" w:line="240" w:lineRule="auto"/>
    </w:pPr>
    <w:tblPr>
      <w:tblBorders>
        <w:bottom w:val="single" w:color="4BACC6" w:sz="4" w:space="0"/>
        <w:insideH w:val="single" w:color="4BACC6" w:sz="4" w:space="0"/>
        <w:insideV w:val="single" w:color="4BACC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fill="DAEEF3"/>
      </w:tcPr>
    </w:tblStylePr>
    <w:tblStylePr w:type="band2Vert"/>
    <w:tblStylePr w:type="band1Horz">
      <w:rPr>
        <w:rFonts w:ascii="Arial" w:hAnsi="Arial"/>
        <w:color w:val="404040"/>
        <w:sz w:val="22"/>
      </w:rPr>
      <w:tcPr>
        <w:shd w:val="clear" w:color="DAEEF3" w:fill="DAEEF3"/>
      </w:tcPr>
    </w:tblStylePr>
    <w:tblStylePr w:type="band2Horz"/>
    <w:tblStylePr w:type="neCell"/>
    <w:tblStylePr w:type="nwCell"/>
    <w:tblStylePr w:type="seCell"/>
    <w:tblStylePr w:type="swCell"/>
  </w:style>
  <w:style w:type="table" w:customStyle="1" w:styleId="68">
    <w:name w:val="Grid Table 3 - Accent 6"/>
    <w:basedOn w:val="31"/>
    <w:qFormat/>
    <w:uiPriority w:val="99"/>
    <w:pPr>
      <w:spacing w:after="0" w:line="240" w:lineRule="auto"/>
    </w:pPr>
    <w:tblPr>
      <w:tblBorders>
        <w:bottom w:val="single" w:color="F79646" w:sz="4" w:space="0"/>
        <w:insideH w:val="single" w:color="F79646" w:sz="4" w:space="0"/>
        <w:insideV w:val="single" w:color="F7964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fill="FDE9D9"/>
      </w:tcPr>
    </w:tblStylePr>
    <w:tblStylePr w:type="band2Vert"/>
    <w:tblStylePr w:type="band1Horz">
      <w:rPr>
        <w:rFonts w:ascii="Arial" w:hAnsi="Arial"/>
        <w:color w:val="404040"/>
        <w:sz w:val="22"/>
      </w:rPr>
      <w:tcPr>
        <w:shd w:val="clear" w:color="FDE9D9" w:fill="FDE9D9"/>
      </w:tcPr>
    </w:tblStylePr>
    <w:tblStylePr w:type="band2Horz"/>
    <w:tblStylePr w:type="neCell"/>
    <w:tblStylePr w:type="nwCell"/>
    <w:tblStylePr w:type="seCell"/>
    <w:tblStylePr w:type="swCell"/>
  </w:style>
  <w:style w:type="table" w:customStyle="1" w:styleId="69">
    <w:name w:val="Grid Table 4"/>
    <w:basedOn w:val="31"/>
    <w:qFormat/>
    <w:uiPriority w:val="59"/>
    <w:pPr>
      <w:spacing w:after="0" w:line="240" w:lineRule="auto"/>
    </w:pPr>
    <w:tblPr>
      <w:tblBorders>
        <w:top w:val="single" w:color="6E6E6E" w:sz="4" w:space="0"/>
        <w:left w:val="single" w:color="6E6E6E" w:sz="4" w:space="0"/>
        <w:bottom w:val="single" w:color="6E6E6E" w:sz="4" w:space="0"/>
        <w:right w:val="single" w:color="6E6E6E" w:sz="4" w:space="0"/>
        <w:insideH w:val="single" w:color="6E6E6E" w:sz="4" w:space="0"/>
        <w:insideV w:val="single" w:color="6E6E6E" w:sz="4" w:space="0"/>
      </w:tblBorders>
    </w:tblPr>
    <w:tblStylePr w:type="firstRow">
      <w:rPr>
        <w:rFonts w:ascii="Arial" w:hAnsi="Arial"/>
        <w:b/>
        <w:color w:val="FFFFFF"/>
        <w:sz w:val="22"/>
      </w:rPr>
      <w:tcPr>
        <w:tcBorders>
          <w:top w:val="single" w:color="000000" w:sz="4" w:space="0"/>
          <w:left w:val="single" w:color="000000" w:sz="4" w:space="0"/>
          <w:bottom w:val="single" w:color="000000" w:sz="4" w:space="0"/>
          <w:right w:val="single" w:color="000000" w:sz="4" w:space="0"/>
        </w:tcBorders>
        <w:shd w:val="clear" w:color="000000" w:fill="000000"/>
      </w:tcPr>
    </w:tblStylePr>
    <w:tblStylePr w:type="lastRow">
      <w:rPr>
        <w:b/>
        <w:color w:val="404040"/>
      </w:rPr>
      <w:tcPr>
        <w:tcBorders>
          <w:top w:val="single" w:color="000000"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fill="CACACA"/>
      </w:tcPr>
    </w:tblStylePr>
    <w:tblStylePr w:type="band2Vert"/>
    <w:tblStylePr w:type="band1Horz">
      <w:rPr>
        <w:rFonts w:ascii="Arial" w:hAnsi="Arial"/>
        <w:color w:val="404040"/>
        <w:sz w:val="22"/>
      </w:rPr>
      <w:tcPr>
        <w:shd w:val="clear" w:color="CACACA" w:fill="CACACA"/>
      </w:tcPr>
    </w:tblStylePr>
    <w:tblStylePr w:type="band2Horz"/>
    <w:tblStylePr w:type="neCell"/>
    <w:tblStylePr w:type="nwCell"/>
    <w:tblStylePr w:type="seCell"/>
    <w:tblStylePr w:type="swCell"/>
  </w:style>
  <w:style w:type="table" w:customStyle="1" w:styleId="70">
    <w:name w:val="Grid Table 4 - Accent 1"/>
    <w:basedOn w:val="31"/>
    <w:qFormat/>
    <w:uiPriority w:val="59"/>
    <w:pPr>
      <w:spacing w:after="0" w:line="240" w:lineRule="auto"/>
    </w:pPr>
    <w:tblPr>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Pr>
    <w:tblStylePr w:type="firstRow">
      <w:rPr>
        <w:rFonts w:ascii="Arial" w:hAnsi="Arial"/>
        <w:b/>
        <w:color w:val="FFFFFF"/>
        <w:sz w:val="22"/>
      </w:rPr>
      <w:tcPr>
        <w:tcBorders>
          <w:top w:val="single" w:color="5D8BC2" w:sz="4" w:space="0"/>
          <w:left w:val="single" w:color="5D8BC2" w:sz="4" w:space="0"/>
          <w:bottom w:val="single" w:color="5D8BC2" w:sz="4" w:space="0"/>
          <w:right w:val="single" w:color="5D8BC2" w:sz="4" w:space="0"/>
        </w:tcBorders>
        <w:shd w:val="clear" w:color="5D8BC2" w:fill="5D8BC2"/>
      </w:tcPr>
    </w:tblStylePr>
    <w:tblStylePr w:type="lastRow">
      <w:rPr>
        <w:b/>
        <w:color w:val="404040"/>
      </w:rPr>
      <w:tcPr>
        <w:tcBorders>
          <w:top w:val="single" w:color="5D8BC2"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fill="DCE6F2"/>
      </w:tcPr>
    </w:tblStylePr>
    <w:tblStylePr w:type="band2Vert"/>
    <w:tblStylePr w:type="band1Horz">
      <w:rPr>
        <w:rFonts w:ascii="Arial" w:hAnsi="Arial"/>
        <w:color w:val="404040"/>
        <w:sz w:val="22"/>
      </w:rPr>
      <w:tcPr>
        <w:shd w:val="clear" w:color="DCE6F2" w:fill="DCE6F2"/>
      </w:tcPr>
    </w:tblStylePr>
    <w:tblStylePr w:type="band2Horz"/>
    <w:tblStylePr w:type="neCell"/>
    <w:tblStylePr w:type="nwCell"/>
    <w:tblStylePr w:type="seCell"/>
    <w:tblStylePr w:type="swCell"/>
  </w:style>
  <w:style w:type="table" w:customStyle="1" w:styleId="71">
    <w:name w:val="Grid Table 4 - Accent 2"/>
    <w:basedOn w:val="31"/>
    <w:qFormat/>
    <w:uiPriority w:val="59"/>
    <w:pPr>
      <w:spacing w:after="0" w:line="240" w:lineRule="auto"/>
    </w:pPr>
    <w:tblPr>
      <w:tblBorders>
        <w:top w:val="single" w:color="DB9C9A" w:sz="4" w:space="0"/>
        <w:left w:val="single" w:color="DB9C9A" w:sz="4" w:space="0"/>
        <w:bottom w:val="single" w:color="DB9C9A" w:sz="4" w:space="0"/>
        <w:right w:val="single" w:color="DB9C9A" w:sz="4" w:space="0"/>
        <w:insideH w:val="single" w:color="DB9C9A" w:sz="4" w:space="0"/>
        <w:insideV w:val="single" w:color="DB9C9A" w:sz="4" w:space="0"/>
      </w:tblBorders>
    </w:tblPr>
    <w:tblStylePr w:type="firstRow">
      <w:rPr>
        <w:rFonts w:ascii="Arial" w:hAnsi="Arial"/>
        <w:b/>
        <w:color w:val="FFFFFF"/>
        <w:sz w:val="22"/>
      </w:rPr>
      <w:tcPr>
        <w:tcBorders>
          <w:top w:val="single" w:color="D99795" w:sz="4" w:space="0"/>
          <w:left w:val="single" w:color="D99795" w:sz="4" w:space="0"/>
          <w:bottom w:val="single" w:color="D99795" w:sz="4" w:space="0"/>
          <w:right w:val="single" w:color="D99795" w:sz="4" w:space="0"/>
        </w:tcBorders>
        <w:shd w:val="clear" w:color="D99795" w:fill="D99795"/>
      </w:tcPr>
    </w:tblStylePr>
    <w:tblStylePr w:type="lastRow">
      <w:rPr>
        <w:b/>
        <w:color w:val="404040"/>
      </w:rPr>
      <w:tcPr>
        <w:tcBorders>
          <w:top w:val="single" w:color="D9979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cPr>
    </w:tblStylePr>
    <w:tblStylePr w:type="band2Vert"/>
    <w:tblStylePr w:type="band1Horz">
      <w:rPr>
        <w:rFonts w:ascii="Arial" w:hAnsi="Arial"/>
        <w:color w:val="404040"/>
        <w:sz w:val="22"/>
      </w:rPr>
      <w:tcPr>
        <w:shd w:val="clear" w:color="F2DCDC" w:fill="F2DCDC"/>
      </w:tcPr>
    </w:tblStylePr>
    <w:tblStylePr w:type="band2Horz"/>
    <w:tblStylePr w:type="neCell"/>
    <w:tblStylePr w:type="nwCell"/>
    <w:tblStylePr w:type="seCell"/>
    <w:tblStylePr w:type="swCell"/>
  </w:style>
  <w:style w:type="table" w:customStyle="1" w:styleId="72">
    <w:name w:val="Grid Table 4 - Accent 3"/>
    <w:basedOn w:val="31"/>
    <w:qFormat/>
    <w:uiPriority w:val="59"/>
    <w:pPr>
      <w:spacing w:after="0" w:line="240" w:lineRule="auto"/>
    </w:pPr>
    <w:tblPr>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Pr>
    <w:tblStylePr w:type="firstRow">
      <w:rPr>
        <w:rFonts w:ascii="Arial" w:hAnsi="Arial"/>
        <w:b/>
        <w:color w:val="FFFFFF"/>
        <w:sz w:val="22"/>
      </w:rPr>
      <w:tcPr>
        <w:tcBorders>
          <w:top w:val="single" w:color="9BBB59" w:sz="4" w:space="0"/>
          <w:left w:val="single" w:color="9BBB59" w:sz="4" w:space="0"/>
          <w:bottom w:val="single" w:color="9BBB59" w:sz="4" w:space="0"/>
          <w:right w:val="single" w:color="9BBB59" w:sz="4" w:space="0"/>
        </w:tcBorders>
        <w:shd w:val="clear" w:color="9BBB59" w:fill="9BBB59"/>
      </w:tcPr>
    </w:tblStylePr>
    <w:tblStylePr w:type="lastRow">
      <w:rPr>
        <w:b/>
        <w:color w:val="404040"/>
      </w:rPr>
      <w:tcPr>
        <w:tcBorders>
          <w:top w:val="single" w:color="9BBB59"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fill="EAF1DD"/>
      </w:tcPr>
    </w:tblStylePr>
    <w:tblStylePr w:type="band2Vert"/>
    <w:tblStylePr w:type="band1Horz">
      <w:rPr>
        <w:rFonts w:ascii="Arial" w:hAnsi="Arial"/>
        <w:color w:val="404040"/>
        <w:sz w:val="22"/>
      </w:rPr>
      <w:tcPr>
        <w:shd w:val="clear" w:color="EAF1DD" w:fill="EAF1DD"/>
      </w:tcPr>
    </w:tblStylePr>
    <w:tblStylePr w:type="band2Horz"/>
    <w:tblStylePr w:type="neCell"/>
    <w:tblStylePr w:type="nwCell"/>
    <w:tblStylePr w:type="seCell"/>
    <w:tblStylePr w:type="swCell"/>
  </w:style>
  <w:style w:type="table" w:customStyle="1" w:styleId="73">
    <w:name w:val="Grid Table 4 - Accent 4"/>
    <w:basedOn w:val="31"/>
    <w:qFormat/>
    <w:uiPriority w:val="59"/>
    <w:pPr>
      <w:spacing w:after="0" w:line="240" w:lineRule="auto"/>
    </w:pPr>
    <w:tblPr>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Pr>
    <w:tblStylePr w:type="firstRow">
      <w:rPr>
        <w:rFonts w:ascii="Arial" w:hAnsi="Arial"/>
        <w:b/>
        <w:color w:val="FFFFFF"/>
        <w:sz w:val="22"/>
      </w:rPr>
      <w:tcPr>
        <w:tcBorders>
          <w:top w:val="single" w:color="B2A1C6" w:sz="4" w:space="0"/>
          <w:left w:val="single" w:color="B2A1C6" w:sz="4" w:space="0"/>
          <w:bottom w:val="single" w:color="B2A1C6" w:sz="4" w:space="0"/>
          <w:right w:val="single" w:color="B2A1C6" w:sz="4" w:space="0"/>
        </w:tcBorders>
        <w:shd w:val="clear" w:color="B2A1C6" w:fill="B2A1C6"/>
      </w:tcPr>
    </w:tblStylePr>
    <w:tblStylePr w:type="lastRow">
      <w:rPr>
        <w:b/>
        <w:color w:val="404040"/>
      </w:rPr>
      <w:tcPr>
        <w:tcBorders>
          <w:top w:val="single" w:color="B2A1C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cPr>
    </w:tblStylePr>
    <w:tblStylePr w:type="band2Vert"/>
    <w:tblStylePr w:type="band1Horz">
      <w:rPr>
        <w:rFonts w:ascii="Arial" w:hAnsi="Arial"/>
        <w:color w:val="404040"/>
        <w:sz w:val="22"/>
      </w:rPr>
      <w:tcPr>
        <w:shd w:val="clear" w:color="E5DFEC" w:fill="E5DFEC"/>
      </w:tcPr>
    </w:tblStylePr>
    <w:tblStylePr w:type="band2Horz"/>
    <w:tblStylePr w:type="neCell"/>
    <w:tblStylePr w:type="nwCell"/>
    <w:tblStylePr w:type="seCell"/>
    <w:tblStylePr w:type="swCell"/>
  </w:style>
  <w:style w:type="table" w:customStyle="1" w:styleId="74">
    <w:name w:val="Grid Table 4 - Accent 5"/>
    <w:basedOn w:val="31"/>
    <w:qFormat/>
    <w:uiPriority w:val="59"/>
    <w:pPr>
      <w:spacing w:after="0" w:line="240" w:lineRule="auto"/>
    </w:pPr>
    <w:tblPr>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Pr>
    <w:tblStylePr w:type="firstRow">
      <w:rPr>
        <w:rFonts w:ascii="Arial" w:hAnsi="Arial"/>
        <w:b/>
        <w:color w:val="FFFFFF"/>
        <w:sz w:val="22"/>
      </w:rPr>
      <w:tcPr>
        <w:tcBorders>
          <w:top w:val="single" w:color="4BACC6" w:sz="4" w:space="0"/>
          <w:left w:val="single" w:color="4BACC6" w:sz="4" w:space="0"/>
          <w:bottom w:val="single" w:color="4BACC6" w:sz="4" w:space="0"/>
          <w:right w:val="single" w:color="4BACC6" w:sz="4" w:space="0"/>
        </w:tcBorders>
        <w:shd w:val="clear" w:color="4BACC6" w:fill="4BACC6"/>
      </w:tcPr>
    </w:tblStylePr>
    <w:tblStylePr w:type="lastRow">
      <w:rPr>
        <w:b/>
        <w:color w:val="404040"/>
      </w:rPr>
      <w:tcPr>
        <w:tcBorders>
          <w:top w:val="single" w:color="4BACC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cPr>
    </w:tblStylePr>
    <w:tblStylePr w:type="band2Vert"/>
    <w:tblStylePr w:type="band1Horz">
      <w:rPr>
        <w:rFonts w:ascii="Arial" w:hAnsi="Arial"/>
        <w:color w:val="404040"/>
        <w:sz w:val="22"/>
      </w:rPr>
      <w:tcPr>
        <w:shd w:val="clear" w:color="DAEEF3" w:fill="DAEEF3"/>
      </w:tcPr>
    </w:tblStylePr>
    <w:tblStylePr w:type="band2Horz"/>
    <w:tblStylePr w:type="neCell"/>
    <w:tblStylePr w:type="nwCell"/>
    <w:tblStylePr w:type="seCell"/>
    <w:tblStylePr w:type="swCell"/>
  </w:style>
  <w:style w:type="table" w:customStyle="1" w:styleId="75">
    <w:name w:val="Grid Table 4 - Accent 6"/>
    <w:basedOn w:val="31"/>
    <w:qFormat/>
    <w:uiPriority w:val="59"/>
    <w:pPr>
      <w:spacing w:after="0" w:line="240" w:lineRule="auto"/>
    </w:pPr>
    <w:tblPr>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Pr>
    <w:tblStylePr w:type="firstRow">
      <w:rPr>
        <w:rFonts w:ascii="Arial" w:hAnsi="Arial"/>
        <w:b/>
        <w:color w:val="FFFFFF"/>
        <w:sz w:val="22"/>
      </w:rPr>
      <w:tcPr>
        <w:tcBorders>
          <w:top w:val="single" w:color="F79646" w:sz="4" w:space="0"/>
          <w:left w:val="single" w:color="F79646" w:sz="4" w:space="0"/>
          <w:bottom w:val="single" w:color="F79646" w:sz="4" w:space="0"/>
          <w:right w:val="single" w:color="F79646" w:sz="4" w:space="0"/>
        </w:tcBorders>
        <w:shd w:val="clear" w:color="F79646" w:fill="F79646"/>
      </w:tcPr>
    </w:tblStylePr>
    <w:tblStylePr w:type="lastRow">
      <w:rPr>
        <w:b/>
        <w:color w:val="404040"/>
      </w:rPr>
      <w:tcPr>
        <w:tcBorders>
          <w:top w:val="single" w:color="F7964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fill="FDE9D9"/>
      </w:tcPr>
    </w:tblStylePr>
    <w:tblStylePr w:type="band2Vert"/>
    <w:tblStylePr w:type="band1Horz">
      <w:rPr>
        <w:rFonts w:ascii="Arial" w:hAnsi="Arial"/>
        <w:color w:val="404040"/>
        <w:sz w:val="22"/>
      </w:rPr>
      <w:tcPr>
        <w:shd w:val="clear" w:color="FDE9D9" w:fill="FDE9D9"/>
      </w:tcPr>
    </w:tblStylePr>
    <w:tblStylePr w:type="band2Horz"/>
    <w:tblStylePr w:type="neCell"/>
    <w:tblStylePr w:type="nwCell"/>
    <w:tblStylePr w:type="seCell"/>
    <w:tblStylePr w:type="swCell"/>
  </w:style>
  <w:style w:type="table" w:customStyle="1" w:styleId="76">
    <w:name w:val="Grid Table 5 Dark"/>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000000" w:fill="000000"/>
      </w:tcPr>
    </w:tblStylePr>
    <w:tblStylePr w:type="lastRow">
      <w:rPr>
        <w:rFonts w:ascii="Arial" w:hAnsi="Arial"/>
        <w:b/>
        <w:color w:val="FFFFFF"/>
        <w:sz w:val="22"/>
      </w:rPr>
      <w:tcPr>
        <w:tcBorders>
          <w:top w:val="single" w:color="FFFFFF" w:sz="4" w:space="0"/>
        </w:tcBorders>
        <w:shd w:val="clear" w:color="000000" w:fill="000000"/>
      </w:tcPr>
    </w:tblStylePr>
    <w:tblStylePr w:type="firstCol">
      <w:rPr>
        <w:rFonts w:ascii="Arial" w:hAnsi="Arial"/>
        <w:b/>
        <w:color w:val="FFFFFF"/>
        <w:sz w:val="22"/>
      </w:rPr>
      <w:tcPr>
        <w:shd w:val="clear" w:color="000000" w:fill="000000"/>
      </w:tcPr>
    </w:tblStylePr>
    <w:tblStylePr w:type="lastCol">
      <w:rPr>
        <w:rFonts w:ascii="Arial" w:hAnsi="Arial"/>
        <w:b/>
        <w:color w:val="FFFFFF"/>
        <w:sz w:val="22"/>
      </w:rPr>
      <w:tcPr>
        <w:shd w:val="clear" w:color="000000" w:fill="000000"/>
      </w:tcPr>
    </w:tblStylePr>
    <w:tblStylePr w:type="band1Vert">
      <w:tcPr>
        <w:shd w:val="clear" w:color="898989" w:fill="898989"/>
      </w:tcPr>
    </w:tblStylePr>
    <w:tblStylePr w:type="band2Vert"/>
    <w:tblStylePr w:type="band1Horz">
      <w:tcPr>
        <w:shd w:val="clear" w:color="898989" w:fill="898989"/>
      </w:tcPr>
    </w:tblStylePr>
    <w:tblStylePr w:type="band2Horz"/>
    <w:tblStylePr w:type="neCell"/>
    <w:tblStylePr w:type="nwCell"/>
    <w:tblStylePr w:type="seCell"/>
    <w:tblStylePr w:type="swCell"/>
  </w:style>
  <w:style w:type="table" w:customStyle="1" w:styleId="77">
    <w:name w:val="Grid Table 5 Dark- Accent 1"/>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4F81BD" w:fill="4F81BD"/>
      </w:tcPr>
    </w:tblStylePr>
    <w:tblStylePr w:type="lastRow">
      <w:rPr>
        <w:rFonts w:ascii="Arial" w:hAnsi="Arial"/>
        <w:b/>
        <w:color w:val="FFFFFF"/>
        <w:sz w:val="22"/>
      </w:rPr>
      <w:tcPr>
        <w:tcBorders>
          <w:top w:val="single" w:color="FFFFFF" w:sz="4" w:space="0"/>
        </w:tcBorders>
        <w:shd w:val="clear" w:color="4F81BD" w:fill="4F81BD"/>
      </w:tcPr>
    </w:tblStylePr>
    <w:tblStylePr w:type="firstCol">
      <w:rPr>
        <w:rFonts w:ascii="Arial" w:hAnsi="Arial"/>
        <w:b/>
        <w:color w:val="FFFFFF"/>
        <w:sz w:val="22"/>
      </w:rPr>
      <w:tcPr>
        <w:shd w:val="clear" w:color="4F81BD" w:fill="4F81BD"/>
      </w:tcPr>
    </w:tblStylePr>
    <w:tblStylePr w:type="lastCol">
      <w:rPr>
        <w:rFonts w:ascii="Arial" w:hAnsi="Arial"/>
        <w:b/>
        <w:color w:val="FFFFFF"/>
        <w:sz w:val="22"/>
      </w:rPr>
      <w:tcPr>
        <w:shd w:val="clear" w:color="4F81BD" w:fill="4F81BD"/>
      </w:tcPr>
    </w:tblStylePr>
    <w:tblStylePr w:type="band1Vert">
      <w:tcPr>
        <w:shd w:val="clear" w:color="AEC5E0" w:fill="AEC5E0"/>
      </w:tcPr>
    </w:tblStylePr>
    <w:tblStylePr w:type="band2Vert"/>
    <w:tblStylePr w:type="band1Horz">
      <w:tcPr>
        <w:shd w:val="clear" w:color="AEC5E0" w:fill="AEC5E0"/>
      </w:tcPr>
    </w:tblStylePr>
    <w:tblStylePr w:type="band2Horz"/>
    <w:tblStylePr w:type="neCell"/>
    <w:tblStylePr w:type="nwCell"/>
    <w:tblStylePr w:type="seCell"/>
    <w:tblStylePr w:type="swCell"/>
  </w:style>
  <w:style w:type="table" w:customStyle="1" w:styleId="78">
    <w:name w:val="Grid Table 5 Dark - Accent 2"/>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C0504D" w:fill="C0504D"/>
      </w:tcPr>
    </w:tblStylePr>
    <w:tblStylePr w:type="lastRow">
      <w:rPr>
        <w:rFonts w:ascii="Arial" w:hAnsi="Arial"/>
        <w:b/>
        <w:color w:val="FFFFFF"/>
        <w:sz w:val="22"/>
      </w:rPr>
      <w:tcPr>
        <w:tcBorders>
          <w:top w:val="single" w:color="FFFFFF" w:sz="4" w:space="0"/>
        </w:tcBorders>
        <w:shd w:val="clear" w:color="C0504D" w:fill="C0504D"/>
      </w:tcPr>
    </w:tblStylePr>
    <w:tblStylePr w:type="firstCol">
      <w:rPr>
        <w:rFonts w:ascii="Arial" w:hAnsi="Arial"/>
        <w:b/>
        <w:color w:val="FFFFFF"/>
        <w:sz w:val="22"/>
      </w:rPr>
      <w:tcPr>
        <w:shd w:val="clear" w:color="C0504D" w:fill="C0504D"/>
      </w:tcPr>
    </w:tblStylePr>
    <w:tblStylePr w:type="lastCol">
      <w:rPr>
        <w:rFonts w:ascii="Arial" w:hAnsi="Arial"/>
        <w:b/>
        <w:color w:val="FFFFFF"/>
        <w:sz w:val="22"/>
      </w:rPr>
      <w:tcPr>
        <w:shd w:val="clear" w:color="C0504D" w:fill="C0504D"/>
      </w:tcPr>
    </w:tblStylePr>
    <w:tblStylePr w:type="band1Vert">
      <w:tcPr>
        <w:shd w:val="clear" w:color="E2AEAD" w:fill="E2AEAD"/>
      </w:tcPr>
    </w:tblStylePr>
    <w:tblStylePr w:type="band2Vert"/>
    <w:tblStylePr w:type="band1Horz">
      <w:tcPr>
        <w:shd w:val="clear" w:color="E2AEAD" w:fill="E2AEAD"/>
      </w:tcPr>
    </w:tblStylePr>
    <w:tblStylePr w:type="band2Horz"/>
    <w:tblStylePr w:type="neCell"/>
    <w:tblStylePr w:type="nwCell"/>
    <w:tblStylePr w:type="seCell"/>
    <w:tblStylePr w:type="swCell"/>
  </w:style>
  <w:style w:type="table" w:customStyle="1" w:styleId="79">
    <w:name w:val="Grid Table 5 Dark - Accent 3"/>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9BBB59" w:fill="9BBB59"/>
      </w:tcPr>
    </w:tblStylePr>
    <w:tblStylePr w:type="lastRow">
      <w:rPr>
        <w:rFonts w:ascii="Arial" w:hAnsi="Arial"/>
        <w:b/>
        <w:color w:val="FFFFFF"/>
        <w:sz w:val="22"/>
      </w:rPr>
      <w:tcPr>
        <w:tcBorders>
          <w:top w:val="single" w:color="FFFFFF" w:sz="4" w:space="0"/>
        </w:tcBorders>
        <w:shd w:val="clear" w:color="9BBB59" w:fill="9BBB59"/>
      </w:tcPr>
    </w:tblStylePr>
    <w:tblStylePr w:type="firstCol">
      <w:rPr>
        <w:rFonts w:ascii="Arial" w:hAnsi="Arial"/>
        <w:b/>
        <w:color w:val="FFFFFF"/>
        <w:sz w:val="22"/>
      </w:rPr>
      <w:tcPr>
        <w:shd w:val="clear" w:color="9BBB59" w:fill="9BBB59"/>
      </w:tcPr>
    </w:tblStylePr>
    <w:tblStylePr w:type="lastCol">
      <w:rPr>
        <w:rFonts w:ascii="Arial" w:hAnsi="Arial"/>
        <w:b/>
        <w:color w:val="FFFFFF"/>
        <w:sz w:val="22"/>
      </w:rPr>
      <w:tcPr>
        <w:shd w:val="clear" w:color="9BBB59" w:fill="9BBB59"/>
      </w:tcPr>
    </w:tblStylePr>
    <w:tblStylePr w:type="band1Vert">
      <w:tcPr>
        <w:shd w:val="clear" w:color="D1DFB2" w:fill="D1DFB2"/>
      </w:tcPr>
    </w:tblStylePr>
    <w:tblStylePr w:type="band2Vert"/>
    <w:tblStylePr w:type="band1Horz">
      <w:tcPr>
        <w:shd w:val="clear" w:color="D1DFB2" w:fill="D1DFB2"/>
      </w:tcPr>
    </w:tblStylePr>
    <w:tblStylePr w:type="band2Horz"/>
    <w:tblStylePr w:type="neCell"/>
    <w:tblStylePr w:type="nwCell"/>
    <w:tblStylePr w:type="seCell"/>
    <w:tblStylePr w:type="swCell"/>
  </w:style>
  <w:style w:type="table" w:customStyle="1" w:styleId="80">
    <w:name w:val="Grid Table 5 Dark- Accent 4"/>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8064A2" w:fill="8064A2"/>
      </w:tcPr>
    </w:tblStylePr>
    <w:tblStylePr w:type="lastRow">
      <w:rPr>
        <w:rFonts w:ascii="Arial" w:hAnsi="Arial"/>
        <w:b/>
        <w:color w:val="FFFFFF"/>
        <w:sz w:val="22"/>
      </w:rPr>
      <w:tcPr>
        <w:tcBorders>
          <w:top w:val="single" w:color="FFFFFF" w:sz="4" w:space="0"/>
        </w:tcBorders>
        <w:shd w:val="clear" w:color="8064A2" w:fill="8064A2"/>
      </w:tcPr>
    </w:tblStylePr>
    <w:tblStylePr w:type="firstCol">
      <w:rPr>
        <w:rFonts w:ascii="Arial" w:hAnsi="Arial"/>
        <w:b/>
        <w:color w:val="FFFFFF"/>
        <w:sz w:val="22"/>
      </w:rPr>
      <w:tcPr>
        <w:shd w:val="clear" w:color="8064A2" w:fill="8064A2"/>
      </w:tcPr>
    </w:tblStylePr>
    <w:tblStylePr w:type="lastCol">
      <w:rPr>
        <w:rFonts w:ascii="Arial" w:hAnsi="Arial"/>
        <w:b/>
        <w:color w:val="FFFFFF"/>
        <w:sz w:val="22"/>
      </w:rPr>
      <w:tcPr>
        <w:shd w:val="clear" w:color="8064A2" w:fill="8064A2"/>
      </w:tcPr>
    </w:tblStylePr>
    <w:tblStylePr w:type="band1Vert">
      <w:tcPr>
        <w:shd w:val="clear" w:color="C4B7D4" w:fill="C4B7D4"/>
      </w:tcPr>
    </w:tblStylePr>
    <w:tblStylePr w:type="band2Vert"/>
    <w:tblStylePr w:type="band1Horz">
      <w:tcPr>
        <w:shd w:val="clear" w:color="C4B7D4" w:fill="C4B7D4"/>
      </w:tcPr>
    </w:tblStylePr>
    <w:tblStylePr w:type="band2Horz"/>
    <w:tblStylePr w:type="neCell"/>
    <w:tblStylePr w:type="nwCell"/>
    <w:tblStylePr w:type="seCell"/>
    <w:tblStylePr w:type="swCell"/>
  </w:style>
  <w:style w:type="table" w:customStyle="1" w:styleId="81">
    <w:name w:val="Grid Table 5 Dark - Accent 5"/>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4BACC6" w:fill="4BACC6"/>
      </w:tcPr>
    </w:tblStylePr>
    <w:tblStylePr w:type="lastRow">
      <w:rPr>
        <w:rFonts w:ascii="Arial" w:hAnsi="Arial"/>
        <w:b/>
        <w:color w:val="FFFFFF"/>
        <w:sz w:val="22"/>
      </w:rPr>
      <w:tcPr>
        <w:tcBorders>
          <w:top w:val="single" w:color="FFFFFF" w:sz="4" w:space="0"/>
        </w:tcBorders>
        <w:shd w:val="clear" w:color="4BACC6" w:fill="4BACC6"/>
      </w:tcPr>
    </w:tblStylePr>
    <w:tblStylePr w:type="firstCol">
      <w:rPr>
        <w:rFonts w:ascii="Arial" w:hAnsi="Arial"/>
        <w:b/>
        <w:color w:val="FFFFFF"/>
        <w:sz w:val="22"/>
      </w:rPr>
      <w:tcPr>
        <w:shd w:val="clear" w:color="4BACC6" w:fill="4BACC6"/>
      </w:tcPr>
    </w:tblStylePr>
    <w:tblStylePr w:type="lastCol">
      <w:rPr>
        <w:rFonts w:ascii="Arial" w:hAnsi="Arial"/>
        <w:b/>
        <w:color w:val="FFFFFF"/>
        <w:sz w:val="22"/>
      </w:rPr>
      <w:tcPr>
        <w:shd w:val="clear" w:color="4BACC6" w:fill="4BACC6"/>
      </w:tcPr>
    </w:tblStylePr>
    <w:tblStylePr w:type="band1Vert">
      <w:tcPr>
        <w:shd w:val="clear" w:color="ACD8E4" w:fill="ACD8E4"/>
      </w:tcPr>
    </w:tblStylePr>
    <w:tblStylePr w:type="band2Vert"/>
    <w:tblStylePr w:type="band1Horz">
      <w:tcPr>
        <w:shd w:val="clear" w:color="ACD8E4" w:fill="ACD8E4"/>
      </w:tcPr>
    </w:tblStylePr>
    <w:tblStylePr w:type="band2Horz"/>
    <w:tblStylePr w:type="neCell"/>
    <w:tblStylePr w:type="nwCell"/>
    <w:tblStylePr w:type="seCell"/>
    <w:tblStylePr w:type="swCell"/>
  </w:style>
  <w:style w:type="table" w:customStyle="1" w:styleId="82">
    <w:name w:val="Grid Table 5 Dark - Accent 6"/>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F79646" w:fill="F79646"/>
      </w:tcPr>
    </w:tblStylePr>
    <w:tblStylePr w:type="lastRow">
      <w:rPr>
        <w:rFonts w:ascii="Arial" w:hAnsi="Arial"/>
        <w:b/>
        <w:color w:val="FFFFFF"/>
        <w:sz w:val="22"/>
      </w:rPr>
      <w:tcPr>
        <w:tcBorders>
          <w:top w:val="single" w:color="FFFFFF" w:sz="4" w:space="0"/>
        </w:tcBorders>
        <w:shd w:val="clear" w:color="F79646" w:fill="F79646"/>
      </w:tcPr>
    </w:tblStylePr>
    <w:tblStylePr w:type="firstCol">
      <w:rPr>
        <w:rFonts w:ascii="Arial" w:hAnsi="Arial"/>
        <w:b/>
        <w:color w:val="FFFFFF"/>
        <w:sz w:val="22"/>
      </w:rPr>
      <w:tcPr>
        <w:shd w:val="clear" w:color="F79646" w:fill="F79646"/>
      </w:tcPr>
    </w:tblStylePr>
    <w:tblStylePr w:type="lastCol">
      <w:rPr>
        <w:rFonts w:ascii="Arial" w:hAnsi="Arial"/>
        <w:b/>
        <w:color w:val="FFFFFF"/>
        <w:sz w:val="22"/>
      </w:rPr>
      <w:tcPr>
        <w:shd w:val="clear" w:color="F79646" w:fill="F79646"/>
      </w:tcPr>
    </w:tblStylePr>
    <w:tblStylePr w:type="band1Vert">
      <w:tcPr>
        <w:shd w:val="clear" w:color="FBCEAA" w:fill="FBCEAA"/>
      </w:tcPr>
    </w:tblStylePr>
    <w:tblStylePr w:type="band2Vert"/>
    <w:tblStylePr w:type="band1Horz">
      <w:tcPr>
        <w:shd w:val="clear" w:color="FBCEAA" w:fill="FBCEAA"/>
      </w:tcPr>
    </w:tblStylePr>
    <w:tblStylePr w:type="band2Horz"/>
    <w:tblStylePr w:type="neCell"/>
    <w:tblStylePr w:type="nwCell"/>
    <w:tblStylePr w:type="seCell"/>
    <w:tblStylePr w:type="swCell"/>
  </w:style>
  <w:style w:type="table" w:customStyle="1" w:styleId="83">
    <w:name w:val="Grid Table 6 Colorful"/>
    <w:basedOn w:val="31"/>
    <w:qFormat/>
    <w:uiPriority w:val="99"/>
    <w:pPr>
      <w:spacing w:after="0" w:line="240" w:lineRule="auto"/>
    </w:pPr>
    <w:tblPr>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Pr>
    <w:tblStylePr w:type="firstRow">
      <w:rPr>
        <w:b/>
        <w:color w:val="7E7E7E"/>
      </w:rPr>
      <w:tcPr>
        <w:tcBorders>
          <w:bottom w:val="single" w:color="7E7E7E" w:sz="12" w:space="0"/>
        </w:tcBorders>
      </w:tcPr>
    </w:tblStylePr>
    <w:tblStylePr w:type="lastRow">
      <w:rPr>
        <w:b/>
        <w:color w:val="7E7E7E"/>
      </w:rPr>
    </w:tblStylePr>
    <w:tblStylePr w:type="firstCol">
      <w:rPr>
        <w:b/>
        <w:color w:val="7E7E7E"/>
      </w:rPr>
    </w:tblStylePr>
    <w:tblStylePr w:type="lastCol">
      <w:rPr>
        <w:b/>
        <w:color w:val="7E7E7E"/>
      </w:rPr>
    </w:tblStylePr>
    <w:tblStylePr w:type="band1Vert">
      <w:tcPr>
        <w:shd w:val="clear" w:color="CACACA" w:fill="CACACA"/>
      </w:tcPr>
    </w:tblStylePr>
    <w:tblStylePr w:type="band2Vert"/>
    <w:tblStylePr w:type="band1Horz">
      <w:rPr>
        <w:rFonts w:ascii="Arial" w:hAnsi="Arial"/>
        <w:color w:val="7E7E7E"/>
        <w:sz w:val="22"/>
      </w:rPr>
      <w:tcPr>
        <w:shd w:val="clear" w:color="CACACA" w:fill="CACACA"/>
      </w:tcPr>
    </w:tblStylePr>
    <w:tblStylePr w:type="band2Horz">
      <w:rPr>
        <w:rFonts w:ascii="Arial" w:hAnsi="Arial"/>
        <w:color w:val="7E7E7E"/>
        <w:sz w:val="22"/>
      </w:rPr>
    </w:tblStylePr>
    <w:tblStylePr w:type="neCell"/>
    <w:tblStylePr w:type="nwCell"/>
    <w:tblStylePr w:type="seCell"/>
    <w:tblStylePr w:type="swCell"/>
  </w:style>
  <w:style w:type="table" w:customStyle="1" w:styleId="84">
    <w:name w:val="Grid Table 6 Colorful - Accent 1"/>
    <w:basedOn w:val="31"/>
    <w:qFormat/>
    <w:uiPriority w:val="99"/>
    <w:pPr>
      <w:spacing w:after="0" w:line="240" w:lineRule="auto"/>
    </w:pPr>
    <w:tblPr>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Pr>
    <w:tblStylePr w:type="firstRow">
      <w:rPr>
        <w:b/>
        <w:color w:val="A6BFDD"/>
      </w:rPr>
      <w:tcPr>
        <w:tcBorders>
          <w:bottom w:val="single" w:color="A6BFDD" w:sz="12" w:space="0"/>
        </w:tcBorders>
      </w:tcPr>
    </w:tblStylePr>
    <w:tblStylePr w:type="lastRow">
      <w:rPr>
        <w:b/>
        <w:color w:val="A6BFDD"/>
      </w:rPr>
    </w:tblStylePr>
    <w:tblStylePr w:type="firstCol">
      <w:rPr>
        <w:b/>
        <w:color w:val="A6BFDD"/>
      </w:rPr>
    </w:tblStylePr>
    <w:tblStylePr w:type="lastCol">
      <w:rPr>
        <w:b/>
        <w:color w:val="A6BFDD"/>
      </w:rPr>
    </w:tblStylePr>
    <w:tblStylePr w:type="band1Vert">
      <w:tcPr>
        <w:shd w:val="clear" w:color="DBE5F1" w:fill="DBE5F1"/>
      </w:tcPr>
    </w:tblStylePr>
    <w:tblStylePr w:type="band2Vert"/>
    <w:tblStylePr w:type="band1Horz">
      <w:rPr>
        <w:rFonts w:ascii="Arial" w:hAnsi="Arial"/>
        <w:color w:val="A6BFDD"/>
        <w:sz w:val="22"/>
      </w:rPr>
      <w:tcPr>
        <w:shd w:val="clear" w:color="DBE5F1" w:fill="DBE5F1"/>
      </w:tcPr>
    </w:tblStylePr>
    <w:tblStylePr w:type="band2Horz">
      <w:rPr>
        <w:rFonts w:ascii="Arial" w:hAnsi="Arial"/>
        <w:color w:val="A6BFDD"/>
        <w:sz w:val="22"/>
      </w:rPr>
    </w:tblStylePr>
    <w:tblStylePr w:type="neCell"/>
    <w:tblStylePr w:type="nwCell"/>
    <w:tblStylePr w:type="seCell"/>
    <w:tblStylePr w:type="swCell"/>
  </w:style>
  <w:style w:type="table" w:customStyle="1" w:styleId="85">
    <w:name w:val="Grid Table 6 Colorful - Accent 2"/>
    <w:basedOn w:val="31"/>
    <w:qFormat/>
    <w:uiPriority w:val="99"/>
    <w:pPr>
      <w:spacing w:after="0" w:line="240" w:lineRule="auto"/>
    </w:pPr>
    <w:tblPr>
      <w:tblBorders>
        <w:top w:val="single" w:color="D99795" w:sz="4" w:space="0"/>
        <w:left w:val="single" w:color="D99795" w:sz="4" w:space="0"/>
        <w:bottom w:val="single" w:color="D99795" w:sz="4" w:space="0"/>
        <w:right w:val="single" w:color="D99795" w:sz="4" w:space="0"/>
        <w:insideH w:val="single" w:color="D99795" w:sz="4" w:space="0"/>
        <w:insideV w:val="single" w:color="D99795" w:sz="4" w:space="0"/>
      </w:tblBorders>
    </w:tblPr>
    <w:tblStylePr w:type="firstRow">
      <w:rPr>
        <w:b/>
        <w:color w:val="D99795"/>
      </w:rPr>
      <w:tcPr>
        <w:tcBorders>
          <w:bottom w:val="single" w:color="D99795" w:sz="12" w:space="0"/>
        </w:tcBorders>
      </w:tcPr>
    </w:tblStylePr>
    <w:tblStylePr w:type="lastRow">
      <w:rPr>
        <w:b/>
        <w:color w:val="D99795"/>
      </w:rPr>
    </w:tblStylePr>
    <w:tblStylePr w:type="firstCol">
      <w:rPr>
        <w:b/>
        <w:color w:val="D99795"/>
      </w:rPr>
    </w:tblStylePr>
    <w:tblStylePr w:type="lastCol">
      <w:rPr>
        <w:b/>
        <w:color w:val="D99795"/>
      </w:rPr>
    </w:tblStylePr>
    <w:tblStylePr w:type="band1Vert">
      <w:tcPr>
        <w:shd w:val="clear" w:color="F2DCDC" w:fill="F2DCDC"/>
      </w:tcPr>
    </w:tblStylePr>
    <w:tblStylePr w:type="band2Vert"/>
    <w:tblStylePr w:type="band1Horz">
      <w:rPr>
        <w:rFonts w:ascii="Arial" w:hAnsi="Arial"/>
        <w:color w:val="D99795"/>
        <w:sz w:val="22"/>
      </w:rPr>
      <w:tcPr>
        <w:shd w:val="clear" w:color="F2DCDC" w:fill="F2DCDC"/>
      </w:tcPr>
    </w:tblStylePr>
    <w:tblStylePr w:type="band2Horz">
      <w:rPr>
        <w:rFonts w:ascii="Arial" w:hAnsi="Arial"/>
        <w:color w:val="D99795"/>
        <w:sz w:val="22"/>
      </w:rPr>
    </w:tblStylePr>
    <w:tblStylePr w:type="neCell"/>
    <w:tblStylePr w:type="nwCell"/>
    <w:tblStylePr w:type="seCell"/>
    <w:tblStylePr w:type="swCell"/>
  </w:style>
  <w:style w:type="table" w:customStyle="1" w:styleId="86">
    <w:name w:val="Grid Table 6 Colorful - Accent 3"/>
    <w:basedOn w:val="31"/>
    <w:qFormat/>
    <w:uiPriority w:val="99"/>
    <w:pPr>
      <w:spacing w:after="0" w:line="240" w:lineRule="auto"/>
    </w:pPr>
    <w:tblPr>
      <w:tblBorders>
        <w:top w:val="single" w:color="9BBB59" w:sz="4" w:space="0"/>
        <w:left w:val="single" w:color="9BBB59" w:sz="4" w:space="0"/>
        <w:bottom w:val="single" w:color="9BBB59" w:sz="4" w:space="0"/>
        <w:right w:val="single" w:color="9BBB59" w:sz="4" w:space="0"/>
        <w:insideH w:val="single" w:color="9BBB59" w:sz="4" w:space="0"/>
        <w:insideV w:val="single" w:color="9BBB59" w:sz="4" w:space="0"/>
      </w:tblBorders>
    </w:tblPr>
    <w:tblStylePr w:type="firstRow">
      <w:rPr>
        <w:b/>
        <w:color w:val="9BBB59"/>
      </w:rPr>
      <w:tcPr>
        <w:tcBorders>
          <w:bottom w:val="single" w:color="9BBB59" w:sz="12" w:space="0"/>
        </w:tcBorders>
      </w:tcPr>
    </w:tblStylePr>
    <w:tblStylePr w:type="lastRow">
      <w:rPr>
        <w:b/>
        <w:color w:val="9BBB59"/>
      </w:rPr>
    </w:tblStylePr>
    <w:tblStylePr w:type="firstCol">
      <w:rPr>
        <w:b/>
        <w:color w:val="9BBB59"/>
      </w:rPr>
    </w:tblStylePr>
    <w:tblStylePr w:type="lastCol">
      <w:rPr>
        <w:b/>
        <w:color w:val="9BBB59"/>
      </w:rPr>
    </w:tblStylePr>
    <w:tblStylePr w:type="band1Vert">
      <w:tcPr>
        <w:shd w:val="clear" w:color="EAF1DD" w:fill="EAF1DD"/>
      </w:tcPr>
    </w:tblStylePr>
    <w:tblStylePr w:type="band2Vert"/>
    <w:tblStylePr w:type="band1Horz">
      <w:rPr>
        <w:rFonts w:ascii="Arial" w:hAnsi="Arial"/>
        <w:color w:val="9BBB59"/>
        <w:sz w:val="22"/>
      </w:rPr>
      <w:tcPr>
        <w:shd w:val="clear" w:color="EAF1DD" w:fill="EAF1DD"/>
      </w:tcPr>
    </w:tblStylePr>
    <w:tblStylePr w:type="band2Horz">
      <w:rPr>
        <w:rFonts w:ascii="Arial" w:hAnsi="Arial"/>
        <w:color w:val="9BBB59"/>
        <w:sz w:val="22"/>
      </w:rPr>
    </w:tblStylePr>
    <w:tblStylePr w:type="neCell"/>
    <w:tblStylePr w:type="nwCell"/>
    <w:tblStylePr w:type="seCell"/>
    <w:tblStylePr w:type="swCell"/>
  </w:style>
  <w:style w:type="table" w:customStyle="1" w:styleId="87">
    <w:name w:val="Grid Table 6 Colorful - Accent 4"/>
    <w:basedOn w:val="31"/>
    <w:qFormat/>
    <w:uiPriority w:val="99"/>
    <w:pPr>
      <w:spacing w:after="0" w:line="240" w:lineRule="auto"/>
    </w:pPr>
    <w:tblPr>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Pr>
    <w:tblStylePr w:type="firstRow">
      <w:rPr>
        <w:b/>
        <w:color w:val="B2A1C6"/>
      </w:rPr>
      <w:tcPr>
        <w:tcBorders>
          <w:bottom w:val="single" w:color="B2A1C6" w:sz="12" w:space="0"/>
        </w:tcBorders>
      </w:tcPr>
    </w:tblStylePr>
    <w:tblStylePr w:type="lastRow">
      <w:rPr>
        <w:b/>
        <w:color w:val="B2A1C6"/>
      </w:rPr>
    </w:tblStylePr>
    <w:tblStylePr w:type="firstCol">
      <w:rPr>
        <w:b/>
        <w:color w:val="B2A1C6"/>
      </w:rPr>
    </w:tblStylePr>
    <w:tblStylePr w:type="lastCol">
      <w:rPr>
        <w:b/>
        <w:color w:val="B2A1C6"/>
      </w:rPr>
    </w:tblStylePr>
    <w:tblStylePr w:type="band1Vert">
      <w:tcPr>
        <w:shd w:val="clear" w:color="E5DFEC" w:fill="E5DFEC"/>
      </w:tcPr>
    </w:tblStylePr>
    <w:tblStylePr w:type="band2Vert"/>
    <w:tblStylePr w:type="band1Horz">
      <w:rPr>
        <w:rFonts w:ascii="Arial" w:hAnsi="Arial"/>
        <w:color w:val="B2A1C6"/>
        <w:sz w:val="22"/>
      </w:rPr>
      <w:tcPr>
        <w:shd w:val="clear" w:color="E5DFEC" w:fill="E5DFEC"/>
      </w:tcPr>
    </w:tblStylePr>
    <w:tblStylePr w:type="band2Horz">
      <w:rPr>
        <w:rFonts w:ascii="Arial" w:hAnsi="Arial"/>
        <w:color w:val="B2A1C6"/>
        <w:sz w:val="22"/>
      </w:rPr>
    </w:tblStylePr>
    <w:tblStylePr w:type="neCell"/>
    <w:tblStylePr w:type="nwCell"/>
    <w:tblStylePr w:type="seCell"/>
    <w:tblStylePr w:type="swCell"/>
  </w:style>
  <w:style w:type="table" w:customStyle="1" w:styleId="88">
    <w:name w:val="Grid Table 6 Colorful - Accent 5"/>
    <w:basedOn w:val="31"/>
    <w:qFormat/>
    <w:uiPriority w:val="99"/>
    <w:pPr>
      <w:spacing w:after="0" w:line="240" w:lineRule="auto"/>
    </w:pPr>
    <w:tblPr>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Pr>
    <w:tblStylePr w:type="firstRow">
      <w:rPr>
        <w:b/>
        <w:color w:val="266779"/>
      </w:rPr>
      <w:tcPr>
        <w:tcBorders>
          <w:bottom w:val="single" w:color="4BACC6" w:sz="12" w:space="0"/>
        </w:tcBorders>
      </w:tcPr>
    </w:tblStylePr>
    <w:tblStylePr w:type="lastRow">
      <w:rPr>
        <w:b/>
        <w:color w:val="266779"/>
      </w:rPr>
    </w:tblStylePr>
    <w:tblStylePr w:type="firstCol">
      <w:rPr>
        <w:b/>
        <w:color w:val="266779"/>
      </w:rPr>
    </w:tblStylePr>
    <w:tblStylePr w:type="lastCol">
      <w:rPr>
        <w:b/>
        <w:color w:val="266779"/>
      </w:rPr>
    </w:tblStylePr>
    <w:tblStylePr w:type="band1Vert">
      <w:tcPr>
        <w:shd w:val="clear" w:color="DAEEF3" w:fill="DAEEF3"/>
      </w:tcPr>
    </w:tblStylePr>
    <w:tblStylePr w:type="band2Vert"/>
    <w:tblStylePr w:type="band1Horz">
      <w:rPr>
        <w:rFonts w:ascii="Arial" w:hAnsi="Arial"/>
        <w:color w:val="266779"/>
        <w:sz w:val="22"/>
      </w:rPr>
      <w:tcPr>
        <w:shd w:val="clear" w:color="DAEEF3" w:fill="DAEEF3"/>
      </w:tcPr>
    </w:tblStylePr>
    <w:tblStylePr w:type="band2Horz">
      <w:rPr>
        <w:rFonts w:ascii="Arial" w:hAnsi="Arial"/>
        <w:color w:val="266779"/>
        <w:sz w:val="22"/>
      </w:rPr>
    </w:tblStylePr>
    <w:tblStylePr w:type="neCell"/>
    <w:tblStylePr w:type="nwCell"/>
    <w:tblStylePr w:type="seCell"/>
    <w:tblStylePr w:type="swCell"/>
  </w:style>
  <w:style w:type="table" w:customStyle="1" w:styleId="89">
    <w:name w:val="Grid Table 6 Colorful - Accent 6"/>
    <w:basedOn w:val="31"/>
    <w:qFormat/>
    <w:uiPriority w:val="99"/>
    <w:pPr>
      <w:spacing w:after="0" w:line="240" w:lineRule="auto"/>
    </w:pPr>
    <w:tblPr>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Pr>
    <w:tblStylePr w:type="firstRow">
      <w:rPr>
        <w:b/>
        <w:color w:val="266779"/>
      </w:rPr>
      <w:tcPr>
        <w:tcBorders>
          <w:bottom w:val="single" w:color="F79646" w:sz="12" w:space="0"/>
        </w:tcBorders>
      </w:tcPr>
    </w:tblStylePr>
    <w:tblStylePr w:type="lastRow">
      <w:rPr>
        <w:b/>
        <w:color w:val="266779"/>
      </w:rPr>
    </w:tblStylePr>
    <w:tblStylePr w:type="firstCol">
      <w:rPr>
        <w:b/>
        <w:color w:val="266779"/>
      </w:rPr>
    </w:tblStylePr>
    <w:tblStylePr w:type="lastCol">
      <w:rPr>
        <w:b/>
        <w:color w:val="266779"/>
      </w:rPr>
    </w:tblStylePr>
    <w:tblStylePr w:type="band1Vert">
      <w:tcPr>
        <w:shd w:val="clear" w:color="FDE9D9" w:fill="FDE9D9"/>
      </w:tcPr>
    </w:tblStylePr>
    <w:tblStylePr w:type="band2Vert"/>
    <w:tblStylePr w:type="band1Horz">
      <w:rPr>
        <w:rFonts w:ascii="Arial" w:hAnsi="Arial"/>
        <w:color w:val="266779"/>
        <w:sz w:val="22"/>
      </w:rPr>
      <w:tcPr>
        <w:shd w:val="clear" w:color="FDE9D9" w:fill="FDE9D9"/>
      </w:tcPr>
    </w:tblStylePr>
    <w:tblStylePr w:type="band2Horz">
      <w:rPr>
        <w:rFonts w:ascii="Arial" w:hAnsi="Arial"/>
        <w:color w:val="266779"/>
        <w:sz w:val="22"/>
      </w:rPr>
    </w:tblStylePr>
    <w:tblStylePr w:type="neCell"/>
    <w:tblStylePr w:type="nwCell"/>
    <w:tblStylePr w:type="seCell"/>
    <w:tblStylePr w:type="swCell"/>
  </w:style>
  <w:style w:type="table" w:customStyle="1" w:styleId="90">
    <w:name w:val="Grid Table 7 Colorful"/>
    <w:basedOn w:val="31"/>
    <w:qFormat/>
    <w:uiPriority w:val="99"/>
    <w:pPr>
      <w:spacing w:after="0" w:line="240" w:lineRule="auto"/>
    </w:pPr>
    <w:tblPr>
      <w:tblBorders>
        <w:bottom w:val="single" w:color="7E7E7E" w:sz="4" w:space="0"/>
        <w:right w:val="single" w:color="7E7E7E" w:sz="4" w:space="0"/>
        <w:insideH w:val="single" w:color="7E7E7E" w:sz="4" w:space="0"/>
        <w:insideV w:val="single" w:color="7E7E7E" w:sz="4" w:space="0"/>
      </w:tblBorders>
    </w:tblPr>
    <w:tblStylePr w:type="firstRow">
      <w:rPr>
        <w:rFonts w:ascii="Arial" w:hAnsi="Arial"/>
        <w:b/>
        <w:color w:val="7E7E7E"/>
        <w:sz w:val="22"/>
      </w:rPr>
      <w:tcPr>
        <w:tcBorders>
          <w:top w:val="nil"/>
          <w:left w:val="nil"/>
          <w:bottom w:val="single" w:color="7E7E7E" w:sz="4" w:space="0"/>
          <w:right w:val="nil"/>
        </w:tcBorders>
        <w:shd w:val="clear" w:color="FFFFFF" w:fill="FFFFFF"/>
      </w:tcPr>
    </w:tblStylePr>
    <w:tblStylePr w:type="lastRow">
      <w:rPr>
        <w:rFonts w:ascii="Arial" w:hAnsi="Arial"/>
        <w:b/>
        <w:color w:val="7E7E7E"/>
        <w:sz w:val="22"/>
      </w:rPr>
      <w:tcPr>
        <w:tcBorders>
          <w:top w:val="single" w:color="7E7E7E" w:sz="4" w:space="0"/>
          <w:left w:val="nil"/>
          <w:bottom w:val="nil"/>
          <w:right w:val="nil"/>
        </w:tcBorders>
        <w:shd w:val="clear" w:color="FFFFFF" w:fill="FFFFFF"/>
      </w:tcPr>
    </w:tblStylePr>
    <w:tblStylePr w:type="firstCol">
      <w:pPr>
        <w:jc w:val="right"/>
      </w:pPr>
      <w:rPr>
        <w:rFonts w:ascii="Arial" w:hAnsi="Arial"/>
        <w:i/>
        <w:color w:val="7E7E7E"/>
        <w:sz w:val="22"/>
      </w:rPr>
      <w:tcPr>
        <w:tcBorders>
          <w:top w:val="nil"/>
          <w:left w:val="nil"/>
          <w:bottom w:val="nil"/>
          <w:right w:val="single" w:color="7E7E7E" w:sz="4" w:space="0"/>
        </w:tcBorders>
        <w:shd w:val="clear" w:color="FFFFFF" w:fill="auto"/>
      </w:tcPr>
    </w:tblStylePr>
    <w:tblStylePr w:type="lastCol">
      <w:rPr>
        <w:rFonts w:ascii="Arial" w:hAnsi="Arial"/>
        <w:i/>
        <w:color w:val="7E7E7E"/>
        <w:sz w:val="22"/>
      </w:rPr>
      <w:tcPr>
        <w:tcBorders>
          <w:top w:val="nil"/>
          <w:left w:val="single" w:color="7E7E7E" w:sz="4" w:space="0"/>
          <w:bottom w:val="nil"/>
          <w:right w:val="nil"/>
        </w:tcBorders>
        <w:shd w:val="clear" w:color="FFFFFF" w:fill="auto"/>
      </w:tcPr>
    </w:tblStylePr>
    <w:tblStylePr w:type="band1Vert">
      <w:tcPr>
        <w:shd w:val="clear" w:color="F1F1F1" w:fill="F1F1F1"/>
      </w:tcPr>
    </w:tblStylePr>
    <w:tblStylePr w:type="band2Vert"/>
    <w:tblStylePr w:type="band1Horz">
      <w:rPr>
        <w:rFonts w:ascii="Arial" w:hAnsi="Arial"/>
        <w:color w:val="7E7E7E"/>
        <w:sz w:val="22"/>
      </w:rPr>
      <w:tcPr>
        <w:shd w:val="clear" w:color="F1F1F1" w:fill="F1F1F1"/>
      </w:tcPr>
    </w:tblStylePr>
    <w:tblStylePr w:type="band2Horz">
      <w:rPr>
        <w:rFonts w:ascii="Arial" w:hAnsi="Arial"/>
        <w:color w:val="7E7E7E"/>
        <w:sz w:val="22"/>
      </w:rPr>
    </w:tblStylePr>
    <w:tblStylePr w:type="neCell"/>
    <w:tblStylePr w:type="nwCell"/>
    <w:tblStylePr w:type="seCell"/>
    <w:tblStylePr w:type="swCell"/>
  </w:style>
  <w:style w:type="table" w:customStyle="1" w:styleId="91">
    <w:name w:val="Grid Table 7 Colorful - Accent 1"/>
    <w:basedOn w:val="31"/>
    <w:qFormat/>
    <w:uiPriority w:val="99"/>
    <w:pPr>
      <w:spacing w:after="0" w:line="240" w:lineRule="auto"/>
    </w:pPr>
    <w:tblPr>
      <w:tblBorders>
        <w:bottom w:val="single" w:color="A6BFDD" w:sz="4" w:space="0"/>
        <w:right w:val="single" w:color="A6BFDD" w:sz="4" w:space="0"/>
        <w:insideH w:val="single" w:color="A6BFDD" w:sz="4" w:space="0"/>
        <w:insideV w:val="single" w:color="A6BFDD" w:sz="4" w:space="0"/>
      </w:tblBorders>
    </w:tblPr>
    <w:tblStylePr w:type="firstRow">
      <w:rPr>
        <w:rFonts w:ascii="Arial" w:hAnsi="Arial"/>
        <w:b/>
        <w:color w:val="A6BFDD"/>
        <w:sz w:val="22"/>
      </w:rPr>
      <w:tcPr>
        <w:tcBorders>
          <w:top w:val="nil"/>
          <w:left w:val="nil"/>
          <w:bottom w:val="single" w:color="A6BFDD" w:sz="4" w:space="0"/>
          <w:right w:val="nil"/>
        </w:tcBorders>
        <w:shd w:val="clear" w:color="FFFFFF" w:fill="FFFFFF"/>
      </w:tcPr>
    </w:tblStylePr>
    <w:tblStylePr w:type="lastRow">
      <w:rPr>
        <w:rFonts w:ascii="Arial" w:hAnsi="Arial"/>
        <w:b/>
        <w:color w:val="A6BFDD"/>
        <w:sz w:val="22"/>
      </w:rPr>
      <w:tcPr>
        <w:tcBorders>
          <w:top w:val="single" w:color="A6BFDD" w:sz="4" w:space="0"/>
          <w:left w:val="nil"/>
          <w:bottom w:val="nil"/>
          <w:right w:val="nil"/>
        </w:tcBorders>
        <w:shd w:val="clear" w:color="FFFFFF" w:fill="FFFFFF"/>
      </w:tcPr>
    </w:tblStylePr>
    <w:tblStylePr w:type="firstCol">
      <w:pPr>
        <w:jc w:val="right"/>
      </w:pPr>
      <w:rPr>
        <w:rFonts w:ascii="Arial" w:hAnsi="Arial"/>
        <w:i/>
        <w:color w:val="A6BFDD"/>
        <w:sz w:val="22"/>
      </w:rPr>
      <w:tcPr>
        <w:tcBorders>
          <w:top w:val="nil"/>
          <w:left w:val="nil"/>
          <w:bottom w:val="nil"/>
          <w:right w:val="single" w:color="A6BFDD" w:sz="4" w:space="0"/>
        </w:tcBorders>
        <w:shd w:val="clear" w:color="FFFFFF" w:fill="auto"/>
      </w:tcPr>
    </w:tblStylePr>
    <w:tblStylePr w:type="lastCol">
      <w:rPr>
        <w:rFonts w:ascii="Arial" w:hAnsi="Arial"/>
        <w:i/>
        <w:color w:val="A6BFDD"/>
        <w:sz w:val="22"/>
      </w:rPr>
      <w:tcPr>
        <w:tcBorders>
          <w:top w:val="nil"/>
          <w:left w:val="single" w:color="A6BFDD" w:sz="4" w:space="0"/>
          <w:bottom w:val="nil"/>
          <w:right w:val="nil"/>
        </w:tcBorders>
        <w:shd w:val="clear" w:color="FFFFFF" w:fill="auto"/>
      </w:tcPr>
    </w:tblStylePr>
    <w:tblStylePr w:type="band1Vert">
      <w:tcPr>
        <w:shd w:val="clear" w:color="DBE5F1" w:fill="DBE5F1"/>
      </w:tcPr>
    </w:tblStylePr>
    <w:tblStylePr w:type="band2Vert"/>
    <w:tblStylePr w:type="band1Horz">
      <w:rPr>
        <w:rFonts w:ascii="Arial" w:hAnsi="Arial"/>
        <w:color w:val="A6BFDD"/>
        <w:sz w:val="22"/>
      </w:rPr>
      <w:tcPr>
        <w:shd w:val="clear" w:color="DBE5F1" w:fill="DBE5F1"/>
      </w:tcPr>
    </w:tblStylePr>
    <w:tblStylePr w:type="band2Horz">
      <w:rPr>
        <w:rFonts w:ascii="Arial" w:hAnsi="Arial"/>
        <w:color w:val="A6BFDD"/>
        <w:sz w:val="22"/>
      </w:rPr>
    </w:tblStylePr>
    <w:tblStylePr w:type="neCell"/>
    <w:tblStylePr w:type="nwCell"/>
    <w:tblStylePr w:type="seCell"/>
    <w:tblStylePr w:type="swCell"/>
  </w:style>
  <w:style w:type="table" w:customStyle="1" w:styleId="92">
    <w:name w:val="Grid Table 7 Colorful - Accent 2"/>
    <w:basedOn w:val="31"/>
    <w:qFormat/>
    <w:uiPriority w:val="99"/>
    <w:pPr>
      <w:spacing w:after="0" w:line="240" w:lineRule="auto"/>
    </w:pPr>
    <w:tblPr>
      <w:tblBorders>
        <w:bottom w:val="single" w:color="D99795" w:sz="4" w:space="0"/>
        <w:right w:val="single" w:color="D99795" w:sz="4" w:space="0"/>
        <w:insideH w:val="single" w:color="D99795" w:sz="4" w:space="0"/>
        <w:insideV w:val="single" w:color="D99795" w:sz="4" w:space="0"/>
      </w:tblBorders>
    </w:tblPr>
    <w:tblStylePr w:type="firstRow">
      <w:rPr>
        <w:rFonts w:ascii="Arial" w:hAnsi="Arial"/>
        <w:b/>
        <w:color w:val="D99795"/>
        <w:sz w:val="22"/>
      </w:rPr>
      <w:tcPr>
        <w:tcBorders>
          <w:top w:val="nil"/>
          <w:left w:val="nil"/>
          <w:bottom w:val="single" w:color="D99795" w:sz="4" w:space="0"/>
          <w:right w:val="nil"/>
        </w:tcBorders>
        <w:shd w:val="clear" w:color="FFFFFF" w:fill="FFFFFF"/>
      </w:tcPr>
    </w:tblStylePr>
    <w:tblStylePr w:type="lastRow">
      <w:rPr>
        <w:rFonts w:ascii="Arial" w:hAnsi="Arial"/>
        <w:b/>
        <w:color w:val="D99795"/>
        <w:sz w:val="22"/>
      </w:rPr>
      <w:tcPr>
        <w:tcBorders>
          <w:top w:val="single" w:color="D99795" w:sz="4" w:space="0"/>
          <w:left w:val="nil"/>
          <w:bottom w:val="nil"/>
          <w:right w:val="nil"/>
        </w:tcBorders>
        <w:shd w:val="clear" w:color="FFFFFF" w:fill="FFFFFF"/>
      </w:tcPr>
    </w:tblStylePr>
    <w:tblStylePr w:type="firstCol">
      <w:pPr>
        <w:jc w:val="right"/>
      </w:pPr>
      <w:rPr>
        <w:rFonts w:ascii="Arial" w:hAnsi="Arial"/>
        <w:i/>
        <w:color w:val="D99795"/>
        <w:sz w:val="22"/>
      </w:rPr>
      <w:tcPr>
        <w:tcBorders>
          <w:top w:val="nil"/>
          <w:left w:val="nil"/>
          <w:bottom w:val="nil"/>
          <w:right w:val="single" w:color="D99795" w:sz="4" w:space="0"/>
        </w:tcBorders>
        <w:shd w:val="clear" w:color="FFFFFF" w:fill="auto"/>
      </w:tcPr>
    </w:tblStylePr>
    <w:tblStylePr w:type="lastCol">
      <w:rPr>
        <w:rFonts w:ascii="Arial" w:hAnsi="Arial"/>
        <w:i/>
        <w:color w:val="D99795"/>
        <w:sz w:val="22"/>
      </w:rPr>
      <w:tcPr>
        <w:tcBorders>
          <w:top w:val="nil"/>
          <w:left w:val="single" w:color="D99795" w:sz="4" w:space="0"/>
          <w:bottom w:val="nil"/>
          <w:right w:val="nil"/>
        </w:tcBorders>
        <w:shd w:val="clear" w:color="FFFFFF" w:fill="auto"/>
      </w:tcPr>
    </w:tblStylePr>
    <w:tblStylePr w:type="band1Vert">
      <w:tcPr>
        <w:shd w:val="clear" w:color="F2DCDC" w:fill="F2DCDC"/>
      </w:tcPr>
    </w:tblStylePr>
    <w:tblStylePr w:type="band2Vert"/>
    <w:tblStylePr w:type="band1Horz">
      <w:rPr>
        <w:rFonts w:ascii="Arial" w:hAnsi="Arial"/>
        <w:color w:val="D99795"/>
        <w:sz w:val="22"/>
      </w:rPr>
      <w:tcPr>
        <w:shd w:val="clear" w:color="F2DCDC" w:fill="F2DCDC"/>
      </w:tcPr>
    </w:tblStylePr>
    <w:tblStylePr w:type="band2Horz">
      <w:rPr>
        <w:rFonts w:ascii="Arial" w:hAnsi="Arial"/>
        <w:color w:val="D99795"/>
        <w:sz w:val="22"/>
      </w:rPr>
    </w:tblStylePr>
    <w:tblStylePr w:type="neCell"/>
    <w:tblStylePr w:type="nwCell"/>
    <w:tblStylePr w:type="seCell"/>
    <w:tblStylePr w:type="swCell"/>
  </w:style>
  <w:style w:type="table" w:customStyle="1" w:styleId="93">
    <w:name w:val="Grid Table 7 Colorful - Accent 3"/>
    <w:basedOn w:val="31"/>
    <w:qFormat/>
    <w:uiPriority w:val="99"/>
    <w:pPr>
      <w:spacing w:after="0" w:line="240" w:lineRule="auto"/>
    </w:pPr>
    <w:tblPr>
      <w:tblBorders>
        <w:bottom w:val="single" w:color="9BBB59" w:sz="4" w:space="0"/>
        <w:right w:val="single" w:color="9BBB59" w:sz="4" w:space="0"/>
        <w:insideH w:val="single" w:color="9BBB59" w:sz="4" w:space="0"/>
        <w:insideV w:val="single" w:color="9BBB59" w:sz="4" w:space="0"/>
      </w:tblBorders>
    </w:tblPr>
    <w:tblStylePr w:type="firstRow">
      <w:rPr>
        <w:rFonts w:ascii="Arial" w:hAnsi="Arial"/>
        <w:b/>
        <w:color w:val="9BBB59"/>
        <w:sz w:val="22"/>
      </w:rPr>
      <w:tcPr>
        <w:tcBorders>
          <w:top w:val="nil"/>
          <w:left w:val="nil"/>
          <w:bottom w:val="single" w:color="9BBB59" w:sz="4" w:space="0"/>
          <w:right w:val="nil"/>
        </w:tcBorders>
        <w:shd w:val="clear" w:color="FFFFFF" w:fill="FFFFFF"/>
      </w:tcPr>
    </w:tblStylePr>
    <w:tblStylePr w:type="lastRow">
      <w:rPr>
        <w:rFonts w:ascii="Arial" w:hAnsi="Arial"/>
        <w:b/>
        <w:color w:val="9BBB59"/>
        <w:sz w:val="22"/>
      </w:rPr>
      <w:tcPr>
        <w:tcBorders>
          <w:top w:val="single" w:color="9BBB59" w:sz="4" w:space="0"/>
          <w:left w:val="nil"/>
          <w:bottom w:val="nil"/>
          <w:right w:val="nil"/>
        </w:tcBorders>
        <w:shd w:val="clear" w:color="FFFFFF" w:fill="FFFFFF"/>
      </w:tcPr>
    </w:tblStylePr>
    <w:tblStylePr w:type="firstCol">
      <w:pPr>
        <w:jc w:val="right"/>
      </w:pPr>
      <w:rPr>
        <w:rFonts w:ascii="Arial" w:hAnsi="Arial"/>
        <w:i/>
        <w:color w:val="9BBB59"/>
        <w:sz w:val="22"/>
      </w:rPr>
      <w:tcPr>
        <w:tcBorders>
          <w:top w:val="nil"/>
          <w:left w:val="nil"/>
          <w:bottom w:val="nil"/>
          <w:right w:val="single" w:color="9BBB59" w:sz="4" w:space="0"/>
        </w:tcBorders>
        <w:shd w:val="clear" w:color="FFFFFF" w:fill="auto"/>
      </w:tcPr>
    </w:tblStylePr>
    <w:tblStylePr w:type="lastCol">
      <w:rPr>
        <w:rFonts w:ascii="Arial" w:hAnsi="Arial"/>
        <w:i/>
        <w:color w:val="9BBB59"/>
        <w:sz w:val="22"/>
      </w:rPr>
      <w:tcPr>
        <w:tcBorders>
          <w:top w:val="nil"/>
          <w:left w:val="single" w:color="9BBB59" w:sz="4" w:space="0"/>
          <w:bottom w:val="nil"/>
          <w:right w:val="nil"/>
        </w:tcBorders>
        <w:shd w:val="clear" w:color="FFFFFF" w:fill="auto"/>
      </w:tcPr>
    </w:tblStylePr>
    <w:tblStylePr w:type="band1Vert">
      <w:tcPr>
        <w:shd w:val="clear" w:color="EAF1DD" w:fill="EAF1DD"/>
      </w:tcPr>
    </w:tblStylePr>
    <w:tblStylePr w:type="band2Vert"/>
    <w:tblStylePr w:type="band1Horz">
      <w:rPr>
        <w:rFonts w:ascii="Arial" w:hAnsi="Arial"/>
        <w:color w:val="9BBB59"/>
        <w:sz w:val="22"/>
      </w:rPr>
      <w:tcPr>
        <w:shd w:val="clear" w:color="EAF1DD" w:fill="EAF1DD"/>
      </w:tcPr>
    </w:tblStylePr>
    <w:tblStylePr w:type="band2Horz">
      <w:rPr>
        <w:rFonts w:ascii="Arial" w:hAnsi="Arial"/>
        <w:color w:val="9BBB59"/>
        <w:sz w:val="22"/>
      </w:rPr>
    </w:tblStylePr>
    <w:tblStylePr w:type="neCell"/>
    <w:tblStylePr w:type="nwCell"/>
    <w:tblStylePr w:type="seCell"/>
    <w:tblStylePr w:type="swCell"/>
  </w:style>
  <w:style w:type="table" w:customStyle="1" w:styleId="94">
    <w:name w:val="Grid Table 7 Colorful - Accent 4"/>
    <w:basedOn w:val="31"/>
    <w:qFormat/>
    <w:uiPriority w:val="99"/>
    <w:pPr>
      <w:spacing w:after="0" w:line="240" w:lineRule="auto"/>
    </w:pPr>
    <w:tblPr>
      <w:tblBorders>
        <w:bottom w:val="single" w:color="B2A1C6" w:sz="4" w:space="0"/>
        <w:right w:val="single" w:color="B2A1C6" w:sz="4" w:space="0"/>
        <w:insideH w:val="single" w:color="B2A1C6" w:sz="4" w:space="0"/>
        <w:insideV w:val="single" w:color="B2A1C6" w:sz="4" w:space="0"/>
      </w:tblBorders>
    </w:tblPr>
    <w:tblStylePr w:type="firstRow">
      <w:rPr>
        <w:rFonts w:ascii="Arial" w:hAnsi="Arial"/>
        <w:b/>
        <w:color w:val="B2A1C6"/>
        <w:sz w:val="22"/>
      </w:rPr>
      <w:tcPr>
        <w:tcBorders>
          <w:top w:val="nil"/>
          <w:left w:val="nil"/>
          <w:bottom w:val="single" w:color="B2A1C6" w:sz="4" w:space="0"/>
          <w:right w:val="nil"/>
        </w:tcBorders>
        <w:shd w:val="clear" w:color="FFFFFF" w:fill="FFFFFF"/>
      </w:tcPr>
    </w:tblStylePr>
    <w:tblStylePr w:type="lastRow">
      <w:rPr>
        <w:rFonts w:ascii="Arial" w:hAnsi="Arial"/>
        <w:b/>
        <w:color w:val="B2A1C6"/>
        <w:sz w:val="22"/>
      </w:rPr>
      <w:tcPr>
        <w:tcBorders>
          <w:top w:val="single" w:color="B2A1C6" w:sz="4" w:space="0"/>
          <w:left w:val="nil"/>
          <w:bottom w:val="nil"/>
          <w:right w:val="nil"/>
        </w:tcBorders>
        <w:shd w:val="clear" w:color="FFFFFF" w:fill="FFFFFF"/>
      </w:tcPr>
    </w:tblStylePr>
    <w:tblStylePr w:type="firstCol">
      <w:pPr>
        <w:jc w:val="right"/>
      </w:pPr>
      <w:rPr>
        <w:rFonts w:ascii="Arial" w:hAnsi="Arial"/>
        <w:i/>
        <w:color w:val="B2A1C6"/>
        <w:sz w:val="22"/>
      </w:rPr>
      <w:tcPr>
        <w:tcBorders>
          <w:top w:val="nil"/>
          <w:left w:val="nil"/>
          <w:bottom w:val="nil"/>
          <w:right w:val="single" w:color="B2A1C6" w:sz="4" w:space="0"/>
        </w:tcBorders>
        <w:shd w:val="clear" w:color="FFFFFF" w:fill="auto"/>
      </w:tcPr>
    </w:tblStylePr>
    <w:tblStylePr w:type="lastCol">
      <w:rPr>
        <w:rFonts w:ascii="Arial" w:hAnsi="Arial"/>
        <w:i/>
        <w:color w:val="B2A1C6"/>
        <w:sz w:val="22"/>
      </w:rPr>
      <w:tcPr>
        <w:tcBorders>
          <w:top w:val="nil"/>
          <w:left w:val="single" w:color="B2A1C6" w:sz="4" w:space="0"/>
          <w:bottom w:val="nil"/>
          <w:right w:val="nil"/>
        </w:tcBorders>
        <w:shd w:val="clear" w:color="FFFFFF" w:fill="auto"/>
      </w:tcPr>
    </w:tblStylePr>
    <w:tblStylePr w:type="band1Vert">
      <w:tcPr>
        <w:shd w:val="clear" w:color="E5DFEC" w:fill="E5DFEC"/>
      </w:tcPr>
    </w:tblStylePr>
    <w:tblStylePr w:type="band2Vert"/>
    <w:tblStylePr w:type="band1Horz">
      <w:rPr>
        <w:rFonts w:ascii="Arial" w:hAnsi="Arial"/>
        <w:color w:val="B2A1C6"/>
        <w:sz w:val="22"/>
      </w:rPr>
      <w:tcPr>
        <w:shd w:val="clear" w:color="E5DFEC" w:fill="E5DFEC"/>
      </w:tcPr>
    </w:tblStylePr>
    <w:tblStylePr w:type="band2Horz">
      <w:rPr>
        <w:rFonts w:ascii="Arial" w:hAnsi="Arial"/>
        <w:color w:val="B2A1C6"/>
        <w:sz w:val="22"/>
      </w:rPr>
    </w:tblStylePr>
    <w:tblStylePr w:type="neCell"/>
    <w:tblStylePr w:type="nwCell"/>
    <w:tblStylePr w:type="seCell"/>
    <w:tblStylePr w:type="swCell"/>
  </w:style>
  <w:style w:type="table" w:customStyle="1" w:styleId="95">
    <w:name w:val="Grid Table 7 Colorful - Accent 5"/>
    <w:basedOn w:val="31"/>
    <w:qFormat/>
    <w:uiPriority w:val="99"/>
    <w:pPr>
      <w:spacing w:after="0" w:line="240" w:lineRule="auto"/>
    </w:pPr>
    <w:tblPr>
      <w:tblBorders>
        <w:bottom w:val="single" w:color="99D0DE" w:sz="4" w:space="0"/>
        <w:right w:val="single" w:color="99D0DE" w:sz="4" w:space="0"/>
        <w:insideH w:val="single" w:color="99D0DE" w:sz="4" w:space="0"/>
        <w:insideV w:val="single" w:color="99D0DE" w:sz="4" w:space="0"/>
      </w:tblBorders>
    </w:tblPr>
    <w:tblStylePr w:type="firstRow">
      <w:rPr>
        <w:rFonts w:ascii="Arial" w:hAnsi="Arial"/>
        <w:b/>
        <w:color w:val="266779"/>
        <w:sz w:val="22"/>
      </w:rPr>
      <w:tcPr>
        <w:tcBorders>
          <w:top w:val="nil"/>
          <w:left w:val="nil"/>
          <w:bottom w:val="single" w:color="99D0DE" w:sz="4" w:space="0"/>
          <w:right w:val="nil"/>
        </w:tcBorders>
        <w:shd w:val="clear" w:color="FFFFFF" w:fill="FFFFFF"/>
      </w:tcPr>
    </w:tblStylePr>
    <w:tblStylePr w:type="lastRow">
      <w:rPr>
        <w:rFonts w:ascii="Arial" w:hAnsi="Arial"/>
        <w:b/>
        <w:color w:val="266779"/>
        <w:sz w:val="22"/>
      </w:rPr>
      <w:tcPr>
        <w:tcBorders>
          <w:top w:val="single" w:color="99D0DE" w:sz="4" w:space="0"/>
          <w:left w:val="nil"/>
          <w:bottom w:val="nil"/>
          <w:right w:val="nil"/>
        </w:tcBorders>
        <w:shd w:val="clear" w:color="FFFFFF" w:fill="FFFFFF"/>
      </w:tcPr>
    </w:tblStylePr>
    <w:tblStylePr w:type="firstCol">
      <w:pPr>
        <w:jc w:val="right"/>
      </w:pPr>
      <w:rPr>
        <w:rFonts w:ascii="Arial" w:hAnsi="Arial"/>
        <w:i/>
        <w:color w:val="266779"/>
        <w:sz w:val="22"/>
      </w:rPr>
      <w:tcPr>
        <w:tcBorders>
          <w:top w:val="nil"/>
          <w:left w:val="nil"/>
          <w:bottom w:val="nil"/>
          <w:right w:val="single" w:color="99D0DE" w:sz="4" w:space="0"/>
        </w:tcBorders>
        <w:shd w:val="clear" w:color="FFFFFF" w:fill="auto"/>
      </w:tcPr>
    </w:tblStylePr>
    <w:tblStylePr w:type="lastCol">
      <w:rPr>
        <w:rFonts w:ascii="Arial" w:hAnsi="Arial"/>
        <w:i/>
        <w:color w:val="266779"/>
        <w:sz w:val="22"/>
      </w:rPr>
      <w:tcPr>
        <w:tcBorders>
          <w:top w:val="nil"/>
          <w:left w:val="single" w:color="99D0DE" w:sz="4" w:space="0"/>
          <w:bottom w:val="nil"/>
          <w:right w:val="nil"/>
        </w:tcBorders>
        <w:shd w:val="clear" w:color="FFFFFF" w:fill="auto"/>
      </w:tcPr>
    </w:tblStylePr>
    <w:tblStylePr w:type="band1Vert">
      <w:tcPr>
        <w:shd w:val="clear" w:color="DAEEF3" w:fill="DAEEF3"/>
      </w:tcPr>
    </w:tblStylePr>
    <w:tblStylePr w:type="band2Vert"/>
    <w:tblStylePr w:type="band1Horz">
      <w:rPr>
        <w:rFonts w:ascii="Arial" w:hAnsi="Arial"/>
        <w:color w:val="266779"/>
        <w:sz w:val="22"/>
      </w:rPr>
      <w:tcPr>
        <w:shd w:val="clear" w:color="DAEEF3" w:fill="DAEEF3"/>
      </w:tcPr>
    </w:tblStylePr>
    <w:tblStylePr w:type="band2Horz">
      <w:rPr>
        <w:rFonts w:ascii="Arial" w:hAnsi="Arial"/>
        <w:color w:val="266779"/>
        <w:sz w:val="22"/>
      </w:rPr>
    </w:tblStylePr>
    <w:tblStylePr w:type="neCell"/>
    <w:tblStylePr w:type="nwCell"/>
    <w:tblStylePr w:type="seCell"/>
    <w:tblStylePr w:type="swCell"/>
  </w:style>
  <w:style w:type="table" w:customStyle="1" w:styleId="96">
    <w:name w:val="Grid Table 7 Colorful - Accent 6"/>
    <w:basedOn w:val="31"/>
    <w:qFormat/>
    <w:uiPriority w:val="99"/>
    <w:pPr>
      <w:spacing w:after="0" w:line="240" w:lineRule="auto"/>
    </w:pPr>
    <w:tblPr>
      <w:tblBorders>
        <w:bottom w:val="single" w:color="FAC396" w:sz="4" w:space="0"/>
        <w:right w:val="single" w:color="FAC396" w:sz="4" w:space="0"/>
        <w:insideH w:val="single" w:color="FAC396" w:sz="4" w:space="0"/>
        <w:insideV w:val="single" w:color="FAC396" w:sz="4" w:space="0"/>
      </w:tblBorders>
    </w:tblPr>
    <w:tblStylePr w:type="firstRow">
      <w:rPr>
        <w:rFonts w:ascii="Arial" w:hAnsi="Arial"/>
        <w:b/>
        <w:color w:val="B15407"/>
        <w:sz w:val="22"/>
      </w:rPr>
      <w:tcPr>
        <w:tcBorders>
          <w:top w:val="nil"/>
          <w:left w:val="nil"/>
          <w:bottom w:val="single" w:color="FAC396" w:sz="4" w:space="0"/>
          <w:right w:val="nil"/>
        </w:tcBorders>
        <w:shd w:val="clear" w:color="FFFFFF" w:fill="FFFFFF"/>
      </w:tcPr>
    </w:tblStylePr>
    <w:tblStylePr w:type="lastRow">
      <w:rPr>
        <w:rFonts w:ascii="Arial" w:hAnsi="Arial"/>
        <w:b/>
        <w:color w:val="B15407"/>
        <w:sz w:val="22"/>
      </w:rPr>
      <w:tcPr>
        <w:tcBorders>
          <w:top w:val="single" w:color="FAC396" w:sz="4" w:space="0"/>
          <w:left w:val="nil"/>
          <w:bottom w:val="nil"/>
          <w:right w:val="nil"/>
        </w:tcBorders>
        <w:shd w:val="clear" w:color="FFFFFF" w:fill="FFFFFF"/>
      </w:tcPr>
    </w:tblStylePr>
    <w:tblStylePr w:type="firstCol">
      <w:pPr>
        <w:jc w:val="right"/>
      </w:pPr>
      <w:rPr>
        <w:rFonts w:ascii="Arial" w:hAnsi="Arial"/>
        <w:i/>
        <w:color w:val="B15407"/>
        <w:sz w:val="22"/>
      </w:rPr>
      <w:tcPr>
        <w:tcBorders>
          <w:top w:val="nil"/>
          <w:left w:val="nil"/>
          <w:bottom w:val="nil"/>
          <w:right w:val="single" w:color="FAC396" w:sz="4" w:space="0"/>
        </w:tcBorders>
        <w:shd w:val="clear" w:color="FFFFFF" w:fill="auto"/>
      </w:tcPr>
    </w:tblStylePr>
    <w:tblStylePr w:type="lastCol">
      <w:rPr>
        <w:rFonts w:ascii="Arial" w:hAnsi="Arial"/>
        <w:i/>
        <w:color w:val="B15407"/>
        <w:sz w:val="22"/>
      </w:rPr>
      <w:tcPr>
        <w:tcBorders>
          <w:top w:val="nil"/>
          <w:left w:val="single" w:color="FAC396" w:sz="4" w:space="0"/>
          <w:bottom w:val="nil"/>
          <w:right w:val="nil"/>
        </w:tcBorders>
        <w:shd w:val="clear" w:color="FFFFFF" w:fill="auto"/>
      </w:tcPr>
    </w:tblStylePr>
    <w:tblStylePr w:type="band1Vert">
      <w:tcPr>
        <w:shd w:val="clear" w:color="FDE9D9" w:fill="FDE9D9"/>
      </w:tcPr>
    </w:tblStylePr>
    <w:tblStylePr w:type="band2Vert"/>
    <w:tblStylePr w:type="band1Horz">
      <w:rPr>
        <w:rFonts w:ascii="Arial" w:hAnsi="Arial"/>
        <w:color w:val="B15407"/>
        <w:sz w:val="22"/>
      </w:rPr>
      <w:tcPr>
        <w:shd w:val="clear" w:color="FDE9D9" w:fill="FDE9D9"/>
      </w:tcPr>
    </w:tblStylePr>
    <w:tblStylePr w:type="band2Horz">
      <w:rPr>
        <w:rFonts w:ascii="Arial" w:hAnsi="Arial"/>
        <w:color w:val="B15407"/>
        <w:sz w:val="22"/>
      </w:rPr>
    </w:tblStylePr>
    <w:tblStylePr w:type="neCell"/>
    <w:tblStylePr w:type="nwCell"/>
    <w:tblStylePr w:type="seCell"/>
    <w:tblStylePr w:type="swCell"/>
  </w:style>
  <w:style w:type="table" w:customStyle="1" w:styleId="97">
    <w:name w:val="List Table 1 Light"/>
    <w:basedOn w:val="31"/>
    <w:qFormat/>
    <w:uiPriority w:val="99"/>
    <w:pPr>
      <w:spacing w:after="0" w:line="240" w:lineRule="auto"/>
    </w:pPr>
    <w:tblStylePr w:type="firstRow">
      <w:rPr>
        <w:b/>
        <w:color w:val="404040"/>
      </w:rPr>
      <w:tcPr>
        <w:tcBorders>
          <w:top w:val="nil"/>
          <w:left w:val="nil"/>
          <w:bottom w:val="single" w:color="000000" w:sz="4" w:space="0"/>
          <w:right w:val="nil"/>
        </w:tcBorders>
      </w:tcPr>
    </w:tblStylePr>
    <w:tblStylePr w:type="lastRow">
      <w:rPr>
        <w:b/>
        <w:color w:val="404040"/>
      </w:rPr>
      <w:tcPr>
        <w:tcBorders>
          <w:top w:val="single" w:color="000000"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fill="BEBEBE"/>
      </w:tcPr>
    </w:tblStylePr>
    <w:tblStylePr w:type="band2Vert"/>
    <w:tblStylePr w:type="band1Horz">
      <w:tcPr>
        <w:shd w:val="clear" w:color="BEBEBE" w:fill="BEBEBE"/>
      </w:tcPr>
    </w:tblStylePr>
    <w:tblStylePr w:type="band2Horz"/>
    <w:tblStylePr w:type="neCell"/>
    <w:tblStylePr w:type="nwCell"/>
    <w:tblStylePr w:type="seCell"/>
    <w:tblStylePr w:type="swCell"/>
  </w:style>
  <w:style w:type="table" w:customStyle="1" w:styleId="98">
    <w:name w:val="List Table 1 Light - Accent 1"/>
    <w:basedOn w:val="31"/>
    <w:qFormat/>
    <w:uiPriority w:val="99"/>
    <w:pPr>
      <w:spacing w:after="0" w:line="240" w:lineRule="auto"/>
    </w:pPr>
    <w:tblStylePr w:type="firstRow">
      <w:rPr>
        <w:b/>
        <w:color w:val="404040"/>
      </w:rPr>
      <w:tcPr>
        <w:tcBorders>
          <w:top w:val="nil"/>
          <w:left w:val="nil"/>
          <w:bottom w:val="single" w:color="4F81BD" w:sz="4" w:space="0"/>
          <w:right w:val="nil"/>
        </w:tcBorders>
      </w:tcPr>
    </w:tblStylePr>
    <w:tblStylePr w:type="lastRow">
      <w:rPr>
        <w:b/>
        <w:color w:val="404040"/>
      </w:rPr>
      <w:tcPr>
        <w:tcBorders>
          <w:top w:val="single" w:color="4F81BD"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fill="D2DFEE"/>
      </w:tcPr>
    </w:tblStylePr>
    <w:tblStylePr w:type="band2Vert"/>
    <w:tblStylePr w:type="band1Horz">
      <w:tcPr>
        <w:shd w:val="clear" w:color="D2DFEE" w:fill="D2DFEE"/>
      </w:tcPr>
    </w:tblStylePr>
    <w:tblStylePr w:type="band2Horz"/>
    <w:tblStylePr w:type="neCell"/>
    <w:tblStylePr w:type="nwCell"/>
    <w:tblStylePr w:type="seCell"/>
    <w:tblStylePr w:type="swCell"/>
  </w:style>
  <w:style w:type="table" w:customStyle="1" w:styleId="99">
    <w:name w:val="List Table 1 Light - Accent 2"/>
    <w:basedOn w:val="31"/>
    <w:qFormat/>
    <w:uiPriority w:val="99"/>
    <w:pPr>
      <w:spacing w:after="0" w:line="240" w:lineRule="auto"/>
    </w:pPr>
    <w:tblStylePr w:type="firstRow">
      <w:rPr>
        <w:b/>
        <w:color w:val="404040"/>
      </w:rPr>
      <w:tcPr>
        <w:tcBorders>
          <w:top w:val="nil"/>
          <w:left w:val="nil"/>
          <w:bottom w:val="single" w:color="C0504D" w:sz="4" w:space="0"/>
          <w:right w:val="nil"/>
        </w:tcBorders>
      </w:tcPr>
    </w:tblStylePr>
    <w:tblStylePr w:type="lastRow">
      <w:rPr>
        <w:b/>
        <w:color w:val="404040"/>
      </w:rPr>
      <w:tcPr>
        <w:tcBorders>
          <w:top w:val="single" w:color="C0504D"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fill="EFD3D2"/>
      </w:tcPr>
    </w:tblStylePr>
    <w:tblStylePr w:type="band2Vert"/>
    <w:tblStylePr w:type="band1Horz">
      <w:tcPr>
        <w:shd w:val="clear" w:color="EFD3D2" w:fill="EFD3D2"/>
      </w:tcPr>
    </w:tblStylePr>
    <w:tblStylePr w:type="band2Horz"/>
    <w:tblStylePr w:type="neCell"/>
    <w:tblStylePr w:type="nwCell"/>
    <w:tblStylePr w:type="seCell"/>
    <w:tblStylePr w:type="swCell"/>
  </w:style>
  <w:style w:type="table" w:customStyle="1" w:styleId="100">
    <w:name w:val="List Table 1 Light - Accent 3"/>
    <w:basedOn w:val="31"/>
    <w:qFormat/>
    <w:uiPriority w:val="99"/>
    <w:pPr>
      <w:spacing w:after="0" w:line="240" w:lineRule="auto"/>
    </w:pPr>
    <w:tblStylePr w:type="firstRow">
      <w:rPr>
        <w:b/>
        <w:color w:val="404040"/>
      </w:rPr>
      <w:tcPr>
        <w:tcBorders>
          <w:top w:val="nil"/>
          <w:left w:val="nil"/>
          <w:bottom w:val="single" w:color="9BBB59" w:sz="4" w:space="0"/>
          <w:right w:val="nil"/>
        </w:tcBorders>
      </w:tcPr>
    </w:tblStylePr>
    <w:tblStylePr w:type="lastRow">
      <w:rPr>
        <w:b/>
        <w:color w:val="404040"/>
      </w:rPr>
      <w:tcPr>
        <w:tcBorders>
          <w:top w:val="single" w:color="9BBB59"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fill="E5EDD5"/>
      </w:tcPr>
    </w:tblStylePr>
    <w:tblStylePr w:type="band2Vert"/>
    <w:tblStylePr w:type="band1Horz">
      <w:tcPr>
        <w:shd w:val="clear" w:color="E5EDD5" w:fill="E5EDD5"/>
      </w:tcPr>
    </w:tblStylePr>
    <w:tblStylePr w:type="band2Horz"/>
    <w:tblStylePr w:type="neCell"/>
    <w:tblStylePr w:type="nwCell"/>
    <w:tblStylePr w:type="seCell"/>
    <w:tblStylePr w:type="swCell"/>
  </w:style>
  <w:style w:type="table" w:customStyle="1" w:styleId="101">
    <w:name w:val="List Table 1 Light - Accent 4"/>
    <w:basedOn w:val="31"/>
    <w:qFormat/>
    <w:uiPriority w:val="99"/>
    <w:pPr>
      <w:spacing w:after="0" w:line="240" w:lineRule="auto"/>
    </w:pPr>
    <w:tblStylePr w:type="firstRow">
      <w:rPr>
        <w:b/>
        <w:color w:val="404040"/>
      </w:rPr>
      <w:tcPr>
        <w:tcBorders>
          <w:top w:val="nil"/>
          <w:left w:val="nil"/>
          <w:bottom w:val="single" w:color="8064A2" w:sz="4" w:space="0"/>
          <w:right w:val="nil"/>
        </w:tcBorders>
      </w:tcPr>
    </w:tblStylePr>
    <w:tblStylePr w:type="lastRow">
      <w:rPr>
        <w:b/>
        <w:color w:val="404040"/>
      </w:rPr>
      <w:tcPr>
        <w:tcBorders>
          <w:top w:val="single" w:color="8064A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fill="DFD8E7"/>
      </w:tcPr>
    </w:tblStylePr>
    <w:tblStylePr w:type="band2Vert"/>
    <w:tblStylePr w:type="band1Horz">
      <w:tcPr>
        <w:shd w:val="clear" w:color="DFD8E7" w:fill="DFD8E7"/>
      </w:tcPr>
    </w:tblStylePr>
    <w:tblStylePr w:type="band2Horz"/>
    <w:tblStylePr w:type="neCell"/>
    <w:tblStylePr w:type="nwCell"/>
    <w:tblStylePr w:type="seCell"/>
    <w:tblStylePr w:type="swCell"/>
  </w:style>
  <w:style w:type="table" w:customStyle="1" w:styleId="102">
    <w:name w:val="List Table 1 Light - Accent 5"/>
    <w:basedOn w:val="31"/>
    <w:qFormat/>
    <w:uiPriority w:val="99"/>
    <w:pPr>
      <w:spacing w:after="0" w:line="240" w:lineRule="auto"/>
    </w:pPr>
    <w:tblStylePr w:type="firstRow">
      <w:rPr>
        <w:b/>
        <w:color w:val="404040"/>
      </w:rPr>
      <w:tcPr>
        <w:tcBorders>
          <w:top w:val="nil"/>
          <w:left w:val="nil"/>
          <w:bottom w:val="single" w:color="4BACC6" w:sz="4" w:space="0"/>
          <w:right w:val="nil"/>
        </w:tcBorders>
      </w:tcPr>
    </w:tblStylePr>
    <w:tblStylePr w:type="lastRow">
      <w:rPr>
        <w:b/>
        <w:color w:val="404040"/>
      </w:rPr>
      <w:tcPr>
        <w:tcBorders>
          <w:top w:val="single" w:color="4BACC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fill="D1EAF0"/>
      </w:tcPr>
    </w:tblStylePr>
    <w:tblStylePr w:type="band2Vert"/>
    <w:tblStylePr w:type="band1Horz">
      <w:tcPr>
        <w:shd w:val="clear" w:color="D1EAF0" w:fill="D1EAF0"/>
      </w:tcPr>
    </w:tblStylePr>
    <w:tblStylePr w:type="band2Horz"/>
    <w:tblStylePr w:type="neCell"/>
    <w:tblStylePr w:type="nwCell"/>
    <w:tblStylePr w:type="seCell"/>
    <w:tblStylePr w:type="swCell"/>
  </w:style>
  <w:style w:type="table" w:customStyle="1" w:styleId="103">
    <w:name w:val="List Table 1 Light - Accent 6"/>
    <w:basedOn w:val="31"/>
    <w:qFormat/>
    <w:uiPriority w:val="99"/>
    <w:pPr>
      <w:spacing w:after="0" w:line="240" w:lineRule="auto"/>
    </w:pPr>
    <w:tblStylePr w:type="firstRow">
      <w:rPr>
        <w:b/>
        <w:color w:val="404040"/>
      </w:rPr>
      <w:tcPr>
        <w:tcBorders>
          <w:top w:val="nil"/>
          <w:left w:val="nil"/>
          <w:bottom w:val="single" w:color="F79646" w:sz="4" w:space="0"/>
          <w:right w:val="nil"/>
        </w:tcBorders>
      </w:tcPr>
    </w:tblStylePr>
    <w:tblStylePr w:type="lastRow">
      <w:rPr>
        <w:b/>
        <w:color w:val="404040"/>
      </w:rPr>
      <w:tcPr>
        <w:tcBorders>
          <w:top w:val="single" w:color="F7964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fill="FCE4D0"/>
      </w:tcPr>
    </w:tblStylePr>
    <w:tblStylePr w:type="band2Vert"/>
    <w:tblStylePr w:type="band1Horz">
      <w:tcPr>
        <w:shd w:val="clear" w:color="FCE4D0" w:fill="FCE4D0"/>
      </w:tcPr>
    </w:tblStylePr>
    <w:tblStylePr w:type="band2Horz"/>
    <w:tblStylePr w:type="neCell"/>
    <w:tblStylePr w:type="nwCell"/>
    <w:tblStylePr w:type="seCell"/>
    <w:tblStylePr w:type="swCell"/>
  </w:style>
  <w:style w:type="table" w:customStyle="1" w:styleId="104">
    <w:name w:val="List Table 2"/>
    <w:basedOn w:val="31"/>
    <w:qFormat/>
    <w:uiPriority w:val="99"/>
    <w:pPr>
      <w:spacing w:after="0" w:line="240" w:lineRule="auto"/>
    </w:pPr>
    <w:tblPr>
      <w:tblBorders>
        <w:top w:val="single" w:color="6E6E6E" w:sz="4" w:space="0"/>
        <w:bottom w:val="single" w:color="6E6E6E" w:sz="4" w:space="0"/>
        <w:insideH w:val="single" w:color="6E6E6E" w:sz="4" w:space="0"/>
      </w:tblBorders>
    </w:tblPr>
    <w:tblStylePr w:type="firstRow">
      <w:rPr>
        <w:rFonts w:ascii="Arial" w:hAnsi="Arial"/>
        <w:b/>
        <w:color w:val="404040"/>
        <w:sz w:val="22"/>
      </w:rPr>
      <w:tcPr>
        <w:tcBorders>
          <w:top w:val="single" w:color="6E6E6E" w:sz="4" w:space="0"/>
          <w:left w:val="nil"/>
          <w:bottom w:val="single" w:color="6E6E6E" w:sz="4" w:space="0"/>
          <w:right w:val="nil"/>
        </w:tcBorders>
      </w:tcPr>
    </w:tblStylePr>
    <w:tblStylePr w:type="lastRow">
      <w:rPr>
        <w:rFonts w:ascii="Arial" w:hAnsi="Arial"/>
        <w:b/>
        <w:color w:val="404040"/>
        <w:sz w:val="22"/>
      </w:rPr>
      <w:tcPr>
        <w:tcBorders>
          <w:top w:val="single" w:color="6E6E6E" w:sz="4" w:space="0"/>
          <w:left w:val="nil"/>
          <w:bottom w:val="single" w:color="6E6E6E"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fill="BEBEBE"/>
      </w:tcPr>
    </w:tblStylePr>
    <w:tblStylePr w:type="band2Vert"/>
    <w:tblStylePr w:type="band1Horz">
      <w:rPr>
        <w:rFonts w:ascii="Arial" w:hAnsi="Arial"/>
        <w:color w:val="404040"/>
        <w:sz w:val="22"/>
      </w:rPr>
      <w:tcPr>
        <w:shd w:val="clear" w:color="BEBEBE" w:fill="BEBEBE"/>
      </w:tcPr>
    </w:tblStylePr>
    <w:tblStylePr w:type="band2Horz"/>
    <w:tblStylePr w:type="neCell"/>
    <w:tblStylePr w:type="nwCell"/>
    <w:tblStylePr w:type="seCell"/>
    <w:tblStylePr w:type="swCell"/>
  </w:style>
  <w:style w:type="table" w:customStyle="1" w:styleId="105">
    <w:name w:val="List Table 2 - Accent 1"/>
    <w:basedOn w:val="31"/>
    <w:qFormat/>
    <w:uiPriority w:val="99"/>
    <w:pPr>
      <w:spacing w:after="0" w:line="240" w:lineRule="auto"/>
    </w:pPr>
    <w:tblPr>
      <w:tblBorders>
        <w:top w:val="single" w:color="9BB7D9" w:sz="4" w:space="0"/>
        <w:bottom w:val="single" w:color="9BB7D9" w:sz="4" w:space="0"/>
        <w:insideH w:val="single" w:color="9BB7D9" w:sz="4" w:space="0"/>
      </w:tblBorders>
    </w:tblPr>
    <w:tblStylePr w:type="firstRow">
      <w:rPr>
        <w:rFonts w:ascii="Arial" w:hAnsi="Arial"/>
        <w:b/>
        <w:color w:val="404040"/>
        <w:sz w:val="22"/>
      </w:rPr>
      <w:tcPr>
        <w:tcBorders>
          <w:top w:val="single" w:color="9BB7D9" w:sz="4" w:space="0"/>
          <w:left w:val="nil"/>
          <w:bottom w:val="single" w:color="9BB7D9" w:sz="4" w:space="0"/>
          <w:right w:val="nil"/>
        </w:tcBorders>
      </w:tcPr>
    </w:tblStylePr>
    <w:tblStylePr w:type="lastRow">
      <w:rPr>
        <w:rFonts w:ascii="Arial" w:hAnsi="Arial"/>
        <w:b/>
        <w:color w:val="404040"/>
        <w:sz w:val="22"/>
      </w:rPr>
      <w:tcPr>
        <w:tcBorders>
          <w:top w:val="single" w:color="9BB7D9" w:sz="4" w:space="0"/>
          <w:left w:val="nil"/>
          <w:bottom w:val="single" w:color="9BB7D9"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fill="D2DFEE"/>
      </w:tcPr>
    </w:tblStylePr>
    <w:tblStylePr w:type="band2Vert"/>
    <w:tblStylePr w:type="band1Horz">
      <w:rPr>
        <w:rFonts w:ascii="Arial" w:hAnsi="Arial"/>
        <w:color w:val="404040"/>
        <w:sz w:val="22"/>
      </w:rPr>
      <w:tcPr>
        <w:shd w:val="clear" w:color="D2DFEE" w:fill="D2DFEE"/>
      </w:tcPr>
    </w:tblStylePr>
    <w:tblStylePr w:type="band2Horz"/>
    <w:tblStylePr w:type="neCell"/>
    <w:tblStylePr w:type="nwCell"/>
    <w:tblStylePr w:type="seCell"/>
    <w:tblStylePr w:type="swCell"/>
  </w:style>
  <w:style w:type="table" w:customStyle="1" w:styleId="106">
    <w:name w:val="List Table 2 - Accent 2"/>
    <w:basedOn w:val="31"/>
    <w:qFormat/>
    <w:uiPriority w:val="99"/>
    <w:pPr>
      <w:spacing w:after="0" w:line="240" w:lineRule="auto"/>
    </w:pPr>
    <w:tblPr>
      <w:tblBorders>
        <w:top w:val="single" w:color="DB9C9A" w:sz="4" w:space="0"/>
        <w:bottom w:val="single" w:color="DB9C9A" w:sz="4" w:space="0"/>
        <w:insideH w:val="single" w:color="DB9C9A" w:sz="4" w:space="0"/>
      </w:tblBorders>
    </w:tblPr>
    <w:tblStylePr w:type="firstRow">
      <w:rPr>
        <w:rFonts w:ascii="Arial" w:hAnsi="Arial"/>
        <w:b/>
        <w:color w:val="404040"/>
        <w:sz w:val="22"/>
      </w:rPr>
      <w:tcPr>
        <w:tcBorders>
          <w:top w:val="single" w:color="DB9C9A" w:sz="4" w:space="0"/>
          <w:left w:val="nil"/>
          <w:bottom w:val="single" w:color="DB9C9A" w:sz="4" w:space="0"/>
          <w:right w:val="nil"/>
        </w:tcBorders>
      </w:tcPr>
    </w:tblStylePr>
    <w:tblStylePr w:type="lastRow">
      <w:rPr>
        <w:rFonts w:ascii="Arial" w:hAnsi="Arial"/>
        <w:b/>
        <w:color w:val="404040"/>
        <w:sz w:val="22"/>
      </w:rPr>
      <w:tcPr>
        <w:tcBorders>
          <w:top w:val="single" w:color="DB9C9A" w:sz="4" w:space="0"/>
          <w:left w:val="nil"/>
          <w:bottom w:val="single" w:color="DB9C9A"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fill="EFD3D2"/>
      </w:tcPr>
    </w:tblStylePr>
    <w:tblStylePr w:type="band2Vert"/>
    <w:tblStylePr w:type="band1Horz">
      <w:rPr>
        <w:rFonts w:ascii="Arial" w:hAnsi="Arial"/>
        <w:color w:val="404040"/>
        <w:sz w:val="22"/>
      </w:rPr>
      <w:tcPr>
        <w:shd w:val="clear" w:color="EFD3D2" w:fill="EFD3D2"/>
      </w:tcPr>
    </w:tblStylePr>
    <w:tblStylePr w:type="band2Horz"/>
    <w:tblStylePr w:type="neCell"/>
    <w:tblStylePr w:type="nwCell"/>
    <w:tblStylePr w:type="seCell"/>
    <w:tblStylePr w:type="swCell"/>
  </w:style>
  <w:style w:type="table" w:customStyle="1" w:styleId="107">
    <w:name w:val="List Table 2 - Accent 3"/>
    <w:basedOn w:val="31"/>
    <w:qFormat/>
    <w:uiPriority w:val="99"/>
    <w:pPr>
      <w:spacing w:after="0" w:line="240" w:lineRule="auto"/>
    </w:pPr>
    <w:tblPr>
      <w:tblBorders>
        <w:top w:val="single" w:color="C6D8A1" w:sz="4" w:space="0"/>
        <w:bottom w:val="single" w:color="C6D8A1" w:sz="4" w:space="0"/>
        <w:insideH w:val="single" w:color="C6D8A1" w:sz="4" w:space="0"/>
      </w:tblBorders>
    </w:tblPr>
    <w:tblStylePr w:type="firstRow">
      <w:rPr>
        <w:rFonts w:ascii="Arial" w:hAnsi="Arial"/>
        <w:b/>
        <w:color w:val="404040"/>
        <w:sz w:val="22"/>
      </w:rPr>
      <w:tcPr>
        <w:tcBorders>
          <w:top w:val="single" w:color="C6D8A1" w:sz="4" w:space="0"/>
          <w:left w:val="nil"/>
          <w:bottom w:val="single" w:color="C6D8A1" w:sz="4" w:space="0"/>
          <w:right w:val="nil"/>
        </w:tcBorders>
      </w:tcPr>
    </w:tblStylePr>
    <w:tblStylePr w:type="lastRow">
      <w:rPr>
        <w:rFonts w:ascii="Arial" w:hAnsi="Arial"/>
        <w:b/>
        <w:color w:val="404040"/>
        <w:sz w:val="22"/>
      </w:rPr>
      <w:tcPr>
        <w:tcBorders>
          <w:top w:val="single" w:color="C6D8A1" w:sz="4" w:space="0"/>
          <w:left w:val="nil"/>
          <w:bottom w:val="single" w:color="C6D8A1"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fill="E5EDD5"/>
      </w:tcPr>
    </w:tblStylePr>
    <w:tblStylePr w:type="band2Vert"/>
    <w:tblStylePr w:type="band1Horz">
      <w:rPr>
        <w:rFonts w:ascii="Arial" w:hAnsi="Arial"/>
        <w:color w:val="404040"/>
        <w:sz w:val="22"/>
      </w:rPr>
      <w:tcPr>
        <w:shd w:val="clear" w:color="E5EDD5" w:fill="E5EDD5"/>
      </w:tcPr>
    </w:tblStylePr>
    <w:tblStylePr w:type="band2Horz"/>
    <w:tblStylePr w:type="neCell"/>
    <w:tblStylePr w:type="nwCell"/>
    <w:tblStylePr w:type="seCell"/>
    <w:tblStylePr w:type="swCell"/>
  </w:style>
  <w:style w:type="table" w:customStyle="1" w:styleId="108">
    <w:name w:val="List Table 2 - Accent 4"/>
    <w:basedOn w:val="31"/>
    <w:qFormat/>
    <w:uiPriority w:val="99"/>
    <w:pPr>
      <w:spacing w:after="0" w:line="240" w:lineRule="auto"/>
    </w:pPr>
    <w:tblPr>
      <w:tblBorders>
        <w:top w:val="single" w:color="B7A7CA" w:sz="4" w:space="0"/>
        <w:bottom w:val="single" w:color="B7A7CA" w:sz="4" w:space="0"/>
        <w:insideH w:val="single" w:color="B7A7CA" w:sz="4" w:space="0"/>
      </w:tblBorders>
    </w:tblPr>
    <w:tblStylePr w:type="firstRow">
      <w:rPr>
        <w:rFonts w:ascii="Arial" w:hAnsi="Arial"/>
        <w:b/>
        <w:color w:val="404040"/>
        <w:sz w:val="22"/>
      </w:rPr>
      <w:tcPr>
        <w:tcBorders>
          <w:top w:val="single" w:color="B7A7CA" w:sz="4" w:space="0"/>
          <w:left w:val="nil"/>
          <w:bottom w:val="single" w:color="B7A7CA" w:sz="4" w:space="0"/>
          <w:right w:val="nil"/>
        </w:tcBorders>
      </w:tcPr>
    </w:tblStylePr>
    <w:tblStylePr w:type="lastRow">
      <w:rPr>
        <w:rFonts w:ascii="Arial" w:hAnsi="Arial"/>
        <w:b/>
        <w:color w:val="404040"/>
        <w:sz w:val="22"/>
      </w:rPr>
      <w:tcPr>
        <w:tcBorders>
          <w:top w:val="single" w:color="B7A7CA" w:sz="4" w:space="0"/>
          <w:left w:val="nil"/>
          <w:bottom w:val="single" w:color="B7A7CA"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fill="DFD8E7"/>
      </w:tcPr>
    </w:tblStylePr>
    <w:tblStylePr w:type="band2Vert"/>
    <w:tblStylePr w:type="band1Horz">
      <w:rPr>
        <w:rFonts w:ascii="Arial" w:hAnsi="Arial"/>
        <w:color w:val="404040"/>
        <w:sz w:val="22"/>
      </w:rPr>
      <w:tcPr>
        <w:shd w:val="clear" w:color="DFD8E7" w:fill="DFD8E7"/>
      </w:tcPr>
    </w:tblStylePr>
    <w:tblStylePr w:type="band2Horz"/>
    <w:tblStylePr w:type="neCell"/>
    <w:tblStylePr w:type="nwCell"/>
    <w:tblStylePr w:type="seCell"/>
    <w:tblStylePr w:type="swCell"/>
  </w:style>
  <w:style w:type="table" w:customStyle="1" w:styleId="109">
    <w:name w:val="List Table 2 - Accent 5"/>
    <w:basedOn w:val="31"/>
    <w:qFormat/>
    <w:uiPriority w:val="99"/>
    <w:pPr>
      <w:spacing w:after="0" w:line="240" w:lineRule="auto"/>
    </w:pPr>
    <w:tblPr>
      <w:tblBorders>
        <w:top w:val="single" w:color="99D0DE" w:sz="4" w:space="0"/>
        <w:bottom w:val="single" w:color="99D0DE" w:sz="4" w:space="0"/>
        <w:insideH w:val="single" w:color="99D0DE" w:sz="4" w:space="0"/>
      </w:tblBorders>
    </w:tblPr>
    <w:tblStylePr w:type="firstRow">
      <w:rPr>
        <w:rFonts w:ascii="Arial" w:hAnsi="Arial"/>
        <w:b/>
        <w:color w:val="404040"/>
        <w:sz w:val="22"/>
      </w:rPr>
      <w:tcPr>
        <w:tcBorders>
          <w:top w:val="single" w:color="99D0DE" w:sz="4" w:space="0"/>
          <w:left w:val="nil"/>
          <w:bottom w:val="single" w:color="99D0DE" w:sz="4" w:space="0"/>
          <w:right w:val="nil"/>
        </w:tcBorders>
      </w:tcPr>
    </w:tblStylePr>
    <w:tblStylePr w:type="lastRow">
      <w:rPr>
        <w:rFonts w:ascii="Arial" w:hAnsi="Arial"/>
        <w:b/>
        <w:color w:val="404040"/>
        <w:sz w:val="22"/>
      </w:rPr>
      <w:tcPr>
        <w:tcBorders>
          <w:top w:val="single" w:color="99D0DE" w:sz="4" w:space="0"/>
          <w:left w:val="nil"/>
          <w:bottom w:val="single" w:color="99D0DE"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fill="D1EAF0"/>
      </w:tcPr>
    </w:tblStylePr>
    <w:tblStylePr w:type="band2Vert"/>
    <w:tblStylePr w:type="band1Horz">
      <w:rPr>
        <w:rFonts w:ascii="Arial" w:hAnsi="Arial"/>
        <w:color w:val="404040"/>
        <w:sz w:val="22"/>
      </w:rPr>
      <w:tcPr>
        <w:shd w:val="clear" w:color="D1EAF0" w:fill="D1EAF0"/>
      </w:tcPr>
    </w:tblStylePr>
    <w:tblStylePr w:type="band2Horz"/>
    <w:tblStylePr w:type="neCell"/>
    <w:tblStylePr w:type="nwCell"/>
    <w:tblStylePr w:type="seCell"/>
    <w:tblStylePr w:type="swCell"/>
  </w:style>
  <w:style w:type="table" w:customStyle="1" w:styleId="110">
    <w:name w:val="List Table 2 - Accent 6"/>
    <w:basedOn w:val="31"/>
    <w:qFormat/>
    <w:uiPriority w:val="99"/>
    <w:pPr>
      <w:spacing w:after="0" w:line="240" w:lineRule="auto"/>
    </w:pPr>
    <w:tblPr>
      <w:tblBorders>
        <w:top w:val="single" w:color="FAC396" w:sz="4" w:space="0"/>
        <w:bottom w:val="single" w:color="FAC396" w:sz="4" w:space="0"/>
        <w:insideH w:val="single" w:color="FAC396" w:sz="4" w:space="0"/>
      </w:tblBorders>
    </w:tblPr>
    <w:tblStylePr w:type="firstRow">
      <w:rPr>
        <w:rFonts w:ascii="Arial" w:hAnsi="Arial"/>
        <w:b/>
        <w:color w:val="404040"/>
        <w:sz w:val="22"/>
      </w:rPr>
      <w:tcPr>
        <w:tcBorders>
          <w:top w:val="single" w:color="FAC396" w:sz="4" w:space="0"/>
          <w:left w:val="nil"/>
          <w:bottom w:val="single" w:color="FAC396" w:sz="4" w:space="0"/>
          <w:right w:val="nil"/>
        </w:tcBorders>
      </w:tcPr>
    </w:tblStylePr>
    <w:tblStylePr w:type="lastRow">
      <w:rPr>
        <w:rFonts w:ascii="Arial" w:hAnsi="Arial"/>
        <w:b/>
        <w:color w:val="404040"/>
        <w:sz w:val="22"/>
      </w:rPr>
      <w:tcPr>
        <w:tcBorders>
          <w:top w:val="single" w:color="FAC396" w:sz="4" w:space="0"/>
          <w:left w:val="nil"/>
          <w:bottom w:val="single" w:color="FAC396"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fill="FCE4D0"/>
      </w:tcPr>
    </w:tblStylePr>
    <w:tblStylePr w:type="band2Vert"/>
    <w:tblStylePr w:type="band1Horz">
      <w:rPr>
        <w:rFonts w:ascii="Arial" w:hAnsi="Arial"/>
        <w:color w:val="404040"/>
        <w:sz w:val="22"/>
      </w:rPr>
      <w:tcPr>
        <w:shd w:val="clear" w:color="FCE4D0" w:fill="FCE4D0"/>
      </w:tcPr>
    </w:tblStylePr>
    <w:tblStylePr w:type="band2Horz"/>
    <w:tblStylePr w:type="neCell"/>
    <w:tblStylePr w:type="nwCell"/>
    <w:tblStylePr w:type="seCell"/>
    <w:tblStylePr w:type="swCell"/>
  </w:style>
  <w:style w:type="table" w:customStyle="1" w:styleId="111">
    <w:name w:val="List Table 3"/>
    <w:basedOn w:val="31"/>
    <w:qFormat/>
    <w:uiPriority w:val="99"/>
    <w:pPr>
      <w:spacing w:after="0" w:line="240" w:lineRule="auto"/>
    </w:pPr>
    <w:tblPr>
      <w:tblBorders>
        <w:top w:val="single" w:color="000000" w:sz="4" w:space="0"/>
        <w:left w:val="single" w:color="000000" w:sz="4" w:space="0"/>
        <w:bottom w:val="single" w:color="000000" w:sz="4" w:space="0"/>
        <w:right w:val="single" w:color="000000" w:sz="4" w:space="0"/>
      </w:tblBorders>
    </w:tblPr>
    <w:tblStylePr w:type="firstRow">
      <w:rPr>
        <w:rFonts w:ascii="Arial" w:hAnsi="Arial"/>
        <w:b/>
        <w:color w:val="FFFFFF"/>
        <w:sz w:val="22"/>
      </w:r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sz="4" w:space="0"/>
          <w:right w:val="single" w:color="000000" w:sz="4" w:space="0"/>
        </w:tcBorders>
      </w:tcPr>
    </w:tblStylePr>
    <w:tblStylePr w:type="band2Vert"/>
    <w:tblStylePr w:type="band1Horz">
      <w:rPr>
        <w:rFonts w:ascii="Arial" w:hAnsi="Arial"/>
        <w:color w:val="404040"/>
        <w:sz w:val="22"/>
      </w:rPr>
      <w:tcPr>
        <w:tcBorders>
          <w:top w:val="single" w:color="000000" w:sz="4" w:space="0"/>
          <w:bottom w:val="single" w:color="000000" w:sz="4" w:space="0"/>
        </w:tcBorders>
      </w:tcPr>
    </w:tblStylePr>
    <w:tblStylePr w:type="band2Horz"/>
    <w:tblStylePr w:type="neCell"/>
    <w:tblStylePr w:type="nwCell"/>
    <w:tblStylePr w:type="seCell"/>
    <w:tblStylePr w:type="swCell"/>
  </w:style>
  <w:style w:type="table" w:customStyle="1" w:styleId="112">
    <w:name w:val="List Table 3 - Accent 1"/>
    <w:basedOn w:val="31"/>
    <w:qFormat/>
    <w:uiPriority w:val="99"/>
    <w:pPr>
      <w:spacing w:after="0" w:line="240" w:lineRule="auto"/>
    </w:pPr>
    <w:tblPr>
      <w:tblBorders>
        <w:top w:val="single" w:color="4F81BD" w:sz="4" w:space="0"/>
        <w:left w:val="single" w:color="4F81BD" w:sz="4" w:space="0"/>
        <w:bottom w:val="single" w:color="4F81BD" w:sz="4" w:space="0"/>
        <w:right w:val="single" w:color="4F81BD" w:sz="4" w:space="0"/>
      </w:tblBorders>
    </w:tblPr>
    <w:tblStylePr w:type="firstRow">
      <w:rPr>
        <w:rFonts w:ascii="Arial" w:hAnsi="Arial"/>
        <w:b/>
        <w:color w:val="FFFFFF"/>
        <w:sz w:val="22"/>
      </w:r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sz="4" w:space="0"/>
          <w:right w:val="single" w:color="4F81BD" w:sz="4" w:space="0"/>
        </w:tcBorders>
      </w:tcPr>
    </w:tblStylePr>
    <w:tblStylePr w:type="band2Vert"/>
    <w:tblStylePr w:type="band1Horz">
      <w:rPr>
        <w:rFonts w:ascii="Arial" w:hAnsi="Arial"/>
        <w:color w:val="404040"/>
        <w:sz w:val="22"/>
      </w:rPr>
      <w:tcPr>
        <w:tcBorders>
          <w:top w:val="single" w:color="4F81BD" w:sz="4" w:space="0"/>
          <w:bottom w:val="single" w:color="4F81BD" w:sz="4" w:space="0"/>
        </w:tcBorders>
      </w:tcPr>
    </w:tblStylePr>
    <w:tblStylePr w:type="band2Horz"/>
    <w:tblStylePr w:type="neCell"/>
    <w:tblStylePr w:type="nwCell"/>
    <w:tblStylePr w:type="seCell"/>
    <w:tblStylePr w:type="swCell"/>
  </w:style>
  <w:style w:type="table" w:customStyle="1" w:styleId="113">
    <w:name w:val="List Table 3 - Accent 2"/>
    <w:basedOn w:val="31"/>
    <w:qFormat/>
    <w:uiPriority w:val="99"/>
    <w:pPr>
      <w:spacing w:after="0" w:line="240" w:lineRule="auto"/>
    </w:pPr>
    <w:tblPr>
      <w:tblBorders>
        <w:top w:val="single" w:color="D99795" w:sz="4" w:space="0"/>
        <w:left w:val="single" w:color="D99795" w:sz="4" w:space="0"/>
        <w:bottom w:val="single" w:color="D99795" w:sz="4" w:space="0"/>
        <w:right w:val="single" w:color="D99795" w:sz="4" w:space="0"/>
      </w:tblBorders>
    </w:tblPr>
    <w:tblStylePr w:type="firstRow">
      <w:rPr>
        <w:rFonts w:ascii="Arial" w:hAnsi="Arial"/>
        <w:b/>
        <w:color w:val="FFFFFF"/>
        <w:sz w:val="22"/>
      </w:rPr>
      <w:tcPr>
        <w:shd w:val="clear" w:color="D99795" w:fill="D997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sz="4" w:space="0"/>
          <w:right w:val="single" w:color="D99795" w:sz="4" w:space="0"/>
        </w:tcBorders>
      </w:tcPr>
    </w:tblStylePr>
    <w:tblStylePr w:type="band2Vert"/>
    <w:tblStylePr w:type="band1Horz">
      <w:rPr>
        <w:rFonts w:ascii="Arial" w:hAnsi="Arial"/>
        <w:color w:val="404040"/>
        <w:sz w:val="22"/>
      </w:rPr>
      <w:tcPr>
        <w:tcBorders>
          <w:top w:val="single" w:color="D99795" w:sz="4" w:space="0"/>
          <w:bottom w:val="single" w:color="D99795" w:sz="4" w:space="0"/>
        </w:tcBorders>
      </w:tcPr>
    </w:tblStylePr>
    <w:tblStylePr w:type="band2Horz"/>
    <w:tblStylePr w:type="neCell"/>
    <w:tblStylePr w:type="nwCell"/>
    <w:tblStylePr w:type="seCell"/>
    <w:tblStylePr w:type="swCell"/>
  </w:style>
  <w:style w:type="table" w:customStyle="1" w:styleId="114">
    <w:name w:val="List Table 3 - Accent 3"/>
    <w:basedOn w:val="31"/>
    <w:qFormat/>
    <w:uiPriority w:val="99"/>
    <w:pPr>
      <w:spacing w:after="0" w:line="240" w:lineRule="auto"/>
    </w:pPr>
    <w:tblPr>
      <w:tblBorders>
        <w:top w:val="single" w:color="C3D69C" w:sz="4" w:space="0"/>
        <w:left w:val="single" w:color="C3D69C" w:sz="4" w:space="0"/>
        <w:bottom w:val="single" w:color="C3D69C" w:sz="4" w:space="0"/>
        <w:right w:val="single" w:color="C3D69C" w:sz="4" w:space="0"/>
      </w:tblBorders>
    </w:tblPr>
    <w:tblStylePr w:type="firstRow">
      <w:rPr>
        <w:rFonts w:ascii="Arial" w:hAnsi="Arial"/>
        <w:b/>
        <w:color w:val="FFFFFF"/>
        <w:sz w:val="22"/>
      </w:rPr>
      <w:tcPr>
        <w:shd w:val="clear" w:color="C3D69C" w:fill="C3D69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sz="4" w:space="0"/>
          <w:right w:val="single" w:color="C3D69C" w:sz="4" w:space="0"/>
        </w:tcBorders>
      </w:tcPr>
    </w:tblStylePr>
    <w:tblStylePr w:type="band2Vert"/>
    <w:tblStylePr w:type="band1Horz">
      <w:rPr>
        <w:rFonts w:ascii="Arial" w:hAnsi="Arial"/>
        <w:color w:val="404040"/>
        <w:sz w:val="22"/>
      </w:rPr>
      <w:tcPr>
        <w:tcBorders>
          <w:top w:val="single" w:color="C3D69C" w:sz="4" w:space="0"/>
          <w:bottom w:val="single" w:color="C3D69C" w:sz="4" w:space="0"/>
        </w:tcBorders>
      </w:tcPr>
    </w:tblStylePr>
    <w:tblStylePr w:type="band2Horz"/>
    <w:tblStylePr w:type="neCell"/>
    <w:tblStylePr w:type="nwCell"/>
    <w:tblStylePr w:type="seCell"/>
    <w:tblStylePr w:type="swCell"/>
  </w:style>
  <w:style w:type="table" w:customStyle="1" w:styleId="115">
    <w:name w:val="List Table 3 - Accent 4"/>
    <w:basedOn w:val="31"/>
    <w:qFormat/>
    <w:uiPriority w:val="99"/>
    <w:pPr>
      <w:spacing w:after="0" w:line="240" w:lineRule="auto"/>
    </w:pPr>
    <w:tblPr>
      <w:tblBorders>
        <w:top w:val="single" w:color="B2A1C6" w:sz="4" w:space="0"/>
        <w:left w:val="single" w:color="B2A1C6" w:sz="4" w:space="0"/>
        <w:bottom w:val="single" w:color="B2A1C6" w:sz="4" w:space="0"/>
        <w:right w:val="single" w:color="B2A1C6" w:sz="4" w:space="0"/>
      </w:tblBorders>
    </w:tblPr>
    <w:tblStylePr w:type="firstRow">
      <w:rPr>
        <w:rFonts w:ascii="Arial" w:hAnsi="Arial"/>
        <w:b/>
        <w:color w:val="FFFFFF"/>
        <w:sz w:val="22"/>
      </w:r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sz="4" w:space="0"/>
          <w:right w:val="single" w:color="B2A1C6" w:sz="4" w:space="0"/>
        </w:tcBorders>
      </w:tcPr>
    </w:tblStylePr>
    <w:tblStylePr w:type="band2Vert"/>
    <w:tblStylePr w:type="band1Horz">
      <w:rPr>
        <w:rFonts w:ascii="Arial" w:hAnsi="Arial"/>
        <w:color w:val="404040"/>
        <w:sz w:val="22"/>
      </w:rPr>
      <w:tcPr>
        <w:tcBorders>
          <w:top w:val="single" w:color="B2A1C6" w:sz="4" w:space="0"/>
          <w:bottom w:val="single" w:color="B2A1C6" w:sz="4" w:space="0"/>
        </w:tcBorders>
      </w:tcPr>
    </w:tblStylePr>
    <w:tblStylePr w:type="band2Horz"/>
    <w:tblStylePr w:type="neCell"/>
    <w:tblStylePr w:type="nwCell"/>
    <w:tblStylePr w:type="seCell"/>
    <w:tblStylePr w:type="swCell"/>
  </w:style>
  <w:style w:type="table" w:customStyle="1" w:styleId="116">
    <w:name w:val="List Table 3 - Accent 5"/>
    <w:basedOn w:val="31"/>
    <w:qFormat/>
    <w:uiPriority w:val="99"/>
    <w:pPr>
      <w:spacing w:after="0" w:line="240" w:lineRule="auto"/>
    </w:pPr>
    <w:tblPr>
      <w:tblBorders>
        <w:top w:val="single" w:color="92CCDC" w:sz="4" w:space="0"/>
        <w:left w:val="single" w:color="92CCDC" w:sz="4" w:space="0"/>
        <w:bottom w:val="single" w:color="92CCDC" w:sz="4" w:space="0"/>
        <w:right w:val="single" w:color="92CCDC" w:sz="4" w:space="0"/>
      </w:tblBorders>
    </w:tblPr>
    <w:tblStylePr w:type="firstRow">
      <w:rPr>
        <w:rFonts w:ascii="Arial" w:hAnsi="Arial"/>
        <w:b/>
        <w:color w:val="FFFFFF"/>
        <w:sz w:val="22"/>
      </w:r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sz="4" w:space="0"/>
          <w:right w:val="single" w:color="92CCDC" w:sz="4" w:space="0"/>
        </w:tcBorders>
      </w:tcPr>
    </w:tblStylePr>
    <w:tblStylePr w:type="band2Vert"/>
    <w:tblStylePr w:type="band1Horz">
      <w:rPr>
        <w:rFonts w:ascii="Arial" w:hAnsi="Arial"/>
        <w:color w:val="404040"/>
        <w:sz w:val="22"/>
      </w:rPr>
      <w:tcPr>
        <w:tcBorders>
          <w:top w:val="single" w:color="92CCDC" w:sz="4" w:space="0"/>
          <w:bottom w:val="single" w:color="92CCDC" w:sz="4" w:space="0"/>
        </w:tcBorders>
      </w:tcPr>
    </w:tblStylePr>
    <w:tblStylePr w:type="band2Horz"/>
    <w:tblStylePr w:type="neCell"/>
    <w:tblStylePr w:type="nwCell"/>
    <w:tblStylePr w:type="seCell"/>
    <w:tblStylePr w:type="swCell"/>
  </w:style>
  <w:style w:type="table" w:customStyle="1" w:styleId="117">
    <w:name w:val="List Table 3 - Accent 6"/>
    <w:basedOn w:val="31"/>
    <w:qFormat/>
    <w:uiPriority w:val="99"/>
    <w:pPr>
      <w:spacing w:after="0" w:line="240" w:lineRule="auto"/>
    </w:pPr>
    <w:tblPr>
      <w:tblBorders>
        <w:top w:val="single" w:color="FAC090" w:sz="4" w:space="0"/>
        <w:left w:val="single" w:color="FAC090" w:sz="4" w:space="0"/>
        <w:bottom w:val="single" w:color="FAC090" w:sz="4" w:space="0"/>
        <w:right w:val="single" w:color="FAC090" w:sz="4" w:space="0"/>
      </w:tblBorders>
    </w:tblPr>
    <w:tblStylePr w:type="firstRow">
      <w:rPr>
        <w:rFonts w:ascii="Arial" w:hAnsi="Arial"/>
        <w:b/>
        <w:color w:val="FFFFFF"/>
        <w:sz w:val="22"/>
      </w:r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sz="4" w:space="0"/>
          <w:right w:val="single" w:color="FAC090" w:sz="4" w:space="0"/>
        </w:tcBorders>
      </w:tcPr>
    </w:tblStylePr>
    <w:tblStylePr w:type="band2Vert"/>
    <w:tblStylePr w:type="band1Horz">
      <w:rPr>
        <w:rFonts w:ascii="Arial" w:hAnsi="Arial"/>
        <w:color w:val="404040"/>
        <w:sz w:val="22"/>
      </w:rPr>
      <w:tcPr>
        <w:tcBorders>
          <w:top w:val="single" w:color="FAC090" w:sz="4" w:space="0"/>
          <w:bottom w:val="single" w:color="FAC090" w:sz="4" w:space="0"/>
        </w:tcBorders>
      </w:tcPr>
    </w:tblStylePr>
    <w:tblStylePr w:type="band2Horz"/>
    <w:tblStylePr w:type="neCell"/>
    <w:tblStylePr w:type="nwCell"/>
    <w:tblStylePr w:type="seCell"/>
    <w:tblStylePr w:type="swCell"/>
  </w:style>
  <w:style w:type="table" w:customStyle="1" w:styleId="118">
    <w:name w:val="List Table 4"/>
    <w:basedOn w:val="31"/>
    <w:qFormat/>
    <w:uiPriority w:val="9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tblBorders>
    </w:tblPr>
    <w:tblStylePr w:type="firstRow">
      <w:rPr>
        <w:rFonts w:ascii="Arial" w:hAnsi="Arial"/>
        <w:b/>
        <w:color w:val="FFFFFF"/>
        <w:sz w:val="22"/>
      </w:r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fill="BEBEBE"/>
      </w:tcPr>
    </w:tblStylePr>
    <w:tblStylePr w:type="band2Vert"/>
    <w:tblStylePr w:type="band1Horz">
      <w:rPr>
        <w:rFonts w:ascii="Arial" w:hAnsi="Arial"/>
        <w:color w:val="404040"/>
        <w:sz w:val="22"/>
      </w:rPr>
      <w:tcPr>
        <w:shd w:val="clear" w:color="BEBEBE" w:fill="BEBEBE"/>
      </w:tcPr>
    </w:tblStylePr>
    <w:tblStylePr w:type="band2Horz"/>
    <w:tblStylePr w:type="neCell"/>
    <w:tblStylePr w:type="nwCell"/>
    <w:tblStylePr w:type="seCell"/>
    <w:tblStylePr w:type="swCell"/>
  </w:style>
  <w:style w:type="table" w:customStyle="1" w:styleId="119">
    <w:name w:val="List Table 4 - Accent 1"/>
    <w:basedOn w:val="31"/>
    <w:qFormat/>
    <w:uiPriority w:val="99"/>
    <w:pPr>
      <w:spacing w:after="0" w:line="240" w:lineRule="auto"/>
    </w:pPr>
    <w:tblPr>
      <w:tblBorders>
        <w:top w:val="single" w:color="9BB7D9" w:sz="4" w:space="0"/>
        <w:left w:val="single" w:color="9BB7D9" w:sz="4" w:space="0"/>
        <w:bottom w:val="single" w:color="9BB7D9" w:sz="4" w:space="0"/>
        <w:right w:val="single" w:color="9BB7D9" w:sz="4" w:space="0"/>
        <w:insideH w:val="single" w:color="9BB7D9" w:sz="4" w:space="0"/>
      </w:tblBorders>
    </w:tblPr>
    <w:tblStylePr w:type="firstRow">
      <w:rPr>
        <w:rFonts w:ascii="Arial" w:hAnsi="Arial"/>
        <w:b/>
        <w:color w:val="FFFFFF"/>
        <w:sz w:val="22"/>
      </w:r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fill="D2DFEE"/>
      </w:tcPr>
    </w:tblStylePr>
    <w:tblStylePr w:type="band2Vert"/>
    <w:tblStylePr w:type="band1Horz">
      <w:rPr>
        <w:rFonts w:ascii="Arial" w:hAnsi="Arial"/>
        <w:color w:val="404040"/>
        <w:sz w:val="22"/>
      </w:rPr>
      <w:tcPr>
        <w:shd w:val="clear" w:color="D2DFEE" w:fill="D2DFEE"/>
      </w:tcPr>
    </w:tblStylePr>
    <w:tblStylePr w:type="band2Horz"/>
    <w:tblStylePr w:type="neCell"/>
    <w:tblStylePr w:type="nwCell"/>
    <w:tblStylePr w:type="seCell"/>
    <w:tblStylePr w:type="swCell"/>
  </w:style>
  <w:style w:type="table" w:customStyle="1" w:styleId="120">
    <w:name w:val="List Table 4 - Accent 2"/>
    <w:basedOn w:val="31"/>
    <w:qFormat/>
    <w:uiPriority w:val="99"/>
    <w:pPr>
      <w:spacing w:after="0" w:line="240" w:lineRule="auto"/>
    </w:pPr>
    <w:tblPr>
      <w:tblBorders>
        <w:top w:val="single" w:color="DB9C9A" w:sz="4" w:space="0"/>
        <w:left w:val="single" w:color="DB9C9A" w:sz="4" w:space="0"/>
        <w:bottom w:val="single" w:color="DB9C9A" w:sz="4" w:space="0"/>
        <w:right w:val="single" w:color="DB9C9A" w:sz="4" w:space="0"/>
        <w:insideH w:val="single" w:color="DB9C9A" w:sz="4" w:space="0"/>
      </w:tblBorders>
    </w:tblPr>
    <w:tblStylePr w:type="firstRow">
      <w:rPr>
        <w:rFonts w:ascii="Arial" w:hAnsi="Arial"/>
        <w:b/>
        <w:color w:val="FFFFFF"/>
        <w:sz w:val="22"/>
      </w:r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fill="EFD3D2"/>
      </w:tcPr>
    </w:tblStylePr>
    <w:tblStylePr w:type="band2Vert"/>
    <w:tblStylePr w:type="band1Horz">
      <w:rPr>
        <w:rFonts w:ascii="Arial" w:hAnsi="Arial"/>
        <w:color w:val="404040"/>
        <w:sz w:val="22"/>
      </w:rPr>
      <w:tcPr>
        <w:shd w:val="clear" w:color="EFD3D2" w:fill="EFD3D2"/>
      </w:tcPr>
    </w:tblStylePr>
    <w:tblStylePr w:type="band2Horz"/>
    <w:tblStylePr w:type="neCell"/>
    <w:tblStylePr w:type="nwCell"/>
    <w:tblStylePr w:type="seCell"/>
    <w:tblStylePr w:type="swCell"/>
  </w:style>
  <w:style w:type="table" w:customStyle="1" w:styleId="121">
    <w:name w:val="List Table 4 - Accent 3"/>
    <w:basedOn w:val="31"/>
    <w:qFormat/>
    <w:uiPriority w:val="99"/>
    <w:pPr>
      <w:spacing w:after="0" w:line="240" w:lineRule="auto"/>
    </w:pPr>
    <w:tblPr>
      <w:tblBorders>
        <w:top w:val="single" w:color="C6D8A1" w:sz="4" w:space="0"/>
        <w:left w:val="single" w:color="C6D8A1" w:sz="4" w:space="0"/>
        <w:bottom w:val="single" w:color="C6D8A1" w:sz="4" w:space="0"/>
        <w:right w:val="single" w:color="C6D8A1" w:sz="4" w:space="0"/>
        <w:insideH w:val="single" w:color="C6D8A1" w:sz="4" w:space="0"/>
      </w:tblBorders>
    </w:tblPr>
    <w:tblStylePr w:type="firstRow">
      <w:rPr>
        <w:rFonts w:ascii="Arial" w:hAnsi="Arial"/>
        <w:b/>
        <w:color w:val="FFFFFF"/>
        <w:sz w:val="22"/>
      </w:r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fill="E5EDD5"/>
      </w:tcPr>
    </w:tblStylePr>
    <w:tblStylePr w:type="band2Vert"/>
    <w:tblStylePr w:type="band1Horz">
      <w:rPr>
        <w:rFonts w:ascii="Arial" w:hAnsi="Arial"/>
        <w:color w:val="404040"/>
        <w:sz w:val="22"/>
      </w:rPr>
      <w:tcPr>
        <w:shd w:val="clear" w:color="E5EDD5" w:fill="E5EDD5"/>
      </w:tcPr>
    </w:tblStylePr>
    <w:tblStylePr w:type="band2Horz"/>
    <w:tblStylePr w:type="neCell"/>
    <w:tblStylePr w:type="nwCell"/>
    <w:tblStylePr w:type="seCell"/>
    <w:tblStylePr w:type="swCell"/>
  </w:style>
  <w:style w:type="table" w:customStyle="1" w:styleId="122">
    <w:name w:val="List Table 4 - Accent 4"/>
    <w:basedOn w:val="31"/>
    <w:qFormat/>
    <w:uiPriority w:val="99"/>
    <w:pPr>
      <w:spacing w:after="0" w:line="240" w:lineRule="auto"/>
    </w:pPr>
    <w:tblPr>
      <w:tblBorders>
        <w:top w:val="single" w:color="B7A7CA" w:sz="4" w:space="0"/>
        <w:left w:val="single" w:color="B7A7CA" w:sz="4" w:space="0"/>
        <w:bottom w:val="single" w:color="B7A7CA" w:sz="4" w:space="0"/>
        <w:right w:val="single" w:color="B7A7CA" w:sz="4" w:space="0"/>
        <w:insideH w:val="single" w:color="B7A7CA" w:sz="4" w:space="0"/>
      </w:tblBorders>
    </w:tblPr>
    <w:tblStylePr w:type="firstRow">
      <w:rPr>
        <w:rFonts w:ascii="Arial" w:hAnsi="Arial"/>
        <w:b/>
        <w:color w:val="FFFFFF"/>
        <w:sz w:val="22"/>
      </w:r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fill="DFD8E7"/>
      </w:tcPr>
    </w:tblStylePr>
    <w:tblStylePr w:type="band2Vert"/>
    <w:tblStylePr w:type="band1Horz">
      <w:rPr>
        <w:rFonts w:ascii="Arial" w:hAnsi="Arial"/>
        <w:color w:val="404040"/>
        <w:sz w:val="22"/>
      </w:rPr>
      <w:tcPr>
        <w:shd w:val="clear" w:color="DFD8E7" w:fill="DFD8E7"/>
      </w:tcPr>
    </w:tblStylePr>
    <w:tblStylePr w:type="band2Horz"/>
    <w:tblStylePr w:type="neCell"/>
    <w:tblStylePr w:type="nwCell"/>
    <w:tblStylePr w:type="seCell"/>
    <w:tblStylePr w:type="swCell"/>
  </w:style>
  <w:style w:type="table" w:customStyle="1" w:styleId="123">
    <w:name w:val="List Table 4 - Accent 5"/>
    <w:basedOn w:val="31"/>
    <w:qFormat/>
    <w:uiPriority w:val="99"/>
    <w:pPr>
      <w:spacing w:after="0" w:line="240" w:lineRule="auto"/>
    </w:pPr>
    <w:tblPr>
      <w:tblBorders>
        <w:top w:val="single" w:color="99D0DE" w:sz="4" w:space="0"/>
        <w:left w:val="single" w:color="99D0DE" w:sz="4" w:space="0"/>
        <w:bottom w:val="single" w:color="99D0DE" w:sz="4" w:space="0"/>
        <w:right w:val="single" w:color="99D0DE" w:sz="4" w:space="0"/>
        <w:insideH w:val="single" w:color="99D0DE" w:sz="4" w:space="0"/>
      </w:tblBorders>
    </w:tblPr>
    <w:tblStylePr w:type="firstRow">
      <w:rPr>
        <w:rFonts w:ascii="Arial" w:hAnsi="Arial"/>
        <w:b/>
        <w:color w:val="FFFFFF"/>
        <w:sz w:val="22"/>
      </w:r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fill="D1EAF0"/>
      </w:tcPr>
    </w:tblStylePr>
    <w:tblStylePr w:type="band2Vert"/>
    <w:tblStylePr w:type="band1Horz">
      <w:rPr>
        <w:rFonts w:ascii="Arial" w:hAnsi="Arial"/>
        <w:color w:val="404040"/>
        <w:sz w:val="22"/>
      </w:rPr>
      <w:tcPr>
        <w:shd w:val="clear" w:color="D1EAF0" w:fill="D1EAF0"/>
      </w:tcPr>
    </w:tblStylePr>
    <w:tblStylePr w:type="band2Horz"/>
    <w:tblStylePr w:type="neCell"/>
    <w:tblStylePr w:type="nwCell"/>
    <w:tblStylePr w:type="seCell"/>
    <w:tblStylePr w:type="swCell"/>
  </w:style>
  <w:style w:type="table" w:customStyle="1" w:styleId="124">
    <w:name w:val="List Table 4 - Accent 6"/>
    <w:basedOn w:val="31"/>
    <w:qFormat/>
    <w:uiPriority w:val="99"/>
    <w:pPr>
      <w:spacing w:after="0" w:line="240" w:lineRule="auto"/>
    </w:pPr>
    <w:tblPr>
      <w:tblBorders>
        <w:top w:val="single" w:color="FAC396" w:sz="4" w:space="0"/>
        <w:left w:val="single" w:color="FAC396" w:sz="4" w:space="0"/>
        <w:bottom w:val="single" w:color="FAC396" w:sz="4" w:space="0"/>
        <w:right w:val="single" w:color="FAC396" w:sz="4" w:space="0"/>
        <w:insideH w:val="single" w:color="FAC396" w:sz="4" w:space="0"/>
      </w:tblBorders>
    </w:tblPr>
    <w:tblStylePr w:type="firstRow">
      <w:rPr>
        <w:rFonts w:ascii="Arial" w:hAnsi="Arial"/>
        <w:b/>
        <w:color w:val="FFFFFF"/>
        <w:sz w:val="22"/>
      </w:r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fill="FCE4D0"/>
      </w:tcPr>
    </w:tblStylePr>
    <w:tblStylePr w:type="band2Vert"/>
    <w:tblStylePr w:type="band1Horz">
      <w:rPr>
        <w:rFonts w:ascii="Arial" w:hAnsi="Arial"/>
        <w:color w:val="404040"/>
        <w:sz w:val="22"/>
      </w:rPr>
      <w:tcPr>
        <w:shd w:val="clear" w:color="FCE4D0" w:fill="FCE4D0"/>
      </w:tcPr>
    </w:tblStylePr>
    <w:tblStylePr w:type="band2Horz"/>
    <w:tblStylePr w:type="neCell"/>
    <w:tblStylePr w:type="nwCell"/>
    <w:tblStylePr w:type="seCell"/>
    <w:tblStylePr w:type="swCell"/>
  </w:style>
  <w:style w:type="table" w:customStyle="1" w:styleId="125">
    <w:name w:val="List Table 5 Dark"/>
    <w:basedOn w:val="31"/>
    <w:qFormat/>
    <w:uiPriority w:val="99"/>
    <w:pPr>
      <w:spacing w:after="0" w:line="240" w:lineRule="auto"/>
    </w:pPr>
    <w:tblPr>
      <w:tblBorders>
        <w:top w:val="single" w:color="7E7E7E" w:sz="32" w:space="0"/>
        <w:left w:val="single" w:color="7E7E7E" w:sz="32" w:space="0"/>
        <w:bottom w:val="single" w:color="7E7E7E" w:sz="32" w:space="0"/>
        <w:right w:val="single" w:color="7E7E7E" w:sz="32" w:space="0"/>
      </w:tblBorders>
    </w:tblPr>
    <w:tblStylePr w:type="firstRow">
      <w:rPr>
        <w:rFonts w:ascii="Arial" w:hAnsi="Arial"/>
        <w:b/>
        <w:color w:val="FFFFFF"/>
        <w:sz w:val="22"/>
      </w:rPr>
      <w:tcPr>
        <w:tcBorders>
          <w:top w:val="single" w:color="7E7E7E" w:sz="32" w:space="0"/>
          <w:bottom w:val="single" w:color="FFFFFF" w:sz="12" w:space="0"/>
        </w:tcBorders>
        <w:shd w:val="clear" w:color="7E7E7E" w:fill="7E7E7E"/>
      </w:tcPr>
    </w:tblStylePr>
    <w:tblStylePr w:type="lastRow">
      <w:rPr>
        <w:rFonts w:ascii="Arial" w:hAnsi="Arial"/>
        <w:b/>
        <w:color w:val="FFFFFF"/>
        <w:sz w:val="22"/>
      </w:rPr>
    </w:tblStylePr>
    <w:tblStylePr w:type="firstCol">
      <w:rPr>
        <w:rFonts w:ascii="Arial" w:hAnsi="Arial"/>
        <w:b/>
        <w:color w:val="FFFFFF"/>
        <w:sz w:val="22"/>
      </w:rPr>
      <w:tcPr>
        <w:tcBorders>
          <w:left w:val="single" w:color="7E7E7E" w:sz="32" w:space="0"/>
          <w:right w:val="single" w:color="FFFFFF" w:sz="4" w:space="0"/>
        </w:tcBorders>
      </w:tcPr>
    </w:tblStylePr>
    <w:tblStylePr w:type="lastCol">
      <w:tcPr>
        <w:tcBorders>
          <w:left w:val="single" w:color="FFFFFF" w:sz="4" w:space="0"/>
          <w:right w:val="single" w:color="7E7E7E" w:sz="32" w:space="0"/>
        </w:tcBorders>
      </w:tcPr>
    </w:tblStylePr>
    <w:tblStylePr w:type="band1Vert">
      <w:tcPr>
        <w:tcBorders>
          <w:left w:val="single" w:color="FFFFFF" w:sz="4" w:space="0"/>
          <w:right w:val="single" w:color="FFFFFF" w:sz="4" w:space="0"/>
        </w:tcBorders>
        <w:shd w:val="clear" w:color="7E7E7E" w:fill="7E7E7E"/>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7E7E7E" w:fill="7E7E7E"/>
      </w:tcPr>
    </w:tblStylePr>
    <w:tblStylePr w:type="band2Horz">
      <w:tcPr>
        <w:tcBorders>
          <w:top w:val="single" w:color="FFFFFF" w:sz="4" w:space="0"/>
          <w:bottom w:val="single" w:color="FFFFFF" w:sz="4" w:space="0"/>
        </w:tcBorders>
        <w:shd w:val="clear" w:color="7E7E7E" w:fill="7E7E7E"/>
      </w:tcPr>
    </w:tblStylePr>
    <w:tblStylePr w:type="neCell"/>
    <w:tblStylePr w:type="nwCell"/>
    <w:tblStylePr w:type="seCell"/>
    <w:tblStylePr w:type="swCell"/>
  </w:style>
  <w:style w:type="table" w:customStyle="1" w:styleId="126">
    <w:name w:val="List Table 5 Dark - Accent 1"/>
    <w:basedOn w:val="31"/>
    <w:qFormat/>
    <w:uiPriority w:val="99"/>
    <w:pPr>
      <w:spacing w:after="0" w:line="240" w:lineRule="auto"/>
    </w:pPr>
    <w:tblPr>
      <w:tblBorders>
        <w:top w:val="single" w:color="4F81BD" w:sz="32" w:space="0"/>
        <w:left w:val="single" w:color="4F81BD" w:sz="32" w:space="0"/>
        <w:bottom w:val="single" w:color="4F81BD" w:sz="32" w:space="0"/>
        <w:right w:val="single" w:color="4F81BD" w:sz="32" w:space="0"/>
      </w:tblBorders>
    </w:tblPr>
    <w:tblStylePr w:type="firstRow">
      <w:rPr>
        <w:rFonts w:ascii="Arial" w:hAnsi="Arial"/>
        <w:b/>
        <w:color w:val="FFFFFF"/>
        <w:sz w:val="22"/>
      </w:rPr>
      <w:tcPr>
        <w:tcBorders>
          <w:top w:val="single" w:color="4F81BD" w:sz="32" w:space="0"/>
          <w:bottom w:val="single" w:color="FFFFFF" w:sz="12" w:space="0"/>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cPr>
        <w:tcBorders>
          <w:left w:val="single" w:color="4F81BD" w:sz="32" w:space="0"/>
          <w:right w:val="single" w:color="FFFFFF" w:sz="4" w:space="0"/>
        </w:tcBorders>
      </w:tcPr>
    </w:tblStylePr>
    <w:tblStylePr w:type="lastCol">
      <w:tcPr>
        <w:tcBorders>
          <w:left w:val="single" w:color="FFFFFF" w:sz="4" w:space="0"/>
          <w:right w:val="single" w:color="4F81BD" w:sz="32" w:space="0"/>
        </w:tcBorders>
      </w:tcPr>
    </w:tblStylePr>
    <w:tblStylePr w:type="band1Vert">
      <w:tcPr>
        <w:tcBorders>
          <w:left w:val="single" w:color="FFFFFF" w:sz="4" w:space="0"/>
          <w:right w:val="single" w:color="FFFFFF" w:sz="4" w:space="0"/>
        </w:tcBorders>
        <w:shd w:val="clear" w:color="4F81BD" w:fill="4F81BD"/>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4F81BD" w:fill="4F81BD"/>
      </w:tcPr>
    </w:tblStylePr>
    <w:tblStylePr w:type="band2Horz">
      <w:tcPr>
        <w:tcBorders>
          <w:top w:val="single" w:color="FFFFFF" w:sz="4" w:space="0"/>
          <w:bottom w:val="single" w:color="FFFFFF" w:sz="4" w:space="0"/>
        </w:tcBorders>
        <w:shd w:val="clear" w:color="4F81BD" w:fill="4F81BD"/>
      </w:tcPr>
    </w:tblStylePr>
    <w:tblStylePr w:type="neCell"/>
    <w:tblStylePr w:type="nwCell"/>
    <w:tblStylePr w:type="seCell"/>
    <w:tblStylePr w:type="swCell"/>
  </w:style>
  <w:style w:type="table" w:customStyle="1" w:styleId="127">
    <w:name w:val="List Table 5 Dark - Accent 2"/>
    <w:basedOn w:val="31"/>
    <w:qFormat/>
    <w:uiPriority w:val="99"/>
    <w:pPr>
      <w:spacing w:after="0" w:line="240" w:lineRule="auto"/>
    </w:pPr>
    <w:tblPr>
      <w:tblBorders>
        <w:top w:val="single" w:color="D99795" w:sz="32" w:space="0"/>
        <w:left w:val="single" w:color="D99795" w:sz="32" w:space="0"/>
        <w:bottom w:val="single" w:color="D99795" w:sz="32" w:space="0"/>
        <w:right w:val="single" w:color="D99795" w:sz="32" w:space="0"/>
      </w:tblBorders>
    </w:tblPr>
    <w:tblStylePr w:type="firstRow">
      <w:rPr>
        <w:rFonts w:ascii="Arial" w:hAnsi="Arial"/>
        <w:b/>
        <w:color w:val="FFFFFF"/>
        <w:sz w:val="22"/>
      </w:rPr>
      <w:tcPr>
        <w:tcBorders>
          <w:top w:val="single" w:color="D99795" w:sz="32" w:space="0"/>
          <w:bottom w:val="single" w:color="FFFFFF" w:sz="12" w:space="0"/>
        </w:tcBorders>
        <w:shd w:val="clear" w:color="D99795" w:fill="D99795"/>
      </w:tcPr>
    </w:tblStylePr>
    <w:tblStylePr w:type="lastRow">
      <w:rPr>
        <w:rFonts w:ascii="Arial" w:hAnsi="Arial"/>
        <w:b/>
        <w:color w:val="FFFFFF"/>
        <w:sz w:val="22"/>
      </w:rPr>
    </w:tblStylePr>
    <w:tblStylePr w:type="firstCol">
      <w:rPr>
        <w:rFonts w:ascii="Arial" w:hAnsi="Arial"/>
        <w:b/>
        <w:color w:val="FFFFFF"/>
        <w:sz w:val="22"/>
      </w:rPr>
      <w:tcPr>
        <w:tcBorders>
          <w:left w:val="single" w:color="D99795" w:sz="32" w:space="0"/>
          <w:right w:val="single" w:color="FFFFFF" w:sz="4" w:space="0"/>
        </w:tcBorders>
      </w:tcPr>
    </w:tblStylePr>
    <w:tblStylePr w:type="lastCol">
      <w:tcPr>
        <w:tcBorders>
          <w:left w:val="single" w:color="FFFFFF" w:sz="4" w:space="0"/>
          <w:right w:val="single" w:color="D99795" w:sz="32" w:space="0"/>
        </w:tcBorders>
      </w:tcPr>
    </w:tblStylePr>
    <w:tblStylePr w:type="band1Vert">
      <w:tcPr>
        <w:tcBorders>
          <w:left w:val="single" w:color="FFFFFF" w:sz="4" w:space="0"/>
          <w:right w:val="single" w:color="FFFFFF" w:sz="4" w:space="0"/>
        </w:tcBorders>
        <w:shd w:val="clear" w:color="D99795" w:fill="D99795"/>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D99795" w:fill="D99795"/>
      </w:tcPr>
    </w:tblStylePr>
    <w:tblStylePr w:type="band2Horz">
      <w:tcPr>
        <w:tcBorders>
          <w:top w:val="single" w:color="FFFFFF" w:sz="4" w:space="0"/>
          <w:bottom w:val="single" w:color="FFFFFF" w:sz="4" w:space="0"/>
        </w:tcBorders>
        <w:shd w:val="clear" w:color="D99795" w:fill="D99795"/>
      </w:tcPr>
    </w:tblStylePr>
    <w:tblStylePr w:type="neCell"/>
    <w:tblStylePr w:type="nwCell"/>
    <w:tblStylePr w:type="seCell"/>
    <w:tblStylePr w:type="swCell"/>
  </w:style>
  <w:style w:type="table" w:customStyle="1" w:styleId="128">
    <w:name w:val="List Table 5 Dark - Accent 3"/>
    <w:basedOn w:val="31"/>
    <w:qFormat/>
    <w:uiPriority w:val="99"/>
    <w:pPr>
      <w:spacing w:after="0" w:line="240" w:lineRule="auto"/>
    </w:pPr>
    <w:tblPr>
      <w:tblBorders>
        <w:top w:val="single" w:color="C3D69C" w:sz="32" w:space="0"/>
        <w:left w:val="single" w:color="C3D69C" w:sz="32" w:space="0"/>
        <w:bottom w:val="single" w:color="C3D69C" w:sz="32" w:space="0"/>
        <w:right w:val="single" w:color="C3D69C" w:sz="32" w:space="0"/>
      </w:tblBorders>
    </w:tblPr>
    <w:tblStylePr w:type="firstRow">
      <w:rPr>
        <w:rFonts w:ascii="Arial" w:hAnsi="Arial"/>
        <w:b/>
        <w:color w:val="FFFFFF"/>
        <w:sz w:val="22"/>
      </w:rPr>
      <w:tcPr>
        <w:tcBorders>
          <w:top w:val="single" w:color="C3D69C" w:sz="32" w:space="0"/>
          <w:bottom w:val="single" w:color="FFFFFF" w:sz="12" w:space="0"/>
        </w:tcBorders>
        <w:shd w:val="clear" w:color="C3D69C" w:fill="C3D69C"/>
      </w:tcPr>
    </w:tblStylePr>
    <w:tblStylePr w:type="lastRow">
      <w:rPr>
        <w:rFonts w:ascii="Arial" w:hAnsi="Arial"/>
        <w:b/>
        <w:color w:val="FFFFFF"/>
        <w:sz w:val="22"/>
      </w:rPr>
    </w:tblStylePr>
    <w:tblStylePr w:type="firstCol">
      <w:rPr>
        <w:rFonts w:ascii="Arial" w:hAnsi="Arial"/>
        <w:b/>
        <w:color w:val="FFFFFF"/>
        <w:sz w:val="22"/>
      </w:rPr>
      <w:tcPr>
        <w:tcBorders>
          <w:left w:val="single" w:color="C3D69C" w:sz="32" w:space="0"/>
          <w:right w:val="single" w:color="FFFFFF" w:sz="4" w:space="0"/>
        </w:tcBorders>
      </w:tcPr>
    </w:tblStylePr>
    <w:tblStylePr w:type="lastCol">
      <w:tcPr>
        <w:tcBorders>
          <w:left w:val="single" w:color="FFFFFF" w:sz="4" w:space="0"/>
          <w:right w:val="single" w:color="C3D69C" w:sz="32" w:space="0"/>
        </w:tcBorders>
      </w:tcPr>
    </w:tblStylePr>
    <w:tblStylePr w:type="band1Vert">
      <w:tcPr>
        <w:tcBorders>
          <w:left w:val="single" w:color="FFFFFF" w:sz="4" w:space="0"/>
          <w:right w:val="single" w:color="FFFFFF" w:sz="4" w:space="0"/>
        </w:tcBorders>
        <w:shd w:val="clear" w:color="C3D69C" w:fill="C3D69C"/>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C3D69C" w:fill="C3D69C"/>
      </w:tcPr>
    </w:tblStylePr>
    <w:tblStylePr w:type="band2Horz">
      <w:tcPr>
        <w:tcBorders>
          <w:top w:val="single" w:color="FFFFFF" w:sz="4" w:space="0"/>
          <w:bottom w:val="single" w:color="FFFFFF" w:sz="4" w:space="0"/>
        </w:tcBorders>
        <w:shd w:val="clear" w:color="C3D69C" w:fill="C3D69C"/>
      </w:tcPr>
    </w:tblStylePr>
    <w:tblStylePr w:type="neCell"/>
    <w:tblStylePr w:type="nwCell"/>
    <w:tblStylePr w:type="seCell"/>
    <w:tblStylePr w:type="swCell"/>
  </w:style>
  <w:style w:type="table" w:customStyle="1" w:styleId="129">
    <w:name w:val="List Table 5 Dark - Accent 4"/>
    <w:basedOn w:val="31"/>
    <w:qFormat/>
    <w:uiPriority w:val="99"/>
    <w:pPr>
      <w:spacing w:after="0" w:line="240" w:lineRule="auto"/>
    </w:pPr>
    <w:tblPr>
      <w:tblBorders>
        <w:top w:val="single" w:color="B2A1C6" w:sz="32" w:space="0"/>
        <w:left w:val="single" w:color="B2A1C6" w:sz="32" w:space="0"/>
        <w:bottom w:val="single" w:color="B2A1C6" w:sz="32" w:space="0"/>
        <w:right w:val="single" w:color="B2A1C6" w:sz="32" w:space="0"/>
      </w:tblBorders>
    </w:tblPr>
    <w:tblStylePr w:type="firstRow">
      <w:rPr>
        <w:rFonts w:ascii="Arial" w:hAnsi="Arial"/>
        <w:b/>
        <w:color w:val="FFFFFF"/>
        <w:sz w:val="22"/>
      </w:rPr>
      <w:tcPr>
        <w:tcBorders>
          <w:top w:val="single" w:color="B2A1C6" w:sz="32" w:space="0"/>
          <w:bottom w:val="single" w:color="FFFFFF" w:sz="12" w:space="0"/>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cPr>
        <w:tcBorders>
          <w:left w:val="single" w:color="B2A1C6" w:sz="32" w:space="0"/>
          <w:right w:val="single" w:color="FFFFFF" w:sz="4" w:space="0"/>
        </w:tcBorders>
      </w:tcPr>
    </w:tblStylePr>
    <w:tblStylePr w:type="lastCol">
      <w:tcPr>
        <w:tcBorders>
          <w:left w:val="single" w:color="FFFFFF" w:sz="4" w:space="0"/>
          <w:right w:val="single" w:color="B2A1C6" w:sz="32" w:space="0"/>
        </w:tcBorders>
      </w:tcPr>
    </w:tblStylePr>
    <w:tblStylePr w:type="band1Vert">
      <w:tcPr>
        <w:tcBorders>
          <w:left w:val="single" w:color="FFFFFF" w:sz="4" w:space="0"/>
          <w:right w:val="single" w:color="FFFFFF" w:sz="4" w:space="0"/>
        </w:tcBorders>
        <w:shd w:val="clear" w:color="B2A1C6" w:fill="B2A1C6"/>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B2A1C6" w:fill="B2A1C6"/>
      </w:tcPr>
    </w:tblStylePr>
    <w:tblStylePr w:type="band2Horz">
      <w:tcPr>
        <w:tcBorders>
          <w:top w:val="single" w:color="FFFFFF" w:sz="4" w:space="0"/>
          <w:bottom w:val="single" w:color="FFFFFF" w:sz="4" w:space="0"/>
        </w:tcBorders>
        <w:shd w:val="clear" w:color="B2A1C6" w:fill="B2A1C6"/>
      </w:tcPr>
    </w:tblStylePr>
    <w:tblStylePr w:type="neCell"/>
    <w:tblStylePr w:type="nwCell"/>
    <w:tblStylePr w:type="seCell"/>
    <w:tblStylePr w:type="swCell"/>
  </w:style>
  <w:style w:type="table" w:customStyle="1" w:styleId="130">
    <w:name w:val="List Table 5 Dark - Accent 5"/>
    <w:basedOn w:val="31"/>
    <w:qFormat/>
    <w:uiPriority w:val="99"/>
    <w:pPr>
      <w:spacing w:after="0" w:line="240" w:lineRule="auto"/>
    </w:pPr>
    <w:tblPr>
      <w:tblBorders>
        <w:top w:val="single" w:color="92CCDC" w:sz="32" w:space="0"/>
        <w:left w:val="single" w:color="92CCDC" w:sz="32" w:space="0"/>
        <w:bottom w:val="single" w:color="92CCDC" w:sz="32" w:space="0"/>
        <w:right w:val="single" w:color="92CCDC" w:sz="32" w:space="0"/>
      </w:tblBorders>
    </w:tblPr>
    <w:tblStylePr w:type="firstRow">
      <w:rPr>
        <w:rFonts w:ascii="Arial" w:hAnsi="Arial"/>
        <w:b/>
        <w:color w:val="FFFFFF"/>
        <w:sz w:val="22"/>
      </w:rPr>
      <w:tcPr>
        <w:tcBorders>
          <w:top w:val="single" w:color="92CCDC" w:sz="32" w:space="0"/>
          <w:bottom w:val="single" w:color="FFFFFF" w:sz="12" w:space="0"/>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cPr>
        <w:tcBorders>
          <w:left w:val="single" w:color="92CCDC" w:sz="32" w:space="0"/>
          <w:right w:val="single" w:color="FFFFFF" w:sz="4" w:space="0"/>
        </w:tcBorders>
      </w:tcPr>
    </w:tblStylePr>
    <w:tblStylePr w:type="lastCol">
      <w:tcPr>
        <w:tcBorders>
          <w:left w:val="single" w:color="FFFFFF" w:sz="4" w:space="0"/>
          <w:right w:val="single" w:color="92CCDC" w:sz="32" w:space="0"/>
        </w:tcBorders>
      </w:tcPr>
    </w:tblStylePr>
    <w:tblStylePr w:type="band1Vert">
      <w:tcPr>
        <w:tcBorders>
          <w:left w:val="single" w:color="FFFFFF" w:sz="4" w:space="0"/>
          <w:right w:val="single" w:color="FFFFFF" w:sz="4" w:space="0"/>
        </w:tcBorders>
        <w:shd w:val="clear" w:color="92CCDC" w:fill="92CCDC"/>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92CCDC" w:fill="92CCDC"/>
      </w:tcPr>
    </w:tblStylePr>
    <w:tblStylePr w:type="band2Horz">
      <w:tcPr>
        <w:tcBorders>
          <w:top w:val="single" w:color="FFFFFF" w:sz="4" w:space="0"/>
          <w:bottom w:val="single" w:color="FFFFFF" w:sz="4" w:space="0"/>
        </w:tcBorders>
        <w:shd w:val="clear" w:color="92CCDC" w:fill="92CCDC"/>
      </w:tcPr>
    </w:tblStylePr>
    <w:tblStylePr w:type="neCell"/>
    <w:tblStylePr w:type="nwCell"/>
    <w:tblStylePr w:type="seCell"/>
    <w:tblStylePr w:type="swCell"/>
  </w:style>
  <w:style w:type="table" w:customStyle="1" w:styleId="131">
    <w:name w:val="List Table 5 Dark - Accent 6"/>
    <w:basedOn w:val="31"/>
    <w:qFormat/>
    <w:uiPriority w:val="99"/>
    <w:pPr>
      <w:spacing w:after="0" w:line="240" w:lineRule="auto"/>
    </w:pPr>
    <w:tblPr>
      <w:tblBorders>
        <w:top w:val="single" w:color="FAC090" w:sz="32" w:space="0"/>
        <w:left w:val="single" w:color="FAC090" w:sz="32" w:space="0"/>
        <w:bottom w:val="single" w:color="FAC090" w:sz="32" w:space="0"/>
        <w:right w:val="single" w:color="FAC090" w:sz="32" w:space="0"/>
      </w:tblBorders>
    </w:tblPr>
    <w:tblStylePr w:type="firstRow">
      <w:rPr>
        <w:rFonts w:ascii="Arial" w:hAnsi="Arial"/>
        <w:b/>
        <w:color w:val="FFFFFF"/>
        <w:sz w:val="22"/>
      </w:rPr>
      <w:tcPr>
        <w:tcBorders>
          <w:top w:val="single" w:color="FAC090" w:sz="32" w:space="0"/>
          <w:bottom w:val="single" w:color="FFFFFF" w:sz="12" w:space="0"/>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cPr>
        <w:tcBorders>
          <w:left w:val="single" w:color="FAC090" w:sz="32" w:space="0"/>
          <w:right w:val="single" w:color="FFFFFF" w:sz="4" w:space="0"/>
        </w:tcBorders>
      </w:tcPr>
    </w:tblStylePr>
    <w:tblStylePr w:type="lastCol">
      <w:tcPr>
        <w:tcBorders>
          <w:left w:val="single" w:color="FFFFFF" w:sz="4" w:space="0"/>
          <w:right w:val="single" w:color="FAC090" w:sz="32" w:space="0"/>
        </w:tcBorders>
      </w:tcPr>
    </w:tblStylePr>
    <w:tblStylePr w:type="band1Vert">
      <w:tcPr>
        <w:tcBorders>
          <w:left w:val="single" w:color="FFFFFF" w:sz="4" w:space="0"/>
          <w:right w:val="single" w:color="FFFFFF" w:sz="4" w:space="0"/>
        </w:tcBorders>
        <w:shd w:val="clear" w:color="FAC090" w:fill="FAC090"/>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FAC090" w:fill="FAC090"/>
      </w:tcPr>
    </w:tblStylePr>
    <w:tblStylePr w:type="band2Horz">
      <w:tcPr>
        <w:tcBorders>
          <w:top w:val="single" w:color="FFFFFF" w:sz="4" w:space="0"/>
          <w:bottom w:val="single" w:color="FFFFFF" w:sz="4" w:space="0"/>
        </w:tcBorders>
        <w:shd w:val="clear" w:color="FAC090" w:fill="FAC090"/>
      </w:tcPr>
    </w:tblStylePr>
    <w:tblStylePr w:type="neCell"/>
    <w:tblStylePr w:type="nwCell"/>
    <w:tblStylePr w:type="seCell"/>
    <w:tblStylePr w:type="swCell"/>
  </w:style>
  <w:style w:type="table" w:customStyle="1" w:styleId="132">
    <w:name w:val="List Table 6 Colorful"/>
    <w:basedOn w:val="31"/>
    <w:qFormat/>
    <w:uiPriority w:val="99"/>
    <w:pPr>
      <w:spacing w:after="0" w:line="240" w:lineRule="auto"/>
    </w:pPr>
    <w:tblPr>
      <w:tblBorders>
        <w:top w:val="single" w:color="7E7E7E" w:sz="4" w:space="0"/>
        <w:bottom w:val="single" w:color="7E7E7E" w:sz="4" w:space="0"/>
      </w:tblBorders>
    </w:tblPr>
    <w:tblStylePr w:type="firstRow">
      <w:rPr>
        <w:b/>
        <w:color w:val="000000"/>
      </w:rPr>
      <w:tcPr>
        <w:tcBorders>
          <w:bottom w:val="single" w:color="7E7E7E" w:sz="4" w:space="0"/>
        </w:tcBorders>
      </w:tcPr>
    </w:tblStylePr>
    <w:tblStylePr w:type="lastRow">
      <w:rPr>
        <w:b/>
        <w:color w:val="000000"/>
      </w:rPr>
      <w:tcPr>
        <w:tcBorders>
          <w:top w:val="single" w:color="7E7E7E" w:sz="4" w:space="0"/>
        </w:tcBorders>
      </w:tcPr>
    </w:tblStylePr>
    <w:tblStylePr w:type="firstCol">
      <w:rPr>
        <w:b/>
        <w:color w:val="000000"/>
      </w:rPr>
    </w:tblStylePr>
    <w:tblStylePr w:type="lastCol">
      <w:rPr>
        <w:b/>
        <w:color w:val="000000"/>
      </w:rPr>
    </w:tblStylePr>
    <w:tblStylePr w:type="band1Vert">
      <w:tcPr>
        <w:shd w:val="clear" w:color="BEBEBE" w:fill="BEBEBE"/>
      </w:tcPr>
    </w:tblStylePr>
    <w:tblStylePr w:type="band2Vert"/>
    <w:tblStylePr w:type="band1Horz">
      <w:rPr>
        <w:rFonts w:ascii="Arial" w:hAnsi="Arial"/>
        <w:color w:val="000000"/>
        <w:sz w:val="22"/>
      </w:rPr>
      <w:tcPr>
        <w:shd w:val="clear" w:color="BEBEBE" w:fill="BEBEBE"/>
      </w:tcPr>
    </w:tblStylePr>
    <w:tblStylePr w:type="band2Horz">
      <w:rPr>
        <w:rFonts w:ascii="Arial" w:hAnsi="Arial"/>
        <w:color w:val="000000"/>
        <w:sz w:val="22"/>
      </w:rPr>
    </w:tblStylePr>
    <w:tblStylePr w:type="neCell"/>
    <w:tblStylePr w:type="nwCell"/>
    <w:tblStylePr w:type="seCell"/>
    <w:tblStylePr w:type="swCell"/>
  </w:style>
  <w:style w:type="table" w:customStyle="1" w:styleId="133">
    <w:name w:val="List Table 6 Colorful - Accent 1"/>
    <w:basedOn w:val="31"/>
    <w:qFormat/>
    <w:uiPriority w:val="99"/>
    <w:pPr>
      <w:spacing w:after="0" w:line="240" w:lineRule="auto"/>
    </w:pPr>
    <w:tblPr>
      <w:tblBorders>
        <w:top w:val="single" w:color="4F81BD" w:sz="4" w:space="0"/>
        <w:bottom w:val="single" w:color="4F81BD" w:sz="4" w:space="0"/>
      </w:tblBorders>
    </w:tblPr>
    <w:tblStylePr w:type="firstRow">
      <w:rPr>
        <w:b/>
        <w:color w:val="2A4B71"/>
      </w:rPr>
      <w:tcPr>
        <w:tcBorders>
          <w:bottom w:val="single" w:color="4F81BD" w:sz="4" w:space="0"/>
        </w:tcBorders>
      </w:tcPr>
    </w:tblStylePr>
    <w:tblStylePr w:type="lastRow">
      <w:rPr>
        <w:b/>
        <w:color w:val="2A4B71"/>
      </w:rPr>
      <w:tcPr>
        <w:tcBorders>
          <w:top w:val="single" w:color="4F81BD" w:sz="4" w:space="0"/>
        </w:tcBorders>
      </w:tcPr>
    </w:tblStylePr>
    <w:tblStylePr w:type="firstCol">
      <w:rPr>
        <w:b/>
        <w:color w:val="2A4B71"/>
      </w:rPr>
    </w:tblStylePr>
    <w:tblStylePr w:type="lastCol">
      <w:rPr>
        <w:b/>
        <w:color w:val="2A4B71"/>
      </w:rPr>
    </w:tblStylePr>
    <w:tblStylePr w:type="band1Vert">
      <w:tcPr>
        <w:shd w:val="clear" w:color="D2DFEE" w:fill="D2DFEE"/>
      </w:tcPr>
    </w:tblStylePr>
    <w:tblStylePr w:type="band2Vert"/>
    <w:tblStylePr w:type="band1Horz">
      <w:rPr>
        <w:rFonts w:ascii="Arial" w:hAnsi="Arial"/>
        <w:color w:val="2A4B71"/>
        <w:sz w:val="22"/>
      </w:rPr>
      <w:tcPr>
        <w:shd w:val="clear" w:color="D2DFEE" w:fill="D2DFEE"/>
      </w:tcPr>
    </w:tblStylePr>
    <w:tblStylePr w:type="band2Horz">
      <w:rPr>
        <w:rFonts w:ascii="Arial" w:hAnsi="Arial"/>
        <w:color w:val="2A4B71"/>
        <w:sz w:val="22"/>
      </w:rPr>
    </w:tblStylePr>
    <w:tblStylePr w:type="neCell"/>
    <w:tblStylePr w:type="nwCell"/>
    <w:tblStylePr w:type="seCell"/>
    <w:tblStylePr w:type="swCell"/>
  </w:style>
  <w:style w:type="table" w:customStyle="1" w:styleId="134">
    <w:name w:val="List Table 6 Colorful - Accent 2"/>
    <w:basedOn w:val="31"/>
    <w:qFormat/>
    <w:uiPriority w:val="99"/>
    <w:pPr>
      <w:spacing w:after="0" w:line="240" w:lineRule="auto"/>
    </w:pPr>
    <w:tblPr>
      <w:tblBorders>
        <w:top w:val="single" w:color="D99795" w:sz="4" w:space="0"/>
        <w:bottom w:val="single" w:color="D99795" w:sz="4" w:space="0"/>
      </w:tblBorders>
    </w:tblPr>
    <w:tblStylePr w:type="firstRow">
      <w:rPr>
        <w:b/>
        <w:color w:val="D99795"/>
      </w:rPr>
      <w:tcPr>
        <w:tcBorders>
          <w:bottom w:val="single" w:color="D99795" w:sz="4" w:space="0"/>
        </w:tcBorders>
      </w:tcPr>
    </w:tblStylePr>
    <w:tblStylePr w:type="lastRow">
      <w:rPr>
        <w:b/>
        <w:color w:val="D99795"/>
      </w:rPr>
      <w:tcPr>
        <w:tcBorders>
          <w:top w:val="single" w:color="D99795" w:sz="4" w:space="0"/>
        </w:tcBorders>
      </w:tcPr>
    </w:tblStylePr>
    <w:tblStylePr w:type="firstCol">
      <w:rPr>
        <w:b/>
        <w:color w:val="D99795"/>
      </w:rPr>
    </w:tblStylePr>
    <w:tblStylePr w:type="lastCol">
      <w:rPr>
        <w:b/>
        <w:color w:val="D99795"/>
      </w:rPr>
    </w:tblStylePr>
    <w:tblStylePr w:type="band1Vert">
      <w:tcPr>
        <w:shd w:val="clear" w:color="EFD3D2" w:fill="EFD3D2"/>
      </w:tcPr>
    </w:tblStylePr>
    <w:tblStylePr w:type="band2Vert"/>
    <w:tblStylePr w:type="band1Horz">
      <w:rPr>
        <w:rFonts w:ascii="Arial" w:hAnsi="Arial"/>
        <w:color w:val="D99795"/>
        <w:sz w:val="22"/>
      </w:rPr>
      <w:tcPr>
        <w:shd w:val="clear" w:color="EFD3D2" w:fill="EFD3D2"/>
      </w:tcPr>
    </w:tblStylePr>
    <w:tblStylePr w:type="band2Horz">
      <w:rPr>
        <w:rFonts w:ascii="Arial" w:hAnsi="Arial"/>
        <w:color w:val="D99795"/>
        <w:sz w:val="22"/>
      </w:rPr>
    </w:tblStylePr>
    <w:tblStylePr w:type="neCell"/>
    <w:tblStylePr w:type="nwCell"/>
    <w:tblStylePr w:type="seCell"/>
    <w:tblStylePr w:type="swCell"/>
  </w:style>
  <w:style w:type="table" w:customStyle="1" w:styleId="135">
    <w:name w:val="List Table 6 Colorful - Accent 3"/>
    <w:basedOn w:val="31"/>
    <w:qFormat/>
    <w:uiPriority w:val="99"/>
    <w:pPr>
      <w:spacing w:after="0" w:line="240" w:lineRule="auto"/>
    </w:pPr>
    <w:tblPr>
      <w:tblBorders>
        <w:top w:val="single" w:color="C3D69C" w:sz="4" w:space="0"/>
        <w:bottom w:val="single" w:color="C3D69C" w:sz="4" w:space="0"/>
      </w:tblBorders>
    </w:tblPr>
    <w:tblStylePr w:type="firstRow">
      <w:rPr>
        <w:b/>
        <w:color w:val="C3D69C"/>
      </w:rPr>
      <w:tcPr>
        <w:tcBorders>
          <w:bottom w:val="single" w:color="C3D69C" w:sz="4" w:space="0"/>
        </w:tcBorders>
      </w:tcPr>
    </w:tblStylePr>
    <w:tblStylePr w:type="lastRow">
      <w:rPr>
        <w:b/>
        <w:color w:val="C3D69C"/>
      </w:rPr>
      <w:tcPr>
        <w:tcBorders>
          <w:top w:val="single" w:color="C3D69C" w:sz="4" w:space="0"/>
        </w:tcBorders>
      </w:tcPr>
    </w:tblStylePr>
    <w:tblStylePr w:type="firstCol">
      <w:rPr>
        <w:b/>
        <w:color w:val="C3D69C"/>
      </w:rPr>
    </w:tblStylePr>
    <w:tblStylePr w:type="lastCol">
      <w:rPr>
        <w:b/>
        <w:color w:val="C3D69C"/>
      </w:rPr>
    </w:tblStylePr>
    <w:tblStylePr w:type="band1Vert">
      <w:tcPr>
        <w:shd w:val="clear" w:color="E5EDD5" w:fill="E5EDD5"/>
      </w:tcPr>
    </w:tblStylePr>
    <w:tblStylePr w:type="band2Vert"/>
    <w:tblStylePr w:type="band1Horz">
      <w:rPr>
        <w:rFonts w:ascii="Arial" w:hAnsi="Arial"/>
        <w:color w:val="C3D69C"/>
        <w:sz w:val="22"/>
      </w:rPr>
      <w:tcPr>
        <w:shd w:val="clear" w:color="E5EDD5" w:fill="E5EDD5"/>
      </w:tcPr>
    </w:tblStylePr>
    <w:tblStylePr w:type="band2Horz">
      <w:rPr>
        <w:rFonts w:ascii="Arial" w:hAnsi="Arial"/>
        <w:color w:val="C3D69C"/>
        <w:sz w:val="22"/>
      </w:rPr>
    </w:tblStylePr>
    <w:tblStylePr w:type="neCell"/>
    <w:tblStylePr w:type="nwCell"/>
    <w:tblStylePr w:type="seCell"/>
    <w:tblStylePr w:type="swCell"/>
  </w:style>
  <w:style w:type="table" w:customStyle="1" w:styleId="136">
    <w:name w:val="List Table 6 Colorful - Accent 4"/>
    <w:basedOn w:val="31"/>
    <w:qFormat/>
    <w:uiPriority w:val="99"/>
    <w:pPr>
      <w:spacing w:after="0" w:line="240" w:lineRule="auto"/>
    </w:pPr>
    <w:tblPr>
      <w:tblBorders>
        <w:top w:val="single" w:color="B2A1C6" w:sz="4" w:space="0"/>
        <w:bottom w:val="single" w:color="B2A1C6" w:sz="4" w:space="0"/>
      </w:tblBorders>
    </w:tblPr>
    <w:tblStylePr w:type="firstRow">
      <w:rPr>
        <w:b/>
        <w:color w:val="B2A1C6"/>
      </w:rPr>
      <w:tcPr>
        <w:tcBorders>
          <w:bottom w:val="single" w:color="B2A1C6" w:sz="4" w:space="0"/>
        </w:tcBorders>
      </w:tcPr>
    </w:tblStylePr>
    <w:tblStylePr w:type="lastRow">
      <w:rPr>
        <w:b/>
        <w:color w:val="B2A1C6"/>
      </w:rPr>
      <w:tcPr>
        <w:tcBorders>
          <w:top w:val="single" w:color="B2A1C6" w:sz="4" w:space="0"/>
        </w:tcBorders>
      </w:tcPr>
    </w:tblStylePr>
    <w:tblStylePr w:type="firstCol">
      <w:rPr>
        <w:b/>
        <w:color w:val="B2A1C6"/>
      </w:rPr>
    </w:tblStylePr>
    <w:tblStylePr w:type="lastCol">
      <w:rPr>
        <w:b/>
        <w:color w:val="B2A1C6"/>
      </w:rPr>
    </w:tblStylePr>
    <w:tblStylePr w:type="band1Vert">
      <w:tcPr>
        <w:shd w:val="clear" w:color="DFD8E7" w:fill="DFD8E7"/>
      </w:tcPr>
    </w:tblStylePr>
    <w:tblStylePr w:type="band2Vert"/>
    <w:tblStylePr w:type="band1Horz">
      <w:rPr>
        <w:rFonts w:ascii="Arial" w:hAnsi="Arial"/>
        <w:color w:val="B2A1C6"/>
        <w:sz w:val="22"/>
      </w:rPr>
      <w:tcPr>
        <w:shd w:val="clear" w:color="DFD8E7" w:fill="DFD8E7"/>
      </w:tcPr>
    </w:tblStylePr>
    <w:tblStylePr w:type="band2Horz">
      <w:rPr>
        <w:rFonts w:ascii="Arial" w:hAnsi="Arial"/>
        <w:color w:val="B2A1C6"/>
        <w:sz w:val="22"/>
      </w:rPr>
    </w:tblStylePr>
    <w:tblStylePr w:type="neCell"/>
    <w:tblStylePr w:type="nwCell"/>
    <w:tblStylePr w:type="seCell"/>
    <w:tblStylePr w:type="swCell"/>
  </w:style>
  <w:style w:type="table" w:customStyle="1" w:styleId="137">
    <w:name w:val="List Table 6 Colorful - Accent 5"/>
    <w:basedOn w:val="31"/>
    <w:qFormat/>
    <w:uiPriority w:val="99"/>
    <w:pPr>
      <w:spacing w:after="0" w:line="240" w:lineRule="auto"/>
    </w:pPr>
    <w:tblPr>
      <w:tblBorders>
        <w:top w:val="single" w:color="92CCDC" w:sz="4" w:space="0"/>
        <w:bottom w:val="single" w:color="92CCDC" w:sz="4" w:space="0"/>
      </w:tblBorders>
    </w:tblPr>
    <w:tblStylePr w:type="firstRow">
      <w:rPr>
        <w:b/>
        <w:color w:val="92CCDC"/>
      </w:rPr>
      <w:tcPr>
        <w:tcBorders>
          <w:bottom w:val="single" w:color="92CCDC" w:sz="4" w:space="0"/>
        </w:tcBorders>
      </w:tcPr>
    </w:tblStylePr>
    <w:tblStylePr w:type="lastRow">
      <w:rPr>
        <w:b/>
        <w:color w:val="92CCDC"/>
      </w:rPr>
      <w:tcPr>
        <w:tcBorders>
          <w:top w:val="single" w:color="92CCDC" w:sz="4" w:space="0"/>
        </w:tcBorders>
      </w:tcPr>
    </w:tblStylePr>
    <w:tblStylePr w:type="firstCol">
      <w:rPr>
        <w:b/>
        <w:color w:val="92CCDC"/>
      </w:rPr>
    </w:tblStylePr>
    <w:tblStylePr w:type="lastCol">
      <w:rPr>
        <w:b/>
        <w:color w:val="92CCDC"/>
      </w:rPr>
    </w:tblStylePr>
    <w:tblStylePr w:type="band1Vert">
      <w:tcPr>
        <w:shd w:val="clear" w:color="D1EAF0" w:fill="D1EAF0"/>
      </w:tcPr>
    </w:tblStylePr>
    <w:tblStylePr w:type="band2Vert"/>
    <w:tblStylePr w:type="band1Horz">
      <w:rPr>
        <w:rFonts w:ascii="Arial" w:hAnsi="Arial"/>
        <w:color w:val="92CCDC"/>
        <w:sz w:val="22"/>
      </w:rPr>
      <w:tcPr>
        <w:shd w:val="clear" w:color="D1EAF0" w:fill="D1EAF0"/>
      </w:tcPr>
    </w:tblStylePr>
    <w:tblStylePr w:type="band2Horz">
      <w:rPr>
        <w:rFonts w:ascii="Arial" w:hAnsi="Arial"/>
        <w:color w:val="92CCDC"/>
        <w:sz w:val="22"/>
      </w:rPr>
    </w:tblStylePr>
    <w:tblStylePr w:type="neCell"/>
    <w:tblStylePr w:type="nwCell"/>
    <w:tblStylePr w:type="seCell"/>
    <w:tblStylePr w:type="swCell"/>
  </w:style>
  <w:style w:type="table" w:customStyle="1" w:styleId="138">
    <w:name w:val="List Table 6 Colorful - Accent 6"/>
    <w:basedOn w:val="31"/>
    <w:qFormat/>
    <w:uiPriority w:val="99"/>
    <w:pPr>
      <w:spacing w:after="0" w:line="240" w:lineRule="auto"/>
    </w:pPr>
    <w:tblPr>
      <w:tblBorders>
        <w:top w:val="single" w:color="FAC090" w:sz="4" w:space="0"/>
        <w:bottom w:val="single" w:color="FAC090" w:sz="4" w:space="0"/>
      </w:tblBorders>
    </w:tblPr>
    <w:tblStylePr w:type="firstRow">
      <w:rPr>
        <w:b/>
        <w:color w:val="FAC090"/>
      </w:rPr>
      <w:tcPr>
        <w:tcBorders>
          <w:bottom w:val="single" w:color="FAC090" w:sz="4" w:space="0"/>
        </w:tcBorders>
      </w:tcPr>
    </w:tblStylePr>
    <w:tblStylePr w:type="lastRow">
      <w:rPr>
        <w:b/>
        <w:color w:val="FAC090"/>
      </w:rPr>
      <w:tcPr>
        <w:tcBorders>
          <w:top w:val="single" w:color="FAC090" w:sz="4" w:space="0"/>
        </w:tcBorders>
      </w:tcPr>
    </w:tblStylePr>
    <w:tblStylePr w:type="firstCol">
      <w:rPr>
        <w:b/>
        <w:color w:val="FAC090"/>
      </w:rPr>
    </w:tblStylePr>
    <w:tblStylePr w:type="lastCol">
      <w:rPr>
        <w:b/>
        <w:color w:val="FAC090"/>
      </w:rPr>
    </w:tblStylePr>
    <w:tblStylePr w:type="band1Vert">
      <w:tcPr>
        <w:shd w:val="clear" w:color="FCE4D0" w:fill="FCE4D0"/>
      </w:tcPr>
    </w:tblStylePr>
    <w:tblStylePr w:type="band2Vert"/>
    <w:tblStylePr w:type="band1Horz">
      <w:rPr>
        <w:rFonts w:ascii="Arial" w:hAnsi="Arial"/>
        <w:color w:val="FAC090"/>
        <w:sz w:val="22"/>
      </w:rPr>
      <w:tcPr>
        <w:shd w:val="clear" w:color="FCE4D0" w:fill="FCE4D0"/>
      </w:tcPr>
    </w:tblStylePr>
    <w:tblStylePr w:type="band2Horz">
      <w:rPr>
        <w:rFonts w:ascii="Arial" w:hAnsi="Arial"/>
        <w:color w:val="FAC090"/>
        <w:sz w:val="22"/>
      </w:rPr>
    </w:tblStylePr>
    <w:tblStylePr w:type="neCell"/>
    <w:tblStylePr w:type="nwCell"/>
    <w:tblStylePr w:type="seCell"/>
    <w:tblStylePr w:type="swCell"/>
  </w:style>
  <w:style w:type="table" w:customStyle="1" w:styleId="139">
    <w:name w:val="List Table 7 Colorful"/>
    <w:basedOn w:val="31"/>
    <w:qFormat/>
    <w:uiPriority w:val="99"/>
    <w:pPr>
      <w:spacing w:after="0" w:line="240" w:lineRule="auto"/>
    </w:pPr>
    <w:tblPr>
      <w:tblBorders>
        <w:right w:val="single" w:color="7E7E7E" w:sz="4" w:space="0"/>
      </w:tblBorders>
    </w:tblPr>
    <w:tblStylePr w:type="firstRow">
      <w:rPr>
        <w:rFonts w:ascii="Arial" w:hAnsi="Arial"/>
        <w:i/>
        <w:color w:val="7E7E7E"/>
        <w:sz w:val="22"/>
      </w:rPr>
      <w:tcPr>
        <w:tcBorders>
          <w:top w:val="nil"/>
          <w:left w:val="nil"/>
          <w:bottom w:val="single" w:color="7E7E7E" w:sz="4" w:space="0"/>
          <w:right w:val="nil"/>
        </w:tcBorders>
        <w:shd w:val="clear" w:color="FFFFFF" w:fill="FFFFFF"/>
      </w:tcPr>
    </w:tblStylePr>
    <w:tblStylePr w:type="lastRow">
      <w:rPr>
        <w:rFonts w:ascii="Arial" w:hAnsi="Arial"/>
        <w:i/>
        <w:color w:val="7E7E7E"/>
        <w:sz w:val="22"/>
      </w:rPr>
      <w:tcPr>
        <w:tcBorders>
          <w:top w:val="single" w:color="7E7E7E" w:sz="4" w:space="0"/>
          <w:left w:val="nil"/>
          <w:bottom w:val="nil"/>
          <w:right w:val="nil"/>
        </w:tcBorders>
        <w:shd w:val="clear" w:color="FFFFFF" w:fill="FFFFFF"/>
      </w:tcPr>
    </w:tblStylePr>
    <w:tblStylePr w:type="firstCol">
      <w:pPr>
        <w:jc w:val="right"/>
      </w:pPr>
      <w:rPr>
        <w:rFonts w:ascii="Arial" w:hAnsi="Arial"/>
        <w:i/>
        <w:color w:val="7E7E7E"/>
        <w:sz w:val="22"/>
      </w:rPr>
      <w:tcPr>
        <w:tcBorders>
          <w:top w:val="nil"/>
          <w:left w:val="nil"/>
          <w:bottom w:val="nil"/>
          <w:right w:val="single" w:color="7E7E7E" w:sz="4" w:space="0"/>
        </w:tcBorders>
        <w:shd w:val="clear" w:color="FFFFFF" w:fill="auto"/>
      </w:tcPr>
    </w:tblStylePr>
    <w:tblStylePr w:type="lastCol">
      <w:rPr>
        <w:rFonts w:ascii="Arial" w:hAnsi="Arial"/>
        <w:i/>
        <w:color w:val="7E7E7E"/>
        <w:sz w:val="22"/>
      </w:rPr>
      <w:tcPr>
        <w:tcBorders>
          <w:top w:val="nil"/>
          <w:left w:val="single" w:color="7E7E7E" w:sz="4" w:space="0"/>
          <w:bottom w:val="nil"/>
          <w:right w:val="nil"/>
        </w:tcBorders>
        <w:shd w:val="clear" w:color="FFFFFF" w:fill="auto"/>
      </w:tcPr>
    </w:tblStylePr>
    <w:tblStylePr w:type="band1Vert">
      <w:tcPr>
        <w:shd w:val="clear" w:color="BEBEBE" w:fill="BEBEBE"/>
      </w:tcPr>
    </w:tblStylePr>
    <w:tblStylePr w:type="band2Vert"/>
    <w:tblStylePr w:type="band1Horz">
      <w:rPr>
        <w:rFonts w:ascii="Arial" w:hAnsi="Arial"/>
        <w:color w:val="7E7E7E"/>
        <w:sz w:val="22"/>
      </w:rPr>
      <w:tcPr>
        <w:shd w:val="clear" w:color="BEBEBE" w:fill="BEBEBE"/>
      </w:tcPr>
    </w:tblStylePr>
    <w:tblStylePr w:type="band2Horz">
      <w:rPr>
        <w:rFonts w:ascii="Arial" w:hAnsi="Arial"/>
        <w:color w:val="7E7E7E"/>
        <w:sz w:val="22"/>
      </w:rPr>
    </w:tblStylePr>
    <w:tblStylePr w:type="neCell"/>
    <w:tblStylePr w:type="nwCell"/>
    <w:tblStylePr w:type="seCell"/>
    <w:tblStylePr w:type="swCell"/>
  </w:style>
  <w:style w:type="table" w:customStyle="1" w:styleId="140">
    <w:name w:val="List Table 7 Colorful - Accent 1"/>
    <w:basedOn w:val="31"/>
    <w:qFormat/>
    <w:uiPriority w:val="99"/>
    <w:pPr>
      <w:spacing w:after="0" w:line="240" w:lineRule="auto"/>
    </w:pPr>
    <w:tblPr>
      <w:tblBorders>
        <w:right w:val="single" w:color="4F81BD" w:sz="4" w:space="0"/>
      </w:tblBorders>
    </w:tblPr>
    <w:tblStylePr w:type="firstRow">
      <w:rPr>
        <w:rFonts w:ascii="Arial" w:hAnsi="Arial"/>
        <w:i/>
        <w:color w:val="2A4B71"/>
        <w:sz w:val="22"/>
      </w:rPr>
      <w:tcPr>
        <w:tcBorders>
          <w:top w:val="nil"/>
          <w:left w:val="nil"/>
          <w:bottom w:val="single" w:color="4F81BD" w:sz="4" w:space="0"/>
          <w:right w:val="nil"/>
        </w:tcBorders>
        <w:shd w:val="clear" w:color="FFFFFF" w:fill="FFFFFF"/>
      </w:tcPr>
    </w:tblStylePr>
    <w:tblStylePr w:type="lastRow">
      <w:rPr>
        <w:rFonts w:ascii="Arial" w:hAnsi="Arial"/>
        <w:i/>
        <w:color w:val="2A4B71"/>
        <w:sz w:val="22"/>
      </w:rPr>
      <w:tcPr>
        <w:tcBorders>
          <w:top w:val="single" w:color="4F81BD" w:sz="4" w:space="0"/>
          <w:left w:val="nil"/>
          <w:bottom w:val="nil"/>
          <w:right w:val="nil"/>
        </w:tcBorders>
        <w:shd w:val="clear" w:color="FFFFFF" w:fill="FFFFFF"/>
      </w:tcPr>
    </w:tblStylePr>
    <w:tblStylePr w:type="firstCol">
      <w:pPr>
        <w:jc w:val="right"/>
      </w:pPr>
      <w:rPr>
        <w:rFonts w:ascii="Arial" w:hAnsi="Arial"/>
        <w:i/>
        <w:color w:val="2A4B71"/>
        <w:sz w:val="22"/>
      </w:rPr>
      <w:tcPr>
        <w:tcBorders>
          <w:top w:val="nil"/>
          <w:left w:val="nil"/>
          <w:bottom w:val="nil"/>
          <w:right w:val="single" w:color="4F81BD" w:sz="4" w:space="0"/>
        </w:tcBorders>
        <w:shd w:val="clear" w:color="FFFFFF" w:fill="auto"/>
      </w:tcPr>
    </w:tblStylePr>
    <w:tblStylePr w:type="lastCol">
      <w:rPr>
        <w:rFonts w:ascii="Arial" w:hAnsi="Arial"/>
        <w:i/>
        <w:color w:val="2A4B71"/>
        <w:sz w:val="22"/>
      </w:rPr>
      <w:tcPr>
        <w:tcBorders>
          <w:top w:val="nil"/>
          <w:left w:val="single" w:color="4F81BD" w:sz="4" w:space="0"/>
          <w:bottom w:val="nil"/>
          <w:right w:val="nil"/>
        </w:tcBorders>
        <w:shd w:val="clear" w:color="FFFFFF" w:fill="auto"/>
      </w:tcPr>
    </w:tblStylePr>
    <w:tblStylePr w:type="band1Vert">
      <w:tcPr>
        <w:shd w:val="clear" w:color="D2DFEE" w:fill="D2DFEE"/>
      </w:tcPr>
    </w:tblStylePr>
    <w:tblStylePr w:type="band2Vert"/>
    <w:tblStylePr w:type="band1Horz">
      <w:rPr>
        <w:rFonts w:ascii="Arial" w:hAnsi="Arial"/>
        <w:color w:val="2A4B71"/>
        <w:sz w:val="22"/>
      </w:rPr>
      <w:tcPr>
        <w:shd w:val="clear" w:color="D2DFEE" w:fill="D2DFEE"/>
      </w:tcPr>
    </w:tblStylePr>
    <w:tblStylePr w:type="band2Horz">
      <w:rPr>
        <w:rFonts w:ascii="Arial" w:hAnsi="Arial"/>
        <w:color w:val="2A4B71"/>
        <w:sz w:val="22"/>
      </w:rPr>
    </w:tblStylePr>
    <w:tblStylePr w:type="neCell"/>
    <w:tblStylePr w:type="nwCell"/>
    <w:tblStylePr w:type="seCell"/>
    <w:tblStylePr w:type="swCell"/>
  </w:style>
  <w:style w:type="table" w:customStyle="1" w:styleId="141">
    <w:name w:val="List Table 7 Colorful - Accent 2"/>
    <w:basedOn w:val="31"/>
    <w:qFormat/>
    <w:uiPriority w:val="99"/>
    <w:pPr>
      <w:spacing w:after="0" w:line="240" w:lineRule="auto"/>
    </w:pPr>
    <w:tblPr>
      <w:tblBorders>
        <w:right w:val="single" w:color="D99795" w:sz="4" w:space="0"/>
      </w:tblBorders>
    </w:tblPr>
    <w:tblStylePr w:type="firstRow">
      <w:rPr>
        <w:rFonts w:ascii="Arial" w:hAnsi="Arial"/>
        <w:i/>
        <w:color w:val="D99795"/>
        <w:sz w:val="22"/>
      </w:rPr>
      <w:tcPr>
        <w:tcBorders>
          <w:top w:val="nil"/>
          <w:left w:val="nil"/>
          <w:bottom w:val="single" w:color="D99795" w:sz="4" w:space="0"/>
          <w:right w:val="nil"/>
        </w:tcBorders>
        <w:shd w:val="clear" w:color="FFFFFF" w:fill="FFFFFF"/>
      </w:tcPr>
    </w:tblStylePr>
    <w:tblStylePr w:type="lastRow">
      <w:rPr>
        <w:rFonts w:ascii="Arial" w:hAnsi="Arial"/>
        <w:i/>
        <w:color w:val="D99795"/>
        <w:sz w:val="22"/>
      </w:rPr>
      <w:tcPr>
        <w:tcBorders>
          <w:top w:val="single" w:color="D99795" w:sz="4" w:space="0"/>
          <w:left w:val="nil"/>
          <w:bottom w:val="nil"/>
          <w:right w:val="nil"/>
        </w:tcBorders>
        <w:shd w:val="clear" w:color="FFFFFF" w:fill="FFFFFF"/>
      </w:tcPr>
    </w:tblStylePr>
    <w:tblStylePr w:type="firstCol">
      <w:pPr>
        <w:jc w:val="right"/>
      </w:pPr>
      <w:rPr>
        <w:rFonts w:ascii="Arial" w:hAnsi="Arial"/>
        <w:i/>
        <w:color w:val="D99795"/>
        <w:sz w:val="22"/>
      </w:rPr>
      <w:tcPr>
        <w:tcBorders>
          <w:top w:val="nil"/>
          <w:left w:val="nil"/>
          <w:bottom w:val="nil"/>
          <w:right w:val="single" w:color="D99795" w:sz="4" w:space="0"/>
        </w:tcBorders>
        <w:shd w:val="clear" w:color="FFFFFF" w:fill="auto"/>
      </w:tcPr>
    </w:tblStylePr>
    <w:tblStylePr w:type="lastCol">
      <w:rPr>
        <w:rFonts w:ascii="Arial" w:hAnsi="Arial"/>
        <w:i/>
        <w:color w:val="D99795"/>
        <w:sz w:val="22"/>
      </w:rPr>
      <w:tcPr>
        <w:tcBorders>
          <w:top w:val="nil"/>
          <w:left w:val="single" w:color="D99795" w:sz="4" w:space="0"/>
          <w:bottom w:val="nil"/>
          <w:right w:val="nil"/>
        </w:tcBorders>
        <w:shd w:val="clear" w:color="FFFFFF" w:fill="auto"/>
      </w:tcPr>
    </w:tblStylePr>
    <w:tblStylePr w:type="band1Vert">
      <w:tcPr>
        <w:shd w:val="clear" w:color="EFD3D2" w:fill="EFD3D2"/>
      </w:tcPr>
    </w:tblStylePr>
    <w:tblStylePr w:type="band2Vert"/>
    <w:tblStylePr w:type="band1Horz">
      <w:rPr>
        <w:rFonts w:ascii="Arial" w:hAnsi="Arial"/>
        <w:color w:val="D99795"/>
        <w:sz w:val="22"/>
      </w:rPr>
      <w:tcPr>
        <w:shd w:val="clear" w:color="EFD3D2" w:fill="EFD3D2"/>
      </w:tcPr>
    </w:tblStylePr>
    <w:tblStylePr w:type="band2Horz">
      <w:rPr>
        <w:rFonts w:ascii="Arial" w:hAnsi="Arial"/>
        <w:color w:val="D99795"/>
        <w:sz w:val="22"/>
      </w:rPr>
    </w:tblStylePr>
    <w:tblStylePr w:type="neCell"/>
    <w:tblStylePr w:type="nwCell"/>
    <w:tblStylePr w:type="seCell"/>
    <w:tblStylePr w:type="swCell"/>
  </w:style>
  <w:style w:type="table" w:customStyle="1" w:styleId="142">
    <w:name w:val="List Table 7 Colorful - Accent 3"/>
    <w:basedOn w:val="31"/>
    <w:qFormat/>
    <w:uiPriority w:val="99"/>
    <w:pPr>
      <w:spacing w:after="0" w:line="240" w:lineRule="auto"/>
    </w:pPr>
    <w:tblPr>
      <w:tblBorders>
        <w:right w:val="single" w:color="C3D69C" w:sz="4" w:space="0"/>
      </w:tblBorders>
    </w:tblPr>
    <w:tblStylePr w:type="firstRow">
      <w:rPr>
        <w:rFonts w:ascii="Arial" w:hAnsi="Arial"/>
        <w:i/>
        <w:color w:val="C3D69C"/>
        <w:sz w:val="22"/>
      </w:rPr>
      <w:tcPr>
        <w:tcBorders>
          <w:top w:val="nil"/>
          <w:left w:val="nil"/>
          <w:bottom w:val="single" w:color="C3D69C" w:sz="4" w:space="0"/>
          <w:right w:val="nil"/>
        </w:tcBorders>
        <w:shd w:val="clear" w:color="FFFFFF" w:fill="FFFFFF"/>
      </w:tcPr>
    </w:tblStylePr>
    <w:tblStylePr w:type="lastRow">
      <w:rPr>
        <w:rFonts w:ascii="Arial" w:hAnsi="Arial"/>
        <w:i/>
        <w:color w:val="C3D69C"/>
        <w:sz w:val="22"/>
      </w:rPr>
      <w:tcPr>
        <w:tcBorders>
          <w:top w:val="single" w:color="C3D69C" w:sz="4" w:space="0"/>
          <w:left w:val="nil"/>
          <w:bottom w:val="nil"/>
          <w:right w:val="nil"/>
        </w:tcBorders>
        <w:shd w:val="clear" w:color="FFFFFF" w:fill="FFFFFF"/>
      </w:tcPr>
    </w:tblStylePr>
    <w:tblStylePr w:type="firstCol">
      <w:pPr>
        <w:jc w:val="right"/>
      </w:pPr>
      <w:rPr>
        <w:rFonts w:ascii="Arial" w:hAnsi="Arial"/>
        <w:i/>
        <w:color w:val="C3D69C"/>
        <w:sz w:val="22"/>
      </w:rPr>
      <w:tcPr>
        <w:tcBorders>
          <w:top w:val="nil"/>
          <w:left w:val="nil"/>
          <w:bottom w:val="nil"/>
          <w:right w:val="single" w:color="C3D69C" w:sz="4" w:space="0"/>
        </w:tcBorders>
        <w:shd w:val="clear" w:color="FFFFFF" w:fill="auto"/>
      </w:tcPr>
    </w:tblStylePr>
    <w:tblStylePr w:type="lastCol">
      <w:rPr>
        <w:rFonts w:ascii="Arial" w:hAnsi="Arial"/>
        <w:i/>
        <w:color w:val="C3D69C"/>
        <w:sz w:val="22"/>
      </w:rPr>
      <w:tcPr>
        <w:tcBorders>
          <w:top w:val="nil"/>
          <w:left w:val="single" w:color="C3D69C" w:sz="4" w:space="0"/>
          <w:bottom w:val="nil"/>
          <w:right w:val="nil"/>
        </w:tcBorders>
        <w:shd w:val="clear" w:color="FFFFFF" w:fill="auto"/>
      </w:tcPr>
    </w:tblStylePr>
    <w:tblStylePr w:type="band1Vert">
      <w:tcPr>
        <w:shd w:val="clear" w:color="E5EDD5" w:fill="E5EDD5"/>
      </w:tcPr>
    </w:tblStylePr>
    <w:tblStylePr w:type="band2Vert"/>
    <w:tblStylePr w:type="band1Horz">
      <w:rPr>
        <w:rFonts w:ascii="Arial" w:hAnsi="Arial"/>
        <w:color w:val="C3D69C"/>
        <w:sz w:val="22"/>
      </w:rPr>
      <w:tcPr>
        <w:shd w:val="clear" w:color="E5EDD5" w:fill="E5EDD5"/>
      </w:tcPr>
    </w:tblStylePr>
    <w:tblStylePr w:type="band2Horz">
      <w:rPr>
        <w:rFonts w:ascii="Arial" w:hAnsi="Arial"/>
        <w:color w:val="C3D69C"/>
        <w:sz w:val="22"/>
      </w:rPr>
    </w:tblStylePr>
    <w:tblStylePr w:type="neCell"/>
    <w:tblStylePr w:type="nwCell"/>
    <w:tblStylePr w:type="seCell"/>
    <w:tblStylePr w:type="swCell"/>
  </w:style>
  <w:style w:type="table" w:customStyle="1" w:styleId="143">
    <w:name w:val="List Table 7 Colorful - Accent 4"/>
    <w:basedOn w:val="31"/>
    <w:qFormat/>
    <w:uiPriority w:val="99"/>
    <w:pPr>
      <w:spacing w:after="0" w:line="240" w:lineRule="auto"/>
    </w:pPr>
    <w:tblPr>
      <w:tblBorders>
        <w:right w:val="single" w:color="B2A1C6" w:sz="4" w:space="0"/>
      </w:tblBorders>
    </w:tblPr>
    <w:tblStylePr w:type="firstRow">
      <w:rPr>
        <w:rFonts w:ascii="Arial" w:hAnsi="Arial"/>
        <w:i/>
        <w:color w:val="B2A1C6"/>
        <w:sz w:val="22"/>
      </w:rPr>
      <w:tcPr>
        <w:tcBorders>
          <w:top w:val="nil"/>
          <w:left w:val="nil"/>
          <w:bottom w:val="single" w:color="B2A1C6" w:sz="4" w:space="0"/>
          <w:right w:val="nil"/>
        </w:tcBorders>
        <w:shd w:val="clear" w:color="FFFFFF" w:fill="FFFFFF"/>
      </w:tcPr>
    </w:tblStylePr>
    <w:tblStylePr w:type="lastRow">
      <w:rPr>
        <w:rFonts w:ascii="Arial" w:hAnsi="Arial"/>
        <w:i/>
        <w:color w:val="B2A1C6"/>
        <w:sz w:val="22"/>
      </w:rPr>
      <w:tcPr>
        <w:tcBorders>
          <w:top w:val="single" w:color="B2A1C6" w:sz="4" w:space="0"/>
          <w:left w:val="nil"/>
          <w:bottom w:val="nil"/>
          <w:right w:val="nil"/>
        </w:tcBorders>
        <w:shd w:val="clear" w:color="FFFFFF" w:fill="FFFFFF"/>
      </w:tcPr>
    </w:tblStylePr>
    <w:tblStylePr w:type="firstCol">
      <w:pPr>
        <w:jc w:val="right"/>
      </w:pPr>
      <w:rPr>
        <w:rFonts w:ascii="Arial" w:hAnsi="Arial"/>
        <w:i/>
        <w:color w:val="B2A1C6"/>
        <w:sz w:val="22"/>
      </w:rPr>
      <w:tcPr>
        <w:tcBorders>
          <w:top w:val="nil"/>
          <w:left w:val="nil"/>
          <w:bottom w:val="nil"/>
          <w:right w:val="single" w:color="B2A1C6" w:sz="4" w:space="0"/>
        </w:tcBorders>
        <w:shd w:val="clear" w:color="FFFFFF" w:fill="auto"/>
      </w:tcPr>
    </w:tblStylePr>
    <w:tblStylePr w:type="lastCol">
      <w:rPr>
        <w:rFonts w:ascii="Arial" w:hAnsi="Arial"/>
        <w:i/>
        <w:color w:val="B2A1C6"/>
        <w:sz w:val="22"/>
      </w:rPr>
      <w:tcPr>
        <w:tcBorders>
          <w:top w:val="nil"/>
          <w:left w:val="single" w:color="B2A1C6" w:sz="4" w:space="0"/>
          <w:bottom w:val="nil"/>
          <w:right w:val="nil"/>
        </w:tcBorders>
        <w:shd w:val="clear" w:color="FFFFFF" w:fill="auto"/>
      </w:tcPr>
    </w:tblStylePr>
    <w:tblStylePr w:type="band1Vert">
      <w:tcPr>
        <w:shd w:val="clear" w:color="DFD8E7" w:fill="DFD8E7"/>
      </w:tcPr>
    </w:tblStylePr>
    <w:tblStylePr w:type="band2Vert"/>
    <w:tblStylePr w:type="band1Horz">
      <w:rPr>
        <w:rFonts w:ascii="Arial" w:hAnsi="Arial"/>
        <w:color w:val="B2A1C6"/>
        <w:sz w:val="22"/>
      </w:rPr>
      <w:tcPr>
        <w:shd w:val="clear" w:color="DFD8E7" w:fill="DFD8E7"/>
      </w:tcPr>
    </w:tblStylePr>
    <w:tblStylePr w:type="band2Horz">
      <w:rPr>
        <w:rFonts w:ascii="Arial" w:hAnsi="Arial"/>
        <w:color w:val="B2A1C6"/>
        <w:sz w:val="22"/>
      </w:rPr>
    </w:tblStylePr>
    <w:tblStylePr w:type="neCell"/>
    <w:tblStylePr w:type="nwCell"/>
    <w:tblStylePr w:type="seCell"/>
    <w:tblStylePr w:type="swCell"/>
  </w:style>
  <w:style w:type="table" w:customStyle="1" w:styleId="144">
    <w:name w:val="List Table 7 Colorful - Accent 5"/>
    <w:basedOn w:val="31"/>
    <w:qFormat/>
    <w:uiPriority w:val="99"/>
    <w:pPr>
      <w:spacing w:after="0" w:line="240" w:lineRule="auto"/>
    </w:pPr>
    <w:tblPr>
      <w:tblBorders>
        <w:right w:val="single" w:color="92CCDC" w:sz="4" w:space="0"/>
      </w:tblBorders>
    </w:tblPr>
    <w:tblStylePr w:type="firstRow">
      <w:rPr>
        <w:rFonts w:ascii="Arial" w:hAnsi="Arial"/>
        <w:i/>
        <w:color w:val="92CCDC"/>
        <w:sz w:val="22"/>
      </w:rPr>
      <w:tcPr>
        <w:tcBorders>
          <w:top w:val="nil"/>
          <w:left w:val="nil"/>
          <w:bottom w:val="single" w:color="92CCDC" w:sz="4" w:space="0"/>
          <w:right w:val="nil"/>
        </w:tcBorders>
        <w:shd w:val="clear" w:color="FFFFFF" w:fill="FFFFFF"/>
      </w:tcPr>
    </w:tblStylePr>
    <w:tblStylePr w:type="lastRow">
      <w:rPr>
        <w:rFonts w:ascii="Arial" w:hAnsi="Arial"/>
        <w:i/>
        <w:color w:val="92CCDC"/>
        <w:sz w:val="22"/>
      </w:rPr>
      <w:tcPr>
        <w:tcBorders>
          <w:top w:val="single" w:color="92CCDC" w:sz="4" w:space="0"/>
          <w:left w:val="nil"/>
          <w:bottom w:val="nil"/>
          <w:right w:val="nil"/>
        </w:tcBorders>
        <w:shd w:val="clear" w:color="FFFFFF" w:fill="FFFFFF"/>
      </w:tcPr>
    </w:tblStylePr>
    <w:tblStylePr w:type="firstCol">
      <w:pPr>
        <w:jc w:val="right"/>
      </w:pPr>
      <w:rPr>
        <w:rFonts w:ascii="Arial" w:hAnsi="Arial"/>
        <w:i/>
        <w:color w:val="92CCDC"/>
        <w:sz w:val="22"/>
      </w:rPr>
      <w:tcPr>
        <w:tcBorders>
          <w:top w:val="nil"/>
          <w:left w:val="nil"/>
          <w:bottom w:val="nil"/>
          <w:right w:val="single" w:color="92CCDC" w:sz="4" w:space="0"/>
        </w:tcBorders>
        <w:shd w:val="clear" w:color="FFFFFF" w:fill="auto"/>
      </w:tcPr>
    </w:tblStylePr>
    <w:tblStylePr w:type="lastCol">
      <w:rPr>
        <w:rFonts w:ascii="Arial" w:hAnsi="Arial"/>
        <w:i/>
        <w:color w:val="92CCDC"/>
        <w:sz w:val="22"/>
      </w:rPr>
      <w:tcPr>
        <w:tcBorders>
          <w:top w:val="nil"/>
          <w:left w:val="single" w:color="92CCDC" w:sz="4" w:space="0"/>
          <w:bottom w:val="nil"/>
          <w:right w:val="nil"/>
        </w:tcBorders>
        <w:shd w:val="clear" w:color="FFFFFF" w:fill="auto"/>
      </w:tcPr>
    </w:tblStylePr>
    <w:tblStylePr w:type="band1Vert">
      <w:tcPr>
        <w:shd w:val="clear" w:color="D1EAF0" w:fill="D1EAF0"/>
      </w:tcPr>
    </w:tblStylePr>
    <w:tblStylePr w:type="band2Vert"/>
    <w:tblStylePr w:type="band1Horz">
      <w:rPr>
        <w:rFonts w:ascii="Arial" w:hAnsi="Arial"/>
        <w:color w:val="92CCDC"/>
        <w:sz w:val="22"/>
      </w:rPr>
      <w:tcPr>
        <w:shd w:val="clear" w:color="D1EAF0" w:fill="D1EAF0"/>
      </w:tcPr>
    </w:tblStylePr>
    <w:tblStylePr w:type="band2Horz">
      <w:rPr>
        <w:rFonts w:ascii="Arial" w:hAnsi="Arial"/>
        <w:color w:val="92CCDC"/>
        <w:sz w:val="22"/>
      </w:rPr>
    </w:tblStylePr>
    <w:tblStylePr w:type="neCell"/>
    <w:tblStylePr w:type="nwCell"/>
    <w:tblStylePr w:type="seCell"/>
    <w:tblStylePr w:type="swCell"/>
  </w:style>
  <w:style w:type="table" w:customStyle="1" w:styleId="145">
    <w:name w:val="List Table 7 Colorful - Accent 6"/>
    <w:basedOn w:val="31"/>
    <w:qFormat/>
    <w:uiPriority w:val="99"/>
    <w:pPr>
      <w:spacing w:after="0" w:line="240" w:lineRule="auto"/>
    </w:pPr>
    <w:tblPr>
      <w:tblBorders>
        <w:right w:val="single" w:color="FAC090" w:sz="4" w:space="0"/>
      </w:tblBorders>
    </w:tblPr>
    <w:tblStylePr w:type="firstRow">
      <w:rPr>
        <w:rFonts w:ascii="Arial" w:hAnsi="Arial"/>
        <w:i/>
        <w:color w:val="FAC090"/>
        <w:sz w:val="22"/>
      </w:rPr>
      <w:tcPr>
        <w:tcBorders>
          <w:top w:val="nil"/>
          <w:left w:val="nil"/>
          <w:bottom w:val="single" w:color="FAC090" w:sz="4" w:space="0"/>
          <w:right w:val="nil"/>
        </w:tcBorders>
        <w:shd w:val="clear" w:color="FFFFFF" w:fill="FFFFFF"/>
      </w:tcPr>
    </w:tblStylePr>
    <w:tblStylePr w:type="lastRow">
      <w:rPr>
        <w:rFonts w:ascii="Arial" w:hAnsi="Arial"/>
        <w:i/>
        <w:color w:val="FAC090"/>
        <w:sz w:val="22"/>
      </w:rPr>
      <w:tcPr>
        <w:tcBorders>
          <w:top w:val="single" w:color="FAC090" w:sz="4" w:space="0"/>
          <w:left w:val="nil"/>
          <w:bottom w:val="nil"/>
          <w:right w:val="nil"/>
        </w:tcBorders>
        <w:shd w:val="clear" w:color="FFFFFF" w:fill="FFFFFF"/>
      </w:tcPr>
    </w:tblStylePr>
    <w:tblStylePr w:type="firstCol">
      <w:pPr>
        <w:jc w:val="right"/>
      </w:pPr>
      <w:rPr>
        <w:rFonts w:ascii="Arial" w:hAnsi="Arial"/>
        <w:i/>
        <w:color w:val="FAC090"/>
        <w:sz w:val="22"/>
      </w:rPr>
      <w:tcPr>
        <w:tcBorders>
          <w:top w:val="nil"/>
          <w:left w:val="nil"/>
          <w:bottom w:val="nil"/>
          <w:right w:val="single" w:color="FAC090" w:sz="4" w:space="0"/>
        </w:tcBorders>
        <w:shd w:val="clear" w:color="FFFFFF" w:fill="auto"/>
      </w:tcPr>
    </w:tblStylePr>
    <w:tblStylePr w:type="lastCol">
      <w:rPr>
        <w:rFonts w:ascii="Arial" w:hAnsi="Arial"/>
        <w:i/>
        <w:color w:val="FAC090"/>
        <w:sz w:val="22"/>
      </w:rPr>
      <w:tcPr>
        <w:tcBorders>
          <w:top w:val="nil"/>
          <w:left w:val="single" w:color="FAC090" w:sz="4" w:space="0"/>
          <w:bottom w:val="nil"/>
          <w:right w:val="nil"/>
        </w:tcBorders>
        <w:shd w:val="clear" w:color="FFFFFF" w:fill="auto"/>
      </w:tcPr>
    </w:tblStylePr>
    <w:tblStylePr w:type="band1Vert">
      <w:tcPr>
        <w:shd w:val="clear" w:color="FCE4D0" w:fill="FCE4D0"/>
      </w:tcPr>
    </w:tblStylePr>
    <w:tblStylePr w:type="band2Vert"/>
    <w:tblStylePr w:type="band1Horz">
      <w:rPr>
        <w:rFonts w:ascii="Arial" w:hAnsi="Arial"/>
        <w:color w:val="FAC090"/>
        <w:sz w:val="22"/>
      </w:rPr>
      <w:tcPr>
        <w:shd w:val="clear" w:color="FCE4D0" w:fill="FCE4D0"/>
      </w:tcPr>
    </w:tblStylePr>
    <w:tblStylePr w:type="band2Horz">
      <w:rPr>
        <w:rFonts w:ascii="Arial" w:hAnsi="Arial"/>
        <w:color w:val="FAC090"/>
        <w:sz w:val="22"/>
      </w:rPr>
    </w:tblStylePr>
    <w:tblStylePr w:type="neCell"/>
    <w:tblStylePr w:type="nwCell"/>
    <w:tblStylePr w:type="seCell"/>
    <w:tblStylePr w:type="swCell"/>
  </w:style>
  <w:style w:type="table" w:customStyle="1" w:styleId="146">
    <w:name w:val="Lined - Accent"/>
    <w:basedOn w:val="31"/>
    <w:qFormat/>
    <w:uiPriority w:val="99"/>
    <w:pPr>
      <w:spacing w:after="0" w:line="240" w:lineRule="auto"/>
    </w:pPr>
    <w:rPr>
      <w:color w:val="404040"/>
    </w:rPr>
    <w:tblStylePr w:type="firstRow">
      <w:rPr>
        <w:rFonts w:ascii="Arial" w:hAnsi="Arial"/>
        <w:color w:val="F2F2F2"/>
        <w:sz w:val="22"/>
      </w:rPr>
      <w:tcPr>
        <w:shd w:val="clear" w:color="7E7E7E" w:fill="7E7E7E"/>
      </w:tcPr>
    </w:tblStylePr>
    <w:tblStylePr w:type="lastRow">
      <w:rPr>
        <w:rFonts w:ascii="Arial" w:hAnsi="Arial"/>
        <w:color w:val="F2F2F2"/>
        <w:sz w:val="22"/>
      </w:rPr>
      <w:tcPr>
        <w:shd w:val="clear" w:color="7E7E7E" w:fill="7E7E7E"/>
      </w:tcPr>
    </w:tblStylePr>
    <w:tblStylePr w:type="firstCol">
      <w:rPr>
        <w:rFonts w:ascii="Arial" w:hAnsi="Arial"/>
        <w:color w:val="F2F2F2"/>
        <w:sz w:val="22"/>
      </w:rPr>
      <w:tcPr>
        <w:shd w:val="clear" w:color="7E7E7E" w:fill="7E7E7E"/>
      </w:tcPr>
    </w:tblStylePr>
    <w:tblStylePr w:type="lastCol">
      <w:rPr>
        <w:rFonts w:ascii="Arial" w:hAnsi="Arial"/>
        <w:color w:val="F2F2F2"/>
        <w:sz w:val="22"/>
      </w:rPr>
      <w:tcPr>
        <w:shd w:val="clear" w:color="7E7E7E" w:fill="7E7E7E"/>
      </w:tcPr>
    </w:tblStylePr>
    <w:tblStylePr w:type="band1Vert">
      <w:rPr>
        <w:rFonts w:ascii="Arial" w:hAnsi="Arial"/>
        <w:color w:val="404040"/>
        <w:sz w:val="22"/>
      </w:rPr>
    </w:tblStylePr>
    <w:tblStylePr w:type="band2Vert">
      <w:rPr>
        <w:rFonts w:ascii="Arial" w:hAnsi="Arial"/>
        <w:color w:val="404040"/>
        <w:sz w:val="22"/>
      </w:rPr>
      <w:tcPr>
        <w:shd w:val="clear" w:color="F1F1F1" w:fill="F1F1F1"/>
      </w:tcPr>
    </w:tblStylePr>
    <w:tblStylePr w:type="band1Horz">
      <w:rPr>
        <w:rFonts w:ascii="Arial" w:hAnsi="Arial"/>
        <w:color w:val="404040"/>
        <w:sz w:val="22"/>
      </w:rPr>
    </w:tblStylePr>
    <w:tblStylePr w:type="band2Horz">
      <w:rPr>
        <w:rFonts w:ascii="Arial" w:hAnsi="Arial"/>
        <w:color w:val="404040"/>
        <w:sz w:val="22"/>
      </w:rPr>
      <w:tcPr>
        <w:shd w:val="clear" w:color="F1F1F1" w:fill="F1F1F1"/>
      </w:tcPr>
    </w:tblStylePr>
    <w:tblStylePr w:type="neCell"/>
    <w:tblStylePr w:type="nwCell"/>
    <w:tblStylePr w:type="seCell"/>
    <w:tblStylePr w:type="swCell"/>
  </w:style>
  <w:style w:type="table" w:customStyle="1" w:styleId="147">
    <w:name w:val="Lined - Accent 1"/>
    <w:basedOn w:val="31"/>
    <w:qFormat/>
    <w:uiPriority w:val="99"/>
    <w:pPr>
      <w:spacing w:after="0" w:line="240" w:lineRule="auto"/>
    </w:pPr>
    <w:rPr>
      <w:color w:val="404040"/>
    </w:rPr>
    <w:tblStylePr w:type="firstRow">
      <w:rPr>
        <w:rFonts w:ascii="Arial" w:hAnsi="Arial"/>
        <w:color w:val="F2F2F2"/>
        <w:sz w:val="22"/>
      </w:rPr>
      <w:tcPr>
        <w:shd w:val="clear" w:color="5D8BC2" w:fill="5D8BC2"/>
      </w:tcPr>
    </w:tblStylePr>
    <w:tblStylePr w:type="lastRow">
      <w:rPr>
        <w:rFonts w:ascii="Arial" w:hAnsi="Arial"/>
        <w:color w:val="F2F2F2"/>
        <w:sz w:val="22"/>
      </w:rPr>
      <w:tcPr>
        <w:shd w:val="clear" w:color="5D8BC2" w:fill="5D8BC2"/>
      </w:tcPr>
    </w:tblStylePr>
    <w:tblStylePr w:type="firstCol">
      <w:rPr>
        <w:rFonts w:ascii="Arial" w:hAnsi="Arial"/>
        <w:color w:val="F2F2F2"/>
        <w:sz w:val="22"/>
      </w:rPr>
      <w:tcPr>
        <w:shd w:val="clear" w:color="5D8BC2" w:fill="5D8BC2"/>
      </w:tcPr>
    </w:tblStylePr>
    <w:tblStylePr w:type="lastCol">
      <w:rPr>
        <w:rFonts w:ascii="Arial" w:hAnsi="Arial"/>
        <w:color w:val="F2F2F2"/>
        <w:sz w:val="22"/>
      </w:rPr>
      <w:tcPr>
        <w:shd w:val="clear" w:color="5D8BC2" w:fill="5D8BC2"/>
      </w:tcPr>
    </w:tblStylePr>
    <w:tblStylePr w:type="band1Vert">
      <w:rPr>
        <w:rFonts w:ascii="Arial" w:hAnsi="Arial"/>
        <w:color w:val="404040"/>
        <w:sz w:val="22"/>
      </w:rPr>
    </w:tblStylePr>
    <w:tblStylePr w:type="band2Vert">
      <w:rPr>
        <w:rFonts w:ascii="Arial" w:hAnsi="Arial"/>
        <w:color w:val="404040"/>
        <w:sz w:val="22"/>
      </w:rPr>
      <w:tcPr>
        <w:shd w:val="clear" w:color="C7D7EA" w:fill="C7D7EA"/>
      </w:tcPr>
    </w:tblStylePr>
    <w:tblStylePr w:type="band1Horz">
      <w:rPr>
        <w:rFonts w:ascii="Arial" w:hAnsi="Arial"/>
        <w:color w:val="404040"/>
        <w:sz w:val="22"/>
      </w:rPr>
    </w:tblStylePr>
    <w:tblStylePr w:type="band2Horz">
      <w:rPr>
        <w:rFonts w:ascii="Arial" w:hAnsi="Arial"/>
        <w:color w:val="404040"/>
        <w:sz w:val="22"/>
      </w:rPr>
      <w:tcPr>
        <w:shd w:val="clear" w:color="C7D7EA" w:fill="C7D7EA"/>
      </w:tcPr>
    </w:tblStylePr>
    <w:tblStylePr w:type="neCell"/>
    <w:tblStylePr w:type="nwCell"/>
    <w:tblStylePr w:type="seCell"/>
    <w:tblStylePr w:type="swCell"/>
  </w:style>
  <w:style w:type="table" w:customStyle="1" w:styleId="148">
    <w:name w:val="Lined - Accent 2"/>
    <w:basedOn w:val="31"/>
    <w:qFormat/>
    <w:uiPriority w:val="99"/>
    <w:pPr>
      <w:spacing w:after="0" w:line="240" w:lineRule="auto"/>
    </w:pPr>
    <w:rPr>
      <w:color w:val="404040"/>
    </w:rPr>
    <w:tblStylePr w:type="firstRow">
      <w:rPr>
        <w:rFonts w:ascii="Arial" w:hAnsi="Arial"/>
        <w:color w:val="F2F2F2"/>
        <w:sz w:val="22"/>
      </w:rPr>
      <w:tcPr>
        <w:shd w:val="clear" w:color="D99795" w:fill="D99795"/>
      </w:tcPr>
    </w:tblStylePr>
    <w:tblStylePr w:type="lastRow">
      <w:rPr>
        <w:rFonts w:ascii="Arial" w:hAnsi="Arial"/>
        <w:color w:val="F2F2F2"/>
        <w:sz w:val="22"/>
      </w:rPr>
      <w:tcPr>
        <w:shd w:val="clear" w:color="D99795" w:fill="D99795"/>
      </w:tcPr>
    </w:tblStylePr>
    <w:tblStylePr w:type="firstCol">
      <w:rPr>
        <w:rFonts w:ascii="Arial" w:hAnsi="Arial"/>
        <w:color w:val="F2F2F2"/>
        <w:sz w:val="22"/>
      </w:rPr>
      <w:tcPr>
        <w:shd w:val="clear" w:color="D99795" w:fill="D99795"/>
      </w:tcPr>
    </w:tblStylePr>
    <w:tblStylePr w:type="lastCol">
      <w:rPr>
        <w:rFonts w:ascii="Arial" w:hAnsi="Arial"/>
        <w:color w:val="F2F2F2"/>
        <w:sz w:val="22"/>
      </w:rPr>
      <w:tcPr>
        <w:shd w:val="clear" w:color="D99795" w:fill="D99795"/>
      </w:tcPr>
    </w:tblStylePr>
    <w:tblStylePr w:type="band1Vert">
      <w:rPr>
        <w:rFonts w:ascii="Arial" w:hAnsi="Arial"/>
        <w:color w:val="404040"/>
        <w:sz w:val="22"/>
      </w:rPr>
    </w:tblStylePr>
    <w:tblStylePr w:type="band2Vert">
      <w:rPr>
        <w:rFonts w:ascii="Arial" w:hAnsi="Arial"/>
        <w:color w:val="404040"/>
        <w:sz w:val="22"/>
      </w:rPr>
      <w:tcPr>
        <w:shd w:val="clear" w:color="F2DCDC" w:fill="F2DCDC"/>
      </w:tcPr>
    </w:tblStylePr>
    <w:tblStylePr w:type="band1Horz">
      <w:rPr>
        <w:rFonts w:ascii="Arial" w:hAnsi="Arial"/>
        <w:color w:val="404040"/>
        <w:sz w:val="22"/>
      </w:rPr>
    </w:tblStylePr>
    <w:tblStylePr w:type="band2Horz">
      <w:rPr>
        <w:rFonts w:ascii="Arial" w:hAnsi="Arial"/>
        <w:color w:val="404040"/>
        <w:sz w:val="22"/>
      </w:rPr>
      <w:tcPr>
        <w:shd w:val="clear" w:color="F2DCDC" w:fill="F2DCDC"/>
      </w:tcPr>
    </w:tblStylePr>
    <w:tblStylePr w:type="neCell"/>
    <w:tblStylePr w:type="nwCell"/>
    <w:tblStylePr w:type="seCell"/>
    <w:tblStylePr w:type="swCell"/>
  </w:style>
  <w:style w:type="table" w:customStyle="1" w:styleId="149">
    <w:name w:val="Lined - Accent 3"/>
    <w:basedOn w:val="31"/>
    <w:qFormat/>
    <w:uiPriority w:val="99"/>
    <w:pPr>
      <w:spacing w:after="0" w:line="240" w:lineRule="auto"/>
    </w:pPr>
    <w:rPr>
      <w:color w:val="404040"/>
    </w:rPr>
    <w:tblStylePr w:type="firstRow">
      <w:rPr>
        <w:rFonts w:ascii="Arial" w:hAnsi="Arial"/>
        <w:color w:val="F2F2F2"/>
        <w:sz w:val="22"/>
      </w:rPr>
      <w:tcPr>
        <w:shd w:val="clear" w:color="9BBB59" w:fill="9BBB59"/>
      </w:tcPr>
    </w:tblStylePr>
    <w:tblStylePr w:type="lastRow">
      <w:rPr>
        <w:rFonts w:ascii="Arial" w:hAnsi="Arial"/>
        <w:color w:val="F2F2F2"/>
        <w:sz w:val="22"/>
      </w:rPr>
      <w:tcPr>
        <w:shd w:val="clear" w:color="9BBB59" w:fill="9BBB59"/>
      </w:tcPr>
    </w:tblStylePr>
    <w:tblStylePr w:type="firstCol">
      <w:rPr>
        <w:rFonts w:ascii="Arial" w:hAnsi="Arial"/>
        <w:color w:val="F2F2F2"/>
        <w:sz w:val="22"/>
      </w:rPr>
      <w:tcPr>
        <w:shd w:val="clear" w:color="9BBB59" w:fill="9BBB59"/>
      </w:tcPr>
    </w:tblStylePr>
    <w:tblStylePr w:type="lastCol">
      <w:rPr>
        <w:rFonts w:ascii="Arial" w:hAnsi="Arial"/>
        <w:color w:val="F2F2F2"/>
        <w:sz w:val="22"/>
      </w:rPr>
      <w:tcPr>
        <w:shd w:val="clear" w:color="9BBB59" w:fill="9BBB59"/>
      </w:tcPr>
    </w:tblStylePr>
    <w:tblStylePr w:type="band1Vert">
      <w:rPr>
        <w:rFonts w:ascii="Arial" w:hAnsi="Arial"/>
        <w:color w:val="404040"/>
        <w:sz w:val="22"/>
      </w:rPr>
    </w:tblStylePr>
    <w:tblStylePr w:type="band2Vert">
      <w:rPr>
        <w:rFonts w:ascii="Arial" w:hAnsi="Arial"/>
        <w:color w:val="404040"/>
        <w:sz w:val="22"/>
      </w:rPr>
      <w:tcPr>
        <w:shd w:val="clear" w:color="EAF1DD" w:fill="EAF1DD"/>
      </w:tcPr>
    </w:tblStylePr>
    <w:tblStylePr w:type="band1Horz">
      <w:rPr>
        <w:rFonts w:ascii="Arial" w:hAnsi="Arial"/>
        <w:color w:val="404040"/>
        <w:sz w:val="22"/>
      </w:rPr>
    </w:tblStylePr>
    <w:tblStylePr w:type="band2Horz">
      <w:rPr>
        <w:rFonts w:ascii="Arial" w:hAnsi="Arial"/>
        <w:color w:val="404040"/>
        <w:sz w:val="22"/>
      </w:rPr>
      <w:tcPr>
        <w:shd w:val="clear" w:color="EAF1DD" w:fill="EAF1DD"/>
      </w:tcPr>
    </w:tblStylePr>
    <w:tblStylePr w:type="neCell"/>
    <w:tblStylePr w:type="nwCell"/>
    <w:tblStylePr w:type="seCell"/>
    <w:tblStylePr w:type="swCell"/>
  </w:style>
  <w:style w:type="table" w:customStyle="1" w:styleId="150">
    <w:name w:val="Lined - Accent 4"/>
    <w:basedOn w:val="31"/>
    <w:qFormat/>
    <w:uiPriority w:val="99"/>
    <w:pPr>
      <w:spacing w:after="0" w:line="240" w:lineRule="auto"/>
    </w:pPr>
    <w:rPr>
      <w:color w:val="404040"/>
    </w:rPr>
    <w:tblStylePr w:type="firstRow">
      <w:rPr>
        <w:rFonts w:ascii="Arial" w:hAnsi="Arial"/>
        <w:color w:val="F2F2F2"/>
        <w:sz w:val="22"/>
      </w:rPr>
      <w:tcPr>
        <w:shd w:val="clear" w:color="B2A1C6" w:fill="B2A1C6"/>
      </w:tcPr>
    </w:tblStylePr>
    <w:tblStylePr w:type="lastRow">
      <w:rPr>
        <w:rFonts w:ascii="Arial" w:hAnsi="Arial"/>
        <w:color w:val="F2F2F2"/>
        <w:sz w:val="22"/>
      </w:rPr>
      <w:tcPr>
        <w:shd w:val="clear" w:color="B2A1C6" w:fill="B2A1C6"/>
      </w:tcPr>
    </w:tblStylePr>
    <w:tblStylePr w:type="firstCol">
      <w:rPr>
        <w:rFonts w:ascii="Arial" w:hAnsi="Arial"/>
        <w:color w:val="F2F2F2"/>
        <w:sz w:val="22"/>
      </w:rPr>
      <w:tcPr>
        <w:shd w:val="clear" w:color="B2A1C6" w:fill="B2A1C6"/>
      </w:tcPr>
    </w:tblStylePr>
    <w:tblStylePr w:type="lastCol">
      <w:rPr>
        <w:rFonts w:ascii="Arial" w:hAnsi="Arial"/>
        <w:color w:val="F2F2F2"/>
        <w:sz w:val="22"/>
      </w:rPr>
      <w:tcPr>
        <w:shd w:val="clear" w:color="B2A1C6" w:fill="B2A1C6"/>
      </w:tcPr>
    </w:tblStylePr>
    <w:tblStylePr w:type="band1Vert">
      <w:rPr>
        <w:rFonts w:ascii="Arial" w:hAnsi="Arial"/>
        <w:color w:val="404040"/>
        <w:sz w:val="22"/>
      </w:rPr>
    </w:tblStylePr>
    <w:tblStylePr w:type="band2Vert">
      <w:rPr>
        <w:rFonts w:ascii="Arial" w:hAnsi="Arial"/>
        <w:color w:val="404040"/>
        <w:sz w:val="22"/>
      </w:rPr>
      <w:tcPr>
        <w:shd w:val="clear" w:color="E5DFEC" w:fill="E5DFEC"/>
      </w:tcPr>
    </w:tblStylePr>
    <w:tblStylePr w:type="band1Horz">
      <w:rPr>
        <w:rFonts w:ascii="Arial" w:hAnsi="Arial"/>
        <w:color w:val="404040"/>
        <w:sz w:val="22"/>
      </w:rPr>
    </w:tblStylePr>
    <w:tblStylePr w:type="band2Horz">
      <w:rPr>
        <w:rFonts w:ascii="Arial" w:hAnsi="Arial"/>
        <w:color w:val="404040"/>
        <w:sz w:val="22"/>
      </w:rPr>
      <w:tcPr>
        <w:shd w:val="clear" w:color="E5DFEC" w:fill="E5DFEC"/>
      </w:tcPr>
    </w:tblStylePr>
    <w:tblStylePr w:type="neCell"/>
    <w:tblStylePr w:type="nwCell"/>
    <w:tblStylePr w:type="seCell"/>
    <w:tblStylePr w:type="swCell"/>
  </w:style>
  <w:style w:type="table" w:customStyle="1" w:styleId="151">
    <w:name w:val="Lined - Accent 5"/>
    <w:basedOn w:val="31"/>
    <w:qFormat/>
    <w:uiPriority w:val="99"/>
    <w:pPr>
      <w:spacing w:after="0" w:line="240" w:lineRule="auto"/>
    </w:pPr>
    <w:rPr>
      <w:color w:val="404040"/>
    </w:rPr>
    <w:tblStylePr w:type="firstRow">
      <w:rPr>
        <w:rFonts w:ascii="Arial" w:hAnsi="Arial"/>
        <w:color w:val="F2F2F2"/>
        <w:sz w:val="22"/>
      </w:rPr>
      <w:tcPr>
        <w:shd w:val="clear" w:color="4BACC6" w:fill="4BACC6"/>
      </w:tcPr>
    </w:tblStylePr>
    <w:tblStylePr w:type="lastRow">
      <w:rPr>
        <w:rFonts w:ascii="Arial" w:hAnsi="Arial"/>
        <w:color w:val="F2F2F2"/>
        <w:sz w:val="22"/>
      </w:rPr>
      <w:tcPr>
        <w:shd w:val="clear" w:color="4BACC6" w:fill="4BACC6"/>
      </w:tcPr>
    </w:tblStylePr>
    <w:tblStylePr w:type="firstCol">
      <w:rPr>
        <w:rFonts w:ascii="Arial" w:hAnsi="Arial"/>
        <w:color w:val="F2F2F2"/>
        <w:sz w:val="22"/>
      </w:rPr>
      <w:tcPr>
        <w:shd w:val="clear" w:color="4BACC6" w:fill="4BACC6"/>
      </w:tcPr>
    </w:tblStylePr>
    <w:tblStylePr w:type="lastCol">
      <w:rPr>
        <w:rFonts w:ascii="Arial" w:hAnsi="Arial"/>
        <w:color w:val="F2F2F2"/>
        <w:sz w:val="22"/>
      </w:rPr>
      <w:tcPr>
        <w:shd w:val="clear" w:color="4BACC6" w:fill="4BACC6"/>
      </w:tcPr>
    </w:tblStylePr>
    <w:tblStylePr w:type="band1Vert">
      <w:rPr>
        <w:rFonts w:ascii="Arial" w:hAnsi="Arial"/>
        <w:color w:val="404040"/>
        <w:sz w:val="22"/>
      </w:rPr>
    </w:tblStylePr>
    <w:tblStylePr w:type="band2Vert">
      <w:rPr>
        <w:rFonts w:ascii="Arial" w:hAnsi="Arial"/>
        <w:color w:val="404040"/>
        <w:sz w:val="22"/>
      </w:rPr>
      <w:tcPr>
        <w:shd w:val="clear" w:color="DAEEF3" w:fill="DAEEF3"/>
      </w:tcPr>
    </w:tblStylePr>
    <w:tblStylePr w:type="band1Horz">
      <w:rPr>
        <w:rFonts w:ascii="Arial" w:hAnsi="Arial"/>
        <w:color w:val="404040"/>
        <w:sz w:val="22"/>
      </w:rPr>
    </w:tblStylePr>
    <w:tblStylePr w:type="band2Horz">
      <w:rPr>
        <w:rFonts w:ascii="Arial" w:hAnsi="Arial"/>
        <w:color w:val="404040"/>
        <w:sz w:val="22"/>
      </w:rPr>
      <w:tcPr>
        <w:shd w:val="clear" w:color="DAEEF3" w:fill="DAEEF3"/>
      </w:tcPr>
    </w:tblStylePr>
    <w:tblStylePr w:type="neCell"/>
    <w:tblStylePr w:type="nwCell"/>
    <w:tblStylePr w:type="seCell"/>
    <w:tblStylePr w:type="swCell"/>
  </w:style>
  <w:style w:type="table" w:customStyle="1" w:styleId="152">
    <w:name w:val="Lined - Accent 6"/>
    <w:basedOn w:val="31"/>
    <w:qFormat/>
    <w:uiPriority w:val="99"/>
    <w:pPr>
      <w:spacing w:after="0" w:line="240" w:lineRule="auto"/>
    </w:pPr>
    <w:rPr>
      <w:color w:val="404040"/>
    </w:rPr>
    <w:tblStylePr w:type="firstRow">
      <w:rPr>
        <w:rFonts w:ascii="Arial" w:hAnsi="Arial"/>
        <w:color w:val="F2F2F2"/>
        <w:sz w:val="22"/>
      </w:rPr>
      <w:tcPr>
        <w:shd w:val="clear" w:color="F79646" w:fill="F79646"/>
      </w:tcPr>
    </w:tblStylePr>
    <w:tblStylePr w:type="lastRow">
      <w:rPr>
        <w:rFonts w:ascii="Arial" w:hAnsi="Arial"/>
        <w:color w:val="F2F2F2"/>
        <w:sz w:val="22"/>
      </w:rPr>
      <w:tcPr>
        <w:shd w:val="clear" w:color="F79646" w:fill="F79646"/>
      </w:tcPr>
    </w:tblStylePr>
    <w:tblStylePr w:type="firstCol">
      <w:rPr>
        <w:rFonts w:ascii="Arial" w:hAnsi="Arial"/>
        <w:color w:val="F2F2F2"/>
        <w:sz w:val="22"/>
      </w:rPr>
      <w:tcPr>
        <w:shd w:val="clear" w:color="F79646" w:fill="F79646"/>
      </w:tcPr>
    </w:tblStylePr>
    <w:tblStylePr w:type="lastCol">
      <w:rPr>
        <w:rFonts w:ascii="Arial" w:hAnsi="Arial"/>
        <w:color w:val="F2F2F2"/>
        <w:sz w:val="22"/>
      </w:rPr>
      <w:tcPr>
        <w:shd w:val="clear" w:color="F79646" w:fill="F79646"/>
      </w:tcPr>
    </w:tblStylePr>
    <w:tblStylePr w:type="band1Vert">
      <w:rPr>
        <w:rFonts w:ascii="Arial" w:hAnsi="Arial"/>
        <w:color w:val="404040"/>
        <w:sz w:val="22"/>
      </w:rPr>
    </w:tblStylePr>
    <w:tblStylePr w:type="band2Vert">
      <w:rPr>
        <w:rFonts w:ascii="Arial" w:hAnsi="Arial"/>
        <w:color w:val="404040"/>
        <w:sz w:val="22"/>
      </w:rPr>
      <w:tcPr>
        <w:shd w:val="clear" w:color="FDE9D9" w:fill="FDE9D9"/>
      </w:tcPr>
    </w:tblStylePr>
    <w:tblStylePr w:type="band1Horz">
      <w:rPr>
        <w:rFonts w:ascii="Arial" w:hAnsi="Arial"/>
        <w:color w:val="404040"/>
        <w:sz w:val="22"/>
      </w:rPr>
    </w:tblStylePr>
    <w:tblStylePr w:type="band2Horz">
      <w:rPr>
        <w:rFonts w:ascii="Arial" w:hAnsi="Arial"/>
        <w:color w:val="404040"/>
        <w:sz w:val="22"/>
      </w:rPr>
      <w:tcPr>
        <w:shd w:val="clear" w:color="FDE9D9" w:fill="FDE9D9"/>
      </w:tcPr>
    </w:tblStylePr>
    <w:tblStylePr w:type="neCell"/>
    <w:tblStylePr w:type="nwCell"/>
    <w:tblStylePr w:type="seCell"/>
    <w:tblStylePr w:type="swCell"/>
  </w:style>
  <w:style w:type="table" w:customStyle="1" w:styleId="153">
    <w:name w:val="Bordered &amp; Lined - Accent"/>
    <w:basedOn w:val="31"/>
    <w:qFormat/>
    <w:uiPriority w:val="99"/>
    <w:pPr>
      <w:spacing w:after="0" w:line="240" w:lineRule="auto"/>
    </w:pPr>
    <w:rPr>
      <w:color w:val="404040"/>
    </w:rPr>
    <w:tblPr>
      <w:tblBorders>
        <w:top w:val="single" w:color="585858" w:sz="4" w:space="0"/>
        <w:left w:val="single" w:color="585858" w:sz="4" w:space="0"/>
        <w:bottom w:val="single" w:color="585858" w:sz="4" w:space="0"/>
        <w:right w:val="single" w:color="585858" w:sz="4" w:space="0"/>
        <w:insideH w:val="single" w:color="585858" w:sz="4" w:space="0"/>
        <w:insideV w:val="single" w:color="585858" w:sz="4" w:space="0"/>
      </w:tblBorders>
    </w:tblPr>
    <w:tblStylePr w:type="firstRow">
      <w:rPr>
        <w:rFonts w:ascii="Arial" w:hAnsi="Arial"/>
        <w:color w:val="F2F2F2"/>
        <w:sz w:val="22"/>
      </w:rPr>
      <w:tcPr>
        <w:shd w:val="clear" w:color="7E7E7E" w:fill="7E7E7E"/>
      </w:tcPr>
    </w:tblStylePr>
    <w:tblStylePr w:type="lastRow">
      <w:rPr>
        <w:rFonts w:ascii="Arial" w:hAnsi="Arial"/>
        <w:color w:val="F2F2F2"/>
        <w:sz w:val="22"/>
      </w:rPr>
      <w:tcPr>
        <w:shd w:val="clear" w:color="7E7E7E" w:fill="7E7E7E"/>
      </w:tcPr>
    </w:tblStylePr>
    <w:tblStylePr w:type="firstCol">
      <w:rPr>
        <w:rFonts w:ascii="Arial" w:hAnsi="Arial"/>
        <w:color w:val="F2F2F2"/>
        <w:sz w:val="22"/>
      </w:rPr>
      <w:tcPr>
        <w:shd w:val="clear" w:color="7E7E7E" w:fill="7E7E7E"/>
      </w:tcPr>
    </w:tblStylePr>
    <w:tblStylePr w:type="lastCol">
      <w:rPr>
        <w:rFonts w:ascii="Arial" w:hAnsi="Arial"/>
        <w:color w:val="F2F2F2"/>
        <w:sz w:val="22"/>
      </w:rPr>
      <w:tcPr>
        <w:shd w:val="clear" w:color="7E7E7E" w:fill="7E7E7E"/>
      </w:tcPr>
    </w:tblStylePr>
    <w:tblStylePr w:type="band1Vert">
      <w:rPr>
        <w:rFonts w:ascii="Arial" w:hAnsi="Arial"/>
        <w:color w:val="404040"/>
        <w:sz w:val="22"/>
      </w:rPr>
    </w:tblStylePr>
    <w:tblStylePr w:type="band2Vert">
      <w:rPr>
        <w:rFonts w:ascii="Arial" w:hAnsi="Arial"/>
        <w:color w:val="404040"/>
        <w:sz w:val="22"/>
      </w:rPr>
      <w:tcPr>
        <w:shd w:val="clear" w:color="F1F1F1" w:fill="F1F1F1"/>
      </w:tcPr>
    </w:tblStylePr>
    <w:tblStylePr w:type="band1Horz">
      <w:rPr>
        <w:rFonts w:ascii="Arial" w:hAnsi="Arial"/>
        <w:color w:val="404040"/>
        <w:sz w:val="22"/>
      </w:rPr>
    </w:tblStylePr>
    <w:tblStylePr w:type="band2Horz">
      <w:rPr>
        <w:rFonts w:ascii="Arial" w:hAnsi="Arial"/>
        <w:color w:val="404040"/>
        <w:sz w:val="22"/>
      </w:rPr>
      <w:tcPr>
        <w:shd w:val="clear" w:color="F1F1F1" w:fill="F1F1F1"/>
      </w:tcPr>
    </w:tblStylePr>
    <w:tblStylePr w:type="neCell"/>
    <w:tblStylePr w:type="nwCell"/>
    <w:tblStylePr w:type="seCell"/>
    <w:tblStylePr w:type="swCell"/>
  </w:style>
  <w:style w:type="table" w:customStyle="1" w:styleId="154">
    <w:name w:val="Bordered &amp; Lined - Accent 1"/>
    <w:basedOn w:val="31"/>
    <w:qFormat/>
    <w:uiPriority w:val="99"/>
    <w:pPr>
      <w:spacing w:after="0" w:line="240" w:lineRule="auto"/>
    </w:pPr>
    <w:rPr>
      <w:color w:val="404040"/>
    </w:rPr>
    <w:tblPr>
      <w:tblBorders>
        <w:top w:val="single" w:color="2A4B71" w:sz="4" w:space="0"/>
        <w:left w:val="single" w:color="2A4B71" w:sz="4" w:space="0"/>
        <w:bottom w:val="single" w:color="2A4B71" w:sz="4" w:space="0"/>
        <w:right w:val="single" w:color="2A4B71" w:sz="4" w:space="0"/>
        <w:insideH w:val="single" w:color="2A4B71" w:sz="4" w:space="0"/>
        <w:insideV w:val="single" w:color="2A4B71" w:sz="4" w:space="0"/>
      </w:tblBorders>
    </w:tblPr>
    <w:tblStylePr w:type="firstRow">
      <w:rPr>
        <w:rFonts w:ascii="Arial" w:hAnsi="Arial"/>
        <w:color w:val="F2F2F2"/>
        <w:sz w:val="22"/>
      </w:rPr>
      <w:tcPr>
        <w:shd w:val="clear" w:color="5D8BC2" w:fill="5D8BC2"/>
      </w:tcPr>
    </w:tblStylePr>
    <w:tblStylePr w:type="lastRow">
      <w:rPr>
        <w:rFonts w:ascii="Arial" w:hAnsi="Arial"/>
        <w:color w:val="F2F2F2"/>
        <w:sz w:val="22"/>
      </w:rPr>
      <w:tcPr>
        <w:shd w:val="clear" w:color="5D8BC2" w:fill="5D8BC2"/>
      </w:tcPr>
    </w:tblStylePr>
    <w:tblStylePr w:type="firstCol">
      <w:rPr>
        <w:rFonts w:ascii="Arial" w:hAnsi="Arial"/>
        <w:color w:val="F2F2F2"/>
        <w:sz w:val="22"/>
      </w:rPr>
      <w:tcPr>
        <w:shd w:val="clear" w:color="5D8BC2" w:fill="5D8BC2"/>
      </w:tcPr>
    </w:tblStylePr>
    <w:tblStylePr w:type="lastCol">
      <w:rPr>
        <w:rFonts w:ascii="Arial" w:hAnsi="Arial"/>
        <w:color w:val="F2F2F2"/>
        <w:sz w:val="22"/>
      </w:rPr>
      <w:tcPr>
        <w:shd w:val="clear" w:color="5D8BC2" w:fill="5D8BC2"/>
      </w:tcPr>
    </w:tblStylePr>
    <w:tblStylePr w:type="band1Vert">
      <w:rPr>
        <w:rFonts w:ascii="Arial" w:hAnsi="Arial"/>
        <w:color w:val="404040"/>
        <w:sz w:val="22"/>
      </w:rPr>
    </w:tblStylePr>
    <w:tblStylePr w:type="band2Vert">
      <w:rPr>
        <w:rFonts w:ascii="Arial" w:hAnsi="Arial"/>
        <w:color w:val="404040"/>
        <w:sz w:val="22"/>
      </w:rPr>
      <w:tcPr>
        <w:shd w:val="clear" w:color="C7D7EA" w:fill="C7D7EA"/>
      </w:tcPr>
    </w:tblStylePr>
    <w:tblStylePr w:type="band1Horz">
      <w:rPr>
        <w:rFonts w:ascii="Arial" w:hAnsi="Arial"/>
        <w:color w:val="404040"/>
        <w:sz w:val="22"/>
      </w:rPr>
    </w:tblStylePr>
    <w:tblStylePr w:type="band2Horz">
      <w:rPr>
        <w:rFonts w:ascii="Arial" w:hAnsi="Arial"/>
        <w:color w:val="404040"/>
        <w:sz w:val="22"/>
      </w:rPr>
      <w:tcPr>
        <w:shd w:val="clear" w:color="C7D7EA" w:fill="C7D7EA"/>
      </w:tcPr>
    </w:tblStylePr>
    <w:tblStylePr w:type="neCell"/>
    <w:tblStylePr w:type="nwCell"/>
    <w:tblStylePr w:type="seCell"/>
    <w:tblStylePr w:type="swCell"/>
  </w:style>
  <w:style w:type="table" w:customStyle="1" w:styleId="155">
    <w:name w:val="Bordered &amp; Lined - Accent 2"/>
    <w:basedOn w:val="31"/>
    <w:qFormat/>
    <w:uiPriority w:val="99"/>
    <w:pPr>
      <w:spacing w:after="0" w:line="240" w:lineRule="auto"/>
    </w:pPr>
    <w:rPr>
      <w:color w:val="404040"/>
    </w:rPr>
    <w:tblPr>
      <w:tblBorders>
        <w:top w:val="single" w:color="742B29" w:sz="4" w:space="0"/>
        <w:left w:val="single" w:color="742B29" w:sz="4" w:space="0"/>
        <w:bottom w:val="single" w:color="742B29" w:sz="4" w:space="0"/>
        <w:right w:val="single" w:color="742B29" w:sz="4" w:space="0"/>
        <w:insideH w:val="single" w:color="742B29" w:sz="4" w:space="0"/>
        <w:insideV w:val="single" w:color="742B29" w:sz="4" w:space="0"/>
      </w:tblBorders>
    </w:tblPr>
    <w:tblStylePr w:type="firstRow">
      <w:rPr>
        <w:rFonts w:ascii="Arial" w:hAnsi="Arial"/>
        <w:color w:val="F2F2F2"/>
        <w:sz w:val="22"/>
      </w:rPr>
      <w:tcPr>
        <w:shd w:val="clear" w:color="D99795" w:fill="D99795"/>
      </w:tcPr>
    </w:tblStylePr>
    <w:tblStylePr w:type="lastRow">
      <w:rPr>
        <w:rFonts w:ascii="Arial" w:hAnsi="Arial"/>
        <w:color w:val="F2F2F2"/>
        <w:sz w:val="22"/>
      </w:rPr>
      <w:tcPr>
        <w:shd w:val="clear" w:color="D99795" w:fill="D99795"/>
      </w:tcPr>
    </w:tblStylePr>
    <w:tblStylePr w:type="firstCol">
      <w:rPr>
        <w:rFonts w:ascii="Arial" w:hAnsi="Arial"/>
        <w:color w:val="F2F2F2"/>
        <w:sz w:val="22"/>
      </w:rPr>
      <w:tcPr>
        <w:shd w:val="clear" w:color="D99795" w:fill="D99795"/>
      </w:tcPr>
    </w:tblStylePr>
    <w:tblStylePr w:type="lastCol">
      <w:rPr>
        <w:rFonts w:ascii="Arial" w:hAnsi="Arial"/>
        <w:color w:val="F2F2F2"/>
        <w:sz w:val="22"/>
      </w:rPr>
      <w:tcPr>
        <w:shd w:val="clear" w:color="D99795" w:fill="D99795"/>
      </w:tcPr>
    </w:tblStylePr>
    <w:tblStylePr w:type="band1Vert">
      <w:rPr>
        <w:rFonts w:ascii="Arial" w:hAnsi="Arial"/>
        <w:color w:val="404040"/>
        <w:sz w:val="22"/>
      </w:rPr>
    </w:tblStylePr>
    <w:tblStylePr w:type="band2Vert">
      <w:rPr>
        <w:rFonts w:ascii="Arial" w:hAnsi="Arial"/>
        <w:color w:val="404040"/>
        <w:sz w:val="22"/>
      </w:rPr>
      <w:tcPr>
        <w:shd w:val="clear" w:color="F2DCDC" w:fill="F2DCDC"/>
      </w:tcPr>
    </w:tblStylePr>
    <w:tblStylePr w:type="band1Horz">
      <w:rPr>
        <w:rFonts w:ascii="Arial" w:hAnsi="Arial"/>
        <w:color w:val="404040"/>
        <w:sz w:val="22"/>
      </w:rPr>
    </w:tblStylePr>
    <w:tblStylePr w:type="band2Horz">
      <w:rPr>
        <w:rFonts w:ascii="Arial" w:hAnsi="Arial"/>
        <w:color w:val="404040"/>
        <w:sz w:val="22"/>
      </w:rPr>
      <w:tcPr>
        <w:shd w:val="clear" w:color="F2DCDC" w:fill="F2DCDC"/>
      </w:tcPr>
    </w:tblStylePr>
    <w:tblStylePr w:type="neCell"/>
    <w:tblStylePr w:type="nwCell"/>
    <w:tblStylePr w:type="seCell"/>
    <w:tblStylePr w:type="swCell"/>
  </w:style>
  <w:style w:type="table" w:customStyle="1" w:styleId="156">
    <w:name w:val="Bordered &amp; Lined - Accent 3"/>
    <w:basedOn w:val="31"/>
    <w:qFormat/>
    <w:uiPriority w:val="99"/>
    <w:pPr>
      <w:spacing w:after="0" w:line="240" w:lineRule="auto"/>
    </w:pPr>
    <w:rPr>
      <w:color w:val="404040"/>
    </w:rPr>
    <w:tblPr>
      <w:tblBorders>
        <w:top w:val="single" w:color="5C722E" w:sz="4" w:space="0"/>
        <w:left w:val="single" w:color="5C722E" w:sz="4" w:space="0"/>
        <w:bottom w:val="single" w:color="5C722E" w:sz="4" w:space="0"/>
        <w:right w:val="single" w:color="5C722E" w:sz="4" w:space="0"/>
        <w:insideH w:val="single" w:color="5C722E" w:sz="4" w:space="0"/>
        <w:insideV w:val="single" w:color="5C722E" w:sz="4" w:space="0"/>
      </w:tblBorders>
    </w:tblPr>
    <w:tblStylePr w:type="firstRow">
      <w:rPr>
        <w:rFonts w:ascii="Arial" w:hAnsi="Arial"/>
        <w:color w:val="F2F2F2"/>
        <w:sz w:val="22"/>
      </w:rPr>
      <w:tcPr>
        <w:shd w:val="clear" w:color="9BBB59" w:fill="9BBB59"/>
      </w:tcPr>
    </w:tblStylePr>
    <w:tblStylePr w:type="lastRow">
      <w:rPr>
        <w:rFonts w:ascii="Arial" w:hAnsi="Arial"/>
        <w:color w:val="F2F2F2"/>
        <w:sz w:val="22"/>
      </w:rPr>
      <w:tcPr>
        <w:shd w:val="clear" w:color="9BBB59" w:fill="9BBB59"/>
      </w:tcPr>
    </w:tblStylePr>
    <w:tblStylePr w:type="firstCol">
      <w:rPr>
        <w:rFonts w:ascii="Arial" w:hAnsi="Arial"/>
        <w:color w:val="F2F2F2"/>
        <w:sz w:val="22"/>
      </w:rPr>
      <w:tcPr>
        <w:shd w:val="clear" w:color="9BBB59" w:fill="9BBB59"/>
      </w:tcPr>
    </w:tblStylePr>
    <w:tblStylePr w:type="lastCol">
      <w:rPr>
        <w:rFonts w:ascii="Arial" w:hAnsi="Arial"/>
        <w:color w:val="F2F2F2"/>
        <w:sz w:val="22"/>
      </w:rPr>
      <w:tcPr>
        <w:shd w:val="clear" w:color="9BBB59" w:fill="9BBB59"/>
      </w:tcPr>
    </w:tblStylePr>
    <w:tblStylePr w:type="band1Vert">
      <w:rPr>
        <w:rFonts w:ascii="Arial" w:hAnsi="Arial"/>
        <w:color w:val="404040"/>
        <w:sz w:val="22"/>
      </w:rPr>
    </w:tblStylePr>
    <w:tblStylePr w:type="band2Vert">
      <w:rPr>
        <w:rFonts w:ascii="Arial" w:hAnsi="Arial"/>
        <w:color w:val="404040"/>
        <w:sz w:val="22"/>
      </w:rPr>
      <w:tcPr>
        <w:shd w:val="clear" w:color="EAF1DD" w:fill="EAF1DD"/>
      </w:tcPr>
    </w:tblStylePr>
    <w:tblStylePr w:type="band1Horz">
      <w:rPr>
        <w:rFonts w:ascii="Arial" w:hAnsi="Arial"/>
        <w:color w:val="404040"/>
        <w:sz w:val="22"/>
      </w:rPr>
    </w:tblStylePr>
    <w:tblStylePr w:type="band2Horz">
      <w:rPr>
        <w:rFonts w:ascii="Arial" w:hAnsi="Arial"/>
        <w:color w:val="404040"/>
        <w:sz w:val="22"/>
      </w:rPr>
      <w:tcPr>
        <w:shd w:val="clear" w:color="EAF1DD" w:fill="EAF1DD"/>
      </w:tcPr>
    </w:tblStylePr>
    <w:tblStylePr w:type="neCell"/>
    <w:tblStylePr w:type="nwCell"/>
    <w:tblStylePr w:type="seCell"/>
    <w:tblStylePr w:type="swCell"/>
  </w:style>
  <w:style w:type="table" w:customStyle="1" w:styleId="157">
    <w:name w:val="Bordered &amp; Lined - Accent 4"/>
    <w:basedOn w:val="31"/>
    <w:qFormat/>
    <w:uiPriority w:val="99"/>
    <w:pPr>
      <w:spacing w:after="0" w:line="240" w:lineRule="auto"/>
    </w:pPr>
    <w:rPr>
      <w:color w:val="404040"/>
    </w:rPr>
    <w:tblPr>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Pr>
    <w:tblStylePr w:type="firstRow">
      <w:rPr>
        <w:rFonts w:ascii="Arial" w:hAnsi="Arial"/>
        <w:color w:val="F2F2F2"/>
        <w:sz w:val="22"/>
      </w:rPr>
      <w:tcPr>
        <w:shd w:val="clear" w:color="B2A1C6" w:fill="B2A1C6"/>
      </w:tcPr>
    </w:tblStylePr>
    <w:tblStylePr w:type="lastRow">
      <w:rPr>
        <w:rFonts w:ascii="Arial" w:hAnsi="Arial"/>
        <w:color w:val="F2F2F2"/>
        <w:sz w:val="22"/>
      </w:rPr>
      <w:tcPr>
        <w:shd w:val="clear" w:color="B2A1C6" w:fill="B2A1C6"/>
      </w:tcPr>
    </w:tblStylePr>
    <w:tblStylePr w:type="firstCol">
      <w:rPr>
        <w:rFonts w:ascii="Arial" w:hAnsi="Arial"/>
        <w:color w:val="F2F2F2"/>
        <w:sz w:val="22"/>
      </w:rPr>
      <w:tcPr>
        <w:shd w:val="clear" w:color="B2A1C6" w:fill="B2A1C6"/>
      </w:tcPr>
    </w:tblStylePr>
    <w:tblStylePr w:type="lastCol">
      <w:rPr>
        <w:rFonts w:ascii="Arial" w:hAnsi="Arial"/>
        <w:color w:val="F2F2F2"/>
        <w:sz w:val="22"/>
      </w:rPr>
      <w:tcPr>
        <w:shd w:val="clear" w:color="B2A1C6" w:fill="B2A1C6"/>
      </w:tcPr>
    </w:tblStylePr>
    <w:tblStylePr w:type="band1Vert">
      <w:rPr>
        <w:rFonts w:ascii="Arial" w:hAnsi="Arial"/>
        <w:color w:val="404040"/>
        <w:sz w:val="22"/>
      </w:rPr>
    </w:tblStylePr>
    <w:tblStylePr w:type="band2Vert">
      <w:rPr>
        <w:rFonts w:ascii="Arial" w:hAnsi="Arial"/>
        <w:color w:val="404040"/>
        <w:sz w:val="22"/>
      </w:rPr>
      <w:tcPr>
        <w:shd w:val="clear" w:color="E5DFEC" w:fill="E5DFEC"/>
      </w:tcPr>
    </w:tblStylePr>
    <w:tblStylePr w:type="band1Horz">
      <w:rPr>
        <w:rFonts w:ascii="Arial" w:hAnsi="Arial"/>
        <w:color w:val="404040"/>
        <w:sz w:val="22"/>
      </w:rPr>
    </w:tblStylePr>
    <w:tblStylePr w:type="band2Horz">
      <w:rPr>
        <w:rFonts w:ascii="Arial" w:hAnsi="Arial"/>
        <w:color w:val="404040"/>
        <w:sz w:val="22"/>
      </w:rPr>
      <w:tcPr>
        <w:shd w:val="clear" w:color="E5DFEC" w:fill="E5DFEC"/>
      </w:tcPr>
    </w:tblStylePr>
    <w:tblStylePr w:type="neCell"/>
    <w:tblStylePr w:type="nwCell"/>
    <w:tblStylePr w:type="seCell"/>
    <w:tblStylePr w:type="swCell"/>
  </w:style>
  <w:style w:type="table" w:customStyle="1" w:styleId="158">
    <w:name w:val="Bordered &amp; Lined - Accent 5"/>
    <w:basedOn w:val="31"/>
    <w:qFormat/>
    <w:uiPriority w:val="99"/>
    <w:pPr>
      <w:spacing w:after="0" w:line="240" w:lineRule="auto"/>
    </w:pPr>
    <w:rPr>
      <w:color w:val="404040"/>
    </w:rPr>
    <w:tblPr>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Pr>
    <w:tblStylePr w:type="firstRow">
      <w:rPr>
        <w:rFonts w:ascii="Arial" w:hAnsi="Arial"/>
        <w:color w:val="F2F2F2"/>
        <w:sz w:val="22"/>
      </w:rPr>
      <w:tcPr>
        <w:shd w:val="clear" w:color="4BACC6" w:fill="4BACC6"/>
      </w:tcPr>
    </w:tblStylePr>
    <w:tblStylePr w:type="lastRow">
      <w:rPr>
        <w:rFonts w:ascii="Arial" w:hAnsi="Arial"/>
        <w:color w:val="F2F2F2"/>
        <w:sz w:val="22"/>
      </w:rPr>
      <w:tcPr>
        <w:shd w:val="clear" w:color="4BACC6" w:fill="4BACC6"/>
      </w:tcPr>
    </w:tblStylePr>
    <w:tblStylePr w:type="firstCol">
      <w:rPr>
        <w:rFonts w:ascii="Arial" w:hAnsi="Arial"/>
        <w:color w:val="F2F2F2"/>
        <w:sz w:val="22"/>
      </w:rPr>
      <w:tcPr>
        <w:shd w:val="clear" w:color="4BACC6" w:fill="4BACC6"/>
      </w:tcPr>
    </w:tblStylePr>
    <w:tblStylePr w:type="lastCol">
      <w:rPr>
        <w:rFonts w:ascii="Arial" w:hAnsi="Arial"/>
        <w:color w:val="F2F2F2"/>
        <w:sz w:val="22"/>
      </w:rPr>
      <w:tcPr>
        <w:shd w:val="clear" w:color="4BACC6" w:fill="4BACC6"/>
      </w:tcPr>
    </w:tblStylePr>
    <w:tblStylePr w:type="band1Vert">
      <w:rPr>
        <w:rFonts w:ascii="Arial" w:hAnsi="Arial"/>
        <w:color w:val="404040"/>
        <w:sz w:val="22"/>
      </w:rPr>
    </w:tblStylePr>
    <w:tblStylePr w:type="band2Vert">
      <w:rPr>
        <w:rFonts w:ascii="Arial" w:hAnsi="Arial"/>
        <w:color w:val="404040"/>
        <w:sz w:val="22"/>
      </w:rPr>
      <w:tcPr>
        <w:shd w:val="clear" w:color="DAEEF3" w:fill="DAEEF3"/>
      </w:tcPr>
    </w:tblStylePr>
    <w:tblStylePr w:type="band1Horz">
      <w:rPr>
        <w:rFonts w:ascii="Arial" w:hAnsi="Arial"/>
        <w:color w:val="404040"/>
        <w:sz w:val="22"/>
      </w:rPr>
    </w:tblStylePr>
    <w:tblStylePr w:type="band2Horz">
      <w:rPr>
        <w:rFonts w:ascii="Arial" w:hAnsi="Arial"/>
        <w:color w:val="404040"/>
        <w:sz w:val="22"/>
      </w:rPr>
      <w:tcPr>
        <w:shd w:val="clear" w:color="DAEEF3" w:fill="DAEEF3"/>
      </w:tcPr>
    </w:tblStylePr>
    <w:tblStylePr w:type="neCell"/>
    <w:tblStylePr w:type="nwCell"/>
    <w:tblStylePr w:type="seCell"/>
    <w:tblStylePr w:type="swCell"/>
  </w:style>
  <w:style w:type="table" w:customStyle="1" w:styleId="159">
    <w:name w:val="Bordered &amp; Lined - Accent 6"/>
    <w:basedOn w:val="31"/>
    <w:qFormat/>
    <w:uiPriority w:val="99"/>
    <w:pPr>
      <w:spacing w:after="0" w:line="240" w:lineRule="auto"/>
    </w:pPr>
    <w:rPr>
      <w:color w:val="404040"/>
    </w:rPr>
    <w:tblPr>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Pr>
    <w:tblStylePr w:type="firstRow">
      <w:rPr>
        <w:rFonts w:ascii="Arial" w:hAnsi="Arial"/>
        <w:color w:val="F2F2F2"/>
        <w:sz w:val="22"/>
      </w:rPr>
      <w:tcPr>
        <w:shd w:val="clear" w:color="F79646" w:fill="F79646"/>
      </w:tcPr>
    </w:tblStylePr>
    <w:tblStylePr w:type="lastRow">
      <w:rPr>
        <w:rFonts w:ascii="Arial" w:hAnsi="Arial"/>
        <w:color w:val="F2F2F2"/>
        <w:sz w:val="22"/>
      </w:rPr>
      <w:tcPr>
        <w:shd w:val="clear" w:color="F79646" w:fill="F79646"/>
      </w:tcPr>
    </w:tblStylePr>
    <w:tblStylePr w:type="firstCol">
      <w:rPr>
        <w:rFonts w:ascii="Arial" w:hAnsi="Arial"/>
        <w:color w:val="F2F2F2"/>
        <w:sz w:val="22"/>
      </w:rPr>
      <w:tcPr>
        <w:shd w:val="clear" w:color="F79646" w:fill="F79646"/>
      </w:tcPr>
    </w:tblStylePr>
    <w:tblStylePr w:type="lastCol">
      <w:rPr>
        <w:rFonts w:ascii="Arial" w:hAnsi="Arial"/>
        <w:color w:val="F2F2F2"/>
        <w:sz w:val="22"/>
      </w:rPr>
      <w:tcPr>
        <w:shd w:val="clear" w:color="F79646" w:fill="F79646"/>
      </w:tcPr>
    </w:tblStylePr>
    <w:tblStylePr w:type="band1Vert">
      <w:rPr>
        <w:rFonts w:ascii="Arial" w:hAnsi="Arial"/>
        <w:color w:val="404040"/>
        <w:sz w:val="22"/>
      </w:rPr>
    </w:tblStylePr>
    <w:tblStylePr w:type="band2Vert">
      <w:rPr>
        <w:rFonts w:ascii="Arial" w:hAnsi="Arial"/>
        <w:color w:val="404040"/>
        <w:sz w:val="22"/>
      </w:rPr>
      <w:tcPr>
        <w:shd w:val="clear" w:color="FDE9D9" w:fill="FDE9D9"/>
      </w:tcPr>
    </w:tblStylePr>
    <w:tblStylePr w:type="band1Horz">
      <w:rPr>
        <w:rFonts w:ascii="Arial" w:hAnsi="Arial"/>
        <w:color w:val="404040"/>
        <w:sz w:val="22"/>
      </w:rPr>
    </w:tblStylePr>
    <w:tblStylePr w:type="band2Horz">
      <w:rPr>
        <w:rFonts w:ascii="Arial" w:hAnsi="Arial"/>
        <w:color w:val="404040"/>
        <w:sz w:val="22"/>
      </w:rPr>
      <w:tcPr>
        <w:shd w:val="clear" w:color="FDE9D9" w:fill="FDE9D9"/>
      </w:tcPr>
    </w:tblStylePr>
    <w:tblStylePr w:type="neCell"/>
    <w:tblStylePr w:type="nwCell"/>
    <w:tblStylePr w:type="seCell"/>
    <w:tblStylePr w:type="swCell"/>
  </w:style>
  <w:style w:type="table" w:customStyle="1" w:styleId="160">
    <w:name w:val="Bordered"/>
    <w:basedOn w:val="31"/>
    <w:qFormat/>
    <w:uiPriority w:val="99"/>
    <w:pPr>
      <w:spacing w:after="0" w:line="240" w:lineRule="auto"/>
    </w:pPr>
    <w:tblPr>
      <w:tblBorders>
        <w:top w:val="single" w:color="D8D8D8" w:sz="4" w:space="0"/>
        <w:left w:val="single" w:color="D8D8D8" w:sz="4" w:space="0"/>
        <w:bottom w:val="single" w:color="D8D8D8" w:sz="4" w:space="0"/>
        <w:right w:val="single" w:color="D8D8D8" w:sz="4" w:space="0"/>
        <w:insideH w:val="single" w:color="D8D8D8" w:sz="4" w:space="0"/>
        <w:insideV w:val="single" w:color="D8D8D8" w:sz="4" w:space="0"/>
      </w:tblBorders>
    </w:tblPr>
    <w:tblStylePr w:type="firstRow">
      <w:rPr>
        <w:rFonts w:ascii="Arial" w:hAnsi="Arial"/>
        <w:color w:val="404040"/>
        <w:sz w:val="22"/>
      </w:rPr>
      <w:tcPr>
        <w:tcBorders>
          <w:bottom w:val="single" w:color="7E7E7E" w:sz="12" w:space="0"/>
        </w:tcBorders>
      </w:tcPr>
    </w:tblStylePr>
    <w:tblStylePr w:type="lastRow">
      <w:rPr>
        <w:rFonts w:ascii="Arial" w:hAnsi="Arial"/>
        <w:color w:val="404040"/>
        <w:sz w:val="22"/>
      </w:rPr>
      <w:tcPr>
        <w:tcBorders>
          <w:top w:val="single" w:color="7E7E7E"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sz="12" w:space="0"/>
        </w:tcBorders>
      </w:tcPr>
    </w:tblStylePr>
    <w:tblStylePr w:type="band1Vert"/>
    <w:tblStylePr w:type="band2Vert"/>
    <w:tblStylePr w:type="band1Horz">
      <w:rPr>
        <w:rFonts w:ascii="Arial" w:hAnsi="Arial"/>
        <w:color w:val="404040"/>
        <w:sz w:val="22"/>
      </w:rPr>
      <w:tcPr>
        <w:tcBorders>
          <w:top w:val="single" w:color="D8D8D8" w:sz="4" w:space="0"/>
          <w:left w:val="single" w:color="D8D8D8" w:sz="4" w:space="0"/>
          <w:bottom w:val="single" w:color="D8D8D8" w:sz="4" w:space="0"/>
          <w:right w:val="single" w:color="D8D8D8" w:sz="4" w:space="0"/>
        </w:tcBorders>
      </w:tcPr>
    </w:tblStylePr>
    <w:tblStylePr w:type="band2Horz"/>
    <w:tblStylePr w:type="neCell"/>
    <w:tblStylePr w:type="nwCell"/>
    <w:tblStylePr w:type="seCell"/>
    <w:tblStylePr w:type="swCell"/>
  </w:style>
  <w:style w:type="table" w:customStyle="1" w:styleId="161">
    <w:name w:val="Bordered - Accent 1"/>
    <w:basedOn w:val="31"/>
    <w:qFormat/>
    <w:uiPriority w:val="99"/>
    <w:pPr>
      <w:spacing w:after="0" w:line="240" w:lineRule="auto"/>
    </w:pPr>
    <w:tblPr>
      <w:tblBorders>
        <w:top w:val="single" w:color="B7CCE4" w:sz="4" w:space="0"/>
        <w:left w:val="single" w:color="B7CCE4" w:sz="4" w:space="0"/>
        <w:bottom w:val="single" w:color="B7CCE4" w:sz="4" w:space="0"/>
        <w:right w:val="single" w:color="B7CCE4" w:sz="4" w:space="0"/>
        <w:insideH w:val="single" w:color="B7CCE4" w:sz="4" w:space="0"/>
        <w:insideV w:val="single" w:color="B7CCE4" w:sz="4" w:space="0"/>
      </w:tblBorders>
    </w:tblPr>
    <w:tblStylePr w:type="firstRow">
      <w:rPr>
        <w:rFonts w:ascii="Arial" w:hAnsi="Arial"/>
        <w:color w:val="404040"/>
        <w:sz w:val="22"/>
      </w:rPr>
      <w:tcPr>
        <w:tcBorders>
          <w:bottom w:val="single" w:color="4F81BD" w:sz="12" w:space="0"/>
        </w:tcBorders>
      </w:tcPr>
    </w:tblStylePr>
    <w:tblStylePr w:type="lastRow">
      <w:rPr>
        <w:rFonts w:ascii="Arial" w:hAnsi="Arial"/>
        <w:color w:val="404040"/>
        <w:sz w:val="22"/>
      </w:rPr>
      <w:tcPr>
        <w:tcBorders>
          <w:top w:val="single" w:color="4F81BD"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sz="12" w:space="0"/>
        </w:tcBorders>
      </w:tcPr>
    </w:tblStylePr>
    <w:tblStylePr w:type="band1Vert"/>
    <w:tblStylePr w:type="band2Vert"/>
    <w:tblStylePr w:type="band1Horz">
      <w:rPr>
        <w:rFonts w:ascii="Arial" w:hAnsi="Arial"/>
        <w:color w:val="404040"/>
        <w:sz w:val="22"/>
      </w:rPr>
      <w:tcPr>
        <w:tcBorders>
          <w:top w:val="single" w:color="B7CCE4" w:sz="4" w:space="0"/>
          <w:left w:val="single" w:color="B7CCE4" w:sz="4" w:space="0"/>
          <w:bottom w:val="single" w:color="B7CCE4" w:sz="4" w:space="0"/>
          <w:right w:val="single" w:color="B7CCE4" w:sz="4" w:space="0"/>
        </w:tcBorders>
      </w:tcPr>
    </w:tblStylePr>
    <w:tblStylePr w:type="band2Horz"/>
    <w:tblStylePr w:type="neCell"/>
    <w:tblStylePr w:type="nwCell"/>
    <w:tblStylePr w:type="seCell"/>
    <w:tblStylePr w:type="swCell"/>
  </w:style>
  <w:style w:type="table" w:customStyle="1" w:styleId="162">
    <w:name w:val="Bordered - Accent 2"/>
    <w:basedOn w:val="31"/>
    <w:qFormat/>
    <w:uiPriority w:val="99"/>
    <w:pPr>
      <w:spacing w:after="0" w:line="240" w:lineRule="auto"/>
    </w:pPr>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Pr>
    <w:tblStylePr w:type="firstRow">
      <w:rPr>
        <w:rFonts w:ascii="Arial" w:hAnsi="Arial"/>
        <w:color w:val="404040"/>
        <w:sz w:val="22"/>
      </w:rPr>
      <w:tcPr>
        <w:tcBorders>
          <w:bottom w:val="single" w:color="D99795" w:sz="12" w:space="0"/>
        </w:tcBorders>
      </w:tcPr>
    </w:tblStylePr>
    <w:tblStylePr w:type="lastRow">
      <w:rPr>
        <w:rFonts w:ascii="Arial" w:hAnsi="Arial"/>
        <w:color w:val="404040"/>
        <w:sz w:val="22"/>
      </w:rPr>
      <w:tcPr>
        <w:tcBorders>
          <w:top w:val="single" w:color="D99795"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sz="12" w:space="0"/>
        </w:tcBorders>
      </w:tcPr>
    </w:tblStylePr>
    <w:tblStylePr w:type="band1Vert"/>
    <w:tblStylePr w:type="band2Vert"/>
    <w:tblStylePr w:type="band1Horz">
      <w:rPr>
        <w:rFonts w:ascii="Arial" w:hAnsi="Arial"/>
        <w:color w:val="404040"/>
        <w:sz w:val="22"/>
      </w:rPr>
      <w:tcPr>
        <w:tcBorders>
          <w:top w:val="single" w:color="E5B8B7" w:sz="4" w:space="0"/>
          <w:left w:val="single" w:color="E5B8B7" w:sz="4" w:space="0"/>
          <w:bottom w:val="single" w:color="E5B8B7" w:sz="4" w:space="0"/>
          <w:right w:val="single" w:color="E5B8B7" w:sz="4" w:space="0"/>
        </w:tcBorders>
      </w:tcPr>
    </w:tblStylePr>
    <w:tblStylePr w:type="band2Horz"/>
    <w:tblStylePr w:type="neCell"/>
    <w:tblStylePr w:type="nwCell"/>
    <w:tblStylePr w:type="seCell"/>
    <w:tblStylePr w:type="swCell"/>
  </w:style>
  <w:style w:type="table" w:customStyle="1" w:styleId="163">
    <w:name w:val="Bordered - Accent 3"/>
    <w:basedOn w:val="31"/>
    <w:qFormat/>
    <w:uiPriority w:val="99"/>
    <w:pPr>
      <w:spacing w:after="0" w:line="240" w:lineRule="auto"/>
    </w:pPr>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rFonts w:ascii="Arial" w:hAnsi="Arial"/>
        <w:color w:val="404040"/>
        <w:sz w:val="22"/>
      </w:rPr>
      <w:tcPr>
        <w:tcBorders>
          <w:bottom w:val="single" w:color="C3D69C" w:sz="12" w:space="0"/>
        </w:tcBorders>
      </w:tcPr>
    </w:tblStylePr>
    <w:tblStylePr w:type="lastRow">
      <w:rPr>
        <w:rFonts w:ascii="Arial" w:hAnsi="Arial"/>
        <w:color w:val="404040"/>
        <w:sz w:val="22"/>
      </w:rPr>
      <w:tcPr>
        <w:tcBorders>
          <w:top w:val="single" w:color="C3D69C"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sz="12" w:space="0"/>
        </w:tcBorders>
      </w:tcPr>
    </w:tblStylePr>
    <w:tblStylePr w:type="band1Vert"/>
    <w:tblStylePr w:type="band2Vert"/>
    <w:tblStylePr w:type="band1Horz">
      <w:rPr>
        <w:rFonts w:ascii="Arial" w:hAnsi="Arial"/>
        <w:color w:val="404040"/>
        <w:sz w:val="22"/>
      </w:rPr>
      <w:tcPr>
        <w:tcBorders>
          <w:top w:val="single" w:color="D6E3BB" w:sz="4" w:space="0"/>
          <w:left w:val="single" w:color="D6E3BB" w:sz="4" w:space="0"/>
          <w:bottom w:val="single" w:color="D6E3BB" w:sz="4" w:space="0"/>
          <w:right w:val="single" w:color="D6E3BB" w:sz="4" w:space="0"/>
        </w:tcBorders>
      </w:tcPr>
    </w:tblStylePr>
    <w:tblStylePr w:type="band2Horz"/>
    <w:tblStylePr w:type="neCell"/>
    <w:tblStylePr w:type="nwCell"/>
    <w:tblStylePr w:type="seCell"/>
    <w:tblStylePr w:type="swCell"/>
  </w:style>
  <w:style w:type="table" w:customStyle="1" w:styleId="164">
    <w:name w:val="Bordered - Accent 4"/>
    <w:basedOn w:val="31"/>
    <w:qFormat/>
    <w:uiPriority w:val="99"/>
    <w:pPr>
      <w:spacing w:after="0" w:line="240" w:lineRule="auto"/>
    </w:pPr>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rFonts w:ascii="Arial" w:hAnsi="Arial"/>
        <w:color w:val="404040"/>
        <w:sz w:val="22"/>
      </w:rPr>
      <w:tcPr>
        <w:tcBorders>
          <w:bottom w:val="single" w:color="B2A1C6" w:sz="12" w:space="0"/>
        </w:tcBorders>
      </w:tcPr>
    </w:tblStylePr>
    <w:tblStylePr w:type="lastRow">
      <w:rPr>
        <w:rFonts w:ascii="Arial" w:hAnsi="Arial"/>
        <w:color w:val="404040"/>
        <w:sz w:val="22"/>
      </w:rPr>
      <w:tcPr>
        <w:tcBorders>
          <w:top w:val="single" w:color="B2A1C6"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sz="12" w:space="0"/>
        </w:tcBorders>
      </w:tcPr>
    </w:tblStylePr>
    <w:tblStylePr w:type="band1Vert"/>
    <w:tblStylePr w:type="band2Vert"/>
    <w:tblStylePr w:type="band1Horz">
      <w:rPr>
        <w:rFonts w:ascii="Arial" w:hAnsi="Arial"/>
        <w:color w:val="404040"/>
        <w:sz w:val="22"/>
      </w:rPr>
      <w:tcPr>
        <w:tcBorders>
          <w:top w:val="single" w:color="CBC0D9" w:sz="4" w:space="0"/>
          <w:left w:val="single" w:color="CBC0D9" w:sz="4" w:space="0"/>
          <w:bottom w:val="single" w:color="CBC0D9" w:sz="4" w:space="0"/>
          <w:right w:val="single" w:color="CBC0D9" w:sz="4" w:space="0"/>
        </w:tcBorders>
      </w:tcPr>
    </w:tblStylePr>
    <w:tblStylePr w:type="band2Horz"/>
    <w:tblStylePr w:type="neCell"/>
    <w:tblStylePr w:type="nwCell"/>
    <w:tblStylePr w:type="seCell"/>
    <w:tblStylePr w:type="swCell"/>
  </w:style>
  <w:style w:type="table" w:customStyle="1" w:styleId="165">
    <w:name w:val="Bordered - Accent 5"/>
    <w:basedOn w:val="31"/>
    <w:qFormat/>
    <w:uiPriority w:val="99"/>
    <w:pPr>
      <w:spacing w:after="0" w:line="240" w:lineRule="auto"/>
    </w:pPr>
    <w:tblPr>
      <w:tblBorders>
        <w:top w:val="single" w:color="B6DDE7" w:sz="4" w:space="0"/>
        <w:left w:val="single" w:color="B6DDE7" w:sz="4" w:space="0"/>
        <w:bottom w:val="single" w:color="B6DDE7" w:sz="4" w:space="0"/>
        <w:right w:val="single" w:color="B6DDE7" w:sz="4" w:space="0"/>
        <w:insideH w:val="single" w:color="B6DDE7" w:sz="4" w:space="0"/>
        <w:insideV w:val="single" w:color="B6DDE7" w:sz="4" w:space="0"/>
      </w:tblBorders>
    </w:tblPr>
    <w:tblStylePr w:type="firstRow">
      <w:rPr>
        <w:rFonts w:ascii="Arial" w:hAnsi="Arial"/>
        <w:color w:val="404040"/>
        <w:sz w:val="22"/>
      </w:rPr>
      <w:tcPr>
        <w:tcBorders>
          <w:bottom w:val="single" w:color="92CCDC" w:sz="12" w:space="0"/>
        </w:tcBorders>
      </w:tcPr>
    </w:tblStylePr>
    <w:tblStylePr w:type="lastRow">
      <w:rPr>
        <w:rFonts w:ascii="Arial" w:hAnsi="Arial"/>
        <w:color w:val="404040"/>
        <w:sz w:val="22"/>
      </w:rPr>
      <w:tcPr>
        <w:tcBorders>
          <w:top w:val="single" w:color="92CCDC"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sz="12" w:space="0"/>
        </w:tcBorders>
      </w:tcPr>
    </w:tblStylePr>
    <w:tblStylePr w:type="band1Vert"/>
    <w:tblStylePr w:type="band2Vert"/>
    <w:tblStylePr w:type="band1Horz">
      <w:rPr>
        <w:rFonts w:ascii="Arial" w:hAnsi="Arial"/>
        <w:color w:val="404040"/>
        <w:sz w:val="22"/>
      </w:rPr>
      <w:tcPr>
        <w:tcBorders>
          <w:top w:val="single" w:color="B6DDE7" w:sz="4" w:space="0"/>
          <w:left w:val="single" w:color="B6DDE7" w:sz="4" w:space="0"/>
          <w:bottom w:val="single" w:color="B6DDE7" w:sz="4" w:space="0"/>
          <w:right w:val="single" w:color="B6DDE7" w:sz="4" w:space="0"/>
        </w:tcBorders>
      </w:tcPr>
    </w:tblStylePr>
    <w:tblStylePr w:type="band2Horz"/>
    <w:tblStylePr w:type="neCell"/>
    <w:tblStylePr w:type="nwCell"/>
    <w:tblStylePr w:type="seCell"/>
    <w:tblStylePr w:type="swCell"/>
  </w:style>
  <w:style w:type="table" w:customStyle="1" w:styleId="166">
    <w:name w:val="Bordered - Accent 6"/>
    <w:basedOn w:val="31"/>
    <w:qFormat/>
    <w:uiPriority w:val="99"/>
    <w:pPr>
      <w:spacing w:after="0" w:line="240" w:lineRule="auto"/>
    </w:pPr>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rFonts w:ascii="Arial" w:hAnsi="Arial"/>
        <w:color w:val="404040"/>
        <w:sz w:val="22"/>
      </w:rPr>
      <w:tcPr>
        <w:tcBorders>
          <w:bottom w:val="single" w:color="FAC090" w:sz="12" w:space="0"/>
        </w:tcBorders>
      </w:tcPr>
    </w:tblStylePr>
    <w:tblStylePr w:type="lastRow">
      <w:rPr>
        <w:rFonts w:ascii="Arial" w:hAnsi="Arial"/>
        <w:color w:val="404040"/>
        <w:sz w:val="22"/>
      </w:rPr>
      <w:tcPr>
        <w:tcBorders>
          <w:top w:val="single" w:color="FAC09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sz="12" w:space="0"/>
        </w:tcBorders>
      </w:tcPr>
    </w:tblStylePr>
    <w:tblStylePr w:type="band1Vert"/>
    <w:tblStylePr w:type="band2Vert"/>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tblStylePr w:type="band2Horz"/>
    <w:tblStylePr w:type="neCell"/>
    <w:tblStylePr w:type="nwCell"/>
    <w:tblStylePr w:type="seCell"/>
    <w:tblStylePr w:type="swCell"/>
  </w:style>
  <w:style w:type="character" w:customStyle="1" w:styleId="167">
    <w:name w:val="Heading 1 Char_9c05a4ce-db00-424e-9d46-22eb3742d0ad"/>
    <w:basedOn w:val="33"/>
    <w:link w:val="2"/>
    <w:qFormat/>
    <w:uiPriority w:val="9"/>
    <w:rPr>
      <w:rFonts w:ascii="Arial" w:hAnsi="Arial" w:eastAsia="Arial" w:cs="Arial"/>
      <w:color w:val="366091"/>
      <w:sz w:val="40"/>
      <w:szCs w:val="40"/>
    </w:rPr>
  </w:style>
  <w:style w:type="character" w:customStyle="1" w:styleId="168">
    <w:name w:val="Heading 2 Char_261e013e-775b-401d-bcac-19053e93e310"/>
    <w:basedOn w:val="33"/>
    <w:link w:val="3"/>
    <w:qFormat/>
    <w:uiPriority w:val="9"/>
    <w:rPr>
      <w:rFonts w:ascii="Arial" w:hAnsi="Arial" w:eastAsia="Arial" w:cs="Arial"/>
      <w:color w:val="366091"/>
      <w:sz w:val="32"/>
      <w:szCs w:val="32"/>
    </w:rPr>
  </w:style>
  <w:style w:type="character" w:customStyle="1" w:styleId="169">
    <w:name w:val="Heading 3 Char_1fb9955b-9e15-4fca-b891-22787aa8b2ad"/>
    <w:basedOn w:val="33"/>
    <w:link w:val="4"/>
    <w:qFormat/>
    <w:uiPriority w:val="9"/>
    <w:rPr>
      <w:rFonts w:ascii="Arial" w:hAnsi="Arial" w:eastAsia="Arial" w:cs="Arial"/>
      <w:color w:val="366091"/>
      <w:sz w:val="28"/>
      <w:szCs w:val="28"/>
    </w:rPr>
  </w:style>
  <w:style w:type="character" w:customStyle="1" w:styleId="170">
    <w:name w:val="Heading 4 Char_88bbfdd5-a179-42bf-82c1-b2ac8a0e2c45"/>
    <w:basedOn w:val="33"/>
    <w:link w:val="5"/>
    <w:qFormat/>
    <w:uiPriority w:val="9"/>
    <w:rPr>
      <w:rFonts w:ascii="Arial" w:hAnsi="Arial" w:eastAsia="Arial" w:cs="Arial"/>
      <w:i/>
      <w:iCs/>
      <w:color w:val="366091"/>
    </w:rPr>
  </w:style>
  <w:style w:type="character" w:customStyle="1" w:styleId="171">
    <w:name w:val="Heading 5 Char_fc817bdd-e0e7-4257-8fef-2856d5629f1e"/>
    <w:basedOn w:val="33"/>
    <w:link w:val="6"/>
    <w:qFormat/>
    <w:uiPriority w:val="9"/>
    <w:rPr>
      <w:rFonts w:ascii="Arial" w:hAnsi="Arial" w:eastAsia="Arial" w:cs="Arial"/>
      <w:color w:val="366091"/>
    </w:rPr>
  </w:style>
  <w:style w:type="character" w:customStyle="1" w:styleId="172">
    <w:name w:val="Heading 6 Char_a83dce1e-6574-4be3-af37-0664d1efedbf"/>
    <w:basedOn w:val="33"/>
    <w:link w:val="7"/>
    <w:qFormat/>
    <w:uiPriority w:val="9"/>
    <w:rPr>
      <w:rFonts w:ascii="Arial" w:hAnsi="Arial" w:eastAsia="Arial" w:cs="Arial"/>
      <w:i/>
      <w:iCs/>
      <w:color w:val="585858"/>
    </w:rPr>
  </w:style>
  <w:style w:type="character" w:customStyle="1" w:styleId="173">
    <w:name w:val="Heading 7 Char_f480e5f7-8133-439b-92d5-5f899548f7bd"/>
    <w:basedOn w:val="33"/>
    <w:link w:val="8"/>
    <w:qFormat/>
    <w:uiPriority w:val="9"/>
    <w:rPr>
      <w:rFonts w:ascii="Arial" w:hAnsi="Arial" w:eastAsia="Arial" w:cs="Arial"/>
      <w:color w:val="585858"/>
    </w:rPr>
  </w:style>
  <w:style w:type="character" w:customStyle="1" w:styleId="174">
    <w:name w:val="Heading 8 Char_de8823cc-07ea-4afc-930a-f7e77581486b"/>
    <w:basedOn w:val="33"/>
    <w:link w:val="9"/>
    <w:qFormat/>
    <w:uiPriority w:val="9"/>
    <w:rPr>
      <w:rFonts w:ascii="Arial" w:hAnsi="Arial" w:eastAsia="Arial" w:cs="Arial"/>
      <w:i/>
      <w:iCs/>
      <w:color w:val="262626"/>
    </w:rPr>
  </w:style>
  <w:style w:type="character" w:customStyle="1" w:styleId="175">
    <w:name w:val="Heading 9 Char_9fd9a8ea-214a-4dd2-90c7-a2866498860a"/>
    <w:basedOn w:val="33"/>
    <w:link w:val="10"/>
    <w:qFormat/>
    <w:uiPriority w:val="9"/>
    <w:rPr>
      <w:rFonts w:ascii="Arial" w:hAnsi="Arial" w:eastAsia="Arial" w:cs="Arial"/>
      <w:i/>
      <w:iCs/>
      <w:color w:val="262626"/>
    </w:rPr>
  </w:style>
  <w:style w:type="character" w:customStyle="1" w:styleId="176">
    <w:name w:val="Title Char_ccf3cc56-532c-4f11-8f20-4dbea40d8965"/>
    <w:basedOn w:val="33"/>
    <w:link w:val="30"/>
    <w:qFormat/>
    <w:uiPriority w:val="10"/>
    <w:rPr>
      <w:rFonts w:ascii="Arial" w:hAnsi="Arial" w:eastAsia="Arial" w:cs="Arial"/>
      <w:spacing w:val="-10"/>
      <w:sz w:val="56"/>
      <w:szCs w:val="56"/>
    </w:rPr>
  </w:style>
  <w:style w:type="character" w:customStyle="1" w:styleId="177">
    <w:name w:val="Subtitle Char"/>
    <w:basedOn w:val="33"/>
    <w:link w:val="24"/>
    <w:qFormat/>
    <w:uiPriority w:val="11"/>
    <w:rPr>
      <w:color w:val="585858"/>
      <w:spacing w:val="15"/>
      <w:sz w:val="28"/>
      <w:szCs w:val="28"/>
    </w:rPr>
  </w:style>
  <w:style w:type="paragraph" w:styleId="178">
    <w:name w:val="Quote"/>
    <w:basedOn w:val="1"/>
    <w:next w:val="1"/>
    <w:link w:val="179"/>
    <w:qFormat/>
    <w:uiPriority w:val="29"/>
    <w:pPr>
      <w:spacing w:before="160"/>
      <w:jc w:val="center"/>
    </w:pPr>
    <w:rPr>
      <w:i/>
      <w:iCs/>
      <w:color w:val="3F3F3F"/>
    </w:rPr>
  </w:style>
  <w:style w:type="character" w:customStyle="1" w:styleId="179">
    <w:name w:val="Quote Char_ccf2a4d4-1461-4666-b570-8875bb02e635"/>
    <w:basedOn w:val="33"/>
    <w:link w:val="178"/>
    <w:qFormat/>
    <w:uiPriority w:val="29"/>
    <w:rPr>
      <w:i/>
      <w:iCs/>
      <w:color w:val="3F3F3F"/>
    </w:rPr>
  </w:style>
  <w:style w:type="paragraph" w:styleId="180">
    <w:name w:val="List Paragraph"/>
    <w:basedOn w:val="1"/>
    <w:qFormat/>
    <w:uiPriority w:val="34"/>
    <w:pPr>
      <w:ind w:left="720"/>
      <w:contextualSpacing/>
    </w:pPr>
  </w:style>
  <w:style w:type="character" w:customStyle="1" w:styleId="181">
    <w:name w:val="Intense Emphasis_6003fda1-ab4b-43dd-ab65-58015b2ee319"/>
    <w:basedOn w:val="33"/>
    <w:qFormat/>
    <w:uiPriority w:val="21"/>
    <w:rPr>
      <w:i/>
      <w:iCs/>
      <w:color w:val="366091"/>
    </w:rPr>
  </w:style>
  <w:style w:type="paragraph" w:styleId="182">
    <w:name w:val="Intense Quote"/>
    <w:basedOn w:val="1"/>
    <w:next w:val="1"/>
    <w:link w:val="183"/>
    <w:qFormat/>
    <w:uiPriority w:val="30"/>
    <w:pPr>
      <w:pBdr>
        <w:top w:val="single" w:color="366091" w:sz="4" w:space="10"/>
        <w:bottom w:val="single" w:color="366091" w:sz="4" w:space="10"/>
      </w:pBdr>
      <w:spacing w:before="360" w:after="360"/>
      <w:ind w:left="864" w:right="864"/>
      <w:jc w:val="center"/>
    </w:pPr>
    <w:rPr>
      <w:i/>
      <w:iCs/>
      <w:color w:val="366091"/>
    </w:rPr>
  </w:style>
  <w:style w:type="character" w:customStyle="1" w:styleId="183">
    <w:name w:val="Intense Quote Char_1d7159b2-3829-488d-b028-e7af959062fe"/>
    <w:basedOn w:val="33"/>
    <w:link w:val="182"/>
    <w:qFormat/>
    <w:uiPriority w:val="30"/>
    <w:rPr>
      <w:i/>
      <w:iCs/>
      <w:color w:val="366091"/>
    </w:rPr>
  </w:style>
  <w:style w:type="character" w:customStyle="1" w:styleId="184">
    <w:name w:val="Intense Reference_e7ed30c6-6cfd-4721-91ff-3f2766294852"/>
    <w:basedOn w:val="33"/>
    <w:qFormat/>
    <w:uiPriority w:val="32"/>
    <w:rPr>
      <w:b/>
      <w:bCs/>
      <w:smallCaps/>
      <w:color w:val="366091"/>
      <w:spacing w:val="5"/>
    </w:rPr>
  </w:style>
  <w:style w:type="paragraph" w:styleId="185">
    <w:name w:val="No Spacing"/>
    <w:basedOn w:val="1"/>
    <w:qFormat/>
    <w:uiPriority w:val="1"/>
    <w:pPr>
      <w:spacing w:after="0" w:line="240" w:lineRule="auto"/>
    </w:pPr>
  </w:style>
  <w:style w:type="character" w:customStyle="1" w:styleId="186">
    <w:name w:val="Subtle Emphasis_c43a48b1-73f1-4b00-a504-d74c1e428706"/>
    <w:basedOn w:val="33"/>
    <w:qFormat/>
    <w:uiPriority w:val="19"/>
    <w:rPr>
      <w:i/>
      <w:iCs/>
      <w:color w:val="3F3F3F"/>
    </w:rPr>
  </w:style>
  <w:style w:type="character" w:customStyle="1" w:styleId="187">
    <w:name w:val="Subtle Reference_7b3c2422-92e4-40b5-b2a9-ff064669e581"/>
    <w:basedOn w:val="33"/>
    <w:qFormat/>
    <w:uiPriority w:val="31"/>
    <w:rPr>
      <w:smallCaps/>
      <w:color w:val="595959"/>
    </w:rPr>
  </w:style>
  <w:style w:type="character" w:customStyle="1" w:styleId="188">
    <w:name w:val="Book Title_0d4543c7-21a7-4a47-a093-686f1622dd8e"/>
    <w:basedOn w:val="33"/>
    <w:qFormat/>
    <w:uiPriority w:val="33"/>
    <w:rPr>
      <w:b/>
      <w:bCs/>
      <w:i/>
      <w:iCs/>
      <w:spacing w:val="5"/>
    </w:rPr>
  </w:style>
  <w:style w:type="character" w:customStyle="1" w:styleId="189">
    <w:name w:val="Header Char_26bbcbc5-dcdf-4dcc-8cdf-4d94e458490e"/>
    <w:basedOn w:val="33"/>
    <w:link w:val="21"/>
    <w:qFormat/>
    <w:uiPriority w:val="99"/>
  </w:style>
  <w:style w:type="character" w:customStyle="1" w:styleId="190">
    <w:name w:val="Footer Char_44726c7c-fb61-43e0-96ec-5071ff5562bd"/>
    <w:basedOn w:val="33"/>
    <w:link w:val="20"/>
    <w:qFormat/>
    <w:uiPriority w:val="99"/>
  </w:style>
  <w:style w:type="character" w:customStyle="1" w:styleId="191">
    <w:name w:val="Footnote Text Char"/>
    <w:basedOn w:val="33"/>
    <w:link w:val="25"/>
    <w:qFormat/>
    <w:uiPriority w:val="99"/>
    <w:rPr>
      <w:sz w:val="20"/>
      <w:szCs w:val="20"/>
    </w:rPr>
  </w:style>
  <w:style w:type="character" w:customStyle="1" w:styleId="192">
    <w:name w:val="Endnote Text Char"/>
    <w:basedOn w:val="33"/>
    <w:link w:val="19"/>
    <w:qFormat/>
    <w:uiPriority w:val="99"/>
    <w:rPr>
      <w:sz w:val="20"/>
      <w:szCs w:val="20"/>
    </w:rPr>
  </w:style>
  <w:style w:type="character" w:styleId="193">
    <w:name w:val="Placeholder Text"/>
    <w:basedOn w:val="33"/>
    <w:qFormat/>
    <w:uiPriority w:val="99"/>
    <w:rPr>
      <w:color w:val="666666"/>
    </w:rPr>
  </w:style>
  <w:style w:type="paragraph" w:customStyle="1" w:styleId="194">
    <w:name w:val="TOC Heading_35d9a5b8-90bf-45f8-b9e1-b80a5b2525da"/>
    <w:qFormat/>
    <w:uiPriority w:val="39"/>
    <w:rPr>
      <w:rFonts w:hint="default" w:ascii="Times New Roman" w:hAnsi="Times New Roman" w:eastAsia="宋体" w:cs="Times New Roman"/>
    </w:rPr>
  </w:style>
  <w:style w:type="paragraph" w:customStyle="1" w:styleId="195">
    <w:name w:val="标题 11"/>
    <w:basedOn w:val="1"/>
    <w:next w:val="1"/>
    <w:qFormat/>
    <w:uiPriority w:val="99"/>
    <w:pPr>
      <w:keepNext/>
      <w:keepLines/>
      <w:spacing w:line="360" w:lineRule="auto"/>
      <w:outlineLvl w:val="0"/>
    </w:pPr>
    <w:rPr>
      <w:rFonts w:eastAsia="黑体"/>
      <w:b/>
      <w:bCs/>
      <w:sz w:val="44"/>
      <w:szCs w:val="44"/>
      <w:lang w:val="zh-CN"/>
    </w:rPr>
  </w:style>
  <w:style w:type="paragraph" w:customStyle="1" w:styleId="196">
    <w:name w:val="标题 21"/>
    <w:basedOn w:val="1"/>
    <w:next w:val="1"/>
    <w:link w:val="206"/>
    <w:qFormat/>
    <w:uiPriority w:val="9"/>
    <w:pPr>
      <w:keepNext/>
      <w:keepLines/>
      <w:spacing w:before="260" w:after="260" w:line="416" w:lineRule="auto"/>
      <w:outlineLvl w:val="1"/>
    </w:pPr>
    <w:rPr>
      <w:rFonts w:ascii="Cambria" w:hAnsi="Cambria"/>
      <w:b/>
      <w:bCs/>
      <w:sz w:val="32"/>
      <w:szCs w:val="32"/>
    </w:rPr>
  </w:style>
  <w:style w:type="paragraph" w:customStyle="1" w:styleId="197">
    <w:name w:val="标题 31"/>
    <w:basedOn w:val="1"/>
    <w:next w:val="1"/>
    <w:qFormat/>
    <w:uiPriority w:val="99"/>
    <w:pPr>
      <w:keepNext/>
      <w:keepLines/>
      <w:spacing w:line="360" w:lineRule="auto"/>
      <w:outlineLvl w:val="2"/>
    </w:pPr>
    <w:rPr>
      <w:rFonts w:eastAsia="黑体"/>
      <w:b/>
      <w:bCs/>
      <w:sz w:val="32"/>
      <w:szCs w:val="32"/>
      <w:lang w:val="zh-CN"/>
    </w:rPr>
  </w:style>
  <w:style w:type="paragraph" w:customStyle="1" w:styleId="198">
    <w:name w:val="标题 41"/>
    <w:basedOn w:val="1"/>
    <w:next w:val="1"/>
    <w:qFormat/>
    <w:uiPriority w:val="0"/>
    <w:pPr>
      <w:keepNext/>
      <w:keepLines/>
      <w:spacing w:before="280" w:after="290" w:line="376" w:lineRule="auto"/>
      <w:outlineLvl w:val="3"/>
    </w:pPr>
    <w:rPr>
      <w:rFonts w:ascii="Arial" w:hAnsi="Arial" w:eastAsia="黑体"/>
      <w:b/>
      <w:bCs/>
      <w:sz w:val="28"/>
      <w:szCs w:val="28"/>
    </w:rPr>
  </w:style>
  <w:style w:type="paragraph" w:customStyle="1" w:styleId="199">
    <w:name w:val="标题 51"/>
    <w:basedOn w:val="1"/>
    <w:next w:val="200"/>
    <w:link w:val="207"/>
    <w:qFormat/>
    <w:uiPriority w:val="0"/>
    <w:pPr>
      <w:keepNext/>
      <w:keepLines/>
      <w:spacing w:before="280" w:after="290" w:line="376" w:lineRule="auto"/>
      <w:outlineLvl w:val="4"/>
    </w:pPr>
    <w:rPr>
      <w:b/>
      <w:bCs/>
      <w:sz w:val="28"/>
      <w:szCs w:val="28"/>
    </w:rPr>
  </w:style>
  <w:style w:type="paragraph" w:customStyle="1" w:styleId="200">
    <w:name w:val="正文缩进11"/>
    <w:basedOn w:val="1"/>
    <w:qFormat/>
    <w:uiPriority w:val="0"/>
    <w:pPr>
      <w:ind w:firstLine="420"/>
    </w:pPr>
    <w:rPr>
      <w:szCs w:val="20"/>
    </w:rPr>
  </w:style>
  <w:style w:type="paragraph" w:customStyle="1" w:styleId="201">
    <w:name w:val="标题 61"/>
    <w:basedOn w:val="1"/>
    <w:next w:val="1"/>
    <w:qFormat/>
    <w:uiPriority w:val="0"/>
    <w:pPr>
      <w:keepNext/>
      <w:keepLines/>
      <w:spacing w:before="240" w:after="64" w:line="320" w:lineRule="auto"/>
      <w:outlineLvl w:val="5"/>
    </w:pPr>
    <w:rPr>
      <w:rFonts w:ascii="Arial" w:hAnsi="Arial" w:eastAsia="黑体"/>
      <w:b/>
      <w:bCs/>
      <w:sz w:val="24"/>
    </w:rPr>
  </w:style>
  <w:style w:type="paragraph" w:customStyle="1" w:styleId="202">
    <w:name w:val="标题 81"/>
    <w:basedOn w:val="1"/>
    <w:next w:val="1"/>
    <w:link w:val="208"/>
    <w:qFormat/>
    <w:uiPriority w:val="9"/>
    <w:pPr>
      <w:keepNext/>
      <w:keepLines/>
      <w:spacing w:before="240" w:after="64" w:line="320" w:lineRule="auto"/>
      <w:outlineLvl w:val="7"/>
    </w:pPr>
    <w:rPr>
      <w:rFonts w:ascii="等线 Light" w:hAnsi="等线 Light" w:eastAsia="等线 Light"/>
      <w:sz w:val="24"/>
    </w:rPr>
  </w:style>
  <w:style w:type="character" w:customStyle="1" w:styleId="203">
    <w:name w:val="默认段落字体1"/>
    <w:qFormat/>
    <w:uiPriority w:val="1"/>
  </w:style>
  <w:style w:type="table" w:customStyle="1" w:styleId="204">
    <w:name w:val="普通表格1"/>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05">
    <w:name w:val="正文文本 Char1"/>
    <w:link w:val="40"/>
    <w:qFormat/>
    <w:uiPriority w:val="0"/>
    <w:rPr>
      <w:rFonts w:ascii="Times New Roman" w:hAnsi="Times New Roman"/>
      <w:sz w:val="21"/>
      <w:szCs w:val="24"/>
    </w:rPr>
  </w:style>
  <w:style w:type="character" w:customStyle="1" w:styleId="206">
    <w:name w:val="标题 2 Char1"/>
    <w:link w:val="196"/>
    <w:qFormat/>
    <w:uiPriority w:val="9"/>
    <w:rPr>
      <w:rFonts w:ascii="Cambria" w:hAnsi="Cambria" w:eastAsia="宋体" w:cs="Times New Roman"/>
      <w:b/>
      <w:bCs/>
      <w:sz w:val="32"/>
      <w:szCs w:val="32"/>
    </w:rPr>
  </w:style>
  <w:style w:type="character" w:customStyle="1" w:styleId="207">
    <w:name w:val="标题 5 Char"/>
    <w:link w:val="199"/>
    <w:qFormat/>
    <w:uiPriority w:val="0"/>
    <w:rPr>
      <w:rFonts w:ascii="Times New Roman" w:hAnsi="Times New Roman"/>
      <w:b/>
      <w:bCs/>
      <w:sz w:val="28"/>
      <w:szCs w:val="28"/>
    </w:rPr>
  </w:style>
  <w:style w:type="character" w:customStyle="1" w:styleId="208">
    <w:name w:val="标题 8 Char1"/>
    <w:link w:val="202"/>
    <w:qFormat/>
    <w:uiPriority w:val="9"/>
    <w:rPr>
      <w:rFonts w:ascii="等线 Light" w:hAnsi="等线 Light" w:eastAsia="等线 Light" w:cs="Times New Roman"/>
      <w:sz w:val="24"/>
      <w:szCs w:val="24"/>
    </w:rPr>
  </w:style>
  <w:style w:type="paragraph" w:customStyle="1" w:styleId="209">
    <w:name w:val="目录 71"/>
    <w:basedOn w:val="1"/>
    <w:next w:val="1"/>
    <w:qFormat/>
    <w:uiPriority w:val="39"/>
    <w:pPr>
      <w:ind w:left="2520"/>
    </w:pPr>
    <w:rPr>
      <w:rFonts w:ascii="Calibri" w:hAnsi="Calibri" w:eastAsia="宋体" w:cs="Times New Roman"/>
      <w:szCs w:val="22"/>
    </w:rPr>
  </w:style>
  <w:style w:type="paragraph" w:customStyle="1" w:styleId="210">
    <w:name w:val="列表编号1"/>
    <w:basedOn w:val="1"/>
    <w:qFormat/>
    <w:uiPriority w:val="0"/>
    <w:pPr>
      <w:widowControl/>
      <w:tabs>
        <w:tab w:val="left" w:pos="454"/>
        <w:tab w:val="left" w:pos="720"/>
        <w:tab w:val="left" w:pos="840"/>
      </w:tabs>
      <w:spacing w:after="50"/>
      <w:ind w:left="454" w:hanging="284"/>
      <w:jc w:val="left"/>
    </w:pPr>
    <w:rPr>
      <w:sz w:val="24"/>
      <w:szCs w:val="20"/>
    </w:rPr>
  </w:style>
  <w:style w:type="paragraph" w:customStyle="1" w:styleId="211">
    <w:name w:val="文档结构图1"/>
    <w:basedOn w:val="1"/>
    <w:qFormat/>
    <w:uiPriority w:val="0"/>
    <w:pPr>
      <w:shd w:val="clear" w:color="auto" w:fill="000080"/>
    </w:pPr>
  </w:style>
  <w:style w:type="paragraph" w:customStyle="1" w:styleId="212">
    <w:name w:val="批注文字11"/>
    <w:basedOn w:val="1"/>
    <w:link w:val="213"/>
    <w:qFormat/>
    <w:uiPriority w:val="0"/>
    <w:pPr>
      <w:jc w:val="left"/>
    </w:pPr>
  </w:style>
  <w:style w:type="character" w:customStyle="1" w:styleId="213">
    <w:name w:val="批注文字 Char1"/>
    <w:link w:val="212"/>
    <w:qFormat/>
    <w:uiPriority w:val="0"/>
    <w:rPr>
      <w:rFonts w:ascii="Times New Roman" w:hAnsi="Times New Roman"/>
      <w:sz w:val="21"/>
      <w:szCs w:val="24"/>
    </w:rPr>
  </w:style>
  <w:style w:type="paragraph" w:customStyle="1" w:styleId="214">
    <w:name w:val="正文文本 31"/>
    <w:basedOn w:val="1"/>
    <w:qFormat/>
    <w:uiPriority w:val="99"/>
    <w:pPr>
      <w:spacing w:after="120"/>
    </w:pPr>
    <w:rPr>
      <w:sz w:val="16"/>
      <w:szCs w:val="16"/>
    </w:rPr>
  </w:style>
  <w:style w:type="paragraph" w:customStyle="1" w:styleId="215">
    <w:name w:val="正文文本缩进1"/>
    <w:basedOn w:val="1"/>
    <w:next w:val="216"/>
    <w:link w:val="217"/>
    <w:qFormat/>
    <w:uiPriority w:val="0"/>
    <w:pPr>
      <w:ind w:firstLine="830"/>
    </w:pPr>
    <w:rPr>
      <w:rFonts w:ascii="仿宋_GB2312" w:eastAsia="仿宋_GB2312"/>
      <w:sz w:val="32"/>
      <w:szCs w:val="20"/>
    </w:rPr>
  </w:style>
  <w:style w:type="paragraph" w:customStyle="1" w:styleId="216">
    <w:name w:val="正文文本缩进 21"/>
    <w:basedOn w:val="1"/>
    <w:link w:val="218"/>
    <w:qFormat/>
    <w:uiPriority w:val="99"/>
    <w:pPr>
      <w:spacing w:after="120" w:line="480" w:lineRule="auto"/>
      <w:ind w:left="420"/>
    </w:pPr>
  </w:style>
  <w:style w:type="character" w:customStyle="1" w:styleId="217">
    <w:name w:val="正文文本缩进 Char"/>
    <w:link w:val="215"/>
    <w:qFormat/>
    <w:uiPriority w:val="0"/>
    <w:rPr>
      <w:rFonts w:ascii="仿宋_GB2312" w:hAnsi="Times New Roman" w:eastAsia="仿宋_GB2312" w:cs="Times New Roman"/>
      <w:sz w:val="32"/>
      <w:szCs w:val="20"/>
    </w:rPr>
  </w:style>
  <w:style w:type="character" w:customStyle="1" w:styleId="218">
    <w:name w:val="正文文本缩进 2 Char"/>
    <w:link w:val="216"/>
    <w:qFormat/>
    <w:uiPriority w:val="99"/>
    <w:rPr>
      <w:sz w:val="21"/>
      <w:szCs w:val="24"/>
    </w:rPr>
  </w:style>
  <w:style w:type="paragraph" w:customStyle="1" w:styleId="219">
    <w:name w:val="列表 21"/>
    <w:basedOn w:val="1"/>
    <w:qFormat/>
    <w:uiPriority w:val="99"/>
    <w:pPr>
      <w:ind w:left="100" w:hanging="200"/>
      <w:contextualSpacing/>
    </w:pPr>
  </w:style>
  <w:style w:type="paragraph" w:customStyle="1" w:styleId="220">
    <w:name w:val="目录 51"/>
    <w:basedOn w:val="1"/>
    <w:next w:val="1"/>
    <w:qFormat/>
    <w:uiPriority w:val="39"/>
    <w:pPr>
      <w:ind w:left="1680"/>
    </w:pPr>
    <w:rPr>
      <w:rFonts w:ascii="Calibri" w:hAnsi="Calibri" w:eastAsia="宋体" w:cs="Times New Roman"/>
      <w:szCs w:val="22"/>
    </w:rPr>
  </w:style>
  <w:style w:type="paragraph" w:customStyle="1" w:styleId="221">
    <w:name w:val="目录 31"/>
    <w:basedOn w:val="1"/>
    <w:next w:val="1"/>
    <w:qFormat/>
    <w:uiPriority w:val="39"/>
    <w:pPr>
      <w:ind w:left="840"/>
    </w:pPr>
  </w:style>
  <w:style w:type="paragraph" w:customStyle="1" w:styleId="222">
    <w:name w:val="纯文本11"/>
    <w:basedOn w:val="1"/>
    <w:next w:val="1"/>
    <w:link w:val="223"/>
    <w:qFormat/>
    <w:uiPriority w:val="0"/>
    <w:rPr>
      <w:rFonts w:ascii="宋体" w:hAnsi="Courier New"/>
      <w:sz w:val="20"/>
      <w:szCs w:val="21"/>
    </w:rPr>
  </w:style>
  <w:style w:type="character" w:customStyle="1" w:styleId="223">
    <w:name w:val="纯文本 Char1"/>
    <w:link w:val="222"/>
    <w:qFormat/>
    <w:uiPriority w:val="0"/>
    <w:rPr>
      <w:rFonts w:ascii="宋体" w:hAnsi="Courier New" w:eastAsia="宋体" w:cs="Courier New"/>
      <w:szCs w:val="21"/>
    </w:rPr>
  </w:style>
  <w:style w:type="paragraph" w:customStyle="1" w:styleId="224">
    <w:name w:val="目录 81"/>
    <w:basedOn w:val="1"/>
    <w:next w:val="1"/>
    <w:qFormat/>
    <w:uiPriority w:val="39"/>
    <w:pPr>
      <w:ind w:left="2940"/>
    </w:pPr>
    <w:rPr>
      <w:rFonts w:ascii="Calibri" w:hAnsi="Calibri" w:eastAsia="宋体" w:cs="Times New Roman"/>
      <w:szCs w:val="22"/>
    </w:rPr>
  </w:style>
  <w:style w:type="paragraph" w:customStyle="1" w:styleId="225">
    <w:name w:val="日期1"/>
    <w:basedOn w:val="1"/>
    <w:next w:val="1"/>
    <w:link w:val="226"/>
    <w:qFormat/>
    <w:uiPriority w:val="99"/>
    <w:pPr>
      <w:ind w:left="100"/>
    </w:pPr>
  </w:style>
  <w:style w:type="character" w:customStyle="1" w:styleId="226">
    <w:name w:val="日期 Char"/>
    <w:link w:val="225"/>
    <w:qFormat/>
    <w:uiPriority w:val="99"/>
    <w:rPr>
      <w:rFonts w:ascii="Times New Roman" w:hAnsi="Times New Roman"/>
      <w:sz w:val="21"/>
      <w:szCs w:val="24"/>
    </w:rPr>
  </w:style>
  <w:style w:type="paragraph" w:customStyle="1" w:styleId="227">
    <w:name w:val="批注框文本1"/>
    <w:basedOn w:val="1"/>
    <w:qFormat/>
    <w:uiPriority w:val="0"/>
    <w:rPr>
      <w:sz w:val="18"/>
      <w:szCs w:val="18"/>
    </w:rPr>
  </w:style>
  <w:style w:type="paragraph" w:customStyle="1" w:styleId="228">
    <w:name w:val="页脚1"/>
    <w:basedOn w:val="1"/>
    <w:link w:val="229"/>
    <w:qFormat/>
    <w:uiPriority w:val="99"/>
    <w:pPr>
      <w:tabs>
        <w:tab w:val="center" w:pos="4153"/>
        <w:tab w:val="right" w:pos="8306"/>
      </w:tabs>
      <w:jc w:val="left"/>
    </w:pPr>
    <w:rPr>
      <w:sz w:val="18"/>
      <w:szCs w:val="18"/>
    </w:rPr>
  </w:style>
  <w:style w:type="character" w:customStyle="1" w:styleId="229">
    <w:name w:val="页脚 Char"/>
    <w:link w:val="228"/>
    <w:qFormat/>
    <w:uiPriority w:val="99"/>
    <w:rPr>
      <w:sz w:val="18"/>
      <w:szCs w:val="18"/>
    </w:rPr>
  </w:style>
  <w:style w:type="paragraph" w:customStyle="1" w:styleId="230">
    <w:name w:val="寄信人地址1"/>
    <w:basedOn w:val="1"/>
    <w:qFormat/>
    <w:uiPriority w:val="0"/>
    <w:rPr>
      <w:rFonts w:ascii="Arial" w:hAnsi="Arial"/>
    </w:rPr>
  </w:style>
  <w:style w:type="paragraph" w:customStyle="1" w:styleId="231">
    <w:name w:val="页眉1"/>
    <w:basedOn w:val="1"/>
    <w:link w:val="232"/>
    <w:qFormat/>
    <w:uiPriority w:val="0"/>
    <w:pPr>
      <w:pBdr>
        <w:bottom w:val="single" w:color="000000" w:sz="6" w:space="1"/>
      </w:pBdr>
      <w:tabs>
        <w:tab w:val="center" w:pos="4153"/>
        <w:tab w:val="right" w:pos="8306"/>
      </w:tabs>
      <w:jc w:val="center"/>
    </w:pPr>
    <w:rPr>
      <w:sz w:val="18"/>
      <w:szCs w:val="18"/>
    </w:rPr>
  </w:style>
  <w:style w:type="character" w:customStyle="1" w:styleId="232">
    <w:name w:val="页眉 Char"/>
    <w:link w:val="231"/>
    <w:qFormat/>
    <w:uiPriority w:val="0"/>
    <w:rPr>
      <w:sz w:val="18"/>
      <w:szCs w:val="18"/>
    </w:rPr>
  </w:style>
  <w:style w:type="paragraph" w:customStyle="1" w:styleId="233">
    <w:name w:val="目录 11"/>
    <w:basedOn w:val="1"/>
    <w:next w:val="1"/>
    <w:qFormat/>
    <w:uiPriority w:val="39"/>
  </w:style>
  <w:style w:type="paragraph" w:customStyle="1" w:styleId="234">
    <w:name w:val="目录 41"/>
    <w:basedOn w:val="1"/>
    <w:next w:val="1"/>
    <w:qFormat/>
    <w:uiPriority w:val="39"/>
    <w:pPr>
      <w:ind w:left="1260"/>
    </w:pPr>
    <w:rPr>
      <w:rFonts w:ascii="Calibri" w:hAnsi="Calibri" w:eastAsia="宋体" w:cs="Times New Roman"/>
      <w:szCs w:val="22"/>
    </w:rPr>
  </w:style>
  <w:style w:type="paragraph" w:customStyle="1" w:styleId="235">
    <w:name w:val="目录 61"/>
    <w:basedOn w:val="1"/>
    <w:next w:val="1"/>
    <w:qFormat/>
    <w:uiPriority w:val="39"/>
    <w:pPr>
      <w:ind w:left="2100"/>
    </w:pPr>
    <w:rPr>
      <w:rFonts w:ascii="Calibri" w:hAnsi="Calibri" w:eastAsia="宋体" w:cs="Times New Roman"/>
      <w:szCs w:val="22"/>
    </w:rPr>
  </w:style>
  <w:style w:type="paragraph" w:customStyle="1" w:styleId="236">
    <w:name w:val="图表目录1"/>
    <w:basedOn w:val="1"/>
    <w:next w:val="1"/>
    <w:qFormat/>
    <w:uiPriority w:val="0"/>
    <w:pPr>
      <w:ind w:hanging="200"/>
    </w:pPr>
    <w:rPr>
      <w:rFonts w:ascii="Times New Roman" w:hAnsi="Times New Roman" w:eastAsia="宋体" w:cs="Times New Roman"/>
    </w:rPr>
  </w:style>
  <w:style w:type="paragraph" w:customStyle="1" w:styleId="237">
    <w:name w:val="目录 21"/>
    <w:basedOn w:val="1"/>
    <w:next w:val="1"/>
    <w:qFormat/>
    <w:uiPriority w:val="39"/>
    <w:pPr>
      <w:tabs>
        <w:tab w:val="right" w:leader="dot" w:pos="8296"/>
      </w:tabs>
      <w:ind w:left="420"/>
    </w:pPr>
  </w:style>
  <w:style w:type="paragraph" w:customStyle="1" w:styleId="238">
    <w:name w:val="目录 91"/>
    <w:basedOn w:val="1"/>
    <w:next w:val="1"/>
    <w:qFormat/>
    <w:uiPriority w:val="39"/>
    <w:pPr>
      <w:ind w:left="3360"/>
    </w:pPr>
    <w:rPr>
      <w:rFonts w:ascii="Calibri" w:hAnsi="Calibri" w:eastAsia="宋体" w:cs="Times New Roman"/>
      <w:szCs w:val="22"/>
    </w:rPr>
  </w:style>
  <w:style w:type="paragraph" w:customStyle="1" w:styleId="239">
    <w:name w:val="正文文本 21"/>
    <w:basedOn w:val="1"/>
    <w:qFormat/>
    <w:uiPriority w:val="0"/>
    <w:pPr>
      <w:spacing w:after="120" w:line="480" w:lineRule="auto"/>
    </w:pPr>
    <w:rPr>
      <w:sz w:val="20"/>
    </w:rPr>
  </w:style>
  <w:style w:type="paragraph" w:customStyle="1" w:styleId="240">
    <w:name w:val="HTML 预设格式1"/>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sz w:val="24"/>
      <w:szCs w:val="24"/>
      <w:lang w:val="en-US" w:eastAsia="zh-CN"/>
    </w:rPr>
  </w:style>
  <w:style w:type="paragraph" w:customStyle="1" w:styleId="241">
    <w:name w:val="普通(网站)1"/>
    <w:basedOn w:val="1"/>
    <w:qFormat/>
    <w:uiPriority w:val="0"/>
    <w:pPr>
      <w:spacing w:before="0" w:beforeAutospacing="0" w:after="0" w:afterAutospacing="0"/>
      <w:ind w:left="0" w:right="0"/>
      <w:jc w:val="both"/>
    </w:pPr>
    <w:rPr>
      <w:rFonts w:ascii="Calibri" w:hAnsi="Calibri" w:cs="Calibri"/>
      <w:sz w:val="24"/>
      <w:szCs w:val="24"/>
      <w:lang w:val="en-US" w:eastAsia="zh-CN"/>
    </w:rPr>
  </w:style>
  <w:style w:type="paragraph" w:customStyle="1" w:styleId="242">
    <w:name w:val="标题1"/>
    <w:basedOn w:val="1"/>
    <w:next w:val="1"/>
    <w:qFormat/>
    <w:uiPriority w:val="10"/>
    <w:pPr>
      <w:spacing w:before="240" w:after="60"/>
      <w:jc w:val="center"/>
      <w:outlineLvl w:val="0"/>
    </w:pPr>
    <w:rPr>
      <w:rFonts w:ascii="Cambria" w:hAnsi="Cambria"/>
      <w:b/>
      <w:bCs/>
      <w:sz w:val="32"/>
      <w:szCs w:val="32"/>
    </w:rPr>
  </w:style>
  <w:style w:type="paragraph" w:customStyle="1" w:styleId="243">
    <w:name w:val="批注主题1"/>
    <w:basedOn w:val="212"/>
    <w:next w:val="212"/>
    <w:link w:val="244"/>
    <w:qFormat/>
    <w:uiPriority w:val="99"/>
    <w:rPr>
      <w:b/>
      <w:bCs/>
    </w:rPr>
  </w:style>
  <w:style w:type="character" w:customStyle="1" w:styleId="244">
    <w:name w:val="批注主题 Char"/>
    <w:link w:val="243"/>
    <w:qFormat/>
    <w:uiPriority w:val="99"/>
    <w:rPr>
      <w:rFonts w:ascii="Times New Roman" w:hAnsi="Times New Roman"/>
      <w:b/>
      <w:bCs/>
      <w:sz w:val="21"/>
      <w:szCs w:val="24"/>
    </w:rPr>
  </w:style>
  <w:style w:type="paragraph" w:customStyle="1" w:styleId="245">
    <w:name w:val="正文首行缩进1"/>
    <w:basedOn w:val="1"/>
    <w:qFormat/>
    <w:uiPriority w:val="0"/>
    <w:pPr>
      <w:ind w:firstLine="420"/>
      <w:jc w:val="both"/>
    </w:pPr>
    <w:rPr>
      <w:rFonts w:hAnsi="Times New Roman" w:eastAsia="Times New Roman"/>
      <w:szCs w:val="20"/>
    </w:rPr>
  </w:style>
  <w:style w:type="paragraph" w:customStyle="1" w:styleId="246">
    <w:name w:val="正文首行缩进 21"/>
    <w:basedOn w:val="215"/>
    <w:qFormat/>
    <w:uiPriority w:val="0"/>
    <w:pPr>
      <w:widowControl w:val="0"/>
      <w:ind w:firstLine="420"/>
      <w:jc w:val="both"/>
    </w:pPr>
    <w:rPr>
      <w:rFonts w:ascii="Calibri" w:hAnsi="Calibri"/>
    </w:rPr>
  </w:style>
  <w:style w:type="table" w:customStyle="1" w:styleId="247">
    <w:name w:val="网格型11"/>
    <w:basedOn w:val="20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48">
    <w:name w:val="要点1"/>
    <w:basedOn w:val="203"/>
    <w:qFormat/>
    <w:uiPriority w:val="22"/>
    <w:rPr>
      <w:b/>
    </w:rPr>
  </w:style>
  <w:style w:type="character" w:customStyle="1" w:styleId="249">
    <w:name w:val="页码1"/>
    <w:qFormat/>
    <w:uiPriority w:val="0"/>
  </w:style>
  <w:style w:type="character" w:customStyle="1" w:styleId="250">
    <w:name w:val="已访问的超链接1"/>
    <w:basedOn w:val="203"/>
    <w:qFormat/>
    <w:uiPriority w:val="99"/>
    <w:rPr>
      <w:color w:val="337AB7"/>
      <w:u w:val="none"/>
    </w:rPr>
  </w:style>
  <w:style w:type="character" w:customStyle="1" w:styleId="251">
    <w:name w:val="HTML 定义1"/>
    <w:basedOn w:val="203"/>
    <w:qFormat/>
    <w:uiPriority w:val="99"/>
    <w:rPr>
      <w:i/>
    </w:rPr>
  </w:style>
  <w:style w:type="character" w:customStyle="1" w:styleId="252">
    <w:name w:val="超链接1"/>
    <w:basedOn w:val="203"/>
    <w:qFormat/>
    <w:uiPriority w:val="99"/>
    <w:rPr>
      <w:color w:val="337AB7"/>
      <w:u w:val="none"/>
    </w:rPr>
  </w:style>
  <w:style w:type="character" w:customStyle="1" w:styleId="253">
    <w:name w:val="HTML 代码1"/>
    <w:basedOn w:val="203"/>
    <w:qFormat/>
    <w:uiPriority w:val="99"/>
    <w:rPr>
      <w:rFonts w:ascii="Consolas" w:hAnsi="Consolas" w:eastAsia="Consolas" w:cs="Consolas"/>
      <w:color w:val="C7254E"/>
      <w:sz w:val="21"/>
      <w:szCs w:val="21"/>
      <w:shd w:val="clear" w:color="auto" w:fill="F9F2F4"/>
    </w:rPr>
  </w:style>
  <w:style w:type="character" w:customStyle="1" w:styleId="254">
    <w:name w:val="批注引用1"/>
    <w:qFormat/>
    <w:uiPriority w:val="0"/>
    <w:rPr>
      <w:sz w:val="21"/>
      <w:szCs w:val="21"/>
    </w:rPr>
  </w:style>
  <w:style w:type="character" w:customStyle="1" w:styleId="255">
    <w:name w:val="HTML 键盘1"/>
    <w:basedOn w:val="203"/>
    <w:qFormat/>
    <w:uiPriority w:val="99"/>
    <w:rPr>
      <w:rFonts w:ascii="Consolas" w:hAnsi="Consolas" w:eastAsia="Consolas" w:cs="Consolas"/>
      <w:color w:val="FFFFFF"/>
      <w:sz w:val="21"/>
      <w:szCs w:val="21"/>
      <w:shd w:val="clear" w:color="auto" w:fill="333333"/>
    </w:rPr>
  </w:style>
  <w:style w:type="character" w:customStyle="1" w:styleId="256">
    <w:name w:val="HTML 样本1"/>
    <w:basedOn w:val="203"/>
    <w:qFormat/>
    <w:uiPriority w:val="99"/>
    <w:rPr>
      <w:rFonts w:ascii="Consolas" w:hAnsi="Consolas" w:eastAsia="Consolas" w:cs="Consolas"/>
      <w:sz w:val="21"/>
      <w:szCs w:val="21"/>
    </w:rPr>
  </w:style>
  <w:style w:type="paragraph" w:customStyle="1" w:styleId="257">
    <w:name w:val="font5"/>
    <w:basedOn w:val="1"/>
    <w:next w:val="224"/>
    <w:qFormat/>
    <w:uiPriority w:val="0"/>
    <w:pPr>
      <w:widowControl/>
      <w:spacing w:before="280" w:after="280"/>
    </w:pPr>
    <w:rPr>
      <w:rFonts w:ascii="宋体"/>
      <w:sz w:val="18"/>
    </w:rPr>
  </w:style>
  <w:style w:type="paragraph" w:customStyle="1" w:styleId="258">
    <w:name w:val="标4"/>
    <w:basedOn w:val="1"/>
    <w:qFormat/>
    <w:uiPriority w:val="0"/>
    <w:pPr>
      <w:spacing w:before="240" w:after="360" w:line="240" w:lineRule="exact"/>
      <w:outlineLvl w:val="3"/>
    </w:pPr>
    <w:rPr>
      <w:rFonts w:ascii="Arial" w:hAnsi="Arial" w:cs="Arial"/>
      <w:b/>
      <w:bCs/>
    </w:rPr>
  </w:style>
  <w:style w:type="paragraph" w:customStyle="1" w:styleId="259">
    <w:name w:val="Default"/>
    <w:basedOn w:val="260"/>
    <w:qFormat/>
    <w:uiPriority w:val="0"/>
    <w:pPr>
      <w:widowControl w:val="0"/>
    </w:pPr>
    <w:rPr>
      <w:rFonts w:hint="default" w:ascii="Times New Roman" w:hAnsi="Times New Roman" w:eastAsia="宋体" w:cs="Calibri"/>
      <w:color w:val="000000"/>
      <w:sz w:val="24"/>
      <w:szCs w:val="24"/>
      <w:lang w:val="en-US" w:eastAsia="zh-CN" w:bidi="ar-SA"/>
    </w:rPr>
  </w:style>
  <w:style w:type="paragraph" w:customStyle="1" w:styleId="260">
    <w:name w:val="正文1"/>
    <w:qFormat/>
    <w:uiPriority w:val="0"/>
    <w:pPr>
      <w:jc w:val="both"/>
    </w:pPr>
    <w:rPr>
      <w:rFonts w:ascii="Calibri" w:hAnsi="Calibri" w:eastAsia="宋体" w:cs="Times New Roman"/>
      <w:sz w:val="32"/>
      <w:szCs w:val="32"/>
      <w:lang w:val="en-US" w:eastAsia="zh-CN" w:bidi="ar-SA"/>
    </w:rPr>
  </w:style>
  <w:style w:type="character" w:customStyle="1" w:styleId="261">
    <w:name w:val="nth-child(2)1"/>
    <w:basedOn w:val="203"/>
    <w:qFormat/>
    <w:uiPriority w:val="0"/>
    <w:rPr>
      <w:b/>
      <w:sz w:val="24"/>
      <w:szCs w:val="24"/>
    </w:rPr>
  </w:style>
  <w:style w:type="character" w:customStyle="1" w:styleId="262">
    <w:name w:val="批注文字 Char"/>
    <w:qFormat/>
    <w:uiPriority w:val="0"/>
    <w:rPr>
      <w:rFonts w:ascii="Times New Roman" w:hAnsi="Times New Roman"/>
      <w:sz w:val="21"/>
      <w:szCs w:val="24"/>
    </w:rPr>
  </w:style>
  <w:style w:type="character" w:customStyle="1" w:styleId="263">
    <w:name w:val="页眉 Char1"/>
    <w:qFormat/>
    <w:uiPriority w:val="99"/>
    <w:rPr>
      <w:sz w:val="18"/>
      <w:szCs w:val="18"/>
    </w:rPr>
  </w:style>
  <w:style w:type="character" w:customStyle="1" w:styleId="264">
    <w:name w:val="cert"/>
    <w:basedOn w:val="203"/>
    <w:qFormat/>
    <w:uiPriority w:val="0"/>
    <w:rPr>
      <w:sz w:val="18"/>
      <w:szCs w:val="18"/>
    </w:rPr>
  </w:style>
  <w:style w:type="character" w:customStyle="1" w:styleId="265">
    <w:name w:val="ing1"/>
    <w:basedOn w:val="203"/>
    <w:qFormat/>
    <w:uiPriority w:val="0"/>
    <w:rPr>
      <w:color w:val="00B882"/>
    </w:rPr>
  </w:style>
  <w:style w:type="character" w:customStyle="1" w:styleId="266">
    <w:name w:val="ing"/>
    <w:basedOn w:val="203"/>
    <w:qFormat/>
    <w:uiPriority w:val="0"/>
    <w:rPr>
      <w:color w:val="00B882"/>
    </w:rPr>
  </w:style>
  <w:style w:type="character" w:customStyle="1" w:styleId="267">
    <w:name w:val="bg-icon2"/>
    <w:basedOn w:val="203"/>
    <w:qFormat/>
    <w:uiPriority w:val="0"/>
    <w:rPr>
      <w:color w:val="00B28E"/>
    </w:rPr>
  </w:style>
  <w:style w:type="character" w:customStyle="1" w:styleId="268">
    <w:name w:val="纯文本 Char"/>
    <w:qFormat/>
    <w:uiPriority w:val="0"/>
    <w:rPr>
      <w:rFonts w:ascii="宋体" w:hAnsi="Courier New" w:eastAsia="宋体" w:cs="Courier New"/>
      <w:szCs w:val="21"/>
    </w:rPr>
  </w:style>
  <w:style w:type="character" w:customStyle="1" w:styleId="269">
    <w:name w:val="default-color"/>
    <w:basedOn w:val="203"/>
    <w:qFormat/>
    <w:uiPriority w:val="0"/>
  </w:style>
  <w:style w:type="character" w:customStyle="1" w:styleId="270">
    <w:name w:val="hover"/>
    <w:basedOn w:val="203"/>
    <w:qFormat/>
    <w:uiPriority w:val="0"/>
    <w:rPr>
      <w:color w:val="00B882"/>
      <w:u w:val="single"/>
    </w:rPr>
  </w:style>
  <w:style w:type="character" w:customStyle="1" w:styleId="271">
    <w:name w:val="正文文本 Char"/>
    <w:qFormat/>
    <w:uiPriority w:val="0"/>
    <w:rPr>
      <w:rFonts w:ascii="Times New Roman" w:hAnsi="Times New Roman"/>
      <w:sz w:val="21"/>
      <w:szCs w:val="24"/>
    </w:rPr>
  </w:style>
  <w:style w:type="character" w:customStyle="1" w:styleId="272">
    <w:name w:val="before13"/>
    <w:basedOn w:val="203"/>
    <w:qFormat/>
    <w:uiPriority w:val="0"/>
  </w:style>
  <w:style w:type="character" w:customStyle="1" w:styleId="273">
    <w:name w:val="icons14"/>
    <w:basedOn w:val="203"/>
    <w:qFormat/>
    <w:uiPriority w:val="0"/>
  </w:style>
  <w:style w:type="character" w:customStyle="1" w:styleId="274">
    <w:name w:val="纯文本 字符1"/>
    <w:qFormat/>
    <w:uiPriority w:val="0"/>
    <w:rPr>
      <w:rFonts w:ascii="宋体" w:hAnsi="Courier New"/>
    </w:rPr>
  </w:style>
  <w:style w:type="character" w:customStyle="1" w:styleId="275">
    <w:name w:val="NormalCharacter1"/>
    <w:qFormat/>
    <w:uiPriority w:val="0"/>
  </w:style>
  <w:style w:type="character" w:customStyle="1" w:styleId="276">
    <w:name w:val="fontstyle01"/>
    <w:basedOn w:val="203"/>
    <w:qFormat/>
    <w:uiPriority w:val="0"/>
    <w:rPr>
      <w:rFonts w:hint="eastAsia" w:ascii="宋体" w:hAnsi="宋体" w:eastAsia="宋体" w:cs="宋体"/>
      <w:color w:val="000000"/>
      <w:sz w:val="22"/>
      <w:szCs w:val="22"/>
    </w:rPr>
  </w:style>
  <w:style w:type="character" w:customStyle="1" w:styleId="277">
    <w:name w:val="more1"/>
    <w:basedOn w:val="203"/>
    <w:qFormat/>
    <w:uiPriority w:val="0"/>
    <w:rPr>
      <w:color w:val="666666"/>
      <w:sz w:val="12"/>
      <w:szCs w:val="12"/>
    </w:rPr>
  </w:style>
  <w:style w:type="character" w:customStyle="1" w:styleId="278">
    <w:name w:val="apple-style-span"/>
    <w:qFormat/>
    <w:uiPriority w:val="0"/>
  </w:style>
  <w:style w:type="character" w:customStyle="1" w:styleId="279">
    <w:name w:val="fontstyle21"/>
    <w:basedOn w:val="203"/>
    <w:qFormat/>
    <w:uiPriority w:val="0"/>
    <w:rPr>
      <w:rFonts w:ascii="Calibri" w:hAnsi="Calibri" w:cs="Calibri"/>
      <w:color w:val="000000"/>
      <w:sz w:val="22"/>
      <w:szCs w:val="22"/>
    </w:rPr>
  </w:style>
  <w:style w:type="character" w:customStyle="1" w:styleId="280">
    <w:name w:val="hover1"/>
    <w:basedOn w:val="203"/>
    <w:qFormat/>
    <w:uiPriority w:val="0"/>
    <w:rPr>
      <w:color w:val="FFFFFF"/>
    </w:rPr>
  </w:style>
  <w:style w:type="character" w:customStyle="1" w:styleId="281">
    <w:name w:val="nth-child(2)"/>
    <w:basedOn w:val="203"/>
    <w:qFormat/>
    <w:uiPriority w:val="0"/>
    <w:rPr>
      <w:rFonts w:ascii="iconfont" w:hAnsi="iconfont" w:eastAsia="iconfont" w:cs="iconfont"/>
    </w:rPr>
  </w:style>
  <w:style w:type="character" w:customStyle="1" w:styleId="282">
    <w:name w:val="正文文本 (2) + 间距 -2 pt1"/>
    <w:qFormat/>
    <w:uiPriority w:val="0"/>
    <w:rPr>
      <w:rFonts w:ascii="MingLiU" w:hAnsi="MingLiU" w:eastAsia="MingLiU" w:cs="MingLiU"/>
      <w:color w:val="000000"/>
      <w:spacing w:val="-40"/>
      <w:position w:val="0"/>
      <w:sz w:val="22"/>
      <w:szCs w:val="22"/>
      <w:u w:val="none"/>
      <w:shd w:val="clear" w:color="auto" w:fill="FFFFFF"/>
      <w:lang w:val="en-US" w:eastAsia="en-US"/>
    </w:rPr>
  </w:style>
  <w:style w:type="character" w:customStyle="1" w:styleId="283">
    <w:name w:val="nth-child(1)"/>
    <w:basedOn w:val="203"/>
    <w:qFormat/>
    <w:uiPriority w:val="0"/>
  </w:style>
  <w:style w:type="character" w:customStyle="1" w:styleId="284">
    <w:name w:val="before12"/>
    <w:basedOn w:val="203"/>
    <w:qFormat/>
    <w:uiPriority w:val="0"/>
  </w:style>
  <w:style w:type="character" w:customStyle="1" w:styleId="285">
    <w:name w:val="ing2"/>
    <w:basedOn w:val="203"/>
    <w:qFormat/>
    <w:uiPriority w:val="0"/>
    <w:rPr>
      <w:color w:val="FFFFFF"/>
    </w:rPr>
  </w:style>
  <w:style w:type="character" w:customStyle="1" w:styleId="286">
    <w:name w:val="标题 2 Char"/>
    <w:qFormat/>
    <w:uiPriority w:val="9"/>
    <w:rPr>
      <w:rFonts w:ascii="Cambria" w:hAnsi="Cambria" w:eastAsia="宋体" w:cs="Times New Roman"/>
      <w:b/>
      <w:bCs/>
      <w:sz w:val="32"/>
      <w:szCs w:val="32"/>
    </w:rPr>
  </w:style>
  <w:style w:type="character" w:customStyle="1" w:styleId="287">
    <w:name w:val="after"/>
    <w:basedOn w:val="203"/>
    <w:qFormat/>
    <w:uiPriority w:val="0"/>
  </w:style>
  <w:style w:type="character" w:customStyle="1" w:styleId="288">
    <w:name w:val="default-color1"/>
    <w:basedOn w:val="203"/>
    <w:qFormat/>
    <w:uiPriority w:val="0"/>
    <w:rPr>
      <w:sz w:val="16"/>
      <w:szCs w:val="16"/>
    </w:rPr>
  </w:style>
  <w:style w:type="character" w:customStyle="1" w:styleId="289">
    <w:name w:val="tip7"/>
    <w:basedOn w:val="203"/>
    <w:qFormat/>
    <w:uiPriority w:val="0"/>
  </w:style>
  <w:style w:type="character" w:customStyle="1" w:styleId="290">
    <w:name w:val="complete"/>
    <w:basedOn w:val="203"/>
    <w:qFormat/>
    <w:uiPriority w:val="0"/>
    <w:rPr>
      <w:shd w:val="clear" w:color="auto" w:fill="4BB7CE"/>
    </w:rPr>
  </w:style>
  <w:style w:type="character" w:customStyle="1" w:styleId="291">
    <w:name w:val="标题 8 Char"/>
    <w:qFormat/>
    <w:uiPriority w:val="0"/>
    <w:rPr>
      <w:rFonts w:ascii="Arial" w:hAnsi="Arial" w:eastAsia="黑体"/>
      <w:sz w:val="24"/>
      <w:szCs w:val="24"/>
    </w:rPr>
  </w:style>
  <w:style w:type="character" w:customStyle="1" w:styleId="292">
    <w:name w:val="textcontents"/>
    <w:qFormat/>
    <w:uiPriority w:val="0"/>
  </w:style>
  <w:style w:type="character" w:customStyle="1" w:styleId="293">
    <w:name w:val="nth-child(1)1"/>
    <w:basedOn w:val="203"/>
    <w:qFormat/>
    <w:uiPriority w:val="0"/>
  </w:style>
  <w:style w:type="character" w:customStyle="1" w:styleId="294">
    <w:name w:val="reservation4"/>
    <w:basedOn w:val="203"/>
    <w:qFormat/>
    <w:uiPriority w:val="0"/>
    <w:rPr>
      <w:color w:val="FF6E00"/>
    </w:rPr>
  </w:style>
  <w:style w:type="character" w:customStyle="1" w:styleId="295">
    <w:name w:val="text"/>
    <w:basedOn w:val="203"/>
    <w:qFormat/>
    <w:uiPriority w:val="0"/>
  </w:style>
  <w:style w:type="character" w:customStyle="1" w:styleId="296">
    <w:name w:val="纯文本 Char4"/>
    <w:qFormat/>
    <w:uiPriority w:val="0"/>
    <w:rPr>
      <w:rFonts w:ascii="宋体" w:hAnsi="Courier New" w:cs="Courier New"/>
      <w:szCs w:val="21"/>
    </w:rPr>
  </w:style>
  <w:style w:type="character" w:customStyle="1" w:styleId="297">
    <w:name w:val="pause-close2"/>
    <w:basedOn w:val="203"/>
    <w:qFormat/>
    <w:uiPriority w:val="0"/>
  </w:style>
  <w:style w:type="character" w:customStyle="1" w:styleId="298">
    <w:name w:val="正文文本 (26) + 间距 0 pt"/>
    <w:qFormat/>
    <w:uiPriority w:val="0"/>
    <w:rPr>
      <w:rFonts w:ascii="宋体" w:hAnsi="宋体" w:eastAsia="宋体" w:cs="宋体"/>
      <w:color w:val="000000"/>
      <w:spacing w:val="0"/>
      <w:position w:val="0"/>
      <w:sz w:val="22"/>
      <w:szCs w:val="22"/>
      <w:u w:val="none"/>
      <w:lang w:val="zh-CN" w:eastAsia="zh-CN" w:bidi="zh-CN"/>
    </w:rPr>
  </w:style>
  <w:style w:type="paragraph" w:customStyle="1" w:styleId="299">
    <w:name w:val="无间隔1"/>
    <w:qFormat/>
    <w:uiPriority w:val="99"/>
    <w:pPr>
      <w:widowControl w:val="0"/>
    </w:pPr>
    <w:rPr>
      <w:rFonts w:hint="default" w:ascii="Times New Roman" w:hAnsi="Times New Roman" w:eastAsia="宋体" w:cs="Times New Roman"/>
      <w:sz w:val="24"/>
      <w:szCs w:val="22"/>
      <w:lang w:val="en-US" w:eastAsia="zh-CN" w:bidi="ar-SA"/>
    </w:rPr>
  </w:style>
  <w:style w:type="paragraph" w:customStyle="1" w:styleId="300">
    <w:name w:val="reply-text"/>
    <w:basedOn w:val="1"/>
    <w:qFormat/>
    <w:uiPriority w:val="0"/>
    <w:pPr>
      <w:spacing w:before="100" w:beforeAutospacing="0" w:line="250" w:lineRule="atLeast"/>
      <w:jc w:val="left"/>
    </w:pPr>
    <w:rPr>
      <w:sz w:val="16"/>
      <w:szCs w:val="16"/>
      <w:lang w:val="en-US" w:eastAsia="zh-CN"/>
    </w:rPr>
  </w:style>
  <w:style w:type="paragraph" w:customStyle="1" w:styleId="301">
    <w:name w:val="默认段落字体 Para Char Char Char Char Char Char Char Char Char1 Char Char Char Char"/>
    <w:basedOn w:val="1"/>
    <w:qFormat/>
    <w:uiPriority w:val="0"/>
    <w:rPr>
      <w:rFonts w:ascii="Tahoma" w:hAnsi="Tahoma"/>
      <w:sz w:val="24"/>
      <w:szCs w:val="20"/>
    </w:rPr>
  </w:style>
  <w:style w:type="paragraph" w:customStyle="1" w:styleId="302">
    <w:name w:val="正文2"/>
    <w:basedOn w:val="1"/>
    <w:qFormat/>
    <w:uiPriority w:val="0"/>
    <w:pPr>
      <w:spacing w:before="156" w:line="360" w:lineRule="auto"/>
      <w:ind w:firstLine="510"/>
    </w:pPr>
    <w:rPr>
      <w:sz w:val="24"/>
      <w:szCs w:val="20"/>
    </w:rPr>
  </w:style>
  <w:style w:type="paragraph" w:customStyle="1" w:styleId="303">
    <w:name w:val="Char Char Char Char"/>
    <w:basedOn w:val="1"/>
    <w:qFormat/>
    <w:uiPriority w:val="0"/>
    <w:pPr>
      <w:spacing w:line="360" w:lineRule="auto"/>
      <w:ind w:firstLine="200"/>
    </w:pPr>
    <w:rPr>
      <w:rFonts w:ascii="Times New Roman" w:hAnsi="Times New Roman" w:eastAsia="仿宋_GB2312"/>
      <w:sz w:val="24"/>
    </w:rPr>
  </w:style>
  <w:style w:type="paragraph" w:customStyle="1" w:styleId="304">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305">
    <w:name w:val="reply-text2"/>
    <w:basedOn w:val="1"/>
    <w:qFormat/>
    <w:uiPriority w:val="0"/>
    <w:pPr>
      <w:ind w:right="800"/>
      <w:jc w:val="left"/>
    </w:pPr>
    <w:rPr>
      <w:sz w:val="14"/>
      <w:szCs w:val="14"/>
      <w:lang w:val="en-US" w:eastAsia="zh-CN"/>
    </w:rPr>
  </w:style>
  <w:style w:type="paragraph" w:customStyle="1" w:styleId="306">
    <w:name w:val="Normal_21"/>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07">
    <w:name w:val="批注文字1"/>
    <w:basedOn w:val="1"/>
    <w:qFormat/>
    <w:uiPriority w:val="1624"/>
    <w:pPr>
      <w:jc w:val="left"/>
    </w:pPr>
  </w:style>
  <w:style w:type="paragraph" w:customStyle="1" w:styleId="308">
    <w:name w:val="表格文字115"/>
    <w:basedOn w:val="1"/>
    <w:qFormat/>
    <w:uiPriority w:val="0"/>
    <w:pPr>
      <w:jc w:val="left"/>
    </w:pPr>
    <w:rPr>
      <w:bCs/>
      <w:spacing w:val="10"/>
      <w:sz w:val="24"/>
    </w:rPr>
  </w:style>
  <w:style w:type="paragraph" w:customStyle="1" w:styleId="309">
    <w:name w:val="Normal_19"/>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0">
    <w:name w:val="Normal_20"/>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1">
    <w:name w:val="列表段落"/>
    <w:basedOn w:val="1"/>
    <w:qFormat/>
    <w:uiPriority w:val="34"/>
    <w:pPr>
      <w:ind w:firstLine="420"/>
    </w:pPr>
  </w:style>
  <w:style w:type="paragraph" w:customStyle="1" w:styleId="312">
    <w:name w:val="Normal_18"/>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3">
    <w:name w:val="纯文本1"/>
    <w:qFormat/>
    <w:uiPriority w:val="0"/>
    <w:pPr>
      <w:framePr w:wrap="around" w:vAnchor="margin" w:hAnchor="text" w:yAlign="top"/>
      <w:widowControl w:val="0"/>
      <w:jc w:val="both"/>
    </w:pPr>
    <w:rPr>
      <w:rFonts w:hint="default" w:ascii="宋体" w:hAnsi="宋体" w:eastAsia="宋体" w:cs="宋体"/>
      <w:color w:val="000000"/>
      <w:sz w:val="21"/>
      <w:szCs w:val="21"/>
      <w:lang w:val="en-US" w:eastAsia="zh-CN" w:bidi="ar-SA"/>
    </w:rPr>
  </w:style>
  <w:style w:type="paragraph" w:customStyle="1" w:styleId="314">
    <w:name w:val="正文_0"/>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15">
    <w:name w:val="正文_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316">
    <w:name w:val="Normal_17"/>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7">
    <w:name w:val="样式 标题 2 + 宋体"/>
    <w:basedOn w:val="196"/>
    <w:qFormat/>
    <w:uiPriority w:val="99"/>
    <w:rPr>
      <w:rFonts w:ascii="宋体" w:hAnsi="宋体"/>
      <w:sz w:val="30"/>
    </w:rPr>
  </w:style>
  <w:style w:type="paragraph" w:customStyle="1" w:styleId="318">
    <w:name w:val="正文_2"/>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19">
    <w:name w:val="正文-公1"/>
    <w:basedOn w:val="1"/>
    <w:qFormat/>
    <w:uiPriority w:val="99"/>
    <w:pPr>
      <w:ind w:firstLine="200"/>
    </w:pPr>
  </w:style>
  <w:style w:type="paragraph" w:customStyle="1" w:styleId="320">
    <w:name w:val="表格文字"/>
    <w:basedOn w:val="1"/>
    <w:next w:val="40"/>
    <w:qFormat/>
    <w:uiPriority w:val="0"/>
    <w:pPr>
      <w:spacing w:before="25" w:after="25"/>
      <w:jc w:val="left"/>
    </w:pPr>
    <w:rPr>
      <w:bCs/>
      <w:spacing w:val="10"/>
      <w:sz w:val="24"/>
      <w:szCs w:val="20"/>
    </w:rPr>
  </w:style>
  <w:style w:type="table" w:customStyle="1" w:styleId="321">
    <w:name w:val="Table Normal"/>
    <w:qFormat/>
    <w:uiPriority w:val="0"/>
    <w:rPr>
      <w:lang w:val="en-US" w:eastAsia="zh-CN" w:bidi="ar-SA"/>
    </w:rPr>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322">
    <w:name w:val="Table Text"/>
    <w:basedOn w:val="1"/>
    <w:qFormat/>
    <w:uiPriority w:val="0"/>
    <w:rPr>
      <w:rFonts w:ascii="宋体" w:hAnsi="宋体" w:eastAsia="宋体" w:cs="宋体"/>
      <w:sz w:val="21"/>
      <w:szCs w:val="21"/>
      <w:lang w:val="en-US" w:eastAsia="en-US" w:bidi="ar-SA"/>
    </w:rPr>
  </w:style>
  <w:style w:type="paragraph" w:customStyle="1" w:styleId="323">
    <w:name w:val="正文格式"/>
    <w:basedOn w:val="1"/>
    <w:qFormat/>
    <w:uiPriority w:val="0"/>
    <w:pPr>
      <w:widowControl/>
      <w:spacing w:line="400" w:lineRule="atLeast"/>
      <w:ind w:firstLine="482"/>
    </w:pPr>
    <w:rPr>
      <w:sz w:val="24"/>
    </w:rPr>
  </w:style>
  <w:style w:type="paragraph" w:customStyle="1" w:styleId="324">
    <w:name w:val="AONormal"/>
    <w:qFormat/>
    <w:uiPriority w:val="0"/>
    <w:pPr>
      <w:spacing w:line="400" w:lineRule="exact"/>
      <w:ind w:firstLine="440"/>
    </w:pPr>
    <w:rPr>
      <w:rFonts w:hint="default" w:ascii="华文楷体" w:hAnsi="华文楷体" w:eastAsia="华文楷体" w:cs="华文楷体"/>
      <w:sz w:val="22"/>
      <w:szCs w:val="21"/>
      <w:lang w:val="en-US" w:eastAsia="zh-CN" w:bidi="ar-SA"/>
    </w:rPr>
  </w:style>
  <w:style w:type="character" w:customStyle="1" w:styleId="325">
    <w:name w:val="font51"/>
    <w:qFormat/>
    <w:uiPriority w:val="0"/>
    <w:rPr>
      <w:rFonts w:hint="eastAsia" w:ascii="宋体" w:hAnsi="宋体" w:eastAsia="宋体" w:cs="宋体"/>
      <w:color w:val="000000"/>
      <w:sz w:val="21"/>
      <w:szCs w:val="21"/>
      <w:u w:val="none"/>
    </w:rPr>
  </w:style>
  <w:style w:type="table" w:customStyle="1" w:styleId="326">
    <w:name w:val="网格型1"/>
    <w:basedOn w:val="204"/>
    <w:qFormat/>
    <w:uiPriority w:val="0"/>
    <w:pPr>
      <w:widowControl w:val="0"/>
      <w:jc w:val="both"/>
    </w:pPr>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327">
    <w:name w:val="正文缩进1"/>
    <w:basedOn w:val="1"/>
    <w:qFormat/>
    <w:uiPriority w:val="0"/>
    <w:pPr>
      <w:ind w:firstLine="420"/>
    </w:pPr>
    <w:rPr>
      <w:szCs w:val="20"/>
    </w:rPr>
  </w:style>
  <w:style w:type="paragraph" w:customStyle="1" w:styleId="328">
    <w:name w:val="Table Paragraph"/>
    <w:basedOn w:val="1"/>
    <w:qFormat/>
    <w:uiPriority w:val="1"/>
    <w:pPr>
      <w:jc w:val="left"/>
    </w:pPr>
    <w:rPr>
      <w:rFonts w:ascii="Calibri" w:hAnsi="Calibri" w:eastAsia="宋体" w:cs="Times New Roman"/>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ntractReview xmlns="http://schemas.wps.cn/vas-ai-hub/contract-review">
  <reviewItems>
    <reviewItem>
      <errorID>b16dc460-7c7b-4301-a302-6be3b68d02b5</errorID>
      <errorWord>GG</errorWord>
      <group>L1_Official</group>
      <groupName>公文问题</groupName>
      <ability>L2_Official</ability>
      <abilityName>公文问题</abilityName>
      <candidateList/>
      <explain>公文中禁止出现该词语</explain>
      <paraID>66849E99</paraID>
      <start>5</start>
      <end>7</end>
      <status>unmodified</status>
      <modifiedWord/>
      <trackRevisions>false</trackRevisions>
    </reviewItem>
    <reviewItem>
      <errorID>c360709e-13ef-47f0-9036-72dcca10f9fe</errorID>
      <errorWord>：</errorWord>
      <group>L1_Format</group>
      <groupName>格式问题</groupName>
      <ability>L2_HalfPunc_CN</ability>
      <abilityName>全半角检查</abilityName>
      <candidateList>
        <item>:</item>
      </candidateList>
      <explain>文本全半角错误。</explain>
      <paraID>2F1B2104</paraID>
      <start>53</start>
      <end>54</end>
      <status>unmodified</status>
      <modifiedWord/>
      <trackRevisions>false</trackRevisions>
    </reviewItem>
    <reviewItem>
      <errorID>299ba292-62da-40c2-ac12-4dc959bc8157</errorID>
      <errorWord>/）</errorWord>
      <group>L1_Punc</group>
      <groupName>标点问题</groupName>
      <ability>L2_Punc_CN</ability>
      <abilityName>标点符号检查</abilityName>
      <candidateList>
        <item>）</item>
      </candidateList>
      <explain/>
      <paraID>2F1B2104</paraID>
      <start>80</start>
      <end>82</end>
      <status>unmodified</status>
      <modifiedWord/>
      <trackRevisions>false</trackRevisions>
    </reviewItem>
    <reviewItem>
      <errorID>6a3a2c52-657b-4e40-b0a3-699d8ff3f8cc</errorID>
      <errorWord>GG</errorWord>
      <group>L1_Official</group>
      <groupName>公文问题</groupName>
      <ability>L2_Official</ability>
      <abilityName>公文问题</abilityName>
      <candidateList/>
      <explain>公文中禁止出现该词语</explain>
      <paraID>28B761D0</paraID>
      <start>5</start>
      <end>7</end>
      <status>unmodified</status>
      <modifiedWord/>
      <trackRevisions>false</trackRevisions>
    </reviewItem>
    <reviewItem>
      <errorID>8b8dce0e-d345-4124-b937-81d82ad84b6b</errorID>
      <errorWord>：/</errorWord>
      <group>L1_Punc</group>
      <groupName>标点问题</groupName>
      <ability>L2_Punc_CN</ability>
      <abilityName>标点符号检查</abilityName>
      <candidateList>
        <item>：</item>
      </candidateList>
      <explain/>
      <paraID>23BB0FEA</paraID>
      <start>2</start>
      <end>4</end>
      <status>unmodified</status>
      <modifiedWord/>
      <trackRevisions>false</trackRevisions>
    </reviewItem>
    <reviewItem>
      <errorID>4115e297-d8c9-4fd1-83dc-08b88280e716</errorID>
      <errorWord>日至2026年</errorWord>
      <group>L1_Word</group>
      <groupName>字词问题</groupName>
      <ability>L2_Typo</ability>
      <abilityName>字词错误</abilityName>
      <candidateList>
        <item>日起至2026年</item>
      </candidateList>
      <explain/>
      <paraID>6A743D53</paraID>
      <start>11</start>
      <end>18</end>
      <status>unmodified</status>
      <modifiedWord/>
      <trackRevisions>false</trackRevisions>
    </reviewItem>
    <reviewItem>
      <errorID>8e145ac6-241c-4f5a-880c-5146b97ada1d</errorID>
      <errorWord>上午00：00</errorWord>
      <group>L1_Knowledge</group>
      <groupName>知识性问题</groupName>
      <ability>L2_Time</ability>
      <abilityName>日期时间</abilityName>
      <candidateList/>
      <explain>时间与前缀不匹配，可能的时间前缀有“下午、晚上、凌晨、午夜”。</explain>
      <paraID>6A743D53</paraID>
      <start>26</start>
      <end>33</end>
      <status>unmodified</status>
      <modifiedWord/>
      <trackRevisions>false</trackRevisions>
    </reviewItem>
    <reviewItem>
      <errorID>c0cc1b24-6795-4114-a532-9a3f74d0a0d5</errorID>
      <errorWord>：</errorWord>
      <group>L1_Format</group>
      <groupName>格式问题</groupName>
      <ability>L2_HalfPunc_CN</ability>
      <abilityName>全半角检查</abilityName>
      <candidateList>
        <item>:</item>
      </candidateList>
      <explain>文本全半角错误。</explain>
      <paraID>6A743D53</paraID>
      <start>36</start>
      <end>37</end>
      <status>unmodified</status>
      <modifiedWord/>
      <trackRevisions>false</trackRevisions>
    </reviewItem>
    <reviewItem>
      <errorID>dbea8a1b-9deb-4396-8d56-30e021795647</errorID>
      <errorWord>：</errorWord>
      <group>L1_Format</group>
      <groupName>格式问题</groupName>
      <ability>L2_HalfPunc_CN</ability>
      <abilityName>全半角检查</abilityName>
      <candidateList>
        <item>:</item>
      </candidateList>
      <explain>文本全半角错误。</explain>
      <paraID>6A743D53</paraID>
      <start>45</start>
      <end>46</end>
      <status>unmodified</status>
      <modifiedWord/>
      <trackRevisions>false</trackRevisions>
    </reviewItem>
    <reviewItem>
      <errorID>b8814a2a-ed4d-4926-b62c-0a0a2bf05ede</errorID>
      <errorWord>：</errorWord>
      <group>L1_Format</group>
      <groupName>格式问题</groupName>
      <ability>L2_HalfPunc_CN</ability>
      <abilityName>全半角检查</abilityName>
      <candidateList>
        <item>:</item>
      </candidateList>
      <explain>文本全半角错误。</explain>
      <paraID>6A743D53</paraID>
      <start>51</start>
      <end>52</end>
      <status>unmodified</status>
      <modifiedWord/>
      <trackRevisions>false</trackRevisions>
    </reviewItem>
    <reviewItem>
      <errorID>d4dbb3c2-1c70-4a00-a349-1979eee63ba1</errorID>
      <errorWord>：</errorWord>
      <group>L1_Format</group>
      <groupName>格式问题</groupName>
      <ability>L2_HalfPunc_CN</ability>
      <abilityName>全半角检查</abilityName>
      <candidateList>
        <item>:</item>
      </candidateList>
      <explain>文本全半角错误。</explain>
      <paraID>3DEFC863</paraID>
      <start>22</start>
      <end>23</end>
      <status>unmodified</status>
      <modifiedWord/>
      <trackRevisions>false</trackRevisions>
    </reviewItem>
    <reviewItem>
      <errorID>6db7204c-7607-4f2b-b5eb-5935b0bac7ef</errorID>
      <errorWord>/）</errorWord>
      <group>L1_Punc</group>
      <groupName>标点问题</groupName>
      <ability>L2_Punc_CN</ability>
      <abilityName>标点符号检查</abilityName>
      <candidateList>
        <item>）</item>
      </candidateList>
      <explain/>
      <paraID>3DEFC863</paraID>
      <start>49</start>
      <end>51</end>
      <status>unmodified</status>
      <modifiedWord/>
      <trackRevisions>false</trackRevisions>
    </reviewItem>
    <reviewItem>
      <errorID>82e59ad9-bc0d-437b-ba61-b991e80bb5d5</errorID>
      <errorWord>：</errorWord>
      <group>L1_Format</group>
      <groupName>格式问题</groupName>
      <ability>L2_HalfPunc_CN</ability>
      <abilityName>全半角检查</abilityName>
      <candidateList>
        <item>:</item>
      </candidateList>
      <explain>文本全半角错误。</explain>
      <paraID>6A784642</paraID>
      <start>54</start>
      <end>55</end>
      <status>unmodified</status>
      <modifiedWord/>
      <trackRevisions>false</trackRevisions>
    </reviewItem>
    <reviewItem>
      <errorID>97af423e-0a09-4420-b45c-8ce768af2e37</errorID>
      <errorWord>/）</errorWord>
      <group>L1_Punc</group>
      <groupName>标点问题</groupName>
      <ability>L2_Punc_CN</ability>
      <abilityName>标点符号检查</abilityName>
      <candidateList>
        <item>）</item>
      </candidateList>
      <explain/>
      <paraID>6A784642</paraID>
      <start>81</start>
      <end>83</end>
      <status>unmodified</status>
      <modifiedWord/>
      <trackRevisions>false</trackRevisions>
    </reviewItem>
    <reviewItem>
      <errorID>601a7296-4c5a-46d1-8704-53d553077abc</errorID>
      <errorWord>-</errorWord>
      <group>L1_Format</group>
      <groupName>格式问题</groupName>
      <ability>L2_HalfPunc_CN</ability>
      <abilityName>全半角检查</abilityName>
      <candidateList>
        <item>－</item>
      </candidateList>
      <explain>文本全半角错误。</explain>
      <paraID>6A784642</paraID>
      <start>83</start>
      <end>84</end>
      <status>unmodified</status>
      <modifiedWord/>
      <trackRevisions>false</trackRevisions>
    </reviewItem>
    <reviewItem>
      <errorID>c045fc02-561d-473d-8e3c-899a8ba95558</errorID>
      <errorWord>：</errorWord>
      <group>L1_Format</group>
      <groupName>格式问题</groupName>
      <ability>L2_HalfPunc_CN</ability>
      <abilityName>全半角检查</abilityName>
      <candidateList>
        <item>:</item>
      </candidateList>
      <explain>文本全半角错误。</explain>
      <paraID>3B9A4135</paraID>
      <start>22</start>
      <end>23</end>
      <status>unmodified</status>
      <modifiedWord/>
      <trackRevisions>false</trackRevisions>
    </reviewItem>
    <reviewItem>
      <errorID>3024905c-18f8-415a-b81a-c2d35344bdcd</errorID>
      <errorWord>/）</errorWord>
      <group>L1_Punc</group>
      <groupName>标点问题</groupName>
      <ability>L2_Punc_CN</ability>
      <abilityName>标点符号检查</abilityName>
      <candidateList>
        <item>）</item>
      </candidateList>
      <explain/>
      <paraID>3B9A4135</paraID>
      <start>49</start>
      <end>51</end>
      <status>unmodified</status>
      <modifiedWord/>
      <trackRevisions>false</trackRevisions>
    </reviewItem>
    <reviewItem>
      <errorID>5a276039-effa-49ae-b10c-26cc1b57261f</errorID>
      <errorWord>：</errorWord>
      <group>L1_Format</group>
      <groupName>格式问题</groupName>
      <ability>L2_HalfPunc_CN</ability>
      <abilityName>全半角检查</abilityName>
      <candidateList>
        <item>:</item>
      </candidateList>
      <explain>文本全半角错误。</explain>
      <paraID>62B7C378</paraID>
      <start>20</start>
      <end>21</end>
      <status>unmodified</status>
      <modifiedWord/>
      <trackRevisions>false</trackRevisions>
    </reviewItem>
    <reviewItem>
      <errorID>e00a1d03-4f1c-4ec7-ae4b-887fd7024043</errorID>
      <errorWord>/）</errorWord>
      <group>L1_Punc</group>
      <groupName>标点问题</groupName>
      <ability>L2_Punc_CN</ability>
      <abilityName>标点符号检查</abilityName>
      <candidateList>
        <item>）</item>
      </candidateList>
      <explain/>
      <paraID>62B7C378</paraID>
      <start>47</start>
      <end>49</end>
      <status>unmodified</status>
      <modifiedWord/>
      <trackRevisions>false</trackRevisions>
    </reviewItem>
    <reviewItem>
      <errorID>9c6bc3e2-5b39-4cd2-aef9-96baf86eca5b</errorID>
      <errorWord>：</errorWord>
      <group>L1_Format</group>
      <groupName>格式问题</groupName>
      <ability>L2_HalfPunc_CN</ability>
      <abilityName>全半角检查</abilityName>
      <candidateList>
        <item>:</item>
      </candidateList>
      <explain>文本全半角错误。</explain>
      <paraID>7F8FD6AC</paraID>
      <start>4</start>
      <end>5</end>
      <status>unmodified</status>
      <modifiedWord/>
      <trackRevisions>false</trackRevisions>
    </reviewItem>
    <reviewItem>
      <errorID>2117d61b-d7cc-4be8-92b0-5bb8cf4f4f2a</errorID>
      <errorWord>：</errorWord>
      <group>L1_Format</group>
      <groupName>格式问题</groupName>
      <ability>L2_HalfPunc_CN</ability>
      <abilityName>全半角检查</abilityName>
      <candidateList>
        <item>:</item>
      </candidateList>
      <explain>文本全半角错误。</explain>
      <paraID>7F8FD6AC</paraID>
      <start>36</start>
      <end>37</end>
      <status>unmodified</status>
      <modifiedWord/>
      <trackRevisions>false</trackRevisions>
    </reviewItem>
    <reviewItem>
      <errorID>b5203f37-e34d-4452-905d-a9e446bc63c0</errorID>
      <errorWord>：</errorWord>
      <group>L1_Format</group>
      <groupName>格式问题</groupName>
      <ability>L2_HalfPunc_CN</ability>
      <abilityName>全半角检查</abilityName>
      <candidateList>
        <item>:</item>
      </candidateList>
      <explain>文本全半角错误。</explain>
      <paraID>7F8FD6AC</paraID>
      <start>75</start>
      <end>76</end>
      <status>unmodified</status>
      <modifiedWord/>
      <trackRevisions>false</trackRevisions>
    </reviewItem>
    <reviewItem>
      <errorID>15c0e4e8-6c88-4619-9438-0d63dde08b8f</errorID>
      <errorWord>：</errorWord>
      <group>L1_Format</group>
      <groupName>格式问题</groupName>
      <ability>L2_HalfPunc_CN</ability>
      <abilityName>全半角检查</abilityName>
      <candidateList>
        <item>:</item>
      </candidateList>
      <explain>文本全半角错误。</explain>
      <paraID>33B80B42</paraID>
      <start>35</start>
      <end>36</end>
      <status>unmodified</status>
      <modifiedWord/>
      <trackRevisions>false</trackRevisions>
    </reviewItem>
    <reviewItem>
      <errorID>0053e1db-720b-488b-a6d7-07ddea1a25fb</errorID>
      <errorWord>/）</errorWord>
      <group>L1_Punc</group>
      <groupName>标点问题</groupName>
      <ability>L2_Punc_CN</ability>
      <abilityName>标点符号检查</abilityName>
      <candidateList>
        <item>）</item>
      </candidateList>
      <explain/>
      <paraID>33B80B42</paraID>
      <start>62</start>
      <end>64</end>
      <status>unmodified</status>
      <modifiedWord/>
      <trackRevisions>false</trackRevisions>
    </reviewItem>
    <reviewItem>
      <errorID>e331426c-0321-431d-a428-4bb044c36506</errorID>
      <errorWord>操作合</errorWord>
      <group>L1_Word</group>
      <groupName>字词问题</groupName>
      <ability>L2_Typo</ability>
      <abilityName>字词错误</abilityName>
      <candidateList>
        <item>操作台</item>
      </candidateList>
      <explain/>
      <paraID>20BEF2EE</paraID>
      <start>9</start>
      <end>12</end>
      <status>unmodified</status>
      <modifiedWord/>
      <trackRevisions>false</trackRevisions>
    </reviewItem>
    <reviewItem>
      <errorID>3664998d-14fb-4449-a0c2-eb0f2cec719d</errorID>
      <errorWord>，</errorWord>
      <group>L1_Word</group>
      <groupName>字词问题</groupName>
      <ability>L2_Typo</ability>
      <abilityName>字词错误</abilityName>
      <candidateList>
        <item>，在</item>
      </candidateList>
      <explain/>
      <paraID>20BEF2EE</paraID>
      <start>120</start>
      <end>121</end>
      <status>unmodified</status>
      <modifiedWord/>
      <trackRevisions>false</trackRevisions>
    </reviewItem>
    <reviewItem>
      <errorID>10416da7-6428-4891-8b1f-5f86c3980aee</errorID>
      <errorWord>具备有</errorWord>
      <group>L1_Word</group>
      <groupName>字词问题</groupName>
      <ability>L2_Typo</ability>
      <abilityName>字词错误</abilityName>
      <candidateList>
        <item>具备</item>
      </candidateList>
      <explain/>
      <paraID>57B194CD</paraID>
      <start>9</start>
      <end>12</end>
      <status>unmodified</status>
      <modifiedWord/>
      <trackRevisions>false</trackRevisions>
    </reviewItem>
    <reviewItem>
      <errorID>f9a64476-c5b8-4901-b0a2-7d6a2884638f</errorID>
      <errorWord>(</errorWord>
      <group>L1_Format</group>
      <groupName>格式问题</groupName>
      <ability>L2_HalfPunc_CN</ability>
      <abilityName>全半角检查</abilityName>
      <candidateList>
        <item>（</item>
      </candidateList>
      <explain>文本全半角错误。</explain>
      <paraID>121DA2A0</paraID>
      <start>15</start>
      <end>16</end>
      <status>unmodified</status>
      <modifiedWord/>
      <trackRevisions>false</trackRevisions>
    </reviewItem>
    <reviewItem>
      <errorID>5f08a7a5-5f1b-4e0b-bee2-636e0ab24993</errorID>
      <errorWord>，</errorWord>
      <group>L1_Word</group>
      <groupName>字词问题</groupName>
      <ability>L2_Typo</ability>
      <abilityName>字词错误</abilityName>
      <candidateList>
        <item>，使</item>
      </candidateList>
      <explain/>
      <paraID>34D8A09F</paraID>
      <start>32</start>
      <end>33</end>
      <status>unmodified</status>
      <modifiedWord/>
      <trackRevisions>false</trackRevisions>
    </reviewItem>
    <reviewItem>
      <errorID>9eac71c3-373e-435b-b5c7-bff760637cb9</errorID>
      <errorWord>法律、法规</errorWord>
      <group>L1_Word</group>
      <groupName>字词问题</groupName>
      <ability>L2_Typo</ability>
      <abilityName>字词错误</abilityName>
      <candidateList>
        <item>法律法规</item>
      </candidateList>
      <explain/>
      <paraID>41BB1C47</paraID>
      <start>38</start>
      <end>43</end>
      <status>unmodified</status>
      <modifiedWord/>
      <trackRevisions>false</trackRevisions>
    </reviewItem>
    <reviewItem>
      <errorID>4fef0c87-89c4-4bdb-949e-1ad63e4bea48</errorID>
      <errorWord>操作合</errorWord>
      <group>L1_Word</group>
      <groupName>字词问题</groupName>
      <ability>L2_Typo</ability>
      <abilityName>字词错误</abilityName>
      <candidateList>
        <item>操作台</item>
      </candidateList>
      <explain/>
      <paraID>4B5BAB4B</paraID>
      <start>9</start>
      <end>12</end>
      <status>unmodified</status>
      <modifiedWord/>
      <trackRevisions>false</trackRevisions>
    </reviewItem>
    <reviewItem>
      <errorID>94e5f943-ac4d-41e7-962d-69e280c46447</errorID>
      <errorWord>接受</errorWord>
      <group>L1_Word</group>
      <groupName>字词问题</groupName>
      <ability>L2_Typo</ability>
      <abilityName>字词错误</abilityName>
      <candidateList>
        <item>接收</item>
      </candidateList>
      <explain>存在发音相同字词的误用。</explain>
      <paraID>32396819</paraID>
      <start>35</start>
      <end>37</end>
      <status>unmodified</status>
      <modifiedWord/>
      <trackRevisions>false</trackRevisions>
    </reviewItem>
    <reviewItem>
      <errorID>834b2669-5028-4b4a-a293-bd37c694664d</errorID>
      <errorWord>，</errorWord>
      <group>L1_Word</group>
      <groupName>字词问题</groupName>
      <ability>L2_Typo</ability>
      <abilityName>字词错误</abilityName>
      <candidateList>
        <item>，在</item>
      </candidateList>
      <explain/>
      <paraID>1C8A37B8</paraID>
      <start>36</start>
      <end>37</end>
      <status>unmodified</status>
      <modifiedWord/>
      <trackRevisions>false</trackRevisions>
    </reviewItem>
    <reviewItem>
      <errorID>2ecaf288-f164-4a4a-bea1-c9316cf3d326</errorID>
      <errorWord>”中</errorWord>
      <group>L1_Word</group>
      <groupName>字词问题</groupName>
      <ability>L2_Typo</ability>
      <abilityName>字词错误</abilityName>
      <candidateList>
        <item>”</item>
      </candidateList>
      <explain/>
      <paraID>1C8A37B8</paraID>
      <start>205</start>
      <end>207</end>
      <status>unmodified</status>
      <modifiedWord/>
      <trackRevisions>false</trackRevisions>
    </reviewItem>
    <reviewItem>
      <errorID>16e10764-f764-43e8-90f3-2a7e37bcf25f</errorID>
      <errorWord>间</errorWord>
      <group>L1_Word</group>
      <groupName>字词问题</groupName>
      <ability>L2_Typo</ability>
      <abilityName>字词错误</abilityName>
      <candidateList>
        <item>间之</item>
      </candidateList>
      <explain/>
      <paraID>236AD39B</paraID>
      <start>14</start>
      <end>15</end>
      <status>unmodified</status>
      <modifiedWord/>
      <trackRevisions>false</trackRevisions>
    </reviewItem>
    <reviewItem>
      <errorID>69a77f80-5209-438b-8c92-2a5e054ae09f</errorID>
      <errorWord>)</errorWord>
      <group>L1_Format</group>
      <groupName>格式问题</groupName>
      <ability>L2_HalfPunc_CN</ability>
      <abilityName>全半角检查</abilityName>
      <candidateList>
        <item>）</item>
      </candidateList>
      <explain>文本全半角错误。</explain>
      <paraID>15672702</paraID>
      <start>103</start>
      <end>104</end>
      <status>unmodified</status>
      <modifiedWord/>
      <trackRevisions>false</trackRevisions>
    </reviewItem>
    <reviewItem>
      <errorID>14b43d23-2b81-470d-989e-0a040d496563</errorID>
      <errorWord>等类</errorWord>
      <group>L1_Word</group>
      <groupName>字词问题</groupName>
      <ability>L2_Typo</ability>
      <abilityName>字词错误</abilityName>
      <candidateList>
        <item>等</item>
      </candidateList>
      <explain/>
      <paraID>2F928F37</paraID>
      <start>72</start>
      <end>74</end>
      <status>unmodified</status>
      <modifiedWord/>
      <trackRevisions>false</trackRevisions>
    </reviewItem>
    <reviewItem>
      <errorID>56178357-7c89-4ade-8ff8-d1a5cafd5892</errorID>
      <errorWord>达</errorWord>
      <group>L1_Word</group>
      <groupName>字词问题</groupName>
      <ability>L2_Typo</ability>
      <abilityName>字词错误</abilityName>
      <candidateList>
        <item>达到</item>
      </candidateList>
      <explain/>
      <paraID>75015CBD</paraID>
      <start>56</start>
      <end>57</end>
      <status>unmodified</status>
      <modifiedWord/>
      <trackRevisions>false</trackRevisions>
    </reviewItem>
    <reviewItem>
      <errorID>3a19da88-a1c3-403d-bd24-ae92b338ad8b</errorID>
      <errorWord>相关的</errorWord>
      <group>L1_Word</group>
      <groupName>字词问题</groupName>
      <ability>L2_Typo</ability>
      <abilityName>字词错误</abilityName>
      <candidateList>
        <item>相关</item>
      </candidateList>
      <explain/>
      <paraID>21B914A9</paraID>
      <start>107</start>
      <end>110</end>
      <status>unmodified</status>
      <modifiedWord/>
      <trackRevisions>false</trackRevisions>
    </reviewItem>
    <reviewItem>
      <errorID>56eb997b-a0f0-486f-9be1-c0c9320b0cc4</errorID>
      <errorWord>,</errorWord>
      <group>L1_Format</group>
      <groupName>格式问题</groupName>
      <ability>L2_HalfPunc_CN</ability>
      <abilityName>全半角检查</abilityName>
      <candidateList>
        <item>，</item>
      </candidateList>
      <explain>文本全半角错误。</explain>
      <paraID>3F7F6D16</paraID>
      <start>34</start>
      <end>35</end>
      <status>unmodified</status>
      <modifiedWord/>
      <trackRevisions>false</trackRevisions>
    </reviewItem>
    <reviewItem>
      <errorID>2ea63df4-da1b-431d-abe5-c36649a9c701</errorID>
      <errorWord>晰</errorWord>
      <group>L1_Word</group>
      <groupName>字词问题</groupName>
      <ability>L2_Typo</ability>
      <abilityName>字词错误</abilityName>
      <candidateList>
        <item>晰地</item>
      </candidateList>
      <explain/>
      <paraID>3F7F6D16</paraID>
      <start>38</start>
      <end>39</end>
      <status>unmodified</status>
      <modifiedWord/>
      <trackRevisions>false</trackRevisions>
    </reviewItem>
    <reviewItem>
      <errorID>3466825a-2051-478b-b80b-0eb084cba345</errorID>
      <errorWord>相关的</errorWord>
      <group>L1_Word</group>
      <groupName>字词问题</groupName>
      <ability>L2_Typo</ability>
      <abilityName>字词错误</abilityName>
      <candidateList>
        <item>相关</item>
      </candidateList>
      <explain/>
      <paraID>52F1E055</paraID>
      <start>156</start>
      <end>159</end>
      <status>unmodified</status>
      <modifiedWord/>
      <trackRevisions>false</trackRevisions>
    </reviewItem>
    <reviewItem>
      <errorID>33b0e5e5-9fac-44ef-a169-0bd0e52bc7a0</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52F1E055</paraID>
      <start>193</start>
      <end>196</end>
      <status>unmodified</status>
      <modifiedWord/>
      <trackRevisions>false</trackRevisions>
    </reviewItem>
    <reviewItem>
      <errorID>5965fe3a-d776-407e-acc0-146a962d3cb5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27CD6C75</paraID>
      <start>0</start>
      <end>3</end>
      <status>unmodified</status>
      <modifiedWord/>
      <trackRevisions>false</trackRevisions>
    </reviewItem>
    <reviewItem>
      <errorID>521dc04c-7847-4b54-80c4-55338e3ac7f8</errorID>
      <errorWord>(</errorWord>
      <group>L1_Format</group>
      <groupName>格式问题</groupName>
      <ability>L2_HalfPunc_CN</ability>
      <abilityName>全半角检查</abilityName>
      <candidateList>
        <item>（</item>
      </candidateList>
      <explain>文本全半角错误。</explain>
      <paraID>27CD6C75</paraID>
      <start>17</start>
      <end>18</end>
      <status>unmodified</status>
      <modifiedWord/>
      <trackRevisions>false</trackRevisions>
    </reviewItem>
    <reviewItem>
      <errorID>8402d6a4-db71-4a5a-9adc-ceb98254c7fe</errorID>
      <errorWord>)</errorWord>
      <group>L1_Format</group>
      <groupName>格式问题</groupName>
      <ability>L2_HalfPunc_CN</ability>
      <abilityName>全半角检查</abilityName>
      <candidateList>
        <item>）</item>
      </candidateList>
      <explain>文本全半角错误。</explain>
      <paraID>27CD6C75</paraID>
      <start>68</start>
      <end>69</end>
      <status>unmodified</status>
      <modifiedWord/>
      <trackRevisions>false</trackRevisions>
    </reviewItem>
    <reviewItem>
      <errorID>f6fdac01-cb4c-4e5d-948b-8dfc95932681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189956FB</paraID>
      <start>0</start>
      <end>3</end>
      <status>unmodified</status>
      <modifiedWord/>
      <trackRevisions>false</trackRevisions>
    </reviewItem>
    <reviewItem>
      <errorID>f30cbc24-d801-46f0-a8f6-857e3ed1854e</errorID>
      <errorWord>部份</errorWord>
      <group>L1_Word</group>
      <groupName>字词问题</groupName>
      <ability>L2_Typo</ability>
      <abilityName>字词错误</abilityName>
      <candidateList>
        <item>部分</item>
      </candidateList>
      <explain/>
      <paraID>58A67FFD</paraID>
      <start>62</start>
      <end>64</end>
      <status>unmodified</status>
      <modifiedWord/>
      <trackRevisions>false</trackRevisions>
    </reviewItem>
    <reviewItem>
      <errorID>8b770916-8249-4342-986e-36206c4a2fc7</errorID>
      <errorWord>相关的</errorWord>
      <group>L1_Word</group>
      <groupName>字词问题</groupName>
      <ability>L2_Typo</ability>
      <abilityName>字词错误</abilityName>
      <candidateList>
        <item>相关</item>
      </candidateList>
      <explain/>
      <paraID>24E8DDFD</paraID>
      <start>42</start>
      <end>45</end>
      <status>unmodified</status>
      <modifiedWord/>
      <trackRevisions>false</trackRevisions>
    </reviewItem>
    <reviewItem>
      <errorID>eaf995a0-8996-43ae-9209-0481eb3b799c</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24E8DDFD</paraID>
      <start>79</start>
      <end>82</end>
      <status>unmodified</status>
      <modifiedWord/>
      <trackRevisions>false</trackRevisions>
    </reviewItem>
    <reviewItem>
      <errorID>099be291-4e3e-4153-ad11-147b6ef4d71e</errorID>
      <errorWord>相关的</errorWord>
      <group>L1_Word</group>
      <groupName>字词问题</groupName>
      <ability>L2_Typo</ability>
      <abilityName>字词错误</abilityName>
      <candidateList>
        <item>相关</item>
      </candidateList>
      <explain/>
      <paraID>350D68E8</paraID>
      <start>42</start>
      <end>45</end>
      <status>unmodified</status>
      <modifiedWord/>
      <trackRevisions>false</trackRevisions>
    </reviewItem>
    <reviewItem>
      <errorID>41f03e22-a486-48a3-b343-aad33f7e27fb</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350D68E8</paraID>
      <start>79</start>
      <end>82</end>
      <status>unmodified</status>
      <modifiedWord/>
      <trackRevisions>false</trackRevisions>
    </reviewItem>
    <reviewItem>
      <errorID>07cf8a39-b3af-4e16-8128-6f384f79f75e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2D5726BE</paraID>
      <start>0</start>
      <end>2</end>
      <status>unmodified</status>
      <modifiedWord/>
      <trackRevisions>false</trackRevisions>
    </reviewItem>
    <reviewItem>
      <errorID>a03c1afe-2edc-466d-8c67-0cca50562b0a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37D2AFE4</paraID>
      <start>0</start>
      <end>2</end>
      <status>unmodified</status>
      <modifiedWord/>
      <trackRevisions>false</trackRevisions>
    </reviewItem>
    <reviewItem>
      <errorID>400aea23-481c-4e94-9cf3-8c3462e0bdeb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2100B67A</paraID>
      <start>0</start>
      <end>2</end>
      <status>unmodified</status>
      <modifiedWord/>
      <trackRevisions>false</trackRevisions>
    </reviewItem>
    <reviewItem>
      <errorID>a15d70fd-2d05-47e6-bcc7-8ee7ee691507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5B5DE305</paraID>
      <start>0</start>
      <end>2</end>
      <status>unmodified</status>
      <modifiedWord/>
      <trackRevisions>false</trackRevisions>
    </reviewItem>
    <reviewItem>
      <errorID>ddf874e6-b9eb-4ba0-94b1-c4a13a4872b5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8AF7363</paraID>
      <start>0</start>
      <end>2</end>
      <status>unmodified</status>
      <modifiedWord/>
      <trackRevisions>false</trackRevisions>
    </reviewItem>
    <reviewItem>
      <errorID>db8ea568-7199-4855-9415-309b58607d55</errorID>
      <errorWord>国家的法律法规及</errorWord>
      <group>L1_Word</group>
      <groupName>字词问题</groupName>
      <ability>L2_Typo</ability>
      <abilityName>字词错误</abilityName>
      <candidateList>
        <item>国家法律法规及</item>
      </candidateList>
      <explain/>
      <paraID> F0B6F56</paraID>
      <start>9</start>
      <end>17</end>
      <status>unmodified</status>
      <modifiedWord/>
      <trackRevisions>false</trackRevisions>
    </reviewItem>
    <reviewItem>
      <errorID>b5cfef47-29a6-4446-8158-bb57a3be0a18</errorID>
      <errorWord>(</errorWord>
      <group>L1_Format</group>
      <groupName>格式问题</groupName>
      <ability>L2_HalfPunc_CN</ability>
      <abilityName>全半角检查</abilityName>
      <candidateList>
        <item>（</item>
      </candidateList>
      <explain>文本全半角错误。</explain>
      <paraID>553F837C</paraID>
      <start>0</start>
      <end>1</end>
      <status>unmodified</status>
      <modifiedWord/>
      <trackRevisions>false</trackRevisions>
    </reviewItem>
    <reviewItem>
      <errorID>d35cc0d3-fcd6-439a-9d25-e2825ed194cb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2879C5D</paraID>
      <start>0</start>
      <end>3</end>
      <status>unmodified</status>
      <modifiedWord/>
      <trackRevisions>false</trackRevisions>
    </reviewItem>
    <reviewItem>
      <errorID>f539610c-5551-46bd-9067-d3ec37703905</errorID>
      <errorWord>【2024】22号</errorWord>
      <group>L1_Knowledge</group>
      <groupName>知识性问题</groupName>
      <ability>L2_Knowledge</ability>
      <abilityName>其他知识</abilityName>
      <candidateList>
        <item>〔2024〕22号</item>
      </candidateList>
      <explain>发文字号格式错误。</explain>
      <paraID> 2879C5D</paraID>
      <start>78</start>
      <end>87</end>
      <status>unmodified</status>
      <modifiedWord/>
      <trackRevisions>false</trackRevisions>
    </reviewItem>
    <reviewItem>
      <errorID>2ce0ed41-7604-46f2-8fd9-4b4a1d1c11be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136A94EF</paraID>
      <start>0</start>
      <end>3</end>
      <status>unmodified</status>
      <modifiedWord/>
      <trackRevisions>false</trackRevisions>
    </reviewItem>
    <reviewItem>
      <errorID>43ccac35-28b4-4141-a8d0-4282e98b1842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1CE4BFBB</paraID>
      <start>0</start>
      <end>3</end>
      <status>unmodified</status>
      <modifiedWord/>
      <trackRevisions>false</trackRevisions>
    </reviewItem>
    <reviewItem>
      <errorID>4c65316f-46a0-4ae8-9641-8b3c2fa9777b</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1CE4BFBB</paraID>
      <start>43</start>
      <end>44</end>
      <status>unmodified</status>
      <modifiedWord/>
      <trackRevisions>false</trackRevisions>
    </reviewItem>
    <reviewItem>
      <errorID>7865e0e0-e8bb-4977-a845-b13e48a54c43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227DADC6</paraID>
      <start>0</start>
      <end>3</end>
      <status>unmodified</status>
      <modifiedWord/>
      <trackRevisions>false</trackRevisions>
    </reviewItem>
    <reviewItem>
      <errorID>20b2bf31-f4c1-4104-81ef-935636be797e</errorID>
      <errorWord>(</errorWord>
      <group>L1_Format</group>
      <groupName>格式问题</groupName>
      <ability>L2_HalfPunc_CN</ability>
      <abilityName>全半角检查</abilityName>
      <candidateList>
        <item>（</item>
      </candidateList>
      <explain>文本全半角错误。</explain>
      <paraID>227DADC6</paraID>
      <start>66</start>
      <end>67</end>
      <status>unmodified</status>
      <modifiedWord/>
      <trackRevisions>false</trackRevisions>
    </reviewItem>
    <reviewItem>
      <errorID>47a06703-2364-4291-9f3a-175e5a33e5a2</errorID>
      <errorWord>)</errorWord>
      <group>L1_Format</group>
      <groupName>格式问题</groupName>
      <ability>L2_HalfPunc_CN</ability>
      <abilityName>全半角检查</abilityName>
      <candidateList>
        <item>）</item>
      </candidateList>
      <explain>文本全半角错误。</explain>
      <paraID>227DADC6</paraID>
      <start>81</start>
      <end>82</end>
      <status>unmodified</status>
      <modifiedWord/>
      <trackRevisions>false</trackRevisions>
    </reviewItem>
    <reviewItem>
      <errorID>a0cbe6fa-4467-4d93-bfbe-12e125b853fd</errorID>
      <errorWord>(</errorWord>
      <group>L1_Format</group>
      <groupName>格式问题</groupName>
      <ability>L2_HalfPunc_CN</ability>
      <abilityName>全半角检查</abilityName>
      <candidateList>
        <item>（</item>
      </candidateList>
      <explain>文本全半角错误。</explain>
      <paraID>227DADC6</paraID>
      <start>94</start>
      <end>95</end>
      <status>unmodified</status>
      <modifiedWord/>
      <trackRevisions>false</trackRevisions>
    </reviewItem>
    <reviewItem>
      <errorID>6748fc9a-35fe-407e-ab4f-ce411c5f2a2e</errorID>
      <errorWord>)</errorWord>
      <group>L1_Format</group>
      <groupName>格式问题</groupName>
      <ability>L2_HalfPunc_CN</ability>
      <abilityName>全半角检查</abilityName>
      <candidateList>
        <item>）</item>
      </candidateList>
      <explain>文本全半角错误。</explain>
      <paraID>227DADC6</paraID>
      <start>102</start>
      <end>103</end>
      <status>unmodified</status>
      <modifiedWord/>
      <trackRevisions>false</trackRevisions>
    </reviewItem>
    <reviewItem>
      <errorID>70c813a7-f722-45ba-b05e-d08f71244181</errorID>
      <errorWord>：</errorWord>
      <group>L1_Format</group>
      <groupName>格式问题</groupName>
      <ability>L2_HalfPunc_CN</ability>
      <abilityName>全半角检查</abilityName>
      <candidateList>
        <item>:</item>
      </candidateList>
      <explain>文本全半角错误。</explain>
      <paraID>28B5C597</paraID>
      <start>181</start>
      <end>182</end>
      <status>unmodified</status>
      <modifiedWord/>
      <trackRevisions>false</trackRevisions>
    </reviewItem>
    <reviewItem>
      <errorID>c808bbb8-4fc9-4748-9581-0a7d74d24357</errorID>
      <errorWord>下午13:00</errorWord>
      <group>L1_Knowledge</group>
      <groupName>知识性问题</groupName>
      <ability>L2_Time</ability>
      <abilityName>日期时间</abilityName>
      <candidateList>
        <item>13:00</item>
      </candidateList>
      <explain>24小时制的时间，不需要强调“下午”。</explain>
      <paraID>28B5C597</paraID>
      <start>274</start>
      <end>281</end>
      <status>unmodified</status>
      <modifiedWord/>
      <trackRevisions>false</trackRevisions>
    </reviewItem>
    <reviewItem>
      <errorID>df18b3de-ff3d-43ab-ada4-5272073b273a</errorID>
      <errorWord>下午14:00</errorWord>
      <group>L1_Knowledge</group>
      <groupName>知识性问题</groupName>
      <ability>L2_Time</ability>
      <abilityName>日期时间</abilityName>
      <candidateList>
        <item>14:00</item>
      </candidateList>
      <explain>24小时制的时间，不需要强调“下午”。</explain>
      <paraID>28B5C597</paraID>
      <start>310</start>
      <end>317</end>
      <status>unmodified</status>
      <modifiedWord/>
      <trackRevisions>false</trackRevisions>
    </reviewItem>
    <reviewItem>
      <errorID>e38d0d79-501a-43eb-9546-19c6145157c6</errorID>
      <errorWord>末</errorWord>
      <group>L1_Word</group>
      <groupName>字词问题</groupName>
      <ability>L2_Typo</ability>
      <abilityName>字词错误</abilityName>
      <candidateList>
        <item>未</item>
      </candidateList>
      <explain/>
      <paraID>28B5C597</paraID>
      <start>361</start>
      <end>362</end>
      <status>unmodified</status>
      <modifiedWord/>
      <trackRevisions>false</trackRevisions>
    </reviewItem>
    <reviewItem>
      <errorID>9515cb2b-bd13-4ff5-b7a4-508a2a29583c</errorID>
      <errorWord>期</errorWord>
      <group>L1_Word</group>
      <groupName>字词问题</groupName>
      <ability>L2_Typo</ability>
      <abilityName>字词错误</abilityName>
      <candidateList>
        <item>期内</item>
      </candidateList>
      <explain/>
      <paraID>4852B9AD</paraID>
      <start>8</start>
      <end>9</end>
      <status>unmodified</status>
      <modifiedWord/>
      <trackRevisions>false</trackRevisions>
    </reviewItem>
    <reviewItem>
      <errorID>e08fb807-57fb-4484-b812-b7437d03faad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330809A9</paraID>
      <start>0</start>
      <end>3</end>
      <status>unmodified</status>
      <modifiedWord/>
      <trackRevisions>false</trackRevisions>
    </reviewItem>
    <reviewItem>
      <errorID>d8676595-59c3-49de-8dfb-749986ccc13f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203A38AE</paraID>
      <start>0</start>
      <end>3</end>
      <status>unmodified</status>
      <modifiedWord/>
      <trackRevisions>false</trackRevisions>
    </reviewItem>
    <reviewItem>
      <errorID>09bb0bc5-9fa3-4a0b-8a80-6055e8d3ea03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4D3F0530</paraID>
      <start>0</start>
      <end>3</end>
      <status>unmodified</status>
      <modifiedWord/>
      <trackRevisions>false</trackRevisions>
    </reviewItem>
    <reviewItem>
      <errorID>b372feab-4fe7-4bdd-a273-d821b3a350b1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2D126257</paraID>
      <start>0</start>
      <end>3</end>
      <status>unmodified</status>
      <modifiedWord/>
      <trackRevisions>false</trackRevisions>
    </reviewItem>
    <reviewItem>
      <errorID>a30fea93-98f1-4dda-8f92-09654c4eb35d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2E0680F4</paraID>
      <start>0</start>
      <end>3</end>
      <status>unmodified</status>
      <modifiedWord/>
      <trackRevisions>false</trackRevisions>
    </reviewItem>
    <reviewItem>
      <errorID>8b1062a3-6483-4a1c-9e98-228c8796da4f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63B2D85</paraID>
      <start>0</start>
      <end>3</end>
      <status>unmodified</status>
      <modifiedWord/>
      <trackRevisions>false</trackRevisions>
    </reviewItem>
    <reviewItem>
      <errorID>9ff6b3e7-a2fa-4812-8846-84e098c14f87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4B35961F</paraID>
      <start>0</start>
      <end>3</end>
      <status>unmodified</status>
      <modifiedWord/>
      <trackRevisions>false</trackRevisions>
    </reviewItem>
    <reviewItem>
      <errorID>d85c137d-76c7-4f08-b4f5-2a81d2d50028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5822CA53</paraID>
      <start>0</start>
      <end>3</end>
      <status>unmodified</status>
      <modifiedWord/>
      <trackRevisions>false</trackRevisions>
    </reviewItem>
    <reviewItem>
      <errorID>d6d2555b-f7b1-4730-821d-879d7a856108</errorID>
      <errorWord>(</errorWord>
      <group>L1_Format</group>
      <groupName>格式问题</groupName>
      <ability>L2_HalfPunc_CN</ability>
      <abilityName>全半角检查</abilityName>
      <candidateList>
        <item>（</item>
      </candidateList>
      <explain>文本全半角错误。</explain>
      <paraID>3EA97AB1</paraID>
      <start>103</start>
      <end>104</end>
      <status>unmodified</status>
      <modifiedWord/>
      <trackRevisions>false</trackRevisions>
    </reviewItem>
    <reviewItem>
      <errorID>37d8734e-9c7e-4ed9-bc9f-12ed4fb9829a</errorID>
      <errorWord>期间</errorWord>
      <group>L1_Word</group>
      <groupName>字词问题</groupName>
      <ability>L2_Typo</ability>
      <abilityName>字词错误</abilityName>
      <candidateList>
        <item>其间</item>
      </candidateList>
      <explain/>
      <paraID>3EA97AB1</paraID>
      <start>115</start>
      <end>117</end>
      <status>unmodified</status>
      <modifiedWord/>
      <trackRevisions>false</trackRevisions>
    </reviewItem>
    <reviewItem>
      <errorID>7144b6f4-1683-49e2-83f2-38a0cfb3830b</errorID>
      <errorWord>(</errorWord>
      <group>L1_Format</group>
      <groupName>格式问题</groupName>
      <ability>L2_HalfPunc_CN</ability>
      <abilityName>全半角检查</abilityName>
      <candidateList>
        <item>（</item>
      </candidateList>
      <explain>文本全半角错误。</explain>
      <paraID>3EA97AB1</paraID>
      <start>165</start>
      <end>166</end>
      <status>unmodified</status>
      <modifiedWord/>
      <trackRevisions>false</trackRevisions>
    </reviewItem>
    <reviewItem>
      <errorID>5e7e301f-801c-4510-8930-52d2ea4e8a8a</errorID>
      <errorWord>)</errorWord>
      <group>L1_Format</group>
      <groupName>格式问题</groupName>
      <ability>L2_HalfPunc_CN</ability>
      <abilityName>全半角检查</abilityName>
      <candidateList>
        <item>）</item>
      </candidateList>
      <explain>文本全半角错误。</explain>
      <paraID>3EA97AB1</paraID>
      <start>170</start>
      <end>171</end>
      <status>unmodified</status>
      <modifiedWord/>
      <trackRevisions>false</trackRevisions>
    </reviewItem>
    <reviewItem>
      <errorID>1f185982-cf8c-4b8e-8e0c-791384e03fc4</errorID>
      <errorWord>(</errorWord>
      <group>L1_Format</group>
      <groupName>格式问题</groupName>
      <ability>L2_HalfPunc_CN</ability>
      <abilityName>全半角检查</abilityName>
      <candidateList>
        <item>（</item>
      </candidateList>
      <explain>文本全半角错误。</explain>
      <paraID>3EA97AB1</paraID>
      <start>207</start>
      <end>208</end>
      <status>unmodified</status>
      <modifiedWord/>
      <trackRevisions>false</trackRevisions>
    </reviewItem>
    <reviewItem>
      <errorID>279f44c3-8045-42cf-8d2d-7ff51e884cb1</errorID>
      <errorWord>)</errorWord>
      <group>L1_Format</group>
      <groupName>格式问题</groupName>
      <ability>L2_HalfPunc_CN</ability>
      <abilityName>全半角检查</abilityName>
      <candidateList>
        <item>）</item>
      </candidateList>
      <explain>文本全半角错误。</explain>
      <paraID>3EA97AB1</paraID>
      <start>212</start>
      <end>213</end>
      <status>unmodified</status>
      <modifiedWord/>
      <trackRevisions>false</trackRevisions>
    </reviewItem>
    <reviewItem>
      <errorID>e9a88a1e-d52d-4b66-a938-893d3adaa3d6</errorID>
      <errorWord>（2）、</errorWord>
      <group>L1_Punc</group>
      <groupName>标点问题</groupName>
      <ability>L2_Punc_CN</ability>
      <abilityName>标点符号检查</abilityName>
      <candidateList>
        <item>（2）</item>
      </candidateList>
      <explain>根据国标GB/T 15834-2011《标点符号用法》中的4.5.3.3节，带括号的汉字数字或阿拉伯数字表次序时，后面通常不加顿号。如“（一）指导思想”“（二）行动指南”。</explain>
      <paraID>3B6C90CE</paraID>
      <start>13</start>
      <end>17</end>
      <status>unmodified</status>
      <modifiedWord/>
      <trackRevisions>false</trackRevisions>
    </reviewItem>
    <reviewItem>
      <errorID>c6614b0e-e3de-4eeb-9d76-141949199a31</errorID>
      <errorWord>（3）、</errorWord>
      <group>L1_Punc</group>
      <groupName>标点问题</groupName>
      <ability>L2_Punc_CN</ability>
      <abilityName>标点符号检查</abilityName>
      <candidateList>
        <item>（3）</item>
      </candidateList>
      <explain>根据国标GB/T 15834-2011《标点符号用法》中的4.5.3.3节，带括号的汉字数字或阿拉伯数字表次序时，后面通常不加顿号。如“（一）指导思想”“（二）行动指南”。</explain>
      <paraID>3B6C90CE</paraID>
      <start>17</start>
      <end>21</end>
      <status>unmodified</status>
      <modifiedWord/>
      <trackRevisions>false</trackRevisions>
    </reviewItem>
    <reviewItem>
      <errorID>8f55f3a1-d25d-468d-ae25-c9fe610ea41a</errorID>
      <errorWord>（12）、</errorWord>
      <group>L1_Punc</group>
      <groupName>标点问题</groupName>
      <ability>L2_Punc_CN</ability>
      <abilityName>标点符号检查</abilityName>
      <candidateList>
        <item>（12）</item>
      </candidateList>
      <explain>根据国标GB/T 15834-2011《标点符号用法》中的4.5.3.3节，带括号的汉字数字或阿拉伯数字表次序时，后面通常不加顿号。如“（一）指导思想”“（二）行动指南”。</explain>
      <paraID>3B6C90CE</paraID>
      <start>21</start>
      <end>26</end>
      <status>unmodified</status>
      <modifiedWord/>
      <trackRevisions>false</trackRevisions>
    </reviewItem>
    <reviewItem>
      <errorID>b8d1a9c9-001f-45b4-8634-15a8f93e6158</errorID>
      <errorWord>（13）、</errorWord>
      <group>L1_Punc</group>
      <groupName>标点问题</groupName>
      <ability>L2_Punc_CN</ability>
      <abilityName>标点符号检查</abilityName>
      <candidateList>
        <item>（13）</item>
      </candidateList>
      <explain>根据国标GB/T 15834-2011《标点符号用法》中的4.5.3.3节，带括号的汉字数字或阿拉伯数字表次序时，后面通常不加顿号。如“（一）指导思想”“（二）行动指南”。</explain>
      <paraID>3B6C90CE</paraID>
      <start>26</start>
      <end>31</end>
      <status>unmodified</status>
      <modifiedWord/>
      <trackRevisions>false</trackRevisions>
    </reviewItem>
    <reviewItem>
      <errorID>83e924a9-5240-4907-853c-b5d009f521e6</errorID>
      <errorWord>(</errorWord>
      <group>L1_Format</group>
      <groupName>格式问题</groupName>
      <ability>L2_HalfPunc_CN</ability>
      <abilityName>全半角检查</abilityName>
      <candidateList>
        <item>（</item>
      </candidateList>
      <explain>文本全半角错误。</explain>
      <paraID>6BFE34D5</paraID>
      <start>13</start>
      <end>14</end>
      <status>unmodified</status>
      <modifiedWord/>
      <trackRevisions>false</trackRevisions>
    </reviewItem>
    <reviewItem>
      <errorID>af21c2a6-2d08-42af-aaf3-319528874922</errorID>
      <errorWord>)</errorWord>
      <group>L1_Format</group>
      <groupName>格式问题</groupName>
      <ability>L2_HalfPunc_CN</ability>
      <abilityName>全半角检查</abilityName>
      <candidateList>
        <item>）</item>
      </candidateList>
      <explain>文本全半角错误。</explain>
      <paraID>6BFE34D5</paraID>
      <start>17</start>
      <end>18</end>
      <status>unmodified</status>
      <modifiedWord/>
      <trackRevisions>false</trackRevisions>
    </reviewItem>
    <reviewItem>
      <errorID>b9a6d24f-a5c6-46c4-af21-ee8a60e98f69</errorID>
      <errorWord>(</errorWord>
      <group>L1_Format</group>
      <groupName>格式问题</groupName>
      <ability>L2_HalfPunc_CN</ability>
      <abilityName>全半角检查</abilityName>
      <candidateList>
        <item>（</item>
      </candidateList>
      <explain>文本全半角错误。</explain>
      <paraID>6BFE34D5</paraID>
      <start>30</start>
      <end>31</end>
      <status>unmodified</status>
      <modifiedWord/>
      <trackRevisions>false</trackRevisions>
    </reviewItem>
    <reviewItem>
      <errorID>a565a2f4-6e4b-479c-8aef-c4d8fd554668</errorID>
      <errorWord>)</errorWord>
      <group>L1_Format</group>
      <groupName>格式问题</groupName>
      <ability>L2_HalfPunc_CN</ability>
      <abilityName>全半角检查</abilityName>
      <candidateList>
        <item>）</item>
      </candidateList>
      <explain>文本全半角错误。</explain>
      <paraID>6BFE34D5</paraID>
      <start>38</start>
      <end>39</end>
      <status>unmodified</status>
      <modifiedWord/>
      <trackRevisions>false</trackRevisions>
    </reviewItem>
    <reviewItem>
      <errorID>f787b024-0d09-412f-bafd-bd8207a5a706</errorID>
      <errorWord>(</errorWord>
      <group>L1_Format</group>
      <groupName>格式问题</groupName>
      <ability>L2_HalfPunc_CN</ability>
      <abilityName>全半角检查</abilityName>
      <candidateList>
        <item>（</item>
      </candidateList>
      <explain>文本全半角错误。</explain>
      <paraID>  9B2E84</paraID>
      <start>6</start>
      <end>7</end>
      <status>unmodified</status>
      <modifiedWord/>
      <trackRevisions>false</trackRevisions>
    </reviewItem>
    <reviewItem>
      <errorID>668dfd67-7bf4-4d98-bb5f-1cbffbb35bc9</errorID>
      <errorWord>(</errorWord>
      <group>L1_Format</group>
      <groupName>格式问题</groupName>
      <ability>L2_HalfPunc_CN</ability>
      <abilityName>全半角检查</abilityName>
      <candidateList>
        <item>（</item>
      </candidateList>
      <explain>文本全半角错误。</explain>
      <paraID>2B68C1A9</paraID>
      <start>34</start>
      <end>35</end>
      <status>unmodified</status>
      <modifiedWord/>
      <trackRevisions>false</trackRevisions>
    </reviewItem>
    <reviewItem>
      <errorID>6adac718-0bc9-4d0c-a106-755eca671395</errorID>
      <errorWord>)</errorWord>
      <group>L1_Format</group>
      <groupName>格式问题</groupName>
      <ability>L2_HalfPunc_CN</ability>
      <abilityName>全半角检查</abilityName>
      <candidateList>
        <item>）</item>
      </candidateList>
      <explain>文本全半角错误。</explain>
      <paraID>2B68C1A9</paraID>
      <start>39</start>
      <end>40</end>
      <status>unmodified</status>
      <modifiedWord/>
      <trackRevisions>false</trackRevisions>
    </reviewItem>
    <reviewItem>
      <errorID>ffc5fd0a-8851-41dc-b51a-197380694b00</errorID>
      <errorWord>(</errorWord>
      <group>L1_Format</group>
      <groupName>格式问题</groupName>
      <ability>L2_HalfPunc_CN</ability>
      <abilityName>全半角检查</abilityName>
      <candidateList>
        <item>（</item>
      </candidateList>
      <explain>文本全半角错误。</explain>
      <paraID>2B68C1A9</paraID>
      <start>89</start>
      <end>90</end>
      <status>unmodified</status>
      <modifiedWord/>
      <trackRevisions>false</trackRevisions>
    </reviewItem>
    <reviewItem>
      <errorID>7eb9c2d4-f07b-4343-882b-c2e745588693</errorID>
      <errorWord>)</errorWord>
      <group>L1_Format</group>
      <groupName>格式问题</groupName>
      <ability>L2_HalfPunc_CN</ability>
      <abilityName>全半角检查</abilityName>
      <candidateList>
        <item>）</item>
      </candidateList>
      <explain>文本全半角错误。</explain>
      <paraID>2B68C1A9</paraID>
      <start>94</start>
      <end>95</end>
      <status>unmodified</status>
      <modifiedWord/>
      <trackRevisions>false</trackRevisions>
    </reviewItem>
    <reviewItem>
      <errorID>ae77bb46-8754-4756-8e4c-15d0d49c1542</errorID>
      <errorWord>(</errorWord>
      <group>L1_Format</group>
      <groupName>格式问题</groupName>
      <ability>L2_HalfPunc_CN</ability>
      <abilityName>全半角检查</abilityName>
      <candidateList>
        <item>（</item>
      </candidateList>
      <explain>文本全半角错误。</explain>
      <paraID>2B68C1A9</paraID>
      <start>142</start>
      <end>143</end>
      <status>unmodified</status>
      <modifiedWord/>
      <trackRevisions>false</trackRevisions>
    </reviewItem>
    <reviewItem>
      <errorID>622f970e-6e44-40e0-a001-112311f9b51a</errorID>
      <errorWord>)</errorWord>
      <group>L1_Format</group>
      <groupName>格式问题</groupName>
      <ability>L2_HalfPunc_CN</ability>
      <abilityName>全半角检查</abilityName>
      <candidateList>
        <item>）</item>
      </candidateList>
      <explain>文本全半角错误。</explain>
      <paraID>2B68C1A9</paraID>
      <start>147</start>
      <end>148</end>
      <status>unmodified</status>
      <modifiedWord/>
      <trackRevisions>false</trackRevisions>
    </reviewItem>
    <reviewItem>
      <errorID>71f9632f-e4ce-4b74-976d-4b50ca96ca81</errorID>
      <errorWord>、或</errorWord>
      <group>L1_Word</group>
      <groupName>字词问题</groupName>
      <ability>L2_Typo</ability>
      <abilityName>字词错误</abilityName>
      <candidateList>
        <item>或</item>
      </candidateList>
      <explain/>
      <paraID>7059BC26</paraID>
      <start>25</start>
      <end>27</end>
      <status>unmodified</status>
      <modifiedWord/>
      <trackRevisions>false</trackRevisions>
    </reviewItem>
    <reviewItem>
      <errorID>bc240abd-388a-493f-8ff7-d5a5dccb1a9a</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565ADA11</paraID>
      <start>39</start>
      <end>40</end>
      <status>unmodified</status>
      <modifiedWord/>
      <trackRevisions>false</trackRevisions>
    </reviewItem>
    <reviewItem>
      <errorID>77e753e7-aab3-444d-acf8-d952cc7dd606</errorID>
      <errorWord>"</errorWord>
      <group>L1_Format</group>
      <groupName>格式问题</groupName>
      <ability>L2_HalfPunc_CN</ability>
      <abilityName>全半角检查</abilityName>
      <candidateList>
        <item>”</item>
      </candidateList>
      <explain>文本全半角错误。</explain>
      <paraID>565ADA11</paraID>
      <start>42</start>
      <end>43</end>
      <status>unmodified</status>
      <modifiedWord/>
      <trackRevisions>false</trackRevisions>
    </reviewItem>
    <reviewItem>
      <errorID>f1006a97-3b1d-4c59-8d48-820d7cc81cdf</errorID>
      <errorWord>》中</errorWord>
      <group>L1_Word</group>
      <groupName>字词问题</groupName>
      <ability>L2_Typo</ability>
      <abilityName>字词错误</abilityName>
      <candidateList>
        <item>》</item>
      </candidateList>
      <explain/>
      <paraID>2816860E</paraID>
      <start>34</start>
      <end>36</end>
      <status>unmodified</status>
      <modifiedWord/>
      <trackRevisions>false</trackRevisions>
    </reviewItem>
    <reviewItem>
      <errorID>08a93deb-77ba-4595-aecf-196798d06933</errorID>
      <errorWord>金</errorWord>
      <group>L1_Word</group>
      <groupName>字词问题</groupName>
      <ability>L2_Typo</ability>
      <abilityName>字词错误</abilityName>
      <candidateList>
        <item>金中</item>
      </candidateList>
      <explain/>
      <paraID>144D9E95</paraID>
      <start>120</start>
      <end>121</end>
      <status>unmodified</status>
      <modifiedWord/>
      <trackRevisions>false</trackRevisions>
    </reviewItem>
    <reviewItem>
      <errorID>a1c731c6-3c70-471f-8c4a-3aa4465a4157</errorID>
      <errorWord>期间</errorWord>
      <group>L1_Word</group>
      <groupName>字词问题</groupName>
      <ability>L2_Typo</ability>
      <abilityName>字词错误</abilityName>
      <candidateList>
        <item>其间</item>
      </candidateList>
      <explain/>
      <paraID>144D9E95</paraID>
      <start>267</start>
      <end>269</end>
      <status>unmodified</status>
      <modifiedWord/>
      <trackRevisions>false</trackRevisions>
    </reviewItem>
    <reviewItem>
      <errorID>41e4842b-e57b-4e04-b4ed-3e779dc28f73</errorID>
      <errorWord>不可抗拒原因</errorWord>
      <group>L1_Word</group>
      <groupName>字词问题</groupName>
      <ability>L2_Typo</ability>
      <abilityName>字词错误</abilityName>
      <candidateList>
        <item>不可抗力原因</item>
      </candidateList>
      <explain/>
      <paraID>4D94CEBD</paraID>
      <start>12</start>
      <end>18</end>
      <status>unmodified</status>
      <modifiedWord/>
      <trackRevisions>false</trackRevisions>
    </reviewItem>
    <reviewItem>
      <errorID>132e5d0f-c5a3-4182-96ad-28b5c0082592</errorID>
      <errorWord>对于</errorWord>
      <group>L1_Word</group>
      <groupName>字词问题</groupName>
      <ability>L2_Typo</ability>
      <abilityName>字词错误</abilityName>
      <candidateList>
        <item>对</item>
      </candidateList>
      <explain/>
      <paraID>24B8DB54</paraID>
      <start>17</start>
      <end>19</end>
      <status>unmodified</status>
      <modifiedWord/>
      <trackRevisions>false</trackRevisions>
    </reviewItem>
    <reviewItem>
      <errorID>bae43336-4728-42c6-98dc-6376b902715b</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54A87DF5</paraID>
      <start>2</start>
      <end>3</end>
      <status>unmodified</status>
      <modifiedWord/>
      <trackRevisions>false</trackRevisions>
    </reviewItem>
    <reviewItem>
      <errorID>8b8f18de-21f2-4900-aba6-eab2baf14322</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2C95589C</paraID>
      <start>2</start>
      <end>3</end>
      <status>unmodified</status>
      <modifiedWord/>
      <trackRevisions>false</trackRevisions>
    </reviewItem>
    <reviewItem>
      <errorID>6171d34c-a055-4099-85ae-1b516f50c95d</errorID>
      <errorWord>(</errorWord>
      <group>L1_Format</group>
      <groupName>格式问题</groupName>
      <ability>L2_HalfPunc_CN</ability>
      <abilityName>全半角检查</abilityName>
      <candidateList>
        <item>（</item>
      </candidateList>
      <explain>文本全半角错误。</explain>
      <paraID> B2C1F94</paraID>
      <start>18</start>
      <end>19</end>
      <status>unmodified</status>
      <modifiedWord/>
      <trackRevisions>false</trackRevisions>
    </reviewItem>
    <reviewItem>
      <errorID>f4645b64-293c-4269-8958-ff02ec28e6fc</errorID>
      <errorWord>)</errorWord>
      <group>L1_Format</group>
      <groupName>格式问题</groupName>
      <ability>L2_HalfPunc_CN</ability>
      <abilityName>全半角检查</abilityName>
      <candidateList>
        <item>）</item>
      </candidateList>
      <explain>文本全半角错误。</explain>
      <paraID> B2C1F94</paraID>
      <start>24</start>
      <end>25</end>
      <status>unmodified</status>
      <modifiedWord/>
      <trackRevisions>false</trackRevisions>
    </reviewItem>
    <reviewItem>
      <errorID>57510688-31b3-431c-ba0b-d78e3286b79a</errorID>
      <errorWord>)</errorWord>
      <group>L1_Format</group>
      <groupName>格式问题</groupName>
      <ability>L2_HalfPunc_CN</ability>
      <abilityName>全半角检查</abilityName>
      <candidateList>
        <item>）</item>
      </candidateList>
      <explain>文本全半角错误。</explain>
      <paraID>2CA8CA1C</paraID>
      <start>6</start>
      <end>7</end>
      <status>unmodified</status>
      <modifiedWord/>
      <trackRevisions>false</trackRevisions>
    </reviewItem>
    <reviewItem>
      <errorID>a6f9b551-3222-4068-b058-59bf0325ed87</errorID>
      <errorWord>)</errorWord>
      <group>L1_Format</group>
      <groupName>格式问题</groupName>
      <ability>L2_HalfPunc_CN</ability>
      <abilityName>全半角检查</abilityName>
      <candidateList>
        <item>）</item>
      </candidateList>
      <explain>文本全半角错误。</explain>
      <paraID>243ED84E</paraID>
      <start>6</start>
      <end>7</end>
      <status>unmodified</status>
      <modifiedWord/>
      <trackRevisions>false</trackRevisions>
    </reviewItem>
    <reviewItem>
      <errorID>c9690702-0c57-4380-9e61-798eb403ffe3</errorID>
      <errorWord>)</errorWord>
      <group>L1_Format</group>
      <groupName>格式问题</groupName>
      <ability>L2_HalfPunc_CN</ability>
      <abilityName>全半角检查</abilityName>
      <candidateList>
        <item>）</item>
      </candidateList>
      <explain>文本全半角错误。</explain>
      <paraID>502E9D16</paraID>
      <start>6</start>
      <end>7</end>
      <status>unmodified</status>
      <modifiedWord/>
      <trackRevisions>false</trackRevisions>
    </reviewItem>
    <reviewItem>
      <errorID>1708b9d2-919a-4524-9e91-722c0a1b921d</errorID>
      <errorWord>)</errorWord>
      <group>L1_Format</group>
      <groupName>格式问题</groupName>
      <ability>L2_HalfPunc_CN</ability>
      <abilityName>全半角检查</abilityName>
      <candidateList>
        <item>）</item>
      </candidateList>
      <explain>文本全半角错误。</explain>
      <paraID>4974DEB9</paraID>
      <start>6</start>
      <end>7</end>
      <status>unmodified</status>
      <modifiedWord/>
      <trackRevisions>false</trackRevisions>
    </reviewItem>
    <reviewItem>
      <errorID>21401ec8-3d92-4579-a0d3-d949d10ac1dc</errorID>
      <errorWord>(</errorWord>
      <group>L1_Format</group>
      <groupName>格式问题</groupName>
      <ability>L2_HalfPunc_CN</ability>
      <abilityName>全半角检查</abilityName>
      <candidateList>
        <item>（</item>
      </candidateList>
      <explain>文本全半角错误。</explain>
      <paraID>10126276</paraID>
      <start>46</start>
      <end>47</end>
      <status>unmodified</status>
      <modifiedWord/>
      <trackRevisions>false</trackRevisions>
    </reviewItem>
    <reviewItem>
      <errorID>b5dbf3ba-a8f8-4d68-b59d-b22ca7d48fbe</errorID>
      <errorWord>)</errorWord>
      <group>L1_Format</group>
      <groupName>格式问题</groupName>
      <ability>L2_HalfPunc_CN</ability>
      <abilityName>全半角检查</abilityName>
      <candidateList>
        <item>）</item>
      </candidateList>
      <explain>文本全半角错误。</explain>
      <paraID>10126276</paraID>
      <start>58</start>
      <end>59</end>
      <status>unmodified</status>
      <modifiedWord/>
      <trackRevisions>false</trackRevisions>
    </reviewItem>
    <reviewItem>
      <errorID>b1a4fd55-3681-429b-92ff-f820fd6b7edb</errorID>
      <errorWord>(</errorWord>
      <group>L1_Format</group>
      <groupName>格式问题</groupName>
      <ability>L2_HalfPunc_CN</ability>
      <abilityName>全半角检查</abilityName>
      <candidateList>
        <item>（</item>
      </candidateList>
      <explain>文本全半角错误。</explain>
      <paraID>7E8E1FAB</paraID>
      <start>17</start>
      <end>18</end>
      <status>unmodified</status>
      <modifiedWord/>
      <trackRevisions>false</trackRevisions>
    </reviewItem>
    <reviewItem>
      <errorID>cabafbd2-5a88-4290-9188-d2934d267fed</errorID>
      <errorWord>)</errorWord>
      <group>L1_Format</group>
      <groupName>格式问题</groupName>
      <ability>L2_HalfPunc_CN</ability>
      <abilityName>全半角检查</abilityName>
      <candidateList>
        <item>）</item>
      </candidateList>
      <explain>文本全半角错误。</explain>
      <paraID>7E8E1FAB</paraID>
      <start>40</start>
      <end>41</end>
      <status>unmodified</status>
      <modifiedWord/>
      <trackRevisions>false</trackRevisions>
    </reviewItem>
    <reviewItem>
      <errorID>619f68d2-2c93-498b-a238-8a4c1ea64cca</errorID>
      <errorWord>(</errorWord>
      <group>L1_Format</group>
      <groupName>格式问题</groupName>
      <ability>L2_HalfPunc_CN</ability>
      <abilityName>全半角检查</abilityName>
      <candidateList>
        <item>（</item>
      </candidateList>
      <explain>文本全半角错误。</explain>
      <paraID>7E8E1FAB</paraID>
      <start>49</start>
      <end>50</end>
      <status>unmodified</status>
      <modifiedWord/>
      <trackRevisions>false</trackRevisions>
    </reviewItem>
    <reviewItem>
      <errorID>9a9f568f-af29-4438-8162-995c882adaea</errorID>
      <errorWord>)</errorWord>
      <group>L1_Format</group>
      <groupName>格式问题</groupName>
      <ability>L2_HalfPunc_CN</ability>
      <abilityName>全半角检查</abilityName>
      <candidateList>
        <item>）</item>
      </candidateList>
      <explain>文本全半角错误。</explain>
      <paraID>7E8E1FAB</paraID>
      <start>65</start>
      <end>66</end>
      <status>unmodified</status>
      <modifiedWord/>
      <trackRevisions>false</trackRevisions>
    </reviewItem>
    <reviewItem>
      <errorID>a3b8f27d-3e43-4f40-8dbc-292714f20072</errorID>
      <errorWord>相应</errorWord>
      <group>L1_Word</group>
      <groupName>字词问题</groupName>
      <ability>L2_Typo</ability>
      <abilityName>字词错误</abilityName>
      <candidateList>
        <item>响应</item>
      </candidateList>
      <explain/>
      <paraID> 2B0F5F2</paraID>
      <start>19</start>
      <end>21</end>
      <status>unmodified</status>
      <modifiedWord/>
      <trackRevisions>false</trackRevisions>
    </reviewItem>
    <reviewItem>
      <errorID>68eccc40-8fb8-4c69-a96c-965550d24f95</errorID>
      <errorWord>-</errorWord>
      <group>L1_Format</group>
      <groupName>格式问题</groupName>
      <ability>L2_HalfPunc_CN</ability>
      <abilityName>全半角检查</abilityName>
      <candidateList>
        <item>－</item>
      </candidateList>
      <explain>文本全半角错误。</explain>
      <paraID>454341E8</paraID>
      <start>20</start>
      <end>21</end>
      <status>unmodified</status>
      <modifiedWord/>
      <trackRevisions>false</trackRevisions>
    </reviewItem>
    <reviewItem>
      <errorID>10cd2b5f-0f9a-4e41-bddc-42e887ec016b</errorID>
      <errorWord>法律、法规</errorWord>
      <group>L1_Word</group>
      <groupName>字词问题</groupName>
      <ability>L2_Typo</ability>
      <abilityName>字词错误</abilityName>
      <candidateList>
        <item>法律法规</item>
      </candidateList>
      <explain/>
      <paraID>1CC70314</paraID>
      <start>3</start>
      <end>8</end>
      <status>unmodified</status>
      <modifiedWord/>
      <trackRevisions>false</trackRevisions>
    </reviewItem>
    <reviewItem>
      <errorID>3da25c29-5bf7-45a5-a928-fa6acc7c7182</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7410C3F5</paraID>
      <start>65</start>
      <end>72</end>
      <status>unmodified</status>
      <modifiedWord/>
      <trackRevisions>false</trackRevisions>
    </reviewItem>
    <reviewItem>
      <errorID>643fef79-cb48-45a0-bf05-c219681156f4</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5CD9D419</paraID>
      <start>65</start>
      <end>72</end>
      <status>unmodified</status>
      <modifiedWord/>
      <trackRevisions>false</trackRevisions>
    </reviewItem>
    <reviewItem>
      <errorID>ec144779-fafa-456d-a069-a18c615fc025</errorID>
      <errorWord>45%-65%</errorWord>
      <group>L1_Knowledge</group>
      <groupName>知识性问题</groupName>
      <ability>L2_Knowledge</ability>
      <abilityName>其他知识</abilityName>
      <candidateList>
        <item>45%—65%</item>
      </candidateList>
      <explain>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47D30B2C</paraID>
      <start>43</start>
      <end>50</end>
      <status>unmodified</status>
      <modifiedWord/>
      <trackRevisions>false</trackRevisions>
    </reviewItem>
    <reviewItem>
      <errorID>79b37255-65f4-4e97-ac63-147502120085</errorID>
      <errorWord>，</errorWord>
      <group>L1_Word</group>
      <groupName>字词问题</groupName>
      <ability>L2_Typo</ability>
      <abilityName>字词错误</abilityName>
      <candidateList>
        <item>，并</item>
      </candidateList>
      <explain/>
      <paraID>2EC9AD02</paraID>
      <start>63</start>
      <end>64</end>
      <status>unmodified</status>
      <modifiedWord/>
      <trackRevisions>false</trackRevisions>
    </reviewItem>
    <reviewItem>
      <errorID>f21c9d05-c6aa-4b9f-b085-3204bb311850</errorID>
      <errorWord>只是</errorWord>
      <group>L1_Word</group>
      <groupName>字词问题</groupName>
      <ability>L2_Typo</ability>
      <abilityName>字词错误</abilityName>
      <candidateList>
        <item>只</item>
      </candidateList>
      <explain/>
      <paraID>3AABA62B</paraID>
      <start>35</start>
      <end>37</end>
      <status>unmodified</status>
      <modifiedWord/>
      <trackRevisions>false</trackRevisions>
    </reviewItem>
    <reviewItem>
      <errorID>014a8f7f-632c-4e14-ba7e-345a23c409ca</errorID>
      <errorWord>,</errorWord>
      <group>L1_Format</group>
      <groupName>格式问题</groupName>
      <ability>L2_HalfPunc_CN</ability>
      <abilityName>全半角检查</abilityName>
      <candidateList>
        <item>，</item>
      </candidateList>
      <explain>文本全半角错误。</explain>
      <paraID> 10EB0C7</paraID>
      <start>123</start>
      <end>124</end>
      <status>unmodified</status>
      <modifiedWord/>
      <trackRevisions>false</trackRevisions>
    </reviewItem>
    <reviewItem>
      <errorID>c35f810c-73f2-4e63-b5fd-34dee02fded6</errorID>
      <errorWord>应标</errorWord>
      <group>L1_Word</group>
      <groupName>字词问题</groupName>
      <ability>L2_Typo</ability>
      <abilityName>字词错误</abilityName>
      <candidateList>
        <item>应</item>
      </candidateList>
      <explain/>
      <paraID> E7E946C</paraID>
      <start>26</start>
      <end>28</end>
      <status>unmodified</status>
      <modifiedWord/>
      <trackRevisions>false</trackRevisions>
    </reviewItem>
    <reviewItem>
      <errorID>6b21b186-2166-475e-ac59-4b0cfe875a7c</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1BA4EA4D</paraID>
      <start>3</start>
      <end>6</end>
      <status>unmodified</status>
      <modifiedWord/>
      <trackRevisions>false</trackRevisions>
    </reviewItem>
    <reviewItem>
      <errorID>4c476f46-e238-4503-b130-c9b5412ef4cb</errorID>
      <errorWord>，</errorWord>
      <group>L1_Word</group>
      <groupName>字词问题</groupName>
      <ability>L2_Typo</ability>
      <abilityName>字词错误</abilityName>
      <candidateList>
        <item>，在</item>
      </candidateList>
      <explain/>
      <paraID>1BA4EA4D</paraID>
      <start>254</start>
      <end>255</end>
      <status>unmodified</status>
      <modifiedWord/>
      <trackRevisions>false</trackRevisions>
    </reviewItem>
    <reviewItem>
      <errorID>73d3903a-96e6-4286-8a6f-a3a8d8e2edc5</errorID>
      <errorWord>。】</errorWord>
      <group>L1_Punc</group>
      <groupName>标点问题</groupName>
      <ability>L2_Punc_CN</ability>
      <abilityName>标点符号检查</abilityName>
      <candidateList>
        <item>】</item>
      </candidateList>
      <explain/>
      <paraID>1BA4EA4D</paraID>
      <start>314</start>
      <end>316</end>
      <status>unmodified</status>
      <modifiedWord/>
      <trackRevisions>false</trackRevisions>
    </reviewItem>
    <reviewItem>
      <errorID>a5635f81-8b07-4416-baaf-a94b7d22e661</errorID>
      <errorWord>供应</errorWord>
      <group>L1_Grammar</group>
      <groupName>语法问题</groupName>
      <ability>L2_Grammar</ability>
      <abilityName>语法错误</abilityName>
      <candidateList>
        <item>提供</item>
      </candidateList>
      <explain>“供应～服务”搭配不当，建议修改为“提供～服务”。</explain>
      <paraID>448EDF36</paraID>
      <start>18</start>
      <end>20</end>
      <status>unmodified</status>
      <modifiedWord/>
      <trackRevisions>false</trackRevisions>
    </reviewItem>
    <reviewItem>
      <errorID>31180185-c2c3-4371-bb89-63756a04ae1d</errorID>
      <errorWord>(</errorWord>
      <group>L1_Format</group>
      <groupName>格式问题</groupName>
      <ability>L2_HalfPunc_CN</ability>
      <abilityName>全半角检查</abilityName>
      <candidateList>
        <item>（</item>
      </candidateList>
      <explain>文本全半角错误。</explain>
      <paraID> 8699ACA</paraID>
      <start>4</start>
      <end>5</end>
      <status>unmodified</status>
      <modifiedWord/>
      <trackRevisions>false</trackRevisions>
    </reviewItem>
    <reviewItem>
      <errorID>acca7340-5bf6-4c95-98e0-2cc56df123b3</errorID>
      <errorWord>)</errorWord>
      <group>L1_Format</group>
      <groupName>格式问题</groupName>
      <ability>L2_HalfPunc_CN</ability>
      <abilityName>全半角检查</abilityName>
      <candidateList>
        <item>）</item>
      </candidateList>
      <explain>文本全半角错误。</explain>
      <paraID> 8699ACA</paraID>
      <start>6</start>
      <end>7</end>
      <status>unmodified</status>
      <modifiedWord/>
      <trackRevisions>false</trackRevisions>
    </reviewItem>
    <reviewItem>
      <errorID>c4147e65-92ab-45f4-b970-fff85d7008d9</errorID>
      <errorWord>股东大会</errorWord>
      <group>L1_Word</group>
      <groupName>字词问题</groupName>
      <ability>L2_Typo</ability>
      <abilityName>字词错误</abilityName>
      <candidateList>
        <item>股东会</item>
      </candidateList>
      <explain/>
      <paraID>2478C34E</paraID>
      <start>113</start>
      <end>117</end>
      <status>unmodified</status>
      <modifiedWord/>
      <trackRevisions>false</trackRevisions>
    </reviewItem>
    <reviewItem>
      <errorID>46920af0-8a37-4377-95ad-366bdf27dd55</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71076C39</paraID>
      <start>43</start>
      <end>47</end>
      <status>unmodified</status>
      <modifiedWord/>
      <trackRevisions>false</trackRevisions>
    </reviewItem>
    <reviewItem>
      <errorID>abe0cf50-ce09-4473-90ed-3da04182df98</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202B6AAC</paraID>
      <start>15</start>
      <end>18</end>
      <status>unmodified</status>
      <modifiedWord/>
      <trackRevisions>false</trackRevisions>
    </reviewItem>
    <reviewItem>
      <errorID>b519222e-ea60-46b1-bdf3-3a855845cd0e</errorID>
      <errorWord>法律、法规</errorWord>
      <group>L1_Word</group>
      <groupName>字词问题</groupName>
      <ability>L2_Typo</ability>
      <abilityName>字词错误</abilityName>
      <candidateList>
        <item>法律法规</item>
      </candidateList>
      <explain/>
      <paraID>202B6AAC</paraID>
      <start>30</start>
      <end>35</end>
      <status>unmodified</status>
      <modifiedWord/>
      <trackRevisions>false</trackRevisions>
    </reviewItem>
    <reviewItem>
      <errorID>fcf3139f-126c-448f-bbb0-730821b838f2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3EA6E729</paraID>
      <start>0</start>
      <end>3</end>
      <status>unmodified</status>
      <modifiedWord/>
      <trackRevisions>false</trackRevisions>
    </reviewItem>
    <reviewItem>
      <errorID>86a2a458-9466-4fc7-a68f-30450e4a9dba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6995D95C</paraID>
      <start>0</start>
      <end>3</end>
      <status>unmodified</status>
      <modifiedWord/>
      <trackRevisions>false</trackRevisions>
    </reviewItem>
    <reviewItem>
      <errorID>c3f23e2f-506c-41d4-8f0e-9dbd447792f0</errorID>
      <errorWord>(</errorWord>
      <group>L1_Format</group>
      <groupName>格式问题</groupName>
      <ability>L2_HalfPunc_CN</ability>
      <abilityName>全半角检查</abilityName>
      <candidateList>
        <item>（</item>
      </candidateList>
      <explain>文本全半角错误。</explain>
      <paraID>6995D95C</paraID>
      <start>66</start>
      <end>67</end>
      <status>unmodified</status>
      <modifiedWord/>
      <trackRevisions>false</trackRevisions>
    </reviewItem>
    <reviewItem>
      <errorID>08c8b7c1-20bc-4a01-bf45-cfdb983ceabe</errorID>
      <errorWord>)</errorWord>
      <group>L1_Format</group>
      <groupName>格式问题</groupName>
      <ability>L2_HalfPunc_CN</ability>
      <abilityName>全半角检查</abilityName>
      <candidateList>
        <item>）</item>
      </candidateList>
      <explain>文本全半角错误。</explain>
      <paraID>6995D95C</paraID>
      <start>81</start>
      <end>82</end>
      <status>unmodified</status>
      <modifiedWord/>
      <trackRevisions>false</trackRevisions>
    </reviewItem>
    <reviewItem>
      <errorID>da353298-8a26-414e-8c5d-35853bfff5e5</errorID>
      <errorWord>(</errorWord>
      <group>L1_Format</group>
      <groupName>格式问题</groupName>
      <ability>L2_HalfPunc_CN</ability>
      <abilityName>全半角检查</abilityName>
      <candidateList>
        <item>（</item>
      </candidateList>
      <explain>文本全半角错误。</explain>
      <paraID>6995D95C</paraID>
      <start>94</start>
      <end>95</end>
      <status>unmodified</status>
      <modifiedWord/>
      <trackRevisions>false</trackRevisions>
    </reviewItem>
    <reviewItem>
      <errorID>a1720ac2-ba82-43fb-a602-da0730625379</errorID>
      <errorWord>)</errorWord>
      <group>L1_Format</group>
      <groupName>格式问题</groupName>
      <ability>L2_HalfPunc_CN</ability>
      <abilityName>全半角检查</abilityName>
      <candidateList>
        <item>）</item>
      </candidateList>
      <explain>文本全半角错误。</explain>
      <paraID>6995D95C</paraID>
      <start>102</start>
      <end>103</end>
      <status>unmodified</status>
      <modifiedWord/>
      <trackRevisions>false</trackRevisions>
    </reviewItem>
    <reviewItem>
      <errorID>335a96b4-4a55-43fe-9050-9fa4283c1954</errorID>
      <errorWord>因为</errorWord>
      <group>L1_Word</group>
      <groupName>字词问题</groupName>
      <ability>L2_Typo</ability>
      <abilityName>字词错误</abilityName>
      <candidateList>
        <item>因</item>
      </candidateList>
      <explain/>
      <paraID>3C4660AF</paraID>
      <start>118</start>
      <end>120</end>
      <status>unmodified</status>
      <modifiedWord/>
      <trackRevisions>false</trackRevisions>
    </reviewItem>
    <reviewItem>
      <errorID>bed67581-73ba-4adb-a065-2d13db65db8b</errorID>
      <errorWord>方</errorWord>
      <group>L1_Word</group>
      <groupName>字词问题</groupName>
      <ability>L2_Typo</ability>
      <abilityName>字词错误</abilityName>
      <candidateList>
        <item>方在</item>
      </candidateList>
      <explain/>
      <paraID>33852ECB</paraID>
      <start>3</start>
      <end>4</end>
      <status>unmodified</status>
      <modifiedWord/>
      <trackRevisions>false</trackRevisions>
    </reviewItem>
    <reviewItem>
      <errorID>c6d2d981-a879-477d-adb7-3dea65989610</errorID>
      <errorWord>(</errorWord>
      <group>L1_Format</group>
      <groupName>格式问题</groupName>
      <ability>L2_HalfPunc_CN</ability>
      <abilityName>全半角检查</abilityName>
      <candidateList>
        <item>（</item>
      </candidateList>
      <explain>文本全半角错误。</explain>
      <paraID>330DEEB9</paraID>
      <start>15</start>
      <end>16</end>
      <status>unmodified</status>
      <modifiedWord/>
      <trackRevisions>false</trackRevisions>
    </reviewItem>
    <reviewItem>
      <errorID>67906acb-a46d-442f-a039-9629e3ae64d1</errorID>
      <errorWord>金</errorWord>
      <group>L1_Word</group>
      <groupName>字词问题</groupName>
      <ability>L2_Typo</ability>
      <abilityName>字词错误</abilityName>
      <candidateList>
        <item>金中</item>
      </candidateList>
      <explain/>
      <paraID>2EC299DD</paraID>
      <start>115</start>
      <end>116</end>
      <status>unmodified</status>
      <modifiedWord/>
      <trackRevisions>false</trackRevisions>
    </reviewItem>
    <reviewItem>
      <errorID>0751c52d-7b3e-4acd-a018-a4cb07c2557c</errorID>
      <errorWord>期间</errorWord>
      <group>L1_Word</group>
      <groupName>字词问题</groupName>
      <ability>L2_Typo</ability>
      <abilityName>字词错误</abilityName>
      <candidateList>
        <item>其间</item>
      </candidateList>
      <explain/>
      <paraID>2EC299DD</paraID>
      <start>253</start>
      <end>255</end>
      <status>unmodified</status>
      <modifiedWord/>
      <trackRevisions>false</trackRevisions>
    </reviewItem>
    <reviewItem>
      <errorID>e49bf18f-1015-446e-aae5-576e21efe00b</errorID>
      <errorWord>不可抗拒原因</errorWord>
      <group>L1_Word</group>
      <groupName>字词问题</groupName>
      <ability>L2_Typo</ability>
      <abilityName>字词错误</abilityName>
      <candidateList>
        <item>不可抗力原因</item>
      </candidateList>
      <explain/>
      <paraID>27C3807E</paraID>
      <start>12</start>
      <end>18</end>
      <status>unmodified</status>
      <modifiedWord/>
      <trackRevisions>false</trackRevisions>
    </reviewItem>
    <reviewItem>
      <errorID>e707a84d-e7a9-45bd-a320-45b56a5e353d</errorID>
      <errorWord>（2）、</errorWord>
      <group>L1_Punc</group>
      <groupName>标点问题</groupName>
      <ability>L2_Punc_CN</ability>
      <abilityName>标点符号检查</abilityName>
      <candidateList>
        <item>（2）</item>
      </candidateList>
      <explain>根据国标GB/T 15834-2011《标点符号用法》中的4.5.3.3节，带括号的汉字数字或阿拉伯数字表次序时，后面通常不加顿号。如“（一）指导思想”“（二）行动指南”。</explain>
      <paraID>39F83C19</paraID>
      <start>13</start>
      <end>17</end>
      <status>unmodified</status>
      <modifiedWord/>
      <trackRevisions>false</trackRevisions>
    </reviewItem>
    <reviewItem>
      <errorID>888539de-a9f7-4b05-aff1-7dc47d37247d</errorID>
      <errorWord>（3）、</errorWord>
      <group>L1_Punc</group>
      <groupName>标点问题</groupName>
      <ability>L2_Punc_CN</ability>
      <abilityName>标点符号检查</abilityName>
      <candidateList>
        <item>（3）</item>
      </candidateList>
      <explain>根据国标GB/T 15834-2011《标点符号用法》中的4.5.3.3节，带括号的汉字数字或阿拉伯数字表次序时，后面通常不加顿号。如“（一）指导思想”“（二）行动指南”。</explain>
      <paraID>39F83C19</paraID>
      <start>17</start>
      <end>21</end>
      <status>unmodified</status>
      <modifiedWord/>
      <trackRevisions>false</trackRevisions>
    </reviewItem>
    <reviewItem>
      <errorID>3049cc47-8ff6-410d-a2f5-5946047c4f3b</errorID>
      <errorWord>（12）、</errorWord>
      <group>L1_Punc</group>
      <groupName>标点问题</groupName>
      <ability>L2_Punc_CN</ability>
      <abilityName>标点符号检查</abilityName>
      <candidateList>
        <item>（12）</item>
      </candidateList>
      <explain>根据国标GB/T 15834-2011《标点符号用法》中的4.5.3.3节，带括号的汉字数字或阿拉伯数字表次序时，后面通常不加顿号。如“（一）指导思想”“（二）行动指南”。</explain>
      <paraID>39F83C19</paraID>
      <start>21</start>
      <end>26</end>
      <status>unmodified</status>
      <modifiedWord/>
      <trackRevisions>false</trackRevisions>
    </reviewItem>
    <reviewItem>
      <errorID>f768d7c2-ab41-4b5e-be4e-a4fed0e31cbd</errorID>
      <errorWord>（13）、</errorWord>
      <group>L1_Punc</group>
      <groupName>标点问题</groupName>
      <ability>L2_Punc_CN</ability>
      <abilityName>标点符号检查</abilityName>
      <candidateList>
        <item>（13）</item>
      </candidateList>
      <explain>根据国标GB/T 15834-2011《标点符号用法》中的4.5.3.3节，带括号的汉字数字或阿拉伯数字表次序时，后面通常不加顿号。如“（一）指导思想”“（二）行动指南”。</explain>
      <paraID>39F83C19</paraID>
      <start>26</start>
      <end>31</end>
      <status>unmodified</status>
      <modifiedWord/>
      <trackRevisions>false</trackRevisions>
    </reviewItem>
    <reviewItem>
      <errorID>ad63d6e7-27b9-4234-8346-12a1ec261e55</errorID>
      <errorWord>(</errorWord>
      <group>L1_Format</group>
      <groupName>格式问题</groupName>
      <ability>L2_HalfPunc_CN</ability>
      <abilityName>全半角检查</abilityName>
      <candidateList>
        <item>（</item>
      </candidateList>
      <explain>文本全半角错误。</explain>
      <paraID>7CC2D765</paraID>
      <start>13</start>
      <end>14</end>
      <status>unmodified</status>
      <modifiedWord/>
      <trackRevisions>false</trackRevisions>
    </reviewItem>
    <reviewItem>
      <errorID>a4e9dfeb-cf2a-4c1e-a9c0-f10322b4ec56</errorID>
      <errorWord>)</errorWord>
      <group>L1_Format</group>
      <groupName>格式问题</groupName>
      <ability>L2_HalfPunc_CN</ability>
      <abilityName>全半角检查</abilityName>
      <candidateList>
        <item>）</item>
      </candidateList>
      <explain>文本全半角错误。</explain>
      <paraID>7CC2D765</paraID>
      <start>17</start>
      <end>18</end>
      <status>unmodified</status>
      <modifiedWord/>
      <trackRevisions>false</trackRevisions>
    </reviewItem>
    <reviewItem>
      <errorID>62c38367-1149-4733-b1ae-aa3ff307aa6b</errorID>
      <errorWord>(</errorWord>
      <group>L1_Format</group>
      <groupName>格式问题</groupName>
      <ability>L2_HalfPunc_CN</ability>
      <abilityName>全半角检查</abilityName>
      <candidateList>
        <item>（</item>
      </candidateList>
      <explain>文本全半角错误。</explain>
      <paraID>7CC2D765</paraID>
      <start>30</start>
      <end>31</end>
      <status>unmodified</status>
      <modifiedWord/>
      <trackRevisions>false</trackRevisions>
    </reviewItem>
    <reviewItem>
      <errorID>fc9529ac-9b2c-4c83-bb6b-d87abce23566</errorID>
      <errorWord>)</errorWord>
      <group>L1_Format</group>
      <groupName>格式问题</groupName>
      <ability>L2_HalfPunc_CN</ability>
      <abilityName>全半角检查</abilityName>
      <candidateList>
        <item>）</item>
      </candidateList>
      <explain>文本全半角错误。</explain>
      <paraID>7CC2D765</paraID>
      <start>38</start>
      <end>39</end>
      <status>unmodified</status>
      <modifiedWord/>
      <trackRevisions>false</trackRevisions>
    </reviewItem>
    <reviewItem>
      <errorID>dd8684ee-028c-45f9-949e-a4877279c486</errorID>
      <errorWord>(</errorWord>
      <group>L1_Format</group>
      <groupName>格式问题</groupName>
      <ability>L2_HalfPunc_CN</ability>
      <abilityName>全半角检查</abilityName>
      <candidateList>
        <item>（</item>
      </candidateList>
      <explain>文本全半角错误。</explain>
      <paraID>2563517F</paraID>
      <start>6</start>
      <end>7</end>
      <status>unmodified</status>
      <modifiedWord/>
      <trackRevisions>false</trackRevisions>
    </reviewItem>
    <reviewItem>
      <errorID>2ef366bf-1943-4799-aada-63f2031e2906</errorID>
      <errorWord>(</errorWord>
      <group>L1_Format</group>
      <groupName>格式问题</groupName>
      <ability>L2_HalfPunc_CN</ability>
      <abilityName>全半角检查</abilityName>
      <candidateList>
        <item>（</item>
      </candidateList>
      <explain>文本全半角错误。</explain>
      <paraID>3101A6B0</paraID>
      <start>34</start>
      <end>35</end>
      <status>unmodified</status>
      <modifiedWord/>
      <trackRevisions>false</trackRevisions>
    </reviewItem>
    <reviewItem>
      <errorID>004bdf24-7d8f-40d6-8f8b-c0bd06443520</errorID>
      <errorWord>)</errorWord>
      <group>L1_Format</group>
      <groupName>格式问题</groupName>
      <ability>L2_HalfPunc_CN</ability>
      <abilityName>全半角检查</abilityName>
      <candidateList>
        <item>）</item>
      </candidateList>
      <explain>文本全半角错误。</explain>
      <paraID>3101A6B0</paraID>
      <start>39</start>
      <end>40</end>
      <status>unmodified</status>
      <modifiedWord/>
      <trackRevisions>false</trackRevisions>
    </reviewItem>
    <reviewItem>
      <errorID>480f377d-8295-4246-a67c-0707fe223b66</errorID>
      <errorWord>(</errorWord>
      <group>L1_Format</group>
      <groupName>格式问题</groupName>
      <ability>L2_HalfPunc_CN</ability>
      <abilityName>全半角检查</abilityName>
      <candidateList>
        <item>（</item>
      </candidateList>
      <explain>文本全半角错误。</explain>
      <paraID>3101A6B0</paraID>
      <start>89</start>
      <end>90</end>
      <status>unmodified</status>
      <modifiedWord/>
      <trackRevisions>false</trackRevisions>
    </reviewItem>
    <reviewItem>
      <errorID>ba02426c-82e6-40c5-8604-048cda1b864c</errorID>
      <errorWord>)</errorWord>
      <group>L1_Format</group>
      <groupName>格式问题</groupName>
      <ability>L2_HalfPunc_CN</ability>
      <abilityName>全半角检查</abilityName>
      <candidateList>
        <item>）</item>
      </candidateList>
      <explain>文本全半角错误。</explain>
      <paraID>3101A6B0</paraID>
      <start>94</start>
      <end>95</end>
      <status>unmodified</status>
      <modifiedWord/>
      <trackRevisions>false</trackRevisions>
    </reviewItem>
    <reviewItem>
      <errorID>747f0eac-113b-4ed1-8a1c-472dba611f28</errorID>
      <errorWord>(</errorWord>
      <group>L1_Format</group>
      <groupName>格式问题</groupName>
      <ability>L2_HalfPunc_CN</ability>
      <abilityName>全半角检查</abilityName>
      <candidateList>
        <item>（</item>
      </candidateList>
      <explain>文本全半角错误。</explain>
      <paraID>3101A6B0</paraID>
      <start>142</start>
      <end>143</end>
      <status>unmodified</status>
      <modifiedWord/>
      <trackRevisions>false</trackRevisions>
    </reviewItem>
    <reviewItem>
      <errorID>c64460e5-607b-4955-831c-94c18b8a1f5c</errorID>
      <errorWord>)</errorWord>
      <group>L1_Format</group>
      <groupName>格式问题</groupName>
      <ability>L2_HalfPunc_CN</ability>
      <abilityName>全半角检查</abilityName>
      <candidateList>
        <item>）</item>
      </candidateList>
      <explain>文本全半角错误。</explain>
      <paraID>3101A6B0</paraID>
      <start>147</start>
      <end>148</end>
      <status>unmodified</status>
      <modifiedWord/>
      <trackRevisions>false</trackRevisions>
    </reviewItem>
    <reviewItem>
      <errorID>c6b181d5-a963-490f-8d8a-90882e56fbd7</errorID>
      <errorWord>签</errorWord>
      <group>L1_Word</group>
      <groupName>字词问题</groupName>
      <ability>L2_Typo</ability>
      <abilityName>字词错误</abilityName>
      <candidateList>
        <item>签订</item>
      </candidateList>
      <explain/>
      <paraID>4423EB6C</paraID>
      <start>36</start>
      <end>37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9d5cf8-8573-419b-be1f-5513298dcd85}">
  <ds:schemaRefs/>
</ds:datastoreItem>
</file>

<file path=docProps/app.xml><?xml version="1.0" encoding="utf-8"?>
<Properties xmlns="http://schemas.openxmlformats.org/officeDocument/2006/extended-properties" xmlns:vt="http://schemas.openxmlformats.org/officeDocument/2006/docPropsVTypes">
  <Template>Nor</Template>
  <Company>广西云龙招</Company>
  <Pages>86</Pages>
  <Words>21625</Words>
  <Characters>22822</Characters>
  <Paragraphs>1906</Paragraphs>
  <TotalTime>85</TotalTime>
  <ScaleCrop>false</ScaleCrop>
  <LinksUpToDate>false</LinksUpToDate>
  <CharactersWithSpaces>23029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2021-06-09T11:25:00Z</dcterms:created>
  <dc:creator>唐</dc:creator>
  <cp:lastModifiedBy>甘建程</cp:lastModifiedBy>
  <dcterms:modified xsi:type="dcterms:W3CDTF">2026-07-24T03:53:20Z</dcterms:modified>
  <dc:title>竞争性谈判</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eyJoZGlkIjoiOGI4NTEzMTgwNmEyMDRmNDFlOTA4MTRkNTI5NTQ4OTgiLCJ1c2VySWQiOiI1Mzk1MzQ5MTMifQ==</vt:lpwstr>
  </property>
  <property fmtid="{D5CDD505-2E9C-101B-9397-08002B2CF9AE}" pid="3" name="KSOProductBuildVer">
    <vt:lpwstr>2052-12.1.0.26895</vt:lpwstr>
  </property>
  <property fmtid="{D5CDD505-2E9C-101B-9397-08002B2CF9AE}" pid="4" name="ICV">
    <vt:lpwstr>4E3C48D0B9214DEF982ECAEF89A8357A_13</vt:lpwstr>
  </property>
</Properties>
</file>