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13E6C27E">
      <w:pPr>
        <w:spacing w:line="360" w:lineRule="auto"/>
        <w:ind w:firstLine="1285" w:firstLineChars="4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项目名称：2026年平南县平南街道东湖幼儿园</w:t>
      </w:r>
    </w:p>
    <w:p w14:paraId="2B377709">
      <w:pPr>
        <w:spacing w:line="360" w:lineRule="auto"/>
        <w:ind w:firstLine="2891" w:firstLineChars="90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GGZC2026-C3-210134-YZLZ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平南县平南街道东湖幼儿园</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81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2026年平南县平南街道东湖幼儿园学生食堂食材配送服务项目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日9时00分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22456"/>
      <w:bookmarkStart w:id="3" w:name="_Toc28091"/>
      <w:bookmarkStart w:id="4" w:name="_Toc12139"/>
      <w:bookmarkStart w:id="5" w:name="_Toc22650"/>
      <w:bookmarkStart w:id="6" w:name="_Toc28359012"/>
      <w:bookmarkStart w:id="7" w:name="_Toc44229878"/>
      <w:bookmarkStart w:id="8" w:name="_Toc19149"/>
      <w:bookmarkStart w:id="9" w:name="_Toc24948"/>
      <w:bookmarkStart w:id="10" w:name="_Toc28359089"/>
      <w:bookmarkStart w:id="11" w:name="_Toc35393798"/>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GGZC2026-C3-210134-YZLZ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2026年平南县平南街道东湖幼儿园学生食堂食材配送服务项目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1230000.00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2026年平南县平南街道东湖幼儿园学生食堂食材配送服务</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1230000.00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lang w:eastAsia="zh-CN"/>
        </w:rPr>
        <w:t>平南县平南街道东湖幼儿园</w:t>
      </w:r>
      <w:r>
        <w:rPr>
          <w:rFonts w:hint="eastAsia" w:ascii="Arial" w:hAnsi="Arial" w:eastAsia="Arial" w:cs="Arial"/>
          <w:color w:val="auto"/>
          <w:szCs w:val="21"/>
          <w:highlight w:val="none"/>
          <w:lang w:eastAsia="zh-CN"/>
        </w:rPr>
        <w:t>学生食堂食材配送服务</w:t>
      </w:r>
      <w:r>
        <w:rPr>
          <w:rFonts w:hint="eastAsia" w:ascii="宋体" w:hAnsi="宋体" w:cs="宋体"/>
          <w:color w:val="auto"/>
          <w:highlight w:val="none"/>
          <w:lang w:val="en-US" w:eastAsia="zh-CN"/>
        </w:rPr>
        <w:t>1项；</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1230000.00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 xml:space="preserve"> 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 xml:space="preserve">6 </w:t>
      </w:r>
      <w:r>
        <w:rPr>
          <w:rFonts w:hint="eastAsia" w:ascii="宋体" w:hAnsi="宋体" w:cs="宋体"/>
          <w:color w:val="auto"/>
          <w:szCs w:val="21"/>
          <w:highlight w:val="none"/>
          <w:lang w:eastAsia="zh-CN"/>
        </w:rPr>
        <w:t>日9时00分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35393805"/>
      <w:bookmarkStart w:id="20" w:name="_Toc28359018"/>
      <w:bookmarkStart w:id="21" w:name="_Toc35393636"/>
      <w:bookmarkStart w:id="22" w:name="_Toc28359095"/>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平南县平南街道东湖幼儿园</w:t>
      </w:r>
      <w:r>
        <w:rPr>
          <w:rFonts w:hint="eastAsia" w:ascii="宋体" w:hAnsi="宋体" w:cs="宋体"/>
          <w:color w:val="auto"/>
          <w:szCs w:val="21"/>
          <w:highlight w:val="none"/>
        </w:rPr>
        <w:t>　</w:t>
      </w:r>
    </w:p>
    <w:p w14:paraId="09B9E0C7">
      <w:pPr>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平南县平南街道</w:t>
      </w:r>
    </w:p>
    <w:p w14:paraId="41068C7E">
      <w:pPr>
        <w:spacing w:line="360" w:lineRule="auto"/>
        <w:ind w:firstLine="42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 系 人：</w:t>
      </w:r>
      <w:r>
        <w:rPr>
          <w:rFonts w:hint="eastAsia" w:ascii="宋体" w:hAnsi="宋体" w:cs="宋体"/>
          <w:color w:val="auto"/>
          <w:szCs w:val="21"/>
          <w:highlight w:val="none"/>
          <w:lang w:eastAsia="zh-CN"/>
        </w:rPr>
        <w:t>刘海兰</w:t>
      </w:r>
    </w:p>
    <w:p w14:paraId="46F87556">
      <w:pPr>
        <w:spacing w:line="360" w:lineRule="auto"/>
        <w:ind w:firstLine="42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eastAsia="宋体" w:cs="宋体"/>
          <w:color w:val="auto"/>
          <w:szCs w:val="21"/>
          <w:highlight w:val="none"/>
        </w:rPr>
        <w:t>0775-</w:t>
      </w:r>
      <w:r>
        <w:rPr>
          <w:rFonts w:hint="eastAsia" w:ascii="宋体" w:hAnsi="宋体" w:cs="宋体"/>
          <w:color w:val="auto"/>
          <w:szCs w:val="21"/>
          <w:highlight w:val="none"/>
          <w:lang w:val="en-US" w:eastAsia="zh-CN"/>
        </w:rPr>
        <w:t>7869113</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徐律、邓倩秋</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履约保证金金额：人民币</w:t>
            </w:r>
            <w:r>
              <w:rPr>
                <w:rFonts w:hint="eastAsia" w:ascii="宋体" w:hAnsi="宋体" w:cs="宋体"/>
                <w:color w:val="auto"/>
                <w:highlight w:val="none"/>
                <w:lang w:eastAsia="zh-CN"/>
              </w:rPr>
              <w:t>贰万元整(¥20000.00）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》发改价格〔2015〕299号文执行，按固定金额收费标准：本项目采购代理费为人民币壹万陆仟捌佰肆拾元整（¥16840.00）。</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673"/>
      <w:bookmarkStart w:id="30"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675"/>
      <w:bookmarkStart w:id="34" w:name="_Toc254970534"/>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543"/>
      <w:bookmarkStart w:id="38" w:name="_Toc254970684"/>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1230000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）学校概况：学校地址在</w:t>
            </w:r>
            <w:r>
              <w:rPr>
                <w:rFonts w:hint="eastAsia" w:ascii="宋体" w:hAnsi="宋体" w:cs="宋体"/>
                <w:b/>
                <w:bCs/>
                <w:color w:val="auto"/>
                <w:kern w:val="1"/>
                <w:szCs w:val="21"/>
                <w:highlight w:val="none"/>
                <w:lang w:eastAsia="zh-CN"/>
              </w:rPr>
              <w:t>平南县平南街道</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优先选用优质黄羽肉鸡，避免使用快速白羽肉鸡。饲养天数：鸡≥90天，单只净重3.5斤以上，当日宰杀后去内脏、淋巴等幼儿不可食用部分并洗净。鸭</w:t>
            </w:r>
            <w:r>
              <w:rPr>
                <w:rFonts w:hint="eastAsia" w:ascii="宋体" w:hAnsi="宋体" w:eastAsia="宋体" w:cs="宋体"/>
                <w:color w:val="auto"/>
                <w:kern w:val="1"/>
                <w:szCs w:val="21"/>
                <w:highlight w:val="none"/>
                <w:lang w:val="en-US" w:eastAsia="zh-CN"/>
              </w:rPr>
              <w:t>肉要求手工拔毛并</w:t>
            </w:r>
            <w:r>
              <w:rPr>
                <w:rFonts w:hint="eastAsia" w:ascii="宋体" w:hAnsi="宋体" w:eastAsia="宋体" w:cs="宋体"/>
                <w:color w:val="auto"/>
                <w:kern w:val="1"/>
                <w:szCs w:val="21"/>
                <w:highlight w:val="none"/>
              </w:rPr>
              <w:t>去除肥油、淋巴及鸭尾腺。 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rPr>
              <w:t>有“SC”食品生产许可证编号，必须符合GB/T1354-2018标准，重金属检测合格报告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69B82FC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lang w:eastAsia="zh-CN"/>
              </w:rPr>
            </w:pPr>
            <w:r>
              <w:rPr>
                <w:rFonts w:hint="eastAsia" w:ascii="宋体" w:hAnsi="宋体" w:cs="宋体"/>
                <w:color w:val="auto"/>
                <w:szCs w:val="21"/>
                <w:highlight w:val="none"/>
              </w:rPr>
              <w:t>⑷</w:t>
            </w:r>
            <w:r>
              <w:rPr>
                <w:rFonts w:hint="eastAsia" w:ascii="宋体" w:hAnsi="宋体" w:cs="宋体"/>
                <w:b/>
                <w:bCs/>
                <w:color w:val="auto"/>
                <w:szCs w:val="21"/>
                <w:highlight w:val="none"/>
              </w:rPr>
              <w:t>奶制品包括但不限于：纯牛奶、高钙奶、早餐奶、甜牛奶、酸奶、鲜牛奶等玻璃瓶装的鲜奶，按照采购人规定时间配送，必须搬运到采购人指定地点服务。</w:t>
            </w:r>
            <w:r>
              <w:rPr>
                <w:rFonts w:hint="eastAsia" w:ascii="宋体" w:hAnsi="宋体" w:cs="宋体"/>
                <w:b/>
                <w:bCs/>
                <w:color w:val="auto"/>
                <w:szCs w:val="21"/>
                <w:highlight w:val="none"/>
                <w:lang w:eastAsia="zh-CN"/>
              </w:rPr>
              <w:t>（如采购人对奶制品有</w:t>
            </w:r>
            <w:r>
              <w:rPr>
                <w:rFonts w:hint="eastAsia" w:ascii="宋体" w:hAnsi="宋体" w:cs="宋体"/>
                <w:b/>
                <w:bCs/>
                <w:color w:val="auto"/>
                <w:szCs w:val="21"/>
                <w:highlight w:val="none"/>
              </w:rPr>
              <w:t>加热</w:t>
            </w:r>
            <w:r>
              <w:rPr>
                <w:rFonts w:hint="eastAsia" w:ascii="宋体" w:hAnsi="宋体" w:cs="宋体"/>
                <w:b/>
                <w:bCs/>
                <w:color w:val="auto"/>
                <w:szCs w:val="21"/>
                <w:highlight w:val="none"/>
                <w:lang w:eastAsia="zh-CN"/>
              </w:rPr>
              <w:t>要求，必须按采购人要求进行加热，否则采购人有权拒收。）</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5844877E">
            <w:pPr>
              <w:widowControl/>
              <w:spacing w:line="312" w:lineRule="auto"/>
              <w:ind w:firstLine="422" w:firstLineChars="200"/>
              <w:rPr>
                <w:rFonts w:hint="eastAsia" w:ascii="宋体" w:hAnsi="宋体" w:eastAsia="宋体" w:cs="宋体"/>
                <w:b/>
                <w:bCs/>
                <w:color w:val="auto"/>
                <w:kern w:val="1"/>
                <w:szCs w:val="21"/>
                <w:highlight w:val="none"/>
              </w:rPr>
            </w:pPr>
            <w:r>
              <w:rPr>
                <w:rFonts w:hint="eastAsia" w:ascii="宋体" w:hAnsi="宋体" w:cs="宋体"/>
                <w:b/>
                <w:bCs/>
                <w:color w:val="auto"/>
                <w:szCs w:val="21"/>
                <w:highlight w:val="none"/>
              </w:rPr>
              <w:t>⑸面包（蒸包、烤包）每份要求重</w:t>
            </w:r>
            <w:r>
              <w:rPr>
                <w:rFonts w:hint="eastAsia" w:ascii="宋体" w:hAnsi="宋体" w:eastAsia="宋体" w:cs="宋体"/>
                <w:b/>
                <w:bCs/>
                <w:color w:val="auto"/>
                <w:szCs w:val="21"/>
                <w:highlight w:val="none"/>
              </w:rPr>
              <w:t>量</w:t>
            </w:r>
            <w:r>
              <w:rPr>
                <w:rFonts w:hint="eastAsia" w:ascii="宋体" w:hAnsi="宋体" w:eastAsia="宋体" w:cs="宋体"/>
                <w:b/>
                <w:bCs/>
                <w:color w:val="auto"/>
                <w:szCs w:val="21"/>
                <w:highlight w:val="none"/>
                <w:lang w:val="en-US" w:eastAsia="zh-CN"/>
              </w:rPr>
              <w:t>以订单具体要求为准</w:t>
            </w:r>
            <w:r>
              <w:rPr>
                <w:rFonts w:hint="eastAsia" w:ascii="宋体" w:hAnsi="宋体" w:eastAsia="宋体" w:cs="宋体"/>
                <w:b/>
                <w:bCs/>
                <w:color w:val="auto"/>
                <w:szCs w:val="21"/>
                <w:highlight w:val="none"/>
              </w:rPr>
              <w:t>，加热</w:t>
            </w:r>
            <w:r>
              <w:rPr>
                <w:rFonts w:hint="eastAsia" w:ascii="宋体" w:hAnsi="宋体" w:cs="宋体"/>
                <w:b/>
                <w:bCs/>
                <w:color w:val="auto"/>
                <w:szCs w:val="21"/>
                <w:highlight w:val="none"/>
              </w:rPr>
              <w:t>后配送</w:t>
            </w:r>
            <w:r>
              <w:rPr>
                <w:rFonts w:hint="eastAsia" w:ascii="宋体" w:hAnsi="宋体" w:cs="宋体"/>
                <w:b/>
                <w:bCs/>
                <w:color w:val="auto"/>
                <w:szCs w:val="21"/>
                <w:highlight w:val="none"/>
                <w:lang w:eastAsia="zh-CN"/>
              </w:rPr>
              <w:t>到班级</w:t>
            </w:r>
            <w:r>
              <w:rPr>
                <w:rFonts w:hint="eastAsia" w:ascii="宋体" w:hAnsi="宋体" w:cs="宋体"/>
                <w:b/>
                <w:bCs/>
                <w:color w:val="auto"/>
                <w:szCs w:val="21"/>
                <w:highlight w:val="none"/>
              </w:rPr>
              <w:t>。</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r w14:paraId="51068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712B4E9">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9</w:t>
            </w:r>
          </w:p>
        </w:tc>
        <w:tc>
          <w:tcPr>
            <w:tcW w:w="1384" w:type="dxa"/>
            <w:vAlign w:val="center"/>
          </w:tcPr>
          <w:p w14:paraId="56C4F9FA">
            <w:pPr>
              <w:spacing w:line="312" w:lineRule="auto"/>
              <w:jc w:val="center"/>
              <w:rPr>
                <w:rFonts w:hint="eastAsia" w:ascii="宋体" w:hAnsi="宋体" w:cs="宋体"/>
                <w:color w:val="auto"/>
                <w:szCs w:val="21"/>
                <w:highlight w:val="none"/>
              </w:rPr>
            </w:pPr>
            <w:r>
              <w:rPr>
                <w:rFonts w:hint="eastAsia" w:ascii="宋体" w:hAnsi="宋体" w:cs="宋体"/>
                <w:color w:val="auto"/>
                <w:spacing w:val="-3"/>
                <w:szCs w:val="21"/>
                <w:highlight w:val="none"/>
              </w:rPr>
              <w:t>水果类</w:t>
            </w:r>
          </w:p>
        </w:tc>
        <w:tc>
          <w:tcPr>
            <w:tcW w:w="716" w:type="dxa"/>
            <w:vAlign w:val="center"/>
          </w:tcPr>
          <w:p w14:paraId="66B305F5">
            <w:pPr>
              <w:spacing w:line="312"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cs="宋体"/>
                <w:color w:val="auto"/>
                <w:spacing w:val="-3"/>
                <w:szCs w:val="21"/>
                <w:highlight w:val="none"/>
              </w:rPr>
              <w:t>1项</w:t>
            </w:r>
          </w:p>
        </w:tc>
        <w:tc>
          <w:tcPr>
            <w:tcW w:w="6799" w:type="dxa"/>
            <w:vAlign w:val="center"/>
          </w:tcPr>
          <w:p w14:paraId="58CF23BE">
            <w:pPr>
              <w:autoSpaceDE w:val="0"/>
              <w:autoSpaceDN w:val="0"/>
              <w:spacing w:line="312" w:lineRule="auto"/>
              <w:ind w:firstLine="410" w:firstLineChars="200"/>
              <w:rPr>
                <w:rFonts w:hint="eastAsia" w:ascii="宋体" w:hAnsi="宋体" w:cs="宋体"/>
                <w:b/>
                <w:bCs/>
                <w:color w:val="auto"/>
                <w:spacing w:val="-3"/>
                <w:szCs w:val="21"/>
                <w:highlight w:val="none"/>
              </w:rPr>
            </w:pPr>
            <w:r>
              <w:rPr>
                <w:rFonts w:hint="eastAsia" w:ascii="宋体" w:hAnsi="宋体" w:cs="宋体"/>
                <w:b/>
                <w:bCs/>
                <w:color w:val="auto"/>
                <w:spacing w:val="-3"/>
                <w:szCs w:val="21"/>
                <w:highlight w:val="none"/>
              </w:rPr>
              <w:t>水果须有独立外包装</w:t>
            </w:r>
            <w:r>
              <w:rPr>
                <w:rFonts w:hint="eastAsia" w:ascii="宋体" w:hAnsi="宋体" w:cs="宋体"/>
                <w:b/>
                <w:bCs/>
                <w:color w:val="auto"/>
                <w:spacing w:val="-3"/>
                <w:szCs w:val="21"/>
                <w:highlight w:val="none"/>
                <w:lang w:eastAsia="zh-CN"/>
              </w:rPr>
              <w:t>，</w:t>
            </w:r>
            <w:r>
              <w:rPr>
                <w:rFonts w:hint="eastAsia" w:ascii="宋体" w:hAnsi="宋体" w:cs="宋体"/>
                <w:b/>
                <w:bCs/>
                <w:color w:val="auto"/>
                <w:spacing w:val="-3"/>
                <w:szCs w:val="21"/>
                <w:highlight w:val="none"/>
              </w:rPr>
              <w:t>包装上要注明商品名称，生产企业名称，产地，生产日期，保质期，联系电话，重量等内容。水果外表光亮无斑点，新鲜，清洁，形状正常，大小均匀，成熟度适中，无软皮，无腐烂，无污染异味，无病虫损害，通过快速检测农药残留含量不超过食品安全标准限量，且符合现行《食用农产品市场销售质量安全监督管理办法》的要求。</w:t>
            </w:r>
          </w:p>
          <w:p w14:paraId="2D5726B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1、采购需求 </w:t>
            </w:r>
          </w:p>
          <w:p w14:paraId="0BF7616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⑴实行每批次采购，供应商应按采购人的货物</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 xml:space="preserve">清单提供相应数量的货物。 </w:t>
            </w:r>
          </w:p>
          <w:p w14:paraId="23706C8A">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⑵结算时按实际采购数量结算。</w:t>
            </w:r>
          </w:p>
          <w:p w14:paraId="37D2AFE4">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2、质量要求 </w:t>
            </w:r>
          </w:p>
          <w:p w14:paraId="2B3BBC3F">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必须符合国家食品安全卫生标准。符合《中华人民共和国食品安全法》要求，尽量采用当地时令新鲜</w:t>
            </w:r>
            <w:r>
              <w:rPr>
                <w:rFonts w:hint="eastAsia" w:ascii="宋体" w:hAnsi="宋体" w:cs="宋体"/>
                <w:color w:val="auto"/>
                <w:spacing w:val="-3"/>
                <w:szCs w:val="21"/>
                <w:highlight w:val="none"/>
              </w:rPr>
              <w:t>水果</w:t>
            </w:r>
            <w:r>
              <w:rPr>
                <w:rFonts w:hint="eastAsia" w:ascii="宋体" w:hAnsi="宋体" w:cs="宋体"/>
                <w:color w:val="auto"/>
                <w:szCs w:val="21"/>
                <w:highlight w:val="none"/>
              </w:rPr>
              <w:t>。</w:t>
            </w:r>
            <w:r>
              <w:rPr>
                <w:rFonts w:hint="eastAsia" w:ascii="宋体" w:hAnsi="宋体" w:cs="宋体"/>
                <w:color w:val="auto"/>
                <w:spacing w:val="-3"/>
                <w:szCs w:val="21"/>
                <w:highlight w:val="none"/>
              </w:rPr>
              <w:t>水果</w:t>
            </w:r>
            <w:r>
              <w:rPr>
                <w:rFonts w:hint="eastAsia" w:ascii="宋体" w:hAnsi="宋体" w:cs="宋体"/>
                <w:color w:val="auto"/>
                <w:szCs w:val="21"/>
                <w:highlight w:val="none"/>
              </w:rPr>
              <w:t>可食用率必须达95%以上。</w:t>
            </w:r>
          </w:p>
          <w:p w14:paraId="57C2AB48">
            <w:pPr>
              <w:autoSpaceDE w:val="0"/>
              <w:autoSpaceDN w:val="0"/>
              <w:spacing w:line="312" w:lineRule="auto"/>
              <w:ind w:firstLine="408" w:firstLineChars="200"/>
              <w:rPr>
                <w:rFonts w:hint="eastAsia" w:ascii="宋体" w:hAnsi="宋体" w:cs="宋体"/>
                <w:color w:val="auto"/>
                <w:szCs w:val="21"/>
                <w:highlight w:val="none"/>
              </w:rPr>
            </w:pPr>
            <w:r>
              <w:rPr>
                <w:rFonts w:hint="eastAsia" w:ascii="宋体" w:hAnsi="宋体" w:cs="宋体"/>
                <w:color w:val="auto"/>
                <w:spacing w:val="-3"/>
                <w:szCs w:val="21"/>
                <w:highlight w:val="none"/>
              </w:rPr>
              <w:t>水果</w:t>
            </w:r>
            <w:r>
              <w:rPr>
                <w:rFonts w:hint="eastAsia" w:ascii="宋体" w:hAnsi="宋体" w:cs="宋体"/>
                <w:color w:val="auto"/>
                <w:szCs w:val="21"/>
                <w:highlight w:val="none"/>
              </w:rPr>
              <w:t>必须保证新鲜，绿色环保。无公害、无污染、无农药残留；</w:t>
            </w:r>
            <w:r>
              <w:rPr>
                <w:rFonts w:hint="eastAsia" w:ascii="宋体" w:hAnsi="宋体" w:cs="宋体"/>
                <w:color w:val="auto"/>
                <w:spacing w:val="-3"/>
                <w:szCs w:val="21"/>
                <w:highlight w:val="none"/>
              </w:rPr>
              <w:t>水果</w:t>
            </w:r>
            <w:r>
              <w:rPr>
                <w:rFonts w:hint="eastAsia" w:ascii="宋体" w:hAnsi="宋体" w:cs="宋体"/>
                <w:color w:val="auto"/>
                <w:szCs w:val="21"/>
                <w:highlight w:val="none"/>
              </w:rPr>
              <w:t>残留农药检测合格，必须提供残留农药检测合格证明。质量符合国家相关规定的要求，每批次有专人负责每天检测并记录。采购人每天对每批次</w:t>
            </w:r>
            <w:r>
              <w:rPr>
                <w:rFonts w:hint="eastAsia" w:ascii="宋体" w:hAnsi="宋体" w:cs="宋体"/>
                <w:color w:val="auto"/>
                <w:spacing w:val="-3"/>
                <w:szCs w:val="21"/>
                <w:highlight w:val="none"/>
              </w:rPr>
              <w:t>水果</w:t>
            </w:r>
            <w:r>
              <w:rPr>
                <w:rFonts w:hint="eastAsia" w:ascii="宋体" w:hAnsi="宋体" w:cs="宋体"/>
                <w:color w:val="auto"/>
                <w:szCs w:val="21"/>
                <w:highlight w:val="none"/>
              </w:rPr>
              <w:t>进行农药残留进行抽检，如含量超标将要求供应商无条件退货或换货。</w:t>
            </w:r>
          </w:p>
          <w:p w14:paraId="2100B67A">
            <w:pPr>
              <w:autoSpaceDE w:val="0"/>
              <w:autoSpaceDN w:val="0"/>
              <w:spacing w:line="312"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3、有相对固定的供货渠道，有完善的货物来源记录。</w:t>
            </w:r>
          </w:p>
        </w:tc>
      </w:tr>
      <w:tr w14:paraId="72A11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EC38F16">
            <w:pPr>
              <w:keepNext w:val="0"/>
              <w:keepLines w:val="0"/>
              <w:pageBreakBefore w:val="0"/>
              <w:kinsoku/>
              <w:wordWrap/>
              <w:overflowPunct/>
              <w:topLinePunct w:val="0"/>
              <w:bidi w:val="0"/>
              <w:spacing w:line="360" w:lineRule="auto"/>
              <w:jc w:val="center"/>
              <w:textAlignment w:val="auto"/>
              <w:rPr>
                <w:rFonts w:hint="default" w:ascii="宋体" w:hAnsi="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10</w:t>
            </w:r>
          </w:p>
        </w:tc>
        <w:tc>
          <w:tcPr>
            <w:tcW w:w="1384" w:type="dxa"/>
            <w:vAlign w:val="center"/>
          </w:tcPr>
          <w:p w14:paraId="172C34E9">
            <w:pPr>
              <w:spacing w:line="312" w:lineRule="auto"/>
              <w:jc w:val="center"/>
              <w:rPr>
                <w:rFonts w:hint="eastAsia" w:ascii="宋体" w:hAnsi="宋体" w:eastAsia="宋体" w:cs="宋体"/>
                <w:color w:val="auto"/>
                <w:spacing w:val="-3"/>
                <w:szCs w:val="21"/>
                <w:highlight w:val="none"/>
                <w:lang w:eastAsia="zh-CN"/>
              </w:rPr>
            </w:pPr>
            <w:r>
              <w:rPr>
                <w:rFonts w:hint="eastAsia" w:ascii="宋体" w:hAnsi="宋体" w:cs="宋体"/>
                <w:color w:val="auto"/>
                <w:szCs w:val="21"/>
                <w:highlight w:val="none"/>
                <w:lang w:val="en-US" w:eastAsia="zh-CN"/>
              </w:rPr>
              <w:t>节日活动及其它</w:t>
            </w:r>
            <w:r>
              <w:rPr>
                <w:rFonts w:hint="eastAsia" w:ascii="宋体" w:hAnsi="宋体" w:cs="宋体"/>
                <w:color w:val="auto"/>
                <w:szCs w:val="21"/>
                <w:highlight w:val="none"/>
                <w:lang w:eastAsia="zh-CN"/>
              </w:rPr>
              <w:t>食材</w:t>
            </w:r>
          </w:p>
        </w:tc>
        <w:tc>
          <w:tcPr>
            <w:tcW w:w="716" w:type="dxa"/>
            <w:vAlign w:val="center"/>
          </w:tcPr>
          <w:p w14:paraId="45D4AB67">
            <w:pPr>
              <w:spacing w:line="312" w:lineRule="auto"/>
              <w:jc w:val="center"/>
              <w:rPr>
                <w:rFonts w:hint="eastAsia" w:ascii="宋体" w:hAnsi="宋体" w:cs="宋体"/>
                <w:color w:val="auto"/>
                <w:spacing w:val="-3"/>
                <w:szCs w:val="21"/>
                <w:highlight w:val="none"/>
              </w:rPr>
            </w:pPr>
            <w:r>
              <w:rPr>
                <w:rFonts w:hint="eastAsia" w:ascii="宋体" w:hAnsi="宋体" w:cs="宋体"/>
                <w:color w:val="auto"/>
                <w:spacing w:val="-3"/>
                <w:szCs w:val="21"/>
                <w:highlight w:val="none"/>
              </w:rPr>
              <w:t>1项</w:t>
            </w:r>
          </w:p>
        </w:tc>
        <w:tc>
          <w:tcPr>
            <w:tcW w:w="6799" w:type="dxa"/>
            <w:vAlign w:val="center"/>
          </w:tcPr>
          <w:p w14:paraId="16E4FEB9">
            <w:pPr>
              <w:autoSpaceDE w:val="0"/>
              <w:autoSpaceDN w:val="0"/>
              <w:spacing w:line="312"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采购人根据幼儿营养需求、食谱安排、活动需要订购食材，</w:t>
            </w:r>
            <w:r>
              <w:rPr>
                <w:rFonts w:hint="eastAsia" w:ascii="宋体" w:hAnsi="宋体" w:cs="宋体"/>
                <w:color w:val="auto"/>
                <w:szCs w:val="21"/>
                <w:highlight w:val="none"/>
                <w:lang w:eastAsia="zh-CN"/>
              </w:rPr>
              <w:t>供应商</w:t>
            </w:r>
            <w:r>
              <w:rPr>
                <w:rFonts w:hint="eastAsia" w:ascii="宋体" w:hAnsi="宋体" w:cs="宋体"/>
                <w:bCs/>
                <w:color w:val="auto"/>
                <w:szCs w:val="21"/>
                <w:highlight w:val="none"/>
                <w:lang w:val="en-US" w:eastAsia="zh-CN"/>
              </w:rPr>
              <w:t>不得以任何理由（包括但不限于无检测报告、利润过低、运输不便等）拒绝供应食谱所列的市面上常见食材。</w:t>
            </w:r>
          </w:p>
          <w:p w14:paraId="5B5DE305">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1、采购需求</w:t>
            </w:r>
          </w:p>
          <w:p w14:paraId="6E09701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⑴</w:t>
            </w:r>
            <w:r>
              <w:rPr>
                <w:rFonts w:hint="eastAsia" w:ascii="宋体" w:hAnsi="宋体" w:cs="宋体"/>
                <w:bCs/>
                <w:color w:val="auto"/>
                <w:szCs w:val="21"/>
                <w:highlight w:val="none"/>
              </w:rPr>
              <w:t>供应商应按采购人的货物请购清单提供相应数量的货物。</w:t>
            </w:r>
          </w:p>
          <w:p w14:paraId="52BED42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⑵</w:t>
            </w:r>
            <w:r>
              <w:rPr>
                <w:rFonts w:hint="eastAsia" w:ascii="宋体" w:hAnsi="宋体" w:cs="宋体"/>
                <w:bCs/>
                <w:color w:val="auto"/>
                <w:szCs w:val="21"/>
                <w:highlight w:val="none"/>
              </w:rPr>
              <w:t>结算时按实际采购数量结算。</w:t>
            </w:r>
          </w:p>
          <w:p w14:paraId="08AF7363">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2、质量要求</w:t>
            </w:r>
          </w:p>
          <w:p w14:paraId="020CA4B5">
            <w:pPr>
              <w:spacing w:line="312" w:lineRule="auto"/>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符合国家及行业相</w:t>
            </w:r>
            <w:r>
              <w:rPr>
                <w:rFonts w:hint="eastAsia" w:ascii="宋体" w:hAnsi="宋体" w:cs="宋体"/>
                <w:color w:val="auto"/>
                <w:szCs w:val="21"/>
                <w:highlight w:val="none"/>
              </w:rPr>
              <w:t>关标准，并标明“SC”食品生产许可编号，日常</w:t>
            </w:r>
            <w:r>
              <w:rPr>
                <w:rFonts w:hint="eastAsia" w:ascii="宋体" w:hAnsi="宋体" w:cs="宋体"/>
                <w:color w:val="auto"/>
                <w:szCs w:val="21"/>
                <w:highlight w:val="none"/>
                <w:lang w:val="en-US" w:eastAsia="zh-CN"/>
              </w:rPr>
              <w:t>活动及节日活动</w:t>
            </w:r>
            <w:r>
              <w:rPr>
                <w:rFonts w:hint="eastAsia" w:ascii="宋体" w:hAnsi="宋体" w:cs="宋体"/>
                <w:color w:val="auto"/>
                <w:szCs w:val="21"/>
                <w:highlight w:val="none"/>
              </w:rPr>
              <w:t>采购</w:t>
            </w:r>
            <w:r>
              <w:rPr>
                <w:rFonts w:hint="eastAsia" w:ascii="宋体" w:hAnsi="宋体" w:cs="宋体"/>
                <w:b/>
                <w:bCs/>
                <w:color w:val="auto"/>
                <w:szCs w:val="21"/>
                <w:highlight w:val="none"/>
              </w:rPr>
              <w:t>包括但不限于</w:t>
            </w:r>
            <w:r>
              <w:rPr>
                <w:rFonts w:hint="eastAsia" w:ascii="宋体" w:hAnsi="宋体" w:cs="宋体"/>
                <w:b/>
                <w:bCs/>
                <w:color w:val="auto"/>
                <w:szCs w:val="21"/>
                <w:highlight w:val="none"/>
                <w:lang w:val="en-US" w:eastAsia="zh-CN"/>
              </w:rPr>
              <w:t>以下</w:t>
            </w:r>
            <w:r>
              <w:rPr>
                <w:rFonts w:hint="eastAsia" w:ascii="宋体" w:hAnsi="宋体" w:cs="宋体"/>
                <w:color w:val="auto"/>
                <w:szCs w:val="21"/>
                <w:highlight w:val="none"/>
              </w:rPr>
              <w:t>：山楂条/片，葡萄干，坚果，红枣夹核桃，饼干，海苔片等小包装的零食</w:t>
            </w:r>
            <w:r>
              <w:rPr>
                <w:rFonts w:hint="eastAsia" w:ascii="宋体" w:hAnsi="宋体" w:cs="宋体"/>
                <w:color w:val="auto"/>
                <w:szCs w:val="21"/>
                <w:highlight w:val="none"/>
                <w:lang w:eastAsia="zh-CN"/>
              </w:rPr>
              <w:t>，如采购人举办活动，供应商需按采购人</w:t>
            </w:r>
            <w:r>
              <w:rPr>
                <w:rFonts w:hint="eastAsia" w:ascii="宋体" w:hAnsi="宋体" w:cs="宋体"/>
                <w:color w:val="auto"/>
                <w:szCs w:val="21"/>
                <w:highlight w:val="none"/>
                <w:lang w:val="en-US" w:eastAsia="zh-CN"/>
              </w:rPr>
              <w:t>的订单</w:t>
            </w:r>
            <w:r>
              <w:rPr>
                <w:rFonts w:hint="eastAsia" w:ascii="宋体" w:hAnsi="宋体" w:cs="宋体"/>
                <w:color w:val="auto"/>
                <w:szCs w:val="21"/>
                <w:highlight w:val="none"/>
                <w:lang w:eastAsia="zh-CN"/>
              </w:rPr>
              <w:t>要求</w:t>
            </w:r>
            <w:r>
              <w:rPr>
                <w:rFonts w:hint="eastAsia" w:ascii="宋体" w:hAnsi="宋体" w:cs="宋体"/>
                <w:color w:val="auto"/>
                <w:szCs w:val="21"/>
                <w:highlight w:val="none"/>
                <w:lang w:val="en-US" w:eastAsia="zh-CN"/>
              </w:rPr>
              <w:t>供应</w:t>
            </w:r>
            <w:r>
              <w:rPr>
                <w:rFonts w:hint="eastAsia" w:ascii="宋体" w:hAnsi="宋体" w:cs="宋体"/>
                <w:color w:val="auto"/>
                <w:szCs w:val="21"/>
                <w:highlight w:val="none"/>
                <w:lang w:eastAsia="zh-CN"/>
              </w:rPr>
              <w:t>节日特色活动食材。</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val="en-US" w:eastAsia="zh-CN"/>
              </w:rPr>
              <w:t>平南县平南街道东湖幼儿园。</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eastAsia="宋体" w:cs="宋体"/>
                <w:color w:val="auto"/>
                <w:szCs w:val="21"/>
                <w:highlight w:val="none"/>
                <w:lang w:val="en-US" w:eastAsia="zh-CN"/>
              </w:rPr>
              <w:t>平南县平南街道东湖幼儿园</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配送时间要求：每日5：</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0提供当日使用鲜肉类、粉类、禽蛋类、蔬果类、干杂货食品等食材；水果当天上午</w:t>
            </w:r>
            <w:r>
              <w:rPr>
                <w:rFonts w:hint="eastAsia" w:ascii="宋体" w:hAnsi="宋体" w:cs="宋体"/>
                <w:color w:val="auto"/>
                <w:highlight w:val="none"/>
                <w:lang w:val="en-US" w:eastAsia="zh-CN"/>
              </w:rPr>
              <w:t>9:00</w:t>
            </w:r>
            <w:r>
              <w:rPr>
                <w:rFonts w:hint="eastAsia" w:ascii="宋体" w:hAnsi="宋体" w:cs="宋体"/>
                <w:color w:val="auto"/>
                <w:highlight w:val="none"/>
                <w:lang w:eastAsia="zh-CN"/>
              </w:rPr>
              <w:t>送达</w:t>
            </w:r>
            <w:r>
              <w:rPr>
                <w:rFonts w:hint="eastAsia" w:ascii="宋体" w:hAnsi="宋体" w:cs="宋体"/>
                <w:color w:val="auto"/>
                <w:highlight w:val="none"/>
                <w:lang w:val="en-US" w:eastAsia="zh-CN"/>
              </w:rPr>
              <w:t>验收合格后按订单数分别配送到相应班级教室</w:t>
            </w:r>
            <w:r>
              <w:rPr>
                <w:rFonts w:hint="eastAsia" w:ascii="宋体" w:hAnsi="宋体" w:cs="宋体"/>
                <w:color w:val="auto"/>
                <w:highlight w:val="none"/>
                <w:lang w:eastAsia="zh-CN"/>
              </w:rPr>
              <w:t>；鲜牛奶按当天来园人数配送到班级，</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上午6:30；下午13:00（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）；糕点配送</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上午6:30；下午1</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:00（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eastAsia="宋体" w:cs="宋体"/>
                <w:color w:val="auto"/>
                <w:highlight w:val="none"/>
                <w:lang w:val="en-US" w:eastAsia="zh-CN"/>
              </w:rPr>
              <w:t>平南县平南街道东湖幼儿园</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贰万元整(¥20000.00）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供应商明确知晓本合同项下食材系供应幼儿园，若因供应质量问题或供应中断导致甲方无法按时供餐，引发食品安全事故或家长投诉的，供应商应承担全部赔偿责任及由此产生的声誉损失。</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shd w:val="clear" w:color="auto" w:fill="FBFBFB"/>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cs="宋体"/>
                <w:bCs/>
                <w:color w:val="auto"/>
                <w:sz w:val="24"/>
                <w:highlight w:val="none"/>
                <w:lang w:eastAsia="zh-CN"/>
              </w:rPr>
              <w:t>2026年平南县平南街道东湖幼儿园学生食堂食材配送服务</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贰万元整(¥20000.00）</w:t>
      </w:r>
      <w:r>
        <w:rPr>
          <w:rFonts w:hint="eastAsia" w:ascii="宋体" w:hAnsi="宋体" w:cs="宋体"/>
          <w:color w:val="auto"/>
          <w:highlight w:val="none"/>
        </w:rPr>
        <w:t>。</w:t>
      </w:r>
      <w:bookmarkStart w:id="49" w:name="_GoBack"/>
      <w:bookmarkEnd w:id="49"/>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00006FF" w:usb1="0000FCFF" w:usb2="00000001"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altName w:val="PMingLiU-ExtB"/>
    <w:panose1 w:val="02020509000000000000"/>
    <w:charset w:val="88"/>
    <w:family w:val="auto"/>
    <w:pitch w:val="default"/>
    <w:sig w:usb0="00000000" w:usb1="00000000"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D1204D1"/>
    <w:rsid w:val="1010343F"/>
    <w:rsid w:val="1A193503"/>
    <w:rsid w:val="1BAB599E"/>
    <w:rsid w:val="22AB7CC8"/>
    <w:rsid w:val="23737B15"/>
    <w:rsid w:val="28A3009E"/>
    <w:rsid w:val="2D5A58C2"/>
    <w:rsid w:val="34174945"/>
    <w:rsid w:val="37BA5B13"/>
    <w:rsid w:val="433005C1"/>
    <w:rsid w:val="44B244EA"/>
    <w:rsid w:val="49B30506"/>
    <w:rsid w:val="53231A63"/>
    <w:rsid w:val="55D4507A"/>
    <w:rsid w:val="5B35379B"/>
    <w:rsid w:val="5CC20BEA"/>
    <w:rsid w:val="65855BC4"/>
    <w:rsid w:val="70B84386"/>
    <w:rsid w:val="73AD3A5D"/>
    <w:rsid w:val="747A5AF5"/>
    <w:rsid w:val="753F507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88</Pages>
  <Words>15800</Words>
  <Characters>16838</Characters>
  <Paragraphs>1906</Paragraphs>
  <TotalTime>69</TotalTime>
  <ScaleCrop>false</ScaleCrop>
  <LinksUpToDate>false</LinksUpToDate>
  <CharactersWithSpaces>16972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deng～</cp:lastModifiedBy>
  <dcterms:modified xsi:type="dcterms:W3CDTF">2026-07-23T01:26:39Z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eyJoZGlkIjoiZDdiMWJjMjljNjIxMzZiZWRkOGUxMDE1ZjRhOGYzNjIiLCJ1c2VySWQiOiIxMzI4ODAzNjMwIn0=</vt:lpwstr>
  </property>
  <property fmtid="{D5CDD505-2E9C-101B-9397-08002B2CF9AE}" pid="3" name="KSOProductBuildVer">
    <vt:lpwstr>2052-12.1.0.26375</vt:lpwstr>
  </property>
  <property fmtid="{D5CDD505-2E9C-101B-9397-08002B2CF9AE}" pid="4" name="ICV">
    <vt:lpwstr>4E3C48D0B9214DEF982ECAEF89A8357A_13</vt:lpwstr>
  </property>
</Properties>
</file>