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9C972">
      <w:pPr>
        <w:spacing w:line="360" w:lineRule="auto"/>
        <w:jc w:val="center"/>
        <w:rPr>
          <w:rFonts w:hint="eastAsia" w:ascii="宋体" w:hAnsi="宋体" w:cs="宋体"/>
          <w:b/>
          <w:bCs/>
          <w:color w:val="auto"/>
          <w:sz w:val="52"/>
          <w:szCs w:val="52"/>
          <w:highlight w:val="none"/>
        </w:rPr>
      </w:pPr>
      <w:r>
        <w:rPr>
          <w:rFonts w:hint="eastAsia" w:ascii="宋体" w:hAnsi="宋体" w:cs="宋体"/>
          <w:b/>
          <w:bCs/>
          <w:color w:val="auto"/>
          <w:sz w:val="52"/>
          <w:szCs w:val="52"/>
          <w:highlight w:val="none"/>
        </w:rPr>
        <w:t>云之龙咨询集团有限公司</w:t>
      </w:r>
    </w:p>
    <w:p w14:paraId="767AE8DD">
      <w:pPr>
        <w:spacing w:line="360" w:lineRule="auto"/>
        <w:ind w:firstLine="1044"/>
        <w:jc w:val="center"/>
        <w:rPr>
          <w:rFonts w:hint="eastAsia" w:ascii="宋体" w:hAnsi="宋体" w:cs="宋体"/>
          <w:b/>
          <w:bCs/>
          <w:color w:val="auto"/>
          <w:sz w:val="52"/>
          <w:szCs w:val="52"/>
          <w:highlight w:val="none"/>
        </w:rPr>
      </w:pPr>
    </w:p>
    <w:p w14:paraId="73E4D9B7">
      <w:pPr>
        <w:spacing w:before="120" w:line="360" w:lineRule="auto"/>
        <w:jc w:val="center"/>
        <w:rPr>
          <w:rFonts w:hint="eastAsia" w:ascii="宋体" w:hAnsi="宋体" w:cs="宋体"/>
          <w:color w:val="auto"/>
          <w:sz w:val="120"/>
          <w:szCs w:val="120"/>
          <w:highlight w:val="none"/>
        </w:rPr>
      </w:pPr>
      <w:r>
        <w:rPr>
          <w:rFonts w:hint="eastAsia" w:ascii="宋体" w:hAnsi="宋体" w:cs="宋体"/>
          <w:color w:val="auto"/>
          <w:sz w:val="120"/>
          <w:szCs w:val="120"/>
          <w:highlight w:val="none"/>
        </w:rPr>
        <w:t>招 标 文 件</w:t>
      </w:r>
    </w:p>
    <w:p w14:paraId="7405BB15">
      <w:pPr>
        <w:spacing w:before="120" w:line="360" w:lineRule="auto"/>
        <w:ind w:firstLine="1928"/>
        <w:jc w:val="both"/>
        <w:rPr>
          <w:rFonts w:hint="eastAsia" w:ascii="宋体" w:hAnsi="宋体" w:cs="宋体"/>
          <w:b/>
          <w:color w:val="auto"/>
          <w:sz w:val="48"/>
          <w:szCs w:val="48"/>
          <w:highlight w:val="none"/>
        </w:rPr>
      </w:pPr>
      <w:r>
        <w:rPr>
          <w:rFonts w:hint="eastAsia" w:ascii="宋体" w:hAnsi="宋体" w:cs="宋体"/>
          <w:b/>
          <w:color w:val="auto"/>
          <w:sz w:val="48"/>
          <w:szCs w:val="48"/>
          <w:highlight w:val="none"/>
        </w:rPr>
        <w:t>（全流程电子化采购）</w:t>
      </w:r>
    </w:p>
    <w:p w14:paraId="10B9C2D9">
      <w:pPr>
        <w:pStyle w:val="231"/>
        <w:spacing w:line="360" w:lineRule="auto"/>
        <w:ind w:firstLine="602"/>
        <w:rPr>
          <w:rFonts w:hint="eastAsia" w:hAnsi="宋体" w:cs="宋体"/>
          <w:b/>
          <w:bCs/>
          <w:color w:val="auto"/>
          <w:sz w:val="30"/>
          <w:szCs w:val="30"/>
          <w:highlight w:val="none"/>
        </w:rPr>
      </w:pPr>
    </w:p>
    <w:p w14:paraId="6D71B340">
      <w:pPr>
        <w:pStyle w:val="231"/>
        <w:spacing w:line="360" w:lineRule="auto"/>
        <w:ind w:firstLine="602"/>
        <w:rPr>
          <w:rFonts w:hint="eastAsia" w:hAnsi="宋体" w:cs="宋体"/>
          <w:b/>
          <w:bCs/>
          <w:color w:val="auto"/>
          <w:sz w:val="30"/>
          <w:szCs w:val="30"/>
          <w:highlight w:val="none"/>
        </w:rPr>
      </w:pPr>
    </w:p>
    <w:p w14:paraId="71ECA74D">
      <w:pPr>
        <w:pStyle w:val="231"/>
        <w:spacing w:line="360" w:lineRule="auto"/>
        <w:ind w:firstLine="602"/>
        <w:rPr>
          <w:rFonts w:hint="eastAsia" w:hAnsi="宋体" w:cs="宋体"/>
          <w:b/>
          <w:bCs/>
          <w:color w:val="auto"/>
          <w:sz w:val="30"/>
          <w:szCs w:val="30"/>
          <w:highlight w:val="none"/>
        </w:rPr>
      </w:pPr>
    </w:p>
    <w:p w14:paraId="348F09E9">
      <w:pPr>
        <w:pStyle w:val="231"/>
        <w:spacing w:line="360" w:lineRule="auto"/>
        <w:ind w:firstLine="602"/>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项目名称：X射线计算机断层扫描仪（高端CT）采购项目</w:t>
      </w:r>
    </w:p>
    <w:p w14:paraId="1F95B76F">
      <w:pPr>
        <w:pStyle w:val="231"/>
        <w:spacing w:line="360" w:lineRule="auto"/>
        <w:ind w:firstLine="57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项目编号：</w:t>
      </w:r>
      <w:r>
        <w:rPr>
          <w:rFonts w:hint="eastAsia" w:hAnsi="宋体" w:cs="宋体"/>
          <w:b/>
          <w:bCs/>
          <w:color w:val="auto"/>
          <w:sz w:val="30"/>
          <w:szCs w:val="30"/>
          <w:highlight w:val="none"/>
          <w:lang w:eastAsia="zh-CN"/>
        </w:rPr>
        <w:t>GGZC2026-G1-990197-YZLZ</w:t>
      </w:r>
    </w:p>
    <w:p w14:paraId="705FA2F2">
      <w:pPr>
        <w:pStyle w:val="231"/>
        <w:spacing w:line="360" w:lineRule="auto"/>
        <w:ind w:firstLine="572"/>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 xml:space="preserve">采 购 人： </w:t>
      </w:r>
      <w:r>
        <w:rPr>
          <w:rFonts w:hint="eastAsia" w:hAnsi="宋体" w:eastAsia="宋体" w:cs="宋体"/>
          <w:b/>
          <w:bCs/>
          <w:color w:val="auto"/>
          <w:sz w:val="30"/>
          <w:szCs w:val="30"/>
          <w:highlight w:val="none"/>
          <w:lang w:eastAsia="zh-CN"/>
        </w:rPr>
        <w:t>贵港市中西医结合骨科医院</w:t>
      </w:r>
    </w:p>
    <w:p w14:paraId="371550AE">
      <w:pPr>
        <w:pStyle w:val="231"/>
        <w:spacing w:line="360" w:lineRule="auto"/>
        <w:ind w:firstLine="572"/>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采购代理机构：云之龙咨询集团有限公司</w:t>
      </w:r>
    </w:p>
    <w:p w14:paraId="1D8D119A">
      <w:pPr>
        <w:pStyle w:val="231"/>
        <w:spacing w:line="360" w:lineRule="auto"/>
        <w:ind w:firstLine="572"/>
        <w:rPr>
          <w:rFonts w:hint="eastAsia" w:hAnsi="宋体" w:cs="宋体"/>
          <w:b/>
          <w:bCs/>
          <w:color w:val="auto"/>
          <w:sz w:val="30"/>
          <w:szCs w:val="30"/>
          <w:highlight w:val="none"/>
        </w:rPr>
      </w:pPr>
    </w:p>
    <w:p w14:paraId="7BDF8632">
      <w:pPr>
        <w:pStyle w:val="231"/>
        <w:spacing w:line="360" w:lineRule="auto"/>
        <w:ind w:firstLine="572"/>
        <w:rPr>
          <w:rFonts w:hint="eastAsia" w:hAnsi="宋体" w:cs="宋体"/>
          <w:b/>
          <w:bCs/>
          <w:color w:val="auto"/>
          <w:sz w:val="30"/>
          <w:szCs w:val="30"/>
          <w:highlight w:val="none"/>
        </w:rPr>
      </w:pPr>
    </w:p>
    <w:p w14:paraId="3636296D">
      <w:pPr>
        <w:pStyle w:val="231"/>
        <w:spacing w:line="360" w:lineRule="auto"/>
        <w:ind w:firstLine="572"/>
        <w:jc w:val="center"/>
        <w:rPr>
          <w:rFonts w:hint="eastAsia" w:hAnsi="宋体" w:cs="宋体"/>
          <w:color w:val="auto"/>
          <w:szCs w:val="20"/>
          <w:highlight w:val="none"/>
        </w:rPr>
      </w:pPr>
      <w:r>
        <w:rPr>
          <w:rFonts w:hint="eastAsia" w:hAnsi="宋体" w:cs="宋体"/>
          <w:b/>
          <w:bCs/>
          <w:color w:val="auto"/>
          <w:sz w:val="30"/>
          <w:szCs w:val="30"/>
          <w:highlight w:val="none"/>
          <w:lang w:val="en-US" w:eastAsia="zh-CN"/>
        </w:rPr>
        <w:t>2026</w:t>
      </w:r>
      <w:r>
        <w:rPr>
          <w:rFonts w:hint="eastAsia" w:hAnsi="宋体" w:cs="宋体"/>
          <w:b/>
          <w:bCs/>
          <w:color w:val="auto"/>
          <w:sz w:val="30"/>
          <w:szCs w:val="30"/>
          <w:highlight w:val="none"/>
        </w:rPr>
        <w:t>年</w:t>
      </w:r>
      <w:r>
        <w:rPr>
          <w:rFonts w:hint="eastAsia" w:hAnsi="宋体" w:cs="宋体"/>
          <w:b/>
          <w:bCs/>
          <w:color w:val="auto"/>
          <w:sz w:val="30"/>
          <w:szCs w:val="30"/>
          <w:highlight w:val="none"/>
          <w:lang w:val="en-US" w:eastAsia="zh-CN"/>
        </w:rPr>
        <w:t>7</w:t>
      </w:r>
      <w:r>
        <w:rPr>
          <w:rFonts w:hint="eastAsia" w:hAnsi="宋体" w:cs="宋体"/>
          <w:b/>
          <w:bCs/>
          <w:color w:val="auto"/>
          <w:sz w:val="30"/>
          <w:szCs w:val="30"/>
          <w:highlight w:val="none"/>
        </w:rPr>
        <w:t>月</w:t>
      </w:r>
    </w:p>
    <w:p w14:paraId="673310CF">
      <w:pPr>
        <w:pStyle w:val="231"/>
        <w:spacing w:before="120" w:after="120" w:line="360" w:lineRule="auto"/>
        <w:ind w:firstLine="640"/>
        <w:jc w:val="center"/>
        <w:rPr>
          <w:rFonts w:hint="eastAsia" w:hAnsi="宋体" w:cs="宋体"/>
          <w:color w:val="auto"/>
          <w:highlight w:val="none"/>
        </w:rPr>
      </w:pPr>
      <w:r>
        <w:rPr>
          <w:rFonts w:hint="eastAsia" w:hAnsi="宋体" w:cs="宋体"/>
          <w:bCs/>
          <w:color w:val="auto"/>
          <w:sz w:val="32"/>
          <w:szCs w:val="32"/>
          <w:highlight w:val="none"/>
        </w:rPr>
        <w:br w:type="page" w:clear="all"/>
      </w:r>
    </w:p>
    <w:p w14:paraId="456F0B38">
      <w:pPr>
        <w:spacing w:line="360" w:lineRule="auto"/>
        <w:ind w:firstLine="883"/>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4D6187FD">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b w:val="0"/>
          <w:color w:val="auto"/>
          <w:sz w:val="28"/>
          <w:szCs w:val="28"/>
          <w:highlight w:val="none"/>
        </w:rPr>
        <w:fldChar w:fldCharType="begin"/>
      </w:r>
      <w:r>
        <w:rPr>
          <w:rFonts w:hint="eastAsia" w:ascii="宋体" w:hAnsi="宋体" w:eastAsia="宋体" w:cs="宋体"/>
          <w:b w:val="0"/>
          <w:color w:val="auto"/>
          <w:sz w:val="28"/>
          <w:szCs w:val="28"/>
          <w:highlight w:val="none"/>
        </w:rPr>
        <w:instrText xml:space="preserve"> TOC \o "1-2" \h \z \u </w:instrText>
      </w:r>
      <w:r>
        <w:rPr>
          <w:rFonts w:hint="eastAsia" w:ascii="宋体" w:hAnsi="宋体" w:eastAsia="宋体" w:cs="宋体"/>
          <w:b w:val="0"/>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_Toc16394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_Toc16394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544AA6A5">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_Toc30513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第二章  采购需求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_Toc30513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5485D3E">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_Toc15900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第三章  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_Toc15900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33394ED">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_Toc9261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第四章  评标方法及评标标准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_Toc9261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44</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AD38F2C">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_Toc435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第五章  拟签订的合同文本</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_Toc435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9E7E440">
      <w:pPr>
        <w:pStyle w:val="21"/>
        <w:tabs>
          <w:tab w:val="right" w:leader="dot" w:pos="8504"/>
        </w:tabs>
        <w:spacing w:line="48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_Toc29295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第六章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_Toc29295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74</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3D40B99">
      <w:pPr>
        <w:spacing w:before="120" w:line="480" w:lineRule="auto"/>
        <w:ind w:firstLine="420"/>
        <w:rPr>
          <w:rFonts w:hint="eastAsia" w:ascii="宋体" w:hAnsi="宋体" w:cs="宋体"/>
          <w:color w:val="auto"/>
          <w:sz w:val="24"/>
          <w:highlight w:val="none"/>
        </w:rPr>
      </w:pPr>
      <w:r>
        <w:rPr>
          <w:rFonts w:hint="eastAsia" w:ascii="宋体" w:hAnsi="宋体" w:eastAsia="宋体" w:cs="宋体"/>
          <w:color w:val="auto"/>
          <w:sz w:val="28"/>
          <w:szCs w:val="28"/>
          <w:highlight w:val="none"/>
        </w:rPr>
        <w:fldChar w:fldCharType="end"/>
      </w:r>
    </w:p>
    <w:p w14:paraId="086C119B">
      <w:pPr>
        <w:pStyle w:val="192"/>
        <w:keepNext w:val="0"/>
        <w:keepLines w:val="0"/>
        <w:tabs>
          <w:tab w:val="left" w:pos="0"/>
          <w:tab w:val="left" w:pos="3165"/>
          <w:tab w:val="center" w:pos="4153"/>
        </w:tabs>
        <w:spacing w:before="0" w:after="0" w:line="360" w:lineRule="auto"/>
        <w:jc w:val="center"/>
        <w:rPr>
          <w:rFonts w:hint="eastAsia" w:ascii="宋体" w:hAnsi="宋体" w:cs="宋体"/>
          <w:b w:val="0"/>
          <w:bCs w:val="0"/>
          <w:color w:val="auto"/>
          <w:highlight w:val="none"/>
        </w:rPr>
        <w:sectPr>
          <w:footerReference r:id="rId5" w:type="first"/>
          <w:headerReference r:id="rId3" w:type="default"/>
          <w:footerReference r:id="rId4" w:type="even"/>
          <w:pgSz w:w="11906" w:h="16838"/>
          <w:pgMar w:top="1701" w:right="1701" w:bottom="1701" w:left="1701" w:header="851" w:footer="992" w:gutter="0"/>
          <w:pgNumType w:fmt="decimal"/>
          <w:cols w:space="1701" w:num="1"/>
          <w:titlePg/>
        </w:sectPr>
      </w:pPr>
      <w:bookmarkStart w:id="0" w:name="_Toc254970489"/>
      <w:bookmarkStart w:id="1" w:name="_Toc254970630"/>
      <w:bookmarkStart w:id="2" w:name="_Toc2341"/>
      <w:bookmarkStart w:id="3" w:name="_Toc24577"/>
      <w:bookmarkStart w:id="4" w:name="_Toc12325"/>
      <w:bookmarkStart w:id="5" w:name="_Toc74320800"/>
    </w:p>
    <w:p w14:paraId="4BA23F25">
      <w:pPr>
        <w:pStyle w:val="192"/>
        <w:keepNext w:val="0"/>
        <w:keepLines w:val="0"/>
        <w:tabs>
          <w:tab w:val="left" w:pos="0"/>
          <w:tab w:val="left" w:pos="3165"/>
          <w:tab w:val="center" w:pos="4153"/>
        </w:tabs>
        <w:spacing w:before="0" w:after="0" w:line="360" w:lineRule="auto"/>
        <w:ind w:firstLine="883"/>
        <w:jc w:val="center"/>
        <w:rPr>
          <w:rFonts w:hint="eastAsia" w:ascii="宋体" w:hAnsi="宋体" w:cs="宋体"/>
          <w:color w:val="auto"/>
          <w:szCs w:val="21"/>
          <w:highlight w:val="none"/>
        </w:rPr>
      </w:pPr>
      <w:bookmarkStart w:id="6" w:name="_Toc23345"/>
      <w:bookmarkStart w:id="7" w:name="_Toc16394"/>
      <w:r>
        <w:rPr>
          <w:rFonts w:hint="eastAsia" w:ascii="宋体" w:hAnsi="宋体" w:cs="宋体"/>
          <w:color w:val="auto"/>
          <w:highlight w:val="none"/>
        </w:rPr>
        <w:t>第一章</w:t>
      </w:r>
      <w:bookmarkEnd w:id="0"/>
      <w:bookmarkEnd w:id="1"/>
      <w:bookmarkStart w:id="8" w:name="_Toc28359001"/>
      <w:bookmarkStart w:id="9" w:name="_Toc35393789"/>
      <w:r>
        <w:rPr>
          <w:rFonts w:hint="eastAsia" w:ascii="宋体" w:hAnsi="宋体" w:cs="宋体"/>
          <w:color w:val="auto"/>
          <w:highlight w:val="none"/>
        </w:rPr>
        <w:t xml:space="preserve"> </w:t>
      </w:r>
      <w:r>
        <w:rPr>
          <w:rFonts w:hint="eastAsia" w:ascii="宋体" w:hAnsi="宋体" w:cs="宋体"/>
          <w:color w:val="auto"/>
          <w:highlight w:val="none"/>
          <w:lang w:val="en-US" w:eastAsia="zh-CN"/>
        </w:rPr>
        <w:t xml:space="preserve"> </w:t>
      </w:r>
      <w:r>
        <w:rPr>
          <w:rFonts w:hint="eastAsia" w:ascii="宋体" w:hAnsi="宋体" w:cs="宋体"/>
          <w:color w:val="auto"/>
          <w:highlight w:val="none"/>
        </w:rPr>
        <w:t>招标公告</w:t>
      </w:r>
      <w:bookmarkEnd w:id="2"/>
      <w:bookmarkEnd w:id="3"/>
      <w:bookmarkEnd w:id="4"/>
      <w:bookmarkEnd w:id="5"/>
      <w:bookmarkEnd w:id="6"/>
      <w:bookmarkEnd w:id="7"/>
      <w:bookmarkEnd w:id="8"/>
      <w:bookmarkEnd w:id="9"/>
    </w:p>
    <w:p w14:paraId="5FDCA109">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项目概况</w:t>
      </w:r>
    </w:p>
    <w:p w14:paraId="7DB299F6">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u w:val="single"/>
          <w:lang w:eastAsia="zh-CN"/>
        </w:rPr>
        <w:t>X射线计算机断层扫描仪（高端CT）采购项目</w:t>
      </w:r>
      <w:r>
        <w:rPr>
          <w:rFonts w:hint="eastAsia" w:ascii="宋体" w:hAnsi="宋体" w:cs="宋体"/>
          <w:color w:val="auto"/>
          <w:szCs w:val="21"/>
          <w:highlight w:val="none"/>
        </w:rPr>
        <w:t>的潜在投标人应在广西政府采购云平台（https</w:t>
      </w:r>
      <w:r>
        <w:rPr>
          <w:rFonts w:hint="eastAsia" w:ascii="宋体" w:hAnsi="宋体" w:cs="宋体"/>
          <w:color w:val="auto"/>
          <w:szCs w:val="21"/>
          <w:highlight w:val="none"/>
          <w:lang w:eastAsia="zh-CN"/>
        </w:rPr>
        <w:t>：</w:t>
      </w:r>
      <w:r>
        <w:rPr>
          <w:rFonts w:hint="eastAsia" w:ascii="宋体" w:hAnsi="宋体" w:cs="宋体"/>
          <w:color w:val="auto"/>
          <w:szCs w:val="21"/>
          <w:highlight w:val="none"/>
        </w:rPr>
        <w:t>//www.gcy.zfcg.gxzf.gov.cn/）获取（下载）招标文件，并于</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日9时00分</w:t>
      </w:r>
      <w:r>
        <w:rPr>
          <w:rFonts w:hint="eastAsia" w:ascii="宋体" w:hAnsi="宋体" w:cs="宋体"/>
          <w:bCs/>
          <w:color w:val="auto"/>
          <w:szCs w:val="21"/>
          <w:highlight w:val="none"/>
          <w:u w:val="single"/>
        </w:rPr>
        <w:t>（</w:t>
      </w:r>
      <w:r>
        <w:rPr>
          <w:rFonts w:hint="eastAsia" w:ascii="宋体" w:hAnsi="宋体" w:cs="宋体"/>
          <w:bCs/>
          <w:color w:val="auto"/>
          <w:szCs w:val="21"/>
          <w:highlight w:val="none"/>
        </w:rPr>
        <w:t>北京时间）前按要求递交（上传）投标文件</w:t>
      </w:r>
      <w:r>
        <w:rPr>
          <w:rFonts w:hint="eastAsia" w:ascii="宋体" w:hAnsi="宋体" w:cs="宋体"/>
          <w:color w:val="auto"/>
          <w:szCs w:val="21"/>
          <w:highlight w:val="none"/>
        </w:rPr>
        <w:t>。</w:t>
      </w:r>
    </w:p>
    <w:p w14:paraId="728E56AD">
      <w:pPr>
        <w:keepNext w:val="0"/>
        <w:keepLines w:val="0"/>
        <w:pageBreakBefore w:val="0"/>
        <w:bidi w:val="0"/>
        <w:spacing w:line="360" w:lineRule="auto"/>
        <w:ind w:firstLine="482"/>
        <w:rPr>
          <w:rFonts w:hint="eastAsia" w:ascii="宋体" w:hAnsi="宋体" w:cs="宋体"/>
          <w:b/>
          <w:bCs/>
          <w:color w:val="auto"/>
          <w:sz w:val="24"/>
          <w:highlight w:val="none"/>
        </w:rPr>
      </w:pPr>
      <w:bookmarkStart w:id="10" w:name="_Toc28359079"/>
      <w:bookmarkStart w:id="11" w:name="_Toc35393790"/>
      <w:bookmarkStart w:id="12" w:name="_Toc35393621"/>
      <w:bookmarkStart w:id="13" w:name="_Toc28359002"/>
      <w:bookmarkStart w:id="14" w:name="_Hlk24379207"/>
      <w:r>
        <w:rPr>
          <w:rFonts w:hint="eastAsia" w:ascii="宋体" w:hAnsi="宋体" w:cs="宋体"/>
          <w:b/>
          <w:bCs/>
          <w:color w:val="auto"/>
          <w:sz w:val="24"/>
          <w:highlight w:val="none"/>
        </w:rPr>
        <w:t>一、项目基本情况</w:t>
      </w:r>
      <w:bookmarkEnd w:id="10"/>
      <w:bookmarkEnd w:id="11"/>
      <w:bookmarkEnd w:id="12"/>
      <w:bookmarkEnd w:id="13"/>
    </w:p>
    <w:p w14:paraId="20CCD7CA">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GGZC2026-G1-990197-YZLZ</w:t>
      </w:r>
    </w:p>
    <w:p w14:paraId="451E6EF9">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X射线计算机断层扫描仪（高端CT）采购项目</w:t>
      </w:r>
      <w:bookmarkEnd w:id="14"/>
    </w:p>
    <w:p w14:paraId="0A8EB50F">
      <w:pPr>
        <w:keepNext w:val="0"/>
        <w:keepLines w:val="0"/>
        <w:pageBreakBefore w:val="0"/>
        <w:bidi w:val="0"/>
        <w:spacing w:line="36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9800000</w:t>
      </w:r>
    </w:p>
    <w:p w14:paraId="50E4FBF4">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3D4C4986">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highlight w:val="none"/>
        </w:rPr>
        <w:t>X射线计算机断层扫描仪（高端CT）</w:t>
      </w:r>
    </w:p>
    <w:p w14:paraId="4EAF4FD4">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数量：</w:t>
      </w:r>
      <w:r>
        <w:rPr>
          <w:rFonts w:hint="eastAsia" w:ascii="宋体" w:hAnsi="宋体" w:cs="宋体"/>
          <w:color w:val="auto"/>
          <w:szCs w:val="21"/>
          <w:highlight w:val="none"/>
          <w:lang w:val="en-US" w:eastAsia="zh-CN"/>
        </w:rPr>
        <w:t>1</w:t>
      </w:r>
    </w:p>
    <w:p w14:paraId="16E5842B">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9800000</w:t>
      </w:r>
    </w:p>
    <w:p w14:paraId="6D4F254F">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olor w:val="auto"/>
          <w:szCs w:val="21"/>
          <w:highlight w:val="none"/>
        </w:rPr>
        <w:t>（1）标的的名称、数量及单位：X射线计算机断层扫描仪（高端CT）</w:t>
      </w:r>
      <w:r>
        <w:rPr>
          <w:rFonts w:hint="eastAsia" w:ascii="宋体" w:hAnsi="宋体"/>
          <w:color w:val="auto"/>
          <w:szCs w:val="21"/>
          <w:highlight w:val="none"/>
          <w:lang w:val="en-US" w:eastAsia="zh-CN"/>
        </w:rPr>
        <w:t>1</w:t>
      </w:r>
      <w:r>
        <w:rPr>
          <w:rFonts w:hint="eastAsia" w:ascii="宋体" w:hAnsi="宋体"/>
          <w:color w:val="auto"/>
          <w:szCs w:val="21"/>
          <w:highlight w:val="none"/>
        </w:rPr>
        <w:t>套</w:t>
      </w:r>
      <w:r>
        <w:rPr>
          <w:rFonts w:hint="eastAsia" w:ascii="宋体" w:hAnsi="宋体"/>
          <w:color w:val="auto"/>
          <w:szCs w:val="21"/>
          <w:highlight w:val="none"/>
          <w:lang w:eastAsia="zh-CN"/>
        </w:rPr>
        <w:t>；</w:t>
      </w:r>
      <w:r>
        <w:rPr>
          <w:rFonts w:hint="eastAsia" w:ascii="宋体" w:hAnsi="宋体"/>
          <w:color w:val="auto"/>
          <w:szCs w:val="21"/>
          <w:highlight w:val="none"/>
        </w:rPr>
        <w:t>（2）简要技术需求或服务要求：单源单层探测器宽体CT≥256排，非拆机状态下的机架孔径≥80 cm；或者单源双层探测器 CT≥2×128排，非拆机状态下的机架孔径≥80cm；或双源CT≥2×64排，非拆机状态下的机架孔径≥78cm</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w:t>
      </w:r>
      <w:r>
        <w:rPr>
          <w:rFonts w:hint="eastAsia" w:ascii="宋体" w:hAnsi="宋体"/>
          <w:color w:val="auto"/>
          <w:szCs w:val="21"/>
          <w:highlight w:val="none"/>
        </w:rPr>
        <w:t>具体内容详见本公告</w:t>
      </w:r>
      <w:r>
        <w:rPr>
          <w:rFonts w:hint="eastAsia" w:ascii="宋体" w:hAnsi="宋体"/>
          <w:color w:val="auto"/>
          <w:szCs w:val="21"/>
          <w:highlight w:val="none"/>
          <w:lang w:eastAsia="zh-CN"/>
        </w:rPr>
        <w:t>附件</w:t>
      </w:r>
      <w:r>
        <w:rPr>
          <w:rFonts w:hint="eastAsia" w:ascii="宋体" w:hAnsi="宋体"/>
          <w:color w:val="auto"/>
          <w:szCs w:val="21"/>
          <w:highlight w:val="none"/>
        </w:rPr>
        <w:t>“采购需求”</w:t>
      </w:r>
      <w:r>
        <w:rPr>
          <w:rFonts w:hint="eastAsia" w:ascii="宋体" w:hAnsi="宋体" w:cs="宋体"/>
          <w:color w:val="auto"/>
          <w:szCs w:val="21"/>
          <w:highlight w:val="none"/>
        </w:rPr>
        <w:t>。</w:t>
      </w:r>
    </w:p>
    <w:p w14:paraId="07959711">
      <w:pPr>
        <w:keepNext w:val="0"/>
        <w:keepLines w:val="0"/>
        <w:pageBreakBefore w:val="0"/>
        <w:bidi w:val="0"/>
        <w:spacing w:line="360" w:lineRule="auto"/>
        <w:ind w:firstLine="420"/>
        <w:rPr>
          <w:rFonts w:ascii="宋体" w:hAnsi="宋体" w:cs="宋体"/>
          <w:color w:val="auto"/>
          <w:szCs w:val="21"/>
          <w:highlight w:val="none"/>
          <w:lang w:val="en-US"/>
        </w:rPr>
      </w:pPr>
      <w:r>
        <w:rPr>
          <w:rFonts w:hint="eastAsia" w:ascii="宋体" w:hAnsi="宋体" w:cs="宋体"/>
          <w:color w:val="auto"/>
          <w:szCs w:val="21"/>
          <w:highlight w:val="none"/>
        </w:rPr>
        <w:t>最高限价（元）：</w:t>
      </w:r>
      <w:r>
        <w:rPr>
          <w:rFonts w:hint="eastAsia" w:ascii="宋体" w:hAnsi="宋体" w:cs="宋体"/>
          <w:color w:val="auto"/>
          <w:szCs w:val="21"/>
          <w:highlight w:val="none"/>
          <w:lang w:val="en-US" w:eastAsia="zh-CN"/>
        </w:rPr>
        <w:t>9800000</w:t>
      </w:r>
    </w:p>
    <w:p w14:paraId="43BA4912">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合同履约期限：自签订合同之日起</w:t>
      </w:r>
      <w:r>
        <w:rPr>
          <w:rFonts w:hint="eastAsia" w:ascii="宋体" w:hAnsi="宋体" w:cs="宋体"/>
          <w:color w:val="auto"/>
          <w:szCs w:val="21"/>
          <w:highlight w:val="none"/>
          <w:lang w:val="en-US" w:eastAsia="zh-CN"/>
        </w:rPr>
        <w:t>90个</w:t>
      </w:r>
      <w:r>
        <w:rPr>
          <w:rFonts w:hint="eastAsia" w:ascii="宋体" w:hAnsi="宋体" w:cs="宋体"/>
          <w:color w:val="auto"/>
          <w:szCs w:val="21"/>
          <w:highlight w:val="none"/>
        </w:rPr>
        <w:t>日历日内安装调试完毕。</w:t>
      </w:r>
    </w:p>
    <w:p w14:paraId="578F6C09">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本标项（否）接受联合体投标</w:t>
      </w:r>
    </w:p>
    <w:p w14:paraId="5E6DE4E4">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备注：/</w:t>
      </w:r>
    </w:p>
    <w:p w14:paraId="08B3A770">
      <w:pPr>
        <w:keepNext w:val="0"/>
        <w:keepLines w:val="0"/>
        <w:pageBreakBefore w:val="0"/>
        <w:widowControl w:val="0"/>
        <w:bidi w:val="0"/>
        <w:spacing w:line="360" w:lineRule="auto"/>
        <w:ind w:firstLine="482"/>
        <w:rPr>
          <w:rFonts w:hint="eastAsia" w:ascii="宋体" w:hAnsi="宋体" w:cs="宋体"/>
          <w:b/>
          <w:bCs/>
          <w:color w:val="auto"/>
          <w:sz w:val="24"/>
          <w:highlight w:val="none"/>
        </w:rPr>
      </w:pPr>
      <w:bookmarkStart w:id="15" w:name="_Toc35393622"/>
      <w:bookmarkStart w:id="16" w:name="_Toc35393791"/>
      <w:bookmarkStart w:id="17" w:name="_Toc28359003"/>
      <w:bookmarkStart w:id="18" w:name="_Toc28359080"/>
      <w:r>
        <w:rPr>
          <w:rFonts w:hint="eastAsia" w:ascii="宋体" w:hAnsi="宋体" w:cs="宋体"/>
          <w:b/>
          <w:bCs/>
          <w:color w:val="auto"/>
          <w:sz w:val="24"/>
          <w:highlight w:val="none"/>
        </w:rPr>
        <w:t>二、申请人的资格要求：</w:t>
      </w:r>
      <w:bookmarkEnd w:id="15"/>
      <w:bookmarkEnd w:id="16"/>
      <w:bookmarkEnd w:id="17"/>
      <w:bookmarkEnd w:id="18"/>
    </w:p>
    <w:p w14:paraId="322E5A99">
      <w:pPr>
        <w:keepNext w:val="0"/>
        <w:keepLines w:val="0"/>
        <w:pageBreakBefore w:val="0"/>
        <w:widowControl w:val="0"/>
        <w:bidi w:val="0"/>
        <w:spacing w:line="360" w:lineRule="auto"/>
        <w:ind w:firstLine="420"/>
        <w:rPr>
          <w:rFonts w:hint="eastAsia" w:ascii="宋体" w:hAnsi="宋体" w:cs="宋体"/>
          <w:color w:val="auto"/>
          <w:szCs w:val="21"/>
          <w:highlight w:val="none"/>
        </w:rPr>
      </w:pPr>
      <w:bookmarkStart w:id="19" w:name="_Hlk51746371"/>
      <w:bookmarkStart w:id="20" w:name="_Toc28359004"/>
      <w:bookmarkStart w:id="21" w:name="_Toc28359081"/>
      <w:r>
        <w:rPr>
          <w:rFonts w:hint="eastAsia" w:ascii="宋体" w:hAnsi="宋体" w:cs="宋体"/>
          <w:color w:val="auto"/>
          <w:szCs w:val="21"/>
          <w:highlight w:val="none"/>
        </w:rPr>
        <w:t>1.满足《中华人民共和国政府采购法》第二十二条规定；</w:t>
      </w:r>
    </w:p>
    <w:p w14:paraId="3A84B877">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2.落实政府采购政策需满足的资格要求：无； </w:t>
      </w:r>
    </w:p>
    <w:p w14:paraId="119AD419">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3.本项目的特定资格要求：</w:t>
      </w:r>
    </w:p>
    <w:p w14:paraId="2A1D7FAD">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3.1</w:t>
      </w:r>
      <w:r>
        <w:rPr>
          <w:rFonts w:hint="eastAsia" w:ascii="宋体" w:hAnsi="宋体" w:cs="宋体"/>
          <w:color w:val="auto"/>
          <w:szCs w:val="21"/>
          <w:highlight w:val="none"/>
        </w:rPr>
        <w:t>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14:paraId="0AF9FC5F">
      <w:pPr>
        <w:spacing w:line="360" w:lineRule="auto"/>
        <w:ind w:firstLine="630"/>
        <w:rPr>
          <w:rFonts w:hint="eastAsia" w:ascii="宋体" w:hAnsi="宋体" w:cs="宋体"/>
          <w:color w:val="auto"/>
          <w:szCs w:val="21"/>
          <w:highlight w:val="none"/>
          <w:u w:val="none"/>
        </w:rPr>
      </w:pPr>
      <w:r>
        <w:rPr>
          <w:rFonts w:hint="eastAsia" w:ascii="宋体" w:hAnsi="宋体"/>
          <w:color w:val="auto"/>
          <w:szCs w:val="21"/>
          <w:highlight w:val="none"/>
        </w:rPr>
        <w:t>3.2</w:t>
      </w:r>
      <w:r>
        <w:rPr>
          <w:rFonts w:hint="eastAsia" w:ascii="宋体" w:hAnsi="宋体" w:cs="宋体"/>
          <w:color w:val="auto"/>
          <w:szCs w:val="21"/>
          <w:highlight w:val="none"/>
        </w:rPr>
        <w:t>供应商</w:t>
      </w:r>
      <w:r>
        <w:rPr>
          <w:rFonts w:hint="eastAsia" w:ascii="宋体" w:hAnsi="宋体"/>
          <w:color w:val="auto"/>
          <w:szCs w:val="21"/>
          <w:highlight w:val="none"/>
          <w:u w:val="none"/>
        </w:rPr>
        <w:t>应具备有效的《辐射安全许可证》。</w:t>
      </w:r>
      <w:bookmarkEnd w:id="19"/>
    </w:p>
    <w:p w14:paraId="5ADBB4C0">
      <w:pPr>
        <w:keepNext w:val="0"/>
        <w:keepLines w:val="0"/>
        <w:pageBreakBefore w:val="0"/>
        <w:widowControl w:val="0"/>
        <w:bidi w:val="0"/>
        <w:spacing w:line="360" w:lineRule="auto"/>
        <w:ind w:firstLine="482"/>
        <w:rPr>
          <w:rFonts w:hint="eastAsia" w:ascii="宋体" w:hAnsi="宋体" w:cs="宋体"/>
          <w:b/>
          <w:bCs/>
          <w:color w:val="auto"/>
          <w:sz w:val="24"/>
          <w:highlight w:val="none"/>
        </w:rPr>
      </w:pPr>
      <w:bookmarkStart w:id="22" w:name="_Toc35393623"/>
      <w:bookmarkStart w:id="23" w:name="_Toc35393792"/>
      <w:r>
        <w:rPr>
          <w:rFonts w:hint="eastAsia" w:ascii="宋体" w:hAnsi="宋体" w:cs="宋体"/>
          <w:b/>
          <w:bCs/>
          <w:color w:val="auto"/>
          <w:sz w:val="24"/>
          <w:highlight w:val="none"/>
        </w:rPr>
        <w:t>三、获取招标文件</w:t>
      </w:r>
      <w:bookmarkEnd w:id="20"/>
      <w:bookmarkEnd w:id="21"/>
      <w:bookmarkEnd w:id="22"/>
      <w:bookmarkEnd w:id="23"/>
    </w:p>
    <w:p w14:paraId="6CBE7914">
      <w:pPr>
        <w:keepNext w:val="0"/>
        <w:keepLines w:val="0"/>
        <w:pageBreakBefore w:val="0"/>
        <w:widowControl w:val="0"/>
        <w:bidi w:val="0"/>
        <w:spacing w:line="360" w:lineRule="auto"/>
        <w:ind w:firstLine="420"/>
        <w:rPr>
          <w:rFonts w:hint="eastAsia" w:ascii="宋体" w:hAnsi="宋体" w:eastAsia="宋体" w:cs="宋体"/>
          <w:bCs/>
          <w:color w:val="auto"/>
          <w:highlight w:val="none"/>
        </w:rPr>
      </w:pPr>
      <w:r>
        <w:rPr>
          <w:rFonts w:hint="eastAsia" w:ascii="宋体" w:hAnsi="宋体" w:cs="宋体"/>
          <w:bCs/>
          <w:color w:val="auto"/>
          <w:szCs w:val="21"/>
          <w:highlight w:val="none"/>
        </w:rPr>
        <w:t>时间：</w:t>
      </w:r>
      <w:r>
        <w:rPr>
          <w:rFonts w:hint="eastAsia" w:ascii="宋体" w:hAnsi="宋体" w:cs="宋体"/>
          <w:bCs/>
          <w:color w:val="auto"/>
          <w:highlight w:val="none"/>
        </w:rPr>
        <w:t>202</w:t>
      </w:r>
      <w:r>
        <w:rPr>
          <w:rFonts w:hint="eastAsia" w:ascii="宋体" w:hAnsi="宋体" w:cs="宋体"/>
          <w:bCs/>
          <w:color w:val="auto"/>
          <w:highlight w:val="none"/>
          <w:lang w:val="en-US" w:eastAsia="zh-CN"/>
        </w:rPr>
        <w:t>6</w:t>
      </w:r>
      <w:r>
        <w:rPr>
          <w:rFonts w:hint="eastAsia" w:ascii="宋体" w:hAnsi="宋体" w:cs="宋体"/>
          <w:bCs/>
          <w:color w:val="auto"/>
          <w:highlight w:val="none"/>
        </w:rPr>
        <w:t>年</w:t>
      </w:r>
      <w:r>
        <w:rPr>
          <w:rFonts w:hint="eastAsia" w:ascii="宋体" w:hAnsi="宋体" w:cs="宋体"/>
          <w:bCs/>
          <w:color w:val="auto"/>
          <w:highlight w:val="none"/>
          <w:lang w:val="en-US" w:eastAsia="zh-CN"/>
        </w:rPr>
        <w:t>7</w:t>
      </w:r>
      <w:r>
        <w:rPr>
          <w:rFonts w:hint="eastAsia" w:ascii="宋体" w:hAnsi="宋体" w:cs="宋体"/>
          <w:bCs/>
          <w:color w:val="auto"/>
          <w:highlight w:val="none"/>
        </w:rPr>
        <w:t>月</w:t>
      </w:r>
      <w:r>
        <w:rPr>
          <w:rFonts w:hint="eastAsia" w:ascii="宋体" w:hAnsi="宋体" w:cs="宋体"/>
          <w:bCs/>
          <w:color w:val="auto"/>
          <w:highlight w:val="none"/>
          <w:lang w:val="en-US" w:eastAsia="zh-CN"/>
        </w:rPr>
        <w:t>20</w:t>
      </w:r>
      <w:r>
        <w:rPr>
          <w:rFonts w:hint="eastAsia" w:ascii="宋体" w:hAnsi="宋体" w:cs="宋体"/>
          <w:bCs/>
          <w:color w:val="auto"/>
          <w:highlight w:val="none"/>
        </w:rPr>
        <w:t>日</w:t>
      </w:r>
      <w:r>
        <w:rPr>
          <w:rFonts w:hint="eastAsia" w:ascii="宋体" w:hAnsi="宋体" w:cs="宋体"/>
          <w:color w:val="auto"/>
          <w:highlight w:val="none"/>
        </w:rPr>
        <w:t>起至</w:t>
      </w:r>
      <w:r>
        <w:rPr>
          <w:rFonts w:hint="eastAsia" w:ascii="宋体" w:hAnsi="宋体" w:cs="宋体"/>
          <w:bCs/>
          <w:color w:val="auto"/>
          <w:highlight w:val="none"/>
        </w:rPr>
        <w:t>202</w:t>
      </w:r>
      <w:r>
        <w:rPr>
          <w:rFonts w:hint="eastAsia" w:ascii="宋体" w:hAnsi="宋体" w:cs="宋体"/>
          <w:bCs/>
          <w:color w:val="auto"/>
          <w:highlight w:val="none"/>
          <w:lang w:val="en-US" w:eastAsia="zh-CN"/>
        </w:rPr>
        <w:t>6</w:t>
      </w:r>
      <w:r>
        <w:rPr>
          <w:rFonts w:hint="eastAsia" w:ascii="宋体" w:hAnsi="宋体" w:cs="宋体"/>
          <w:bCs/>
          <w:color w:val="auto"/>
          <w:highlight w:val="none"/>
        </w:rPr>
        <w:t>年</w:t>
      </w:r>
      <w:r>
        <w:rPr>
          <w:rFonts w:hint="eastAsia" w:ascii="宋体" w:hAnsi="宋体" w:cs="宋体"/>
          <w:bCs/>
          <w:color w:val="auto"/>
          <w:highlight w:val="none"/>
          <w:lang w:val="en-US" w:eastAsia="zh-CN"/>
        </w:rPr>
        <w:t>7</w:t>
      </w:r>
      <w:r>
        <w:rPr>
          <w:rFonts w:hint="eastAsia" w:ascii="宋体" w:hAnsi="宋体" w:cs="宋体"/>
          <w:bCs/>
          <w:color w:val="auto"/>
          <w:highlight w:val="none"/>
        </w:rPr>
        <w:t>月</w:t>
      </w:r>
      <w:r>
        <w:rPr>
          <w:rFonts w:hint="eastAsia" w:ascii="宋体" w:hAnsi="宋体" w:cs="宋体"/>
          <w:bCs/>
          <w:color w:val="auto"/>
          <w:highlight w:val="none"/>
          <w:lang w:val="en-US" w:eastAsia="zh-CN"/>
        </w:rPr>
        <w:t>27</w:t>
      </w:r>
      <w:r>
        <w:rPr>
          <w:rFonts w:hint="eastAsia" w:ascii="宋体" w:hAnsi="宋体" w:cs="宋体"/>
          <w:bCs/>
          <w:color w:val="auto"/>
          <w:highlight w:val="none"/>
        </w:rPr>
        <w:t>日，每天上午00：00至12</w:t>
      </w:r>
      <w:r>
        <w:rPr>
          <w:rFonts w:hint="eastAsia" w:ascii="宋体" w:hAnsi="宋体" w:cs="宋体"/>
          <w:bCs/>
          <w:color w:val="auto"/>
          <w:highlight w:val="none"/>
          <w:lang w:eastAsia="zh-CN"/>
        </w:rPr>
        <w:t>:</w:t>
      </w:r>
      <w:r>
        <w:rPr>
          <w:rFonts w:hint="eastAsia" w:ascii="宋体" w:hAnsi="宋体" w:cs="宋体"/>
          <w:bCs/>
          <w:color w:val="auto"/>
          <w:highlight w:val="none"/>
        </w:rPr>
        <w:t>00 ，下午12</w:t>
      </w:r>
      <w:r>
        <w:rPr>
          <w:rFonts w:hint="eastAsia" w:ascii="宋体" w:hAnsi="宋体" w:cs="宋体"/>
          <w:bCs/>
          <w:color w:val="auto"/>
          <w:highlight w:val="none"/>
          <w:lang w:eastAsia="zh-CN"/>
        </w:rPr>
        <w:t>:</w:t>
      </w:r>
      <w:r>
        <w:rPr>
          <w:rFonts w:hint="eastAsia" w:ascii="宋体" w:hAnsi="宋体" w:cs="宋体"/>
          <w:bCs/>
          <w:color w:val="auto"/>
          <w:highlight w:val="none"/>
        </w:rPr>
        <w:t>00至23</w:t>
      </w:r>
      <w:r>
        <w:rPr>
          <w:rFonts w:hint="eastAsia" w:ascii="宋体" w:hAnsi="宋体" w:cs="宋体"/>
          <w:bCs/>
          <w:color w:val="auto"/>
          <w:highlight w:val="none"/>
          <w:lang w:eastAsia="zh-CN"/>
        </w:rPr>
        <w:t>:</w:t>
      </w:r>
      <w:r>
        <w:rPr>
          <w:rFonts w:hint="eastAsia" w:ascii="宋体" w:hAnsi="宋体" w:cs="宋体"/>
          <w:bCs/>
          <w:color w:val="auto"/>
          <w:highlight w:val="none"/>
        </w:rPr>
        <w:t>59（北京</w:t>
      </w:r>
      <w:r>
        <w:rPr>
          <w:rFonts w:hint="eastAsia" w:ascii="宋体" w:hAnsi="宋体" w:eastAsia="宋体" w:cs="宋体"/>
          <w:bCs/>
          <w:color w:val="auto"/>
          <w:highlight w:val="none"/>
        </w:rPr>
        <w:t>时间，法定节假日除外）</w:t>
      </w:r>
    </w:p>
    <w:p w14:paraId="555DD1E4">
      <w:pPr>
        <w:keepNext w:val="0"/>
        <w:keepLines w:val="0"/>
        <w:pageBreakBefore w:val="0"/>
        <w:widowControl w:val="0"/>
        <w:bidi w:val="0"/>
        <w:spacing w:line="360" w:lineRule="auto"/>
        <w:ind w:firstLine="420"/>
        <w:rPr>
          <w:rFonts w:hint="eastAsia" w:ascii="宋体" w:hAnsi="宋体" w:eastAsia="宋体" w:cs="宋体"/>
          <w:bCs/>
          <w:color w:val="auto"/>
          <w:highlight w:val="none"/>
        </w:rPr>
      </w:pPr>
      <w:r>
        <w:rPr>
          <w:rFonts w:hint="eastAsia" w:ascii="宋体" w:hAnsi="宋体" w:eastAsia="宋体" w:cs="宋体"/>
          <w:bCs/>
          <w:color w:val="auto"/>
          <w:highlight w:val="none"/>
        </w:rPr>
        <w:t>地点：广西政府采购云平台（https</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//www.gcy.zfcg.gxzf.gov.cn/）</w:t>
      </w:r>
    </w:p>
    <w:p w14:paraId="30F71593">
      <w:pPr>
        <w:keepNext w:val="0"/>
        <w:keepLines w:val="0"/>
        <w:pageBreakBefore w:val="0"/>
        <w:widowControl w:val="0"/>
        <w:bidi w:val="0"/>
        <w:spacing w:line="360" w:lineRule="auto"/>
        <w:rPr>
          <w:rFonts w:hint="eastAsia" w:ascii="宋体" w:hAnsi="宋体" w:eastAsia="宋体" w:cs="Times New Roman"/>
          <w:bCs/>
          <w:color w:val="auto"/>
          <w:szCs w:val="21"/>
          <w:highlight w:val="none"/>
        </w:rPr>
      </w:pPr>
      <w:r>
        <w:rPr>
          <w:rFonts w:hint="eastAsia"/>
          <w:color w:val="auto"/>
          <w:highlight w:val="none"/>
          <w:lang w:val="en-US" w:eastAsia="zh-CN"/>
        </w:rPr>
        <w:t xml:space="preserve">    </w:t>
      </w:r>
      <w:r>
        <w:rPr>
          <w:rFonts w:hint="eastAsia" w:ascii="宋体" w:hAnsi="宋体" w:eastAsia="宋体" w:cs="宋体"/>
          <w:bCs/>
          <w:color w:val="auto"/>
          <w:highlight w:val="none"/>
        </w:rPr>
        <w:t>方式：网上下载。本项目不提供纸质文件，潜在供应商需使用账号登录或者使用CA登录广西政府采购云平台（https：//www.gcy.zfcg.gxzf.gov.cn/）-进入“项目采购”应用，在获取采购文件菜单中选择项目，获取招标文件（或在“广西政府采购云电子投标客户端</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获取采购文件”跳转到广西政府采购云系统获取）。电子投标文件制作需要基于广西政府采购云平台获取的招标文件编制，通过其他方式获取招标文件的，将有可能导致供应商无法在广西政府采购云平台编制及上传投标文件。</w:t>
      </w:r>
    </w:p>
    <w:p w14:paraId="686FE571">
      <w:pPr>
        <w:keepNext w:val="0"/>
        <w:keepLines w:val="0"/>
        <w:pageBreakBefore w:val="0"/>
        <w:widowControl w:val="0"/>
        <w:bidi w:val="0"/>
        <w:spacing w:line="360" w:lineRule="auto"/>
        <w:ind w:firstLine="42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售价：0元</w:t>
      </w:r>
    </w:p>
    <w:p w14:paraId="1738ACB0">
      <w:pPr>
        <w:keepNext w:val="0"/>
        <w:keepLines w:val="0"/>
        <w:pageBreakBefore w:val="0"/>
        <w:widowControl w:val="0"/>
        <w:bidi w:val="0"/>
        <w:spacing w:line="360" w:lineRule="auto"/>
        <w:ind w:firstLine="482"/>
        <w:rPr>
          <w:rFonts w:hint="eastAsia" w:ascii="宋体" w:hAnsi="宋体" w:cs="宋体"/>
          <w:b/>
          <w:bCs/>
          <w:color w:val="auto"/>
          <w:sz w:val="24"/>
          <w:highlight w:val="none"/>
        </w:rPr>
      </w:pPr>
      <w:bookmarkStart w:id="24" w:name="_Toc28359082"/>
      <w:bookmarkStart w:id="25" w:name="_Toc28359005"/>
      <w:bookmarkStart w:id="26" w:name="_Toc35393793"/>
      <w:bookmarkStart w:id="27" w:name="_Toc35393624"/>
      <w:r>
        <w:rPr>
          <w:rFonts w:hint="eastAsia" w:ascii="宋体" w:hAnsi="宋体" w:cs="宋体"/>
          <w:b/>
          <w:bCs/>
          <w:color w:val="auto"/>
          <w:sz w:val="24"/>
          <w:highlight w:val="none"/>
        </w:rPr>
        <w:t>四、提交投标文件</w:t>
      </w:r>
      <w:bookmarkEnd w:id="24"/>
      <w:bookmarkEnd w:id="25"/>
      <w:r>
        <w:rPr>
          <w:rFonts w:hint="eastAsia" w:ascii="宋体" w:hAnsi="宋体" w:cs="宋体"/>
          <w:b/>
          <w:bCs/>
          <w:color w:val="auto"/>
          <w:sz w:val="24"/>
          <w:highlight w:val="none"/>
        </w:rPr>
        <w:t>截止时间、开标时间和地点</w:t>
      </w:r>
      <w:bookmarkEnd w:id="26"/>
      <w:bookmarkEnd w:id="27"/>
    </w:p>
    <w:p w14:paraId="6F8710F4">
      <w:pPr>
        <w:keepNext w:val="0"/>
        <w:keepLines w:val="0"/>
        <w:pageBreakBefore w:val="0"/>
        <w:widowControl w:val="0"/>
        <w:bidi w:val="0"/>
        <w:spacing w:line="360" w:lineRule="auto"/>
        <w:ind w:firstLine="420"/>
        <w:rPr>
          <w:rFonts w:ascii="宋体" w:hAnsi="宋体" w:cs="宋体"/>
          <w:color w:val="auto"/>
          <w:szCs w:val="21"/>
          <w:highlight w:val="none"/>
        </w:rPr>
      </w:pPr>
      <w:bookmarkStart w:id="28" w:name="_Toc35393625"/>
      <w:bookmarkStart w:id="29" w:name="_Toc28359007"/>
      <w:bookmarkStart w:id="30" w:name="_Toc35393794"/>
      <w:bookmarkStart w:id="31" w:name="_Toc28359084"/>
      <w:r>
        <w:rPr>
          <w:rFonts w:hint="eastAsia" w:ascii="宋体" w:hAnsi="宋体"/>
          <w:bCs/>
          <w:color w:val="auto"/>
          <w:szCs w:val="21"/>
          <w:highlight w:val="none"/>
        </w:rPr>
        <w:t>提交投标文件截止时间：2026年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10</w:t>
      </w:r>
      <w:r>
        <w:rPr>
          <w:rFonts w:hint="eastAsia" w:ascii="宋体" w:hAnsi="宋体"/>
          <w:bCs/>
          <w:color w:val="auto"/>
          <w:szCs w:val="21"/>
          <w:highlight w:val="none"/>
        </w:rPr>
        <w:t>日9时00分（北京时间）</w:t>
      </w:r>
    </w:p>
    <w:p w14:paraId="19F5D5D2">
      <w:pPr>
        <w:keepNext w:val="0"/>
        <w:keepLines w:val="0"/>
        <w:pageBreakBefore w:val="0"/>
        <w:widowControl w:val="0"/>
        <w:bidi w:val="0"/>
        <w:spacing w:line="360" w:lineRule="auto"/>
        <w:ind w:firstLine="420"/>
        <w:rPr>
          <w:rFonts w:hint="eastAsia" w:ascii="宋体" w:hAnsi="宋体"/>
          <w:color w:val="auto"/>
          <w:szCs w:val="21"/>
          <w:highlight w:val="none"/>
        </w:rPr>
      </w:pPr>
      <w:r>
        <w:rPr>
          <w:rFonts w:hint="eastAsia" w:ascii="宋体" w:hAnsi="宋体"/>
          <w:color w:val="auto"/>
          <w:szCs w:val="21"/>
          <w:highlight w:val="none"/>
        </w:rPr>
        <w:t>投标地点（网址）：广西政府采购云平台（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17114A10">
      <w:pPr>
        <w:keepNext w:val="0"/>
        <w:keepLines w:val="0"/>
        <w:pageBreakBefore w:val="0"/>
        <w:widowControl w:val="0"/>
        <w:bidi w:val="0"/>
        <w:spacing w:line="360" w:lineRule="auto"/>
        <w:ind w:firstLine="420"/>
        <w:rPr>
          <w:rFonts w:ascii="宋体" w:hAnsi="宋体"/>
          <w:color w:val="auto"/>
          <w:szCs w:val="21"/>
          <w:highlight w:val="none"/>
        </w:rPr>
      </w:pPr>
      <w:r>
        <w:rPr>
          <w:rFonts w:hint="eastAsia" w:ascii="宋体" w:hAnsi="宋体"/>
          <w:color w:val="auto"/>
          <w:szCs w:val="21"/>
          <w:highlight w:val="none"/>
        </w:rPr>
        <w:t>开标时间：</w:t>
      </w:r>
      <w:r>
        <w:rPr>
          <w:rFonts w:hint="eastAsia" w:ascii="宋体" w:hAnsi="宋体"/>
          <w:bCs/>
          <w:color w:val="auto"/>
          <w:szCs w:val="21"/>
          <w:highlight w:val="none"/>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10</w:t>
      </w:r>
      <w:r>
        <w:rPr>
          <w:rFonts w:hint="eastAsia" w:ascii="宋体" w:hAnsi="宋体"/>
          <w:bCs/>
          <w:color w:val="auto"/>
          <w:szCs w:val="21"/>
          <w:highlight w:val="none"/>
        </w:rPr>
        <w:t>日9时00分（北京时间）</w:t>
      </w:r>
    </w:p>
    <w:p w14:paraId="26BB9B55">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开标地点：广西政府采购云平台（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34DC341F">
      <w:pPr>
        <w:keepNext w:val="0"/>
        <w:keepLines w:val="0"/>
        <w:pageBreakBefore w:val="0"/>
        <w:widowControl w:val="0"/>
        <w:bidi w:val="0"/>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五、公告期限</w:t>
      </w:r>
      <w:bookmarkEnd w:id="28"/>
      <w:bookmarkEnd w:id="29"/>
      <w:bookmarkEnd w:id="30"/>
      <w:bookmarkEnd w:id="31"/>
    </w:p>
    <w:p w14:paraId="64066AEB">
      <w:pPr>
        <w:keepNext w:val="0"/>
        <w:keepLines w:val="0"/>
        <w:pageBreakBefore w:val="0"/>
        <w:widowControl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bookmarkStart w:id="163" w:name="_GoBack"/>
      <w:bookmarkEnd w:id="163"/>
    </w:p>
    <w:p w14:paraId="6465FBCC">
      <w:pPr>
        <w:keepNext w:val="0"/>
        <w:keepLines w:val="0"/>
        <w:pageBreakBefore w:val="0"/>
        <w:widowControl w:val="0"/>
        <w:bidi w:val="0"/>
        <w:spacing w:line="360" w:lineRule="auto"/>
        <w:ind w:firstLine="482"/>
        <w:rPr>
          <w:rFonts w:hint="eastAsia" w:ascii="宋体" w:hAnsi="宋体" w:cs="宋体"/>
          <w:b/>
          <w:bCs/>
          <w:color w:val="auto"/>
          <w:sz w:val="24"/>
          <w:highlight w:val="none"/>
        </w:rPr>
      </w:pPr>
      <w:bookmarkStart w:id="32" w:name="_Toc35393626"/>
      <w:bookmarkStart w:id="33" w:name="_Toc35393795"/>
      <w:r>
        <w:rPr>
          <w:rFonts w:hint="eastAsia" w:ascii="宋体" w:hAnsi="宋体" w:cs="宋体"/>
          <w:b/>
          <w:bCs/>
          <w:color w:val="auto"/>
          <w:sz w:val="24"/>
          <w:highlight w:val="none"/>
        </w:rPr>
        <w:t>六、其他补充事宜</w:t>
      </w:r>
      <w:bookmarkEnd w:id="32"/>
      <w:bookmarkEnd w:id="33"/>
    </w:p>
    <w:p w14:paraId="350C6CA4">
      <w:pPr>
        <w:keepNext w:val="0"/>
        <w:keepLines w:val="0"/>
        <w:pageBreakBefore w:val="0"/>
        <w:bidi w:val="0"/>
        <w:spacing w:line="360" w:lineRule="auto"/>
        <w:ind w:firstLine="420"/>
        <w:rPr>
          <w:rFonts w:hint="eastAsia" w:ascii="宋体" w:hAnsi="宋体" w:cs="宋体"/>
          <w:color w:val="auto"/>
          <w:szCs w:val="21"/>
          <w:highlight w:val="none"/>
        </w:rPr>
      </w:pPr>
      <w:bookmarkStart w:id="34" w:name="_Hlk37429674"/>
      <w:r>
        <w:rPr>
          <w:rFonts w:hint="eastAsia" w:ascii="宋体" w:hAnsi="宋体" w:cs="宋体"/>
          <w:color w:val="auto"/>
          <w:szCs w:val="21"/>
          <w:highlight w:val="none"/>
        </w:rPr>
        <w:t>1.投标保证金</w:t>
      </w:r>
    </w:p>
    <w:p w14:paraId="7923044D">
      <w:pPr>
        <w:keepNext w:val="0"/>
        <w:keepLines w:val="0"/>
        <w:pageBreakBefore w:val="0"/>
        <w:bidi w:val="0"/>
        <w:spacing w:line="360" w:lineRule="auto"/>
        <w:ind w:left="495" w:firstLine="420"/>
        <w:rPr>
          <w:rFonts w:hint="eastAsia" w:ascii="宋体" w:hAnsi="宋体" w:cs="宋体"/>
          <w:color w:val="auto"/>
          <w:szCs w:val="21"/>
          <w:highlight w:val="none"/>
        </w:rPr>
      </w:pPr>
      <w:r>
        <w:rPr>
          <w:rFonts w:hint="eastAsia" w:ascii="宋体" w:hAnsi="宋体" w:cs="宋体"/>
          <w:color w:val="auto"/>
          <w:highlight w:val="none"/>
        </w:rPr>
        <w:t>本项目投</w:t>
      </w:r>
      <w:r>
        <w:rPr>
          <w:rFonts w:hint="eastAsia" w:ascii="宋体" w:hAnsi="宋体" w:cs="宋体"/>
          <w:color w:val="auto"/>
          <w:szCs w:val="21"/>
          <w:highlight w:val="none"/>
        </w:rPr>
        <w:t>标保证金：无。</w:t>
      </w:r>
    </w:p>
    <w:p w14:paraId="41071390">
      <w:pPr>
        <w:keepNext w:val="0"/>
        <w:keepLines w:val="0"/>
        <w:pageBreakBefore w:val="0"/>
        <w:bidi w:val="0"/>
        <w:spacing w:line="360" w:lineRule="auto"/>
        <w:ind w:firstLine="420"/>
        <w:rPr>
          <w:rFonts w:hint="eastAsia" w:ascii="宋体" w:hAnsi="宋体" w:cs="宋体"/>
          <w:color w:val="auto"/>
          <w:szCs w:val="21"/>
          <w:highlight w:val="none"/>
        </w:rPr>
      </w:pPr>
      <w:bookmarkStart w:id="35" w:name="_Hlk37429585"/>
      <w:r>
        <w:rPr>
          <w:rFonts w:hint="eastAsia" w:ascii="宋体" w:hAnsi="宋体" w:cs="宋体"/>
          <w:color w:val="auto"/>
          <w:szCs w:val="21"/>
          <w:highlight w:val="none"/>
        </w:rPr>
        <w:t xml:space="preserve">2. </w:t>
      </w:r>
      <w:bookmarkStart w:id="36" w:name="_Hlk37429595"/>
      <w:r>
        <w:rPr>
          <w:rFonts w:hint="eastAsia" w:ascii="宋体" w:hAnsi="宋体" w:cs="宋体"/>
          <w:color w:val="auto"/>
          <w:szCs w:val="21"/>
          <w:highlight w:val="none"/>
        </w:rPr>
        <w:t>网上查询地址</w:t>
      </w:r>
      <w:bookmarkEnd w:id="34"/>
    </w:p>
    <w:p w14:paraId="27B0909D">
      <w:pPr>
        <w:keepNext w:val="0"/>
        <w:keepLines w:val="0"/>
        <w:pageBreakBefore w:val="0"/>
        <w:bidi w:val="0"/>
        <w:spacing w:line="360" w:lineRule="auto"/>
        <w:ind w:left="495"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w:t>
      </w:r>
    </w:p>
    <w:p w14:paraId="6CDA0877">
      <w:pPr>
        <w:keepNext w:val="0"/>
        <w:keepLines w:val="0"/>
        <w:pageBreakBefore w:val="0"/>
        <w:bidi w:val="0"/>
        <w:spacing w:line="360" w:lineRule="auto"/>
        <w:ind w:left="495" w:firstLine="420"/>
        <w:rPr>
          <w:rFonts w:hint="eastAsia" w:ascii="宋体" w:hAnsi="宋体" w:cs="宋体"/>
          <w:color w:val="auto"/>
          <w:szCs w:val="21"/>
          <w:highlight w:val="none"/>
        </w:rPr>
      </w:pPr>
      <w:r>
        <w:rPr>
          <w:rFonts w:hint="eastAsia" w:ascii="宋体" w:hAnsi="宋体" w:cs="宋体"/>
          <w:color w:val="auto"/>
          <w:szCs w:val="21"/>
          <w:highlight w:val="none"/>
        </w:rPr>
        <w:t>http</w:t>
      </w:r>
      <w:r>
        <w:rPr>
          <w:rFonts w:hint="eastAsia" w:ascii="宋体" w:hAnsi="宋体" w:cs="宋体"/>
          <w:color w:val="auto"/>
          <w:szCs w:val="21"/>
          <w:highlight w:val="none"/>
          <w:lang w:eastAsia="zh-CN"/>
        </w:rPr>
        <w:t>：</w:t>
      </w:r>
      <w:r>
        <w:rPr>
          <w:rFonts w:hint="eastAsia" w:ascii="宋体" w:hAnsi="宋体" w:cs="宋体"/>
          <w:color w:val="auto"/>
          <w:szCs w:val="21"/>
          <w:highlight w:val="none"/>
        </w:rPr>
        <w:t>//zfcg.gxzf.gov.cn/（广西壮族自治区政府采购网）</w:t>
      </w:r>
    </w:p>
    <w:p w14:paraId="26021BD4">
      <w:pPr>
        <w:keepNext w:val="0"/>
        <w:keepLines w:val="0"/>
        <w:pageBreakBefore w:val="0"/>
        <w:bidi w:val="0"/>
        <w:spacing w:line="360" w:lineRule="auto"/>
        <w:ind w:left="495" w:firstLine="420"/>
        <w:rPr>
          <w:rFonts w:hint="eastAsia" w:ascii="宋体" w:hAnsi="宋体" w:cs="宋体"/>
          <w:color w:val="auto"/>
          <w:szCs w:val="21"/>
          <w:highlight w:val="none"/>
        </w:rPr>
      </w:pPr>
      <w:r>
        <w:rPr>
          <w:rFonts w:hint="eastAsia" w:ascii="宋体" w:hAnsi="宋体" w:cs="宋体"/>
          <w:color w:val="auto"/>
          <w:szCs w:val="21"/>
          <w:highlight w:val="none"/>
        </w:rPr>
        <w:t>http</w:t>
      </w:r>
      <w:r>
        <w:rPr>
          <w:rFonts w:hint="eastAsia" w:ascii="宋体" w:hAnsi="宋体" w:cs="宋体"/>
          <w:color w:val="auto"/>
          <w:szCs w:val="21"/>
          <w:highlight w:val="none"/>
          <w:lang w:eastAsia="zh-CN"/>
        </w:rPr>
        <w:t>：</w:t>
      </w:r>
      <w:r>
        <w:rPr>
          <w:rFonts w:hint="eastAsia" w:ascii="宋体" w:hAnsi="宋体" w:cs="宋体"/>
          <w:color w:val="auto"/>
          <w:szCs w:val="21"/>
          <w:highlight w:val="none"/>
        </w:rPr>
        <w:t>//ggzy.jgswj.gxzf.gov.cn/ggggzy/全国公共资源交易平台（广西·贵港）</w:t>
      </w:r>
      <w:bookmarkEnd w:id="35"/>
    </w:p>
    <w:p w14:paraId="785FE303">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本项目需要落实的政府采购政策</w:t>
      </w:r>
    </w:p>
    <w:p w14:paraId="505C074E">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0E25B771">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10192F85">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215AFAB0">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22616756">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0236B0CD">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30BE87ED">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名  称：贵港市财政局政府采购监督管理科 </w:t>
      </w:r>
    </w:p>
    <w:p w14:paraId="2A388DFC">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电  话：0775-4555290、0775-4564649</w:t>
      </w:r>
    </w:p>
    <w:p w14:paraId="25CF81D5">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w:t>
      </w:r>
      <w:bookmarkEnd w:id="36"/>
      <w:bookmarkStart w:id="37" w:name="_Toc35393796"/>
      <w:bookmarkStart w:id="38" w:name="_Toc28359085"/>
      <w:bookmarkStart w:id="39" w:name="_Toc35393627"/>
      <w:bookmarkStart w:id="40" w:name="_Toc28359008"/>
      <w:r>
        <w:rPr>
          <w:rFonts w:hint="eastAsia" w:ascii="宋体" w:hAnsi="宋体" w:cs="宋体"/>
          <w:color w:val="auto"/>
          <w:szCs w:val="21"/>
          <w:highlight w:val="none"/>
        </w:rPr>
        <w:t>投标人投标注意事项</w:t>
      </w:r>
    </w:p>
    <w:p w14:paraId="1D7F6F9F">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（1）本项目为全流程电子化采购项目，通过广西政府采购云平台（https</w:t>
      </w:r>
      <w:r>
        <w:rPr>
          <w:rFonts w:hint="eastAsia" w:ascii="宋体" w:hAnsi="宋体" w:cs="宋体"/>
          <w:color w:val="auto"/>
          <w:szCs w:val="21"/>
          <w:highlight w:val="none"/>
          <w:lang w:eastAsia="zh-CN"/>
        </w:rPr>
        <w:t>：</w:t>
      </w:r>
      <w:r>
        <w:rPr>
          <w:rFonts w:hint="eastAsia" w:ascii="宋体" w:hAnsi="宋体" w:cs="宋体"/>
          <w:color w:val="auto"/>
          <w:szCs w:val="21"/>
          <w:highlight w:val="none"/>
        </w:rPr>
        <w:t>//www.gcy.zfcg.gxzf.gov.cn/）实行在线电子投标，投标人应先安装“广西政府采购云电子投标客户端”（请自行前往广西政府采购云平台进行下载），并按照本项目招标文件和广西政府采购云平台的要求编制、加密后在投标截止时间前通过网络上传至 广西政府采购云平台（加密的电子投标文件是指</w:t>
      </w:r>
      <w:r>
        <w:rPr>
          <w:rFonts w:hint="eastAsia" w:ascii="宋体" w:hAnsi="宋体" w:cs="宋体"/>
          <w:color w:val="auto"/>
          <w:highlight w:val="none"/>
        </w:rPr>
        <w:t>后缀名为“jmbs”的文件</w:t>
      </w:r>
      <w:r>
        <w:rPr>
          <w:rFonts w:hint="eastAsia" w:ascii="宋体" w:hAnsi="宋体" w:cs="宋体"/>
          <w:color w:val="auto"/>
          <w:szCs w:val="21"/>
          <w:highlight w:val="none"/>
        </w:rPr>
        <w:t>），</w:t>
      </w:r>
      <w:r>
        <w:rPr>
          <w:rFonts w:hint="eastAsia" w:ascii="宋体" w:hAnsi="宋体" w:cs="宋体"/>
          <w:b/>
          <w:color w:val="auto"/>
          <w:szCs w:val="21"/>
          <w:highlight w:val="none"/>
        </w:rPr>
        <w:t>投标人在广西政府采购云平台提交电子投标文件时，请填写参加远程开标活动经办人联系方式。</w:t>
      </w:r>
      <w:r>
        <w:rPr>
          <w:rFonts w:hint="eastAsia" w:ascii="宋体" w:hAnsi="宋体" w:cs="宋体"/>
          <w:color w:val="auto"/>
          <w:szCs w:val="21"/>
          <w:highlight w:val="none"/>
        </w:rPr>
        <w:t>投标人登录广西政府采购云平台，依次进入“服务中心</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项目采购</w:t>
      </w:r>
      <w:r>
        <w:rPr>
          <w:rFonts w:hint="eastAsia" w:ascii="宋体" w:hAnsi="宋体" w:cs="宋体"/>
          <w:color w:val="auto"/>
          <w:szCs w:val="21"/>
          <w:highlight w:val="none"/>
          <w:lang w:eastAsia="zh-CN"/>
        </w:rPr>
        <w:t>－</w:t>
      </w:r>
      <w:r>
        <w:rPr>
          <w:rFonts w:hint="eastAsia" w:ascii="宋体" w:hAnsi="宋体" w:cs="宋体"/>
          <w:color w:val="auto"/>
          <w:szCs w:val="21"/>
          <w:highlight w:val="none"/>
        </w:rPr>
        <w:t>操作流程</w:t>
      </w:r>
      <w:r>
        <w:rPr>
          <w:rFonts w:hint="eastAsia" w:ascii="宋体" w:hAnsi="宋体" w:cs="宋体"/>
          <w:color w:val="auto"/>
          <w:szCs w:val="21"/>
          <w:highlight w:val="none"/>
          <w:lang w:eastAsia="zh-CN"/>
        </w:rPr>
        <w:t>－</w:t>
      </w:r>
      <w:r>
        <w:rPr>
          <w:rFonts w:hint="eastAsia" w:ascii="宋体" w:hAnsi="宋体" w:cs="宋体"/>
          <w:color w:val="auto"/>
          <w:szCs w:val="21"/>
          <w:highlight w:val="none"/>
        </w:rPr>
        <w:t>电子招投标</w:t>
      </w:r>
      <w:r>
        <w:rPr>
          <w:rFonts w:hint="eastAsia" w:ascii="宋体" w:hAnsi="宋体" w:cs="宋体"/>
          <w:color w:val="auto"/>
          <w:szCs w:val="21"/>
          <w:highlight w:val="none"/>
          <w:lang w:eastAsia="zh-CN"/>
        </w:rPr>
        <w:t>－</w:t>
      </w:r>
      <w:r>
        <w:rPr>
          <w:rFonts w:hint="eastAsia" w:ascii="宋体" w:hAnsi="宋体" w:cs="宋体"/>
          <w:color w:val="auto"/>
          <w:highlight w:val="none"/>
        </w:rPr>
        <w:t>政府采购项目电子交易管理操作指南</w:t>
      </w:r>
      <w:r>
        <w:rPr>
          <w:rFonts w:hint="eastAsia" w:ascii="宋体" w:hAnsi="宋体" w:cs="宋体"/>
          <w:color w:val="auto"/>
          <w:highlight w:val="none"/>
          <w:lang w:eastAsia="zh-CN"/>
        </w:rPr>
        <w:t>－</w:t>
      </w:r>
      <w:r>
        <w:rPr>
          <w:rFonts w:hint="eastAsia" w:ascii="宋体" w:hAnsi="宋体" w:cs="宋体"/>
          <w:color w:val="auto"/>
          <w:highlight w:val="none"/>
        </w:rPr>
        <w:t>供应商</w:t>
      </w:r>
      <w:r>
        <w:rPr>
          <w:rFonts w:hint="eastAsia" w:ascii="宋体" w:hAnsi="宋体" w:cs="宋体"/>
          <w:color w:val="auto"/>
          <w:szCs w:val="21"/>
          <w:highlight w:val="none"/>
        </w:rPr>
        <w:t>”查看电子投标具体操作流程。</w:t>
      </w:r>
    </w:p>
    <w:p w14:paraId="63977032">
      <w:pPr>
        <w:keepNext w:val="0"/>
        <w:keepLines w:val="0"/>
        <w:pageBreakBefore w:val="0"/>
        <w:widowControl/>
        <w:bidi w:val="0"/>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w:t>
      </w:r>
      <w:r>
        <w:rPr>
          <w:rFonts w:hint="eastAsia" w:ascii="宋体" w:hAnsi="宋体" w:cs="宋体"/>
          <w:color w:val="auto"/>
          <w:szCs w:val="21"/>
          <w:highlight w:val="none"/>
          <w:lang w:eastAsia="zh-CN"/>
        </w:rPr>
        <w:t>－</w:t>
      </w:r>
      <w:r>
        <w:rPr>
          <w:rFonts w:hint="eastAsia" w:ascii="宋体" w:hAnsi="宋体" w:cs="宋体"/>
          <w:color w:val="auto"/>
          <w:szCs w:val="21"/>
          <w:highlight w:val="none"/>
        </w:rPr>
        <w:t>下载专区”或者登录广西政府采购云平台，依次进入“服务中心</w:t>
      </w:r>
      <w:r>
        <w:rPr>
          <w:rFonts w:hint="eastAsia" w:ascii="宋体" w:hAnsi="宋体" w:cs="宋体"/>
          <w:color w:val="auto"/>
          <w:szCs w:val="21"/>
          <w:highlight w:val="none"/>
          <w:lang w:eastAsia="zh-CN"/>
        </w:rPr>
        <w:t>－</w:t>
      </w:r>
      <w:r>
        <w:rPr>
          <w:rFonts w:hint="eastAsia" w:ascii="宋体" w:hAnsi="宋体" w:cs="宋体"/>
          <w:color w:val="auto"/>
          <w:szCs w:val="21"/>
          <w:highlight w:val="none"/>
        </w:rPr>
        <w:t>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s="宋体"/>
          <w:color w:val="auto"/>
          <w:szCs w:val="21"/>
          <w:highlight w:val="none"/>
        </w:rPr>
        <w:t>）。</w:t>
      </w:r>
    </w:p>
    <w:p w14:paraId="3B6E870A">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（3）CA证书在线解密：投标人投标时，需凭制作投标文件时用来加密的有效数字证书（CA认证）登录广西政府采购云平台电子开标大厅现场按规定时间对加密的投标文件进行解密，否则后果自负。</w:t>
      </w:r>
    </w:p>
    <w:p w14:paraId="0532988B">
      <w:pPr>
        <w:keepNext w:val="0"/>
        <w:keepLines w:val="0"/>
        <w:pageBreakBefore w:val="0"/>
        <w:widowControl/>
        <w:bidi w:val="0"/>
        <w:spacing w:line="360" w:lineRule="auto"/>
        <w:ind w:firstLine="420"/>
        <w:jc w:val="left"/>
        <w:rPr>
          <w:rFonts w:hint="eastAsia" w:ascii="宋体" w:hAnsi="宋体" w:cs="宋体"/>
          <w:bCs/>
          <w:color w:val="auto"/>
          <w:szCs w:val="21"/>
          <w:highlight w:val="none"/>
        </w:rPr>
      </w:pPr>
      <w:r>
        <w:rPr>
          <w:rFonts w:hint="eastAsia" w:ascii="宋体" w:hAnsi="宋体" w:cs="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6AC73812">
      <w:pPr>
        <w:keepNext w:val="0"/>
        <w:keepLines w:val="0"/>
        <w:pageBreakBefore w:val="0"/>
        <w:bidi w:val="0"/>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bookmarkEnd w:id="37"/>
      <w:bookmarkEnd w:id="38"/>
      <w:bookmarkEnd w:id="39"/>
      <w:bookmarkEnd w:id="40"/>
    </w:p>
    <w:p w14:paraId="2647FC47">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4FB53890">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贵港市中西医结合骨科医院</w:t>
      </w:r>
      <w:r>
        <w:rPr>
          <w:rFonts w:hint="eastAsia" w:ascii="宋体" w:hAnsi="宋体" w:cs="宋体"/>
          <w:color w:val="auto"/>
          <w:szCs w:val="21"/>
          <w:highlight w:val="none"/>
        </w:rPr>
        <w:t>　</w:t>
      </w:r>
    </w:p>
    <w:p w14:paraId="5E600596">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址：贵港市港北区建设路29号 　　</w:t>
      </w:r>
    </w:p>
    <w:p w14:paraId="2EEB7D28">
      <w:pPr>
        <w:keepNext w:val="0"/>
        <w:keepLines w:val="0"/>
        <w:pageBreakBefore w:val="0"/>
        <w:bidi w:val="0"/>
        <w:spacing w:line="36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项目联系人：罗健</w:t>
      </w:r>
    </w:p>
    <w:p w14:paraId="4A6B58BF">
      <w:pPr>
        <w:keepNext w:val="0"/>
        <w:keepLines w:val="0"/>
        <w:pageBreakBefore w:val="0"/>
        <w:bidi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xml:space="preserve">联系方式：0775-4213112 </w:t>
      </w:r>
    </w:p>
    <w:p w14:paraId="2B7ABE97">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53BA143E">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396A1EC9">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0F3CF4CF">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项目联系方式：0775-4565100、4569690</w:t>
      </w:r>
    </w:p>
    <w:p w14:paraId="68DEBECB">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28BBF6E3">
      <w:pPr>
        <w:keepNext w:val="0"/>
        <w:keepLines w:val="0"/>
        <w:pageBreakBefore w:val="0"/>
        <w:bidi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项目联系人：徐律、</w:t>
      </w:r>
      <w:r>
        <w:rPr>
          <w:rFonts w:hint="eastAsia" w:ascii="宋体" w:hAnsi="宋体" w:cs="宋体"/>
          <w:color w:val="auto"/>
          <w:szCs w:val="21"/>
          <w:highlight w:val="none"/>
          <w:lang w:eastAsia="zh-CN"/>
        </w:rPr>
        <w:t>廖喜平</w:t>
      </w:r>
    </w:p>
    <w:p w14:paraId="45B62981">
      <w:pPr>
        <w:keepNext w:val="0"/>
        <w:keepLines w:val="0"/>
        <w:pageBreakBefore w:val="0"/>
        <w:bidi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电　话：0775-4565100、4569690</w:t>
      </w:r>
    </w:p>
    <w:p w14:paraId="1ABB1BE7">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p>
    <w:p w14:paraId="1D63B33B">
      <w:pPr>
        <w:pStyle w:val="192"/>
        <w:ind w:firstLine="883"/>
        <w:jc w:val="center"/>
        <w:rPr>
          <w:rFonts w:hint="eastAsia" w:ascii="宋体" w:hAnsi="宋体" w:cs="宋体"/>
          <w:color w:val="auto"/>
          <w:highlight w:val="none"/>
        </w:rPr>
      </w:pPr>
      <w:bookmarkStart w:id="41" w:name="_Toc32124"/>
      <w:bookmarkStart w:id="42" w:name="_Toc19723"/>
      <w:bookmarkStart w:id="43" w:name="_Toc30513"/>
      <w:bookmarkStart w:id="44" w:name="_Toc24052"/>
      <w:bookmarkStart w:id="45" w:name="_Toc28351"/>
      <w:bookmarkStart w:id="46" w:name="_Toc74320801"/>
      <w:r>
        <w:rPr>
          <w:rFonts w:hint="eastAsia" w:ascii="宋体" w:hAnsi="宋体" w:cs="宋体"/>
          <w:color w:val="auto"/>
          <w:highlight w:val="none"/>
        </w:rPr>
        <w:t>第二章  采购需求</w:t>
      </w:r>
      <w:bookmarkEnd w:id="41"/>
      <w:bookmarkEnd w:id="42"/>
      <w:bookmarkEnd w:id="43"/>
      <w:bookmarkEnd w:id="44"/>
      <w:bookmarkEnd w:id="45"/>
      <w:bookmarkEnd w:id="46"/>
    </w:p>
    <w:p w14:paraId="4DD0855C">
      <w:pPr>
        <w:spacing w:line="360" w:lineRule="auto"/>
        <w:jc w:val="left"/>
        <w:rPr>
          <w:rFonts w:hint="eastAsia" w:ascii="宋体" w:hAnsi="宋体" w:cs="宋体"/>
          <w:color w:val="auto"/>
          <w:szCs w:val="21"/>
          <w:highlight w:val="none"/>
        </w:rPr>
      </w:pPr>
      <w:bookmarkStart w:id="47" w:name="_Toc254970490"/>
      <w:bookmarkStart w:id="48" w:name="_Toc254970631"/>
      <w:r>
        <w:rPr>
          <w:rFonts w:hint="eastAsia" w:ascii="宋体" w:hAnsi="宋体" w:cs="宋体"/>
          <w:color w:val="auto"/>
          <w:szCs w:val="21"/>
          <w:highlight w:val="none"/>
        </w:rPr>
        <w:t>说明：</w:t>
      </w:r>
    </w:p>
    <w:p w14:paraId="7653D23E">
      <w:pPr>
        <w:spacing w:line="360" w:lineRule="auto"/>
        <w:ind w:firstLine="420"/>
        <w:jc w:val="left"/>
        <w:rPr>
          <w:rFonts w:hint="eastAsia" w:ascii="宋体" w:hAnsi="宋体" w:cs="宋体"/>
          <w:color w:val="auto"/>
          <w:szCs w:val="21"/>
          <w:highlight w:val="none"/>
        </w:rPr>
      </w:pPr>
      <w:bookmarkStart w:id="49" w:name="OLE_LINK1"/>
      <w:bookmarkStart w:id="50" w:name="OLE_LINK2"/>
      <w:r>
        <w:rPr>
          <w:rFonts w:hint="eastAsia" w:ascii="宋体" w:hAnsi="宋体" w:eastAsia="宋体" w:cs="宋体"/>
          <w:color w:val="auto"/>
          <w:highlight w:val="none"/>
        </w:rPr>
        <w:t>1. 为落</w:t>
      </w:r>
      <w:r>
        <w:rPr>
          <w:rFonts w:hint="eastAsia"/>
          <w:color w:val="auto"/>
          <w:highlight w:val="none"/>
        </w:rPr>
        <w:t>实政府采购政策需满足的要求</w:t>
      </w:r>
      <w:bookmarkEnd w:id="47"/>
      <w:bookmarkEnd w:id="48"/>
    </w:p>
    <w:p w14:paraId="563BA58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757C0993">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w:t>
      </w:r>
      <w:r>
        <w:rPr>
          <w:rFonts w:hint="eastAsia"/>
          <w:color w:val="auto"/>
          <w:highlight w:val="none"/>
          <w:lang w:val="en-US" w:eastAsia="zh-CN"/>
        </w:rPr>
        <w:t>或扫描件</w:t>
      </w:r>
      <w:r>
        <w:rPr>
          <w:rFonts w:hint="eastAsia" w:ascii="宋体" w:hAnsi="宋体" w:cs="宋体"/>
          <w:color w:val="auto"/>
          <w:szCs w:val="21"/>
          <w:highlight w:val="none"/>
        </w:rPr>
        <w:t>（加盖投标人电子签章），</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。如本项目包含的货物属于品目清单内非标注“★”的产品时，应优先采购，具体详见“第四章 评标方法及评标标准”。</w:t>
      </w:r>
    </w:p>
    <w:p w14:paraId="3A1CE6FB">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80CE500">
      <w:pPr>
        <w:keepNext w:val="0"/>
        <w:keepLines w:val="0"/>
        <w:pageBreakBefore w:val="0"/>
        <w:widowControl w:val="0"/>
        <w:bidi w:val="0"/>
        <w:spacing w:line="336" w:lineRule="auto"/>
        <w:ind w:firstLine="420"/>
        <w:jc w:val="left"/>
        <w:rPr>
          <w:rFonts w:hint="eastAsia"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“实质性要求”是指招标文件中已经指明不满足则投标无效的条款，或者不能负偏离的条款，或者采购需求中带“▲”的条款。</w:t>
      </w:r>
    </w:p>
    <w:p w14:paraId="5DA93858">
      <w:pPr>
        <w:keepNext w:val="0"/>
        <w:keepLines w:val="0"/>
        <w:pageBreakBefore w:val="0"/>
        <w:widowControl w:val="0"/>
        <w:bidi w:val="0"/>
        <w:spacing w:line="336"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3.采购需求中出现的品牌、型号或者生产厂家仅起参考作用，不属于指定品牌、型号或者生产厂家的情形。投标人</w:t>
      </w:r>
      <w:r>
        <w:rPr>
          <w:rFonts w:hint="eastAsia" w:ascii="宋体" w:hAnsi="宋体" w:cs="宋体"/>
          <w:color w:val="auto"/>
          <w:szCs w:val="21"/>
          <w:highlight w:val="none"/>
          <w:lang w:eastAsia="zh-CN"/>
        </w:rPr>
        <w:t>可以</w:t>
      </w:r>
      <w:r>
        <w:rPr>
          <w:rFonts w:hint="eastAsia" w:ascii="宋体" w:hAnsi="宋体" w:cs="宋体"/>
          <w:color w:val="auto"/>
          <w:szCs w:val="21"/>
          <w:highlight w:val="none"/>
        </w:rPr>
        <w:t>参照或者选用其他相当的品牌、型号或者生产厂家替代，但选用的投标产品参数性能必须满足实质性要求。</w:t>
      </w:r>
    </w:p>
    <w:p w14:paraId="3D3116FD">
      <w:pPr>
        <w:keepNext w:val="0"/>
        <w:keepLines w:val="0"/>
        <w:pageBreakBefore w:val="0"/>
        <w:widowControl w:val="0"/>
        <w:bidi w:val="0"/>
        <w:spacing w:line="336" w:lineRule="auto"/>
        <w:ind w:firstLine="422"/>
        <w:jc w:val="left"/>
        <w:rPr>
          <w:rFonts w:hint="eastAsia" w:ascii="宋体" w:hAnsi="宋体" w:cs="宋体"/>
          <w:b/>
          <w:bCs/>
          <w:color w:val="auto"/>
          <w:szCs w:val="21"/>
          <w:highlight w:val="none"/>
        </w:rPr>
      </w:pPr>
      <w:r>
        <w:rPr>
          <w:rFonts w:hint="eastAsia" w:ascii="宋体" w:hAnsi="宋体" w:cs="宋体"/>
          <w:b/>
          <w:bCs/>
          <w:color w:val="auto"/>
          <w:szCs w:val="21"/>
          <w:highlight w:val="none"/>
        </w:rPr>
        <w:t>4.</w:t>
      </w:r>
      <w:bookmarkStart w:id="51" w:name="_Hlk65055179"/>
      <w:r>
        <w:rPr>
          <w:rFonts w:hint="eastAsia" w:ascii="宋体" w:hAnsi="宋体" w:cs="宋体"/>
          <w:b/>
          <w:bCs/>
          <w:color w:val="auto"/>
          <w:szCs w:val="21"/>
          <w:highlight w:val="none"/>
        </w:rPr>
        <w:t xml:space="preserve"> 投标人应根据自身实际情况如实响应招标文件，对招标文件提出的要求和条件作出明确响应，否则将作无效响应处理。</w:t>
      </w:r>
    </w:p>
    <w:p w14:paraId="65168239">
      <w:pPr>
        <w:keepNext w:val="0"/>
        <w:keepLines w:val="0"/>
        <w:pageBreakBefore w:val="0"/>
        <w:widowControl w:val="0"/>
        <w:bidi w:val="0"/>
        <w:spacing w:line="336"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5.投标人必须自行为其投标产品侵犯他人的知识产权或者专利成果的行为承担相应法律责任。</w:t>
      </w:r>
    </w:p>
    <w:p w14:paraId="0A9C7EDD">
      <w:pPr>
        <w:keepNext w:val="0"/>
        <w:keepLines w:val="0"/>
        <w:pageBreakBefore w:val="0"/>
        <w:widowControl w:val="0"/>
        <w:bidi w:val="0"/>
        <w:spacing w:line="336" w:lineRule="auto"/>
        <w:ind w:firstLine="42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6.根据《关于在政府采购活动中对有关美国企业采取相关措施的通知》（财库〔2026〕10号）的规定，供应商提供的产品不得为财库〔2026〕10号文件附件规定的46家美国企业（不包括在华美资企业）生产的产品。</w:t>
      </w:r>
    </w:p>
    <w:p w14:paraId="6C579788">
      <w:pPr>
        <w:spacing w:line="360" w:lineRule="auto"/>
        <w:jc w:val="left"/>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本项目标的所属行业：工业</w:t>
      </w:r>
    </w:p>
    <w:p w14:paraId="5D549F17">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本</w:t>
      </w:r>
      <w:r>
        <w:rPr>
          <w:rFonts w:hint="eastAsia" w:ascii="宋体" w:hAnsi="宋体" w:cs="宋体"/>
          <w:b/>
          <w:color w:val="auto"/>
          <w:szCs w:val="21"/>
          <w:highlight w:val="none"/>
          <w:lang w:val="en-US" w:eastAsia="zh-CN"/>
        </w:rPr>
        <w:t>项目</w:t>
      </w:r>
      <w:r>
        <w:rPr>
          <w:rFonts w:hint="eastAsia" w:ascii="宋体" w:hAnsi="宋体" w:cs="宋体"/>
          <w:b/>
          <w:color w:val="auto"/>
          <w:szCs w:val="21"/>
          <w:highlight w:val="none"/>
        </w:rPr>
        <w:t>的核心产品为下表的第</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rPr>
        <w:t>项产品“X射线计算机断层扫描仪（高端CT）”</w:t>
      </w:r>
      <w:r>
        <w:rPr>
          <w:rFonts w:hint="eastAsia" w:ascii="宋体" w:hAnsi="宋体" w:cs="宋体"/>
          <w:b/>
          <w:color w:val="auto"/>
          <w:szCs w:val="21"/>
          <w:highlight w:val="none"/>
          <w:lang w:eastAsia="zh-CN"/>
        </w:rPr>
        <w:t>。</w:t>
      </w:r>
    </w:p>
    <w:tbl>
      <w:tblPr>
        <w:tblStyle w:val="30"/>
        <w:tblW w:w="96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894"/>
        <w:gridCol w:w="182"/>
        <w:gridCol w:w="657"/>
        <w:gridCol w:w="777"/>
        <w:gridCol w:w="6763"/>
      </w:tblGrid>
      <w:tr w14:paraId="18EA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1B73662C">
            <w:pPr>
              <w:spacing w:line="360" w:lineRule="auto"/>
              <w:jc w:val="left"/>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一、技术条款</w:t>
            </w:r>
          </w:p>
        </w:tc>
      </w:tr>
      <w:tr w14:paraId="030D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2985FFB3">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项号</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5A659908">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标的名称</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4A912C24">
            <w:pPr>
              <w:spacing w:line="360" w:lineRule="auto"/>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数量</w:t>
            </w:r>
            <w:r>
              <w:rPr>
                <w:rFonts w:hint="eastAsia" w:ascii="宋体" w:hAnsi="宋体" w:eastAsia="宋体" w:cs="宋体"/>
                <w:bCs/>
                <w:color w:val="auto"/>
                <w:sz w:val="21"/>
                <w:szCs w:val="21"/>
                <w:highlight w:val="none"/>
                <w:lang w:eastAsia="zh-CN"/>
              </w:rPr>
              <w:t>及单位</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6DC5E7E9">
            <w:pPr>
              <w:spacing w:line="360" w:lineRule="auto"/>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预算</w:t>
            </w:r>
            <w:r>
              <w:rPr>
                <w:rFonts w:hint="eastAsia" w:ascii="宋体" w:hAnsi="宋体" w:eastAsia="宋体" w:cs="宋体"/>
                <w:bCs/>
                <w:color w:val="auto"/>
                <w:sz w:val="21"/>
                <w:szCs w:val="21"/>
                <w:highlight w:val="none"/>
                <w:lang w:eastAsia="zh-CN"/>
              </w:rPr>
              <w:t>单价</w:t>
            </w:r>
          </w:p>
        </w:tc>
        <w:tc>
          <w:tcPr>
            <w:tcW w:w="6763" w:type="dxa"/>
            <w:tcBorders>
              <w:top w:val="single" w:color="auto" w:sz="4" w:space="0"/>
              <w:left w:val="single" w:color="auto" w:sz="4" w:space="0"/>
              <w:bottom w:val="single" w:color="auto" w:sz="4" w:space="0"/>
              <w:right w:val="single" w:color="auto" w:sz="4" w:space="0"/>
            </w:tcBorders>
            <w:noWrap w:val="0"/>
            <w:vAlign w:val="center"/>
          </w:tcPr>
          <w:p w14:paraId="6E09842A">
            <w:pPr>
              <w:spacing w:line="360" w:lineRule="auto"/>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rPr>
              <w:t>技术参数及性能配置要求</w:t>
            </w:r>
          </w:p>
        </w:tc>
      </w:tr>
      <w:tr w14:paraId="560D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noWrap w:val="0"/>
            <w:vAlign w:val="center"/>
          </w:tcPr>
          <w:p w14:paraId="3460C531">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1076" w:type="dxa"/>
            <w:gridSpan w:val="2"/>
            <w:tcBorders>
              <w:top w:val="single" w:color="auto" w:sz="4" w:space="0"/>
              <w:left w:val="single" w:color="auto" w:sz="4" w:space="0"/>
              <w:bottom w:val="single" w:color="auto" w:sz="4" w:space="0"/>
              <w:right w:val="single" w:color="auto" w:sz="4" w:space="0"/>
            </w:tcBorders>
            <w:noWrap w:val="0"/>
            <w:vAlign w:val="center"/>
          </w:tcPr>
          <w:p w14:paraId="43A83F00">
            <w:pPr>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X射线计算机断层扫描仪（高端CT）</w:t>
            </w:r>
          </w:p>
        </w:tc>
        <w:tc>
          <w:tcPr>
            <w:tcW w:w="657" w:type="dxa"/>
            <w:tcBorders>
              <w:top w:val="single" w:color="auto" w:sz="4" w:space="0"/>
              <w:left w:val="single" w:color="auto" w:sz="4" w:space="0"/>
              <w:bottom w:val="single" w:color="auto" w:sz="4" w:space="0"/>
              <w:right w:val="single" w:color="auto" w:sz="4" w:space="0"/>
            </w:tcBorders>
            <w:noWrap w:val="0"/>
            <w:vAlign w:val="center"/>
          </w:tcPr>
          <w:p w14:paraId="72808298">
            <w:pPr>
              <w:spacing w:line="360" w:lineRule="auto"/>
              <w:jc w:val="center"/>
              <w:rPr>
                <w:rFonts w:ascii="宋体" w:hAnsi="宋体" w:eastAsia="宋体" w:cs="宋体"/>
                <w:b w:val="0"/>
                <w:bCs w:val="0"/>
                <w:color w:val="auto"/>
                <w:sz w:val="21"/>
                <w:szCs w:val="21"/>
                <w:highlight w:val="none"/>
                <w:lang w:val="en-US" w:eastAsia="zh-CN"/>
              </w:rPr>
            </w:pPr>
            <w:r>
              <w:rPr>
                <w:rFonts w:hint="eastAsia" w:ascii="宋体" w:hAnsi="宋体" w:cs="宋体"/>
                <w:b w:val="0"/>
                <w:bCs w:val="0"/>
                <w:color w:val="auto"/>
                <w:highlight w:val="none"/>
              </w:rPr>
              <w:t>1套</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737B199D">
            <w:pPr>
              <w:widowControl/>
              <w:spacing w:line="360" w:lineRule="auto"/>
              <w:jc w:val="left"/>
              <w:rPr>
                <w:rFonts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980</w:t>
            </w:r>
            <w:r>
              <w:rPr>
                <w:rFonts w:hint="eastAsia" w:ascii="宋体" w:hAnsi="宋体" w:eastAsia="宋体" w:cs="宋体"/>
                <w:b w:val="0"/>
                <w:bCs w:val="0"/>
                <w:color w:val="auto"/>
                <w:sz w:val="21"/>
                <w:szCs w:val="21"/>
                <w:highlight w:val="none"/>
                <w:lang w:val="en-US" w:eastAsia="zh-CN"/>
              </w:rPr>
              <w:t>万元</w:t>
            </w:r>
          </w:p>
        </w:tc>
        <w:tc>
          <w:tcPr>
            <w:tcW w:w="6763"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54773B8">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一、核心部件要求</w:t>
            </w:r>
          </w:p>
          <w:p w14:paraId="6434E74B">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▲1.设备核心部件（X球管、X线高压发生器、X线探测器）为设备厂商同品牌产品，或设备厂商具备CT核心部件（X球管、X线高压发生器、X线探测器）自主生产能力；</w:t>
            </w:r>
          </w:p>
          <w:p w14:paraId="0A466199">
            <w:pPr>
              <w:spacing w:line="360" w:lineRule="auto"/>
              <w:rPr>
                <w:rFonts w:hint="eastAsia" w:ascii="宋体" w:hAnsi="宋体" w:cs="宋体"/>
                <w:color w:val="auto"/>
                <w:szCs w:val="21"/>
                <w:highlight w:val="none"/>
              </w:rPr>
            </w:pPr>
            <w:r>
              <w:rPr>
                <w:rFonts w:hint="eastAsia" w:ascii="宋体" w:hAnsi="宋体" w:cs="宋体"/>
                <w:b/>
                <w:bCs/>
                <w:color w:val="auto"/>
                <w:szCs w:val="21"/>
                <w:highlight w:val="none"/>
              </w:rPr>
              <w:t>二、技术参数要求</w:t>
            </w:r>
          </w:p>
          <w:p w14:paraId="759D30B9">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▲1.单源单层探测器宽体CT≥256排，非拆机状态下的机架孔径≥80 cm；或者单源双层探测器 CT≥2×128排，非拆机状态下的机架孔径≥80cm；或双源CT≥2×64排，非拆机状态下的机架孔径≥78cm；</w:t>
            </w:r>
          </w:p>
          <w:p w14:paraId="284B4C11">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▲2.高压发生器物理总功率（非等效）</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10</w:t>
            </w:r>
            <w:r>
              <w:rPr>
                <w:rFonts w:hint="eastAsia" w:ascii="宋体" w:hAnsi="宋体" w:cs="宋体"/>
                <w:b/>
                <w:bCs/>
                <w:color w:val="auto"/>
                <w:szCs w:val="21"/>
                <w:highlight w:val="none"/>
                <w:lang w:val="en-US" w:eastAsia="zh-CN"/>
              </w:rPr>
              <w:t>0</w:t>
            </w:r>
            <w:r>
              <w:rPr>
                <w:rFonts w:hint="eastAsia" w:ascii="宋体" w:hAnsi="宋体" w:cs="宋体"/>
                <w:b/>
                <w:bCs/>
                <w:color w:val="auto"/>
                <w:szCs w:val="21"/>
                <w:highlight w:val="none"/>
              </w:rPr>
              <w:t xml:space="preserve"> kW</w:t>
            </w:r>
          </w:p>
          <w:p w14:paraId="42AEBDC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3.球管电压档位≥5档</w:t>
            </w:r>
          </w:p>
          <w:p w14:paraId="7F7C5BC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4.高压发生器最大输出管电压≥140 kV</w:t>
            </w:r>
          </w:p>
          <w:p w14:paraId="55681E6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5.高压发生器最小输出管电压≤70 kV</w:t>
            </w:r>
          </w:p>
          <w:p w14:paraId="77CCD65C">
            <w:pPr>
              <w:spacing w:line="360" w:lineRule="auto"/>
              <w:rPr>
                <w:rFonts w:ascii="宋体" w:hAnsi="宋体" w:cs="宋体"/>
                <w:color w:val="auto"/>
                <w:szCs w:val="21"/>
                <w:highlight w:val="none"/>
              </w:rPr>
            </w:pPr>
            <w:r>
              <w:rPr>
                <w:rFonts w:hint="eastAsia" w:ascii="宋体" w:hAnsi="宋体" w:cs="宋体"/>
                <w:color w:val="auto"/>
                <w:szCs w:val="21"/>
                <w:highlight w:val="none"/>
              </w:rPr>
              <w:t>6.X线球管阳极热容量≥33MHU</w:t>
            </w:r>
          </w:p>
          <w:p w14:paraId="44184C9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7.X线球管阳极最大散热率≥1697 kHU/min</w:t>
            </w:r>
          </w:p>
          <w:p w14:paraId="44E2277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8.X线球管最小焦点尺寸≤0.7×0.7 mm</w:t>
            </w:r>
          </w:p>
          <w:p w14:paraId="2D527F5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9.X线球管最大焦点尺寸≤0.9×1.1 mm</w:t>
            </w:r>
          </w:p>
          <w:p w14:paraId="383A615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10.X线球管最大输出管电流≥1250 mA</w:t>
            </w:r>
          </w:p>
          <w:p w14:paraId="440A58D2">
            <w:pPr>
              <w:spacing w:line="360" w:lineRule="auto"/>
              <w:rPr>
                <w:rFonts w:ascii="宋体" w:hAnsi="宋体" w:cs="宋体"/>
                <w:color w:val="auto"/>
                <w:szCs w:val="21"/>
                <w:highlight w:val="none"/>
              </w:rPr>
            </w:pPr>
            <w:r>
              <w:rPr>
                <w:rFonts w:hint="eastAsia" w:ascii="宋体" w:hAnsi="宋体" w:cs="宋体"/>
                <w:color w:val="auto"/>
                <w:szCs w:val="21"/>
                <w:highlight w:val="none"/>
              </w:rPr>
              <w:t>11.每排探测器物理宽度≤0.6 mm</w:t>
            </w:r>
          </w:p>
          <w:p w14:paraId="6D62AB3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12.数据最大采样率≥4600次/360°</w:t>
            </w:r>
          </w:p>
          <w:p w14:paraId="40D5ED9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13.每360°扫描采集图像层数≥256</w:t>
            </w:r>
          </w:p>
          <w:p w14:paraId="008E2B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14.单源 CT扫描每圈图像重建数≥512/360°；或双源 CT扫描每圈图像重建数≥2×384/360°</w:t>
            </w:r>
          </w:p>
          <w:p w14:paraId="33F3F19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15.扫描机架孔径≥75 cm</w:t>
            </w:r>
          </w:p>
          <w:p w14:paraId="0DDDE48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16.扫描机架内部冷却方式采用水冷或风冷</w:t>
            </w:r>
          </w:p>
          <w:p w14:paraId="470951A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17.扫描机架具备恒温恒湿功能</w:t>
            </w:r>
          </w:p>
          <w:p w14:paraId="02A47E8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18.扫描床最大水平移动速度≥440 mm/s</w:t>
            </w:r>
          </w:p>
          <w:p w14:paraId="643DD94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19.扫描床螺旋扫描单圈Z轴覆盖范围≥120 mm</w:t>
            </w:r>
          </w:p>
          <w:p w14:paraId="4C3074C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20.扫描床最大垂直移床速度≥50 mm/s</w:t>
            </w:r>
          </w:p>
          <w:p w14:paraId="3611574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21.扫描床床面垂直升降最高点≥90cm</w:t>
            </w:r>
          </w:p>
          <w:p w14:paraId="4FD3726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22.扫描床床面垂直升降最低点≤49cm</w:t>
            </w:r>
          </w:p>
          <w:p w14:paraId="6D22F7A2">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▲23.单源CT最快扫描时间/360°(非等效)≤0.27s/360°或双源CT最快扫描时间/360°(非等效)≤0.28s/360°</w:t>
            </w:r>
          </w:p>
          <w:p w14:paraId="2745635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24.物理单扇区时间分辨率（非等效）≤100 ms</w:t>
            </w:r>
          </w:p>
          <w:p w14:paraId="3E81C0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25.最大螺距≥2.0</w:t>
            </w:r>
          </w:p>
          <w:p w14:paraId="1F0897B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26.单次连续螺旋扫描时间≥80 s</w:t>
            </w:r>
          </w:p>
          <w:p w14:paraId="38B3DEE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27.最薄图像扫描层厚≤0.6 mm</w:t>
            </w:r>
          </w:p>
          <w:p w14:paraId="294D671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28.图像重建速度≥65幅/秒</w:t>
            </w:r>
          </w:p>
          <w:p w14:paraId="4803073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29.最薄图像重建层厚≤0.5 mm</w:t>
            </w:r>
          </w:p>
          <w:p w14:paraId="12F294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30.单圈轴扫</w:t>
            </w:r>
            <w:r>
              <w:rPr>
                <w:rFonts w:hint="eastAsia"/>
                <w:color w:val="auto"/>
                <w:highlight w:val="none"/>
              </w:rPr>
              <w:t>或螺旋扫</w:t>
            </w:r>
            <w:r>
              <w:rPr>
                <w:rFonts w:hint="eastAsia" w:ascii="宋体" w:hAnsi="宋体" w:cs="宋体"/>
                <w:color w:val="auto"/>
                <w:szCs w:val="21"/>
                <w:highlight w:val="none"/>
              </w:rPr>
              <w:t>最大Z轴覆盖范围≥12cm</w:t>
            </w:r>
          </w:p>
          <w:p w14:paraId="2F81FB1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31.图像密度分辨率≤5mm@0.3%，且CTDIvol ≤8.0 mGy</w:t>
            </w:r>
          </w:p>
          <w:p w14:paraId="35FDFFF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32.图像X/Y轴空间分辨率 ≥16.4 lp/cm</w:t>
            </w:r>
          </w:p>
          <w:p w14:paraId="2E53159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33.图像Z轴空间分辨率 ≥16.9 lp/cm</w:t>
            </w:r>
          </w:p>
          <w:p w14:paraId="0E4AD15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34.图像最小CT值（非扩展CT值）≤-1000HU，图像最大CT值（非扩展CT值）≥+3000HU</w:t>
            </w:r>
          </w:p>
          <w:p w14:paraId="34C53BA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35.图像最小扩展CT值≤-10000 HU</w:t>
            </w:r>
          </w:p>
          <w:p w14:paraId="4C67982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36.图像最大扩展CT值≥+30000 HU</w:t>
            </w:r>
          </w:p>
          <w:p w14:paraId="1B5D6EF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37.具备快速定位相技术</w:t>
            </w:r>
          </w:p>
          <w:p w14:paraId="7C628E4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38.机架控制面板具备一键式快捷按钮，可实现床位到达指定检查部位的功能。</w:t>
            </w:r>
          </w:p>
          <w:p w14:paraId="51F3D1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39.具备双向交流系统，支持双向语音传输，并且</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可以录制病人呼吸指令。</w:t>
            </w:r>
          </w:p>
          <w:p w14:paraId="0611F39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40.具备拓展FOV功能及范围≥78 cm</w:t>
            </w:r>
          </w:p>
          <w:p w14:paraId="607EA59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41.心脏扫描物理单扇区时间分辨率：≤100 ms</w:t>
            </w:r>
          </w:p>
          <w:p w14:paraId="28AD635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42.心脏扫描物理双扇区时间分辨率：≤40 ms</w:t>
            </w:r>
          </w:p>
          <w:p w14:paraId="2352778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43.机架内置一体化心电监控及心电图显示系统</w:t>
            </w:r>
          </w:p>
          <w:p w14:paraId="132BF74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44.钙化积分扫描kV档数：≥5</w:t>
            </w:r>
          </w:p>
          <w:p w14:paraId="1A584F52">
            <w:pPr>
              <w:spacing w:line="360" w:lineRule="auto"/>
              <w:rPr>
                <w:rFonts w:hint="eastAsia" w:ascii="宋体" w:hAnsi="宋体" w:cs="宋体"/>
                <w:color w:val="auto"/>
                <w:szCs w:val="21"/>
                <w:highlight w:val="none"/>
              </w:rPr>
            </w:pPr>
            <w:r>
              <w:rPr>
                <w:rFonts w:hint="eastAsia" w:ascii="宋体" w:hAnsi="宋体" w:cs="宋体"/>
                <w:b/>
                <w:bCs/>
                <w:color w:val="auto"/>
                <w:szCs w:val="21"/>
                <w:highlight w:val="none"/>
              </w:rPr>
              <w:t>三、功能要求</w:t>
            </w:r>
          </w:p>
          <w:p w14:paraId="57D85DA3">
            <w:pPr>
              <w:spacing w:line="360" w:lineRule="auto"/>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.具备房颤和心律不齐患者心电编辑功能</w:t>
            </w:r>
          </w:p>
          <w:p w14:paraId="7849CFE6">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.具备管电流自动实时调节技术</w:t>
            </w:r>
          </w:p>
          <w:p w14:paraId="4303762A">
            <w:pPr>
              <w:spacing w:line="360" w:lineRule="auto"/>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.具备智能管电压技术，根据定位像自动选择kV</w:t>
            </w:r>
          </w:p>
          <w:p w14:paraId="5537AB25">
            <w:pPr>
              <w:spacing w:line="360" w:lineRule="auto"/>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.具备儿童剂量保护技术</w:t>
            </w:r>
          </w:p>
          <w:p w14:paraId="39A4DEE8">
            <w:pPr>
              <w:spacing w:line="360" w:lineRule="auto"/>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.具备70kV超低剂量扫描功能</w:t>
            </w:r>
          </w:p>
          <w:p w14:paraId="15949EBD">
            <w:pPr>
              <w:spacing w:line="360" w:lineRule="auto"/>
              <w:rPr>
                <w:rFonts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.具备80kV超低剂量扫描功能</w:t>
            </w:r>
          </w:p>
          <w:p w14:paraId="7288CE10">
            <w:pPr>
              <w:spacing w:line="360" w:lineRule="auto"/>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.具备高级重建算法</w:t>
            </w:r>
          </w:p>
          <w:p w14:paraId="050E47B7">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四、配套工作站（1套）</w:t>
            </w:r>
          </w:p>
          <w:p w14:paraId="7E957278">
            <w:pPr>
              <w:spacing w:line="360" w:lineRule="auto"/>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.CT采集工作站运行内存≥64GB，硬盘数据容量≥5TB。</w:t>
            </w:r>
          </w:p>
          <w:p w14:paraId="3C302BC7">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.CT采集工作站图像存储量≥1520000幅（512</w:t>
            </w:r>
            <w:r>
              <w:rPr>
                <w:rFonts w:hint="eastAsia" w:ascii="宋体" w:hAnsi="宋体" w:cs="宋体"/>
                <w:color w:val="auto"/>
                <w:szCs w:val="21"/>
                <w:highlight w:val="none"/>
                <w:lang w:val="en-US" w:eastAsia="zh-CN"/>
              </w:rPr>
              <w:t xml:space="preserve"> </w:t>
            </w:r>
            <w:r>
              <w:rPr>
                <w:rFonts w:ascii="宋体" w:hAnsi="宋体" w:cs="宋体"/>
                <w:color w:val="auto"/>
                <w:szCs w:val="21"/>
                <w:highlight w:val="none"/>
              </w:rPr>
              <w:t>X</w:t>
            </w:r>
            <w:r>
              <w:rPr>
                <w:rFonts w:hint="eastAsia" w:ascii="宋体" w:hAnsi="宋体" w:cs="宋体"/>
                <w:color w:val="auto"/>
                <w:szCs w:val="21"/>
                <w:highlight w:val="none"/>
                <w:lang w:val="en-US" w:eastAsia="zh-CN"/>
              </w:rPr>
              <w:t xml:space="preserve"> </w:t>
            </w:r>
            <w:r>
              <w:rPr>
                <w:rFonts w:ascii="宋体" w:hAnsi="宋体" w:cs="宋体"/>
                <w:color w:val="auto"/>
                <w:szCs w:val="21"/>
                <w:highlight w:val="none"/>
              </w:rPr>
              <w:t>512不压缩）</w:t>
            </w:r>
          </w:p>
          <w:p w14:paraId="04ADBC7F">
            <w:pPr>
              <w:spacing w:line="360" w:lineRule="auto"/>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.CT采集工作站具备图像存档系统（CD-RW或DVD等）</w:t>
            </w:r>
          </w:p>
          <w:p w14:paraId="76B0F600">
            <w:pPr>
              <w:spacing w:line="360" w:lineRule="auto"/>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.CT采集工作站采用医学显示器，尺寸≥19</w:t>
            </w:r>
            <w:r>
              <w:rPr>
                <w:rFonts w:hint="eastAsia" w:ascii="宋体" w:hAnsi="宋体" w:cs="宋体"/>
                <w:color w:val="auto"/>
                <w:szCs w:val="21"/>
                <w:highlight w:val="none"/>
              </w:rPr>
              <w:t>英</w:t>
            </w:r>
            <w:r>
              <w:rPr>
                <w:rFonts w:ascii="宋体" w:hAnsi="宋体" w:cs="宋体"/>
                <w:color w:val="auto"/>
                <w:szCs w:val="21"/>
                <w:highlight w:val="none"/>
              </w:rPr>
              <w:t>寸，分辨率≥1280</w:t>
            </w:r>
            <w:r>
              <w:rPr>
                <w:rFonts w:hint="eastAsia" w:ascii="宋体" w:hAnsi="宋体" w:cs="宋体"/>
                <w:color w:val="auto"/>
                <w:szCs w:val="21"/>
                <w:highlight w:val="none"/>
              </w:rPr>
              <w:t>×</w:t>
            </w:r>
            <w:r>
              <w:rPr>
                <w:rFonts w:ascii="宋体" w:hAnsi="宋体" w:cs="宋体"/>
                <w:color w:val="auto"/>
                <w:szCs w:val="21"/>
                <w:highlight w:val="none"/>
              </w:rPr>
              <w:t>1024。</w:t>
            </w:r>
          </w:p>
          <w:p w14:paraId="31F1EC68">
            <w:pPr>
              <w:spacing w:line="360" w:lineRule="auto"/>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.CT采集工作站具备DICOM3.0接口、USB3.0外设接口。</w:t>
            </w:r>
          </w:p>
          <w:p w14:paraId="519F161A">
            <w:pPr>
              <w:spacing w:line="360" w:lineRule="auto"/>
              <w:rPr>
                <w:rFonts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.CT后处理工作站运行内存≥64GB，硬盘容量≥1.5 TB，显示器尺寸≥23.8</w:t>
            </w:r>
            <w:r>
              <w:rPr>
                <w:rFonts w:hint="eastAsia" w:ascii="宋体" w:hAnsi="宋体" w:cs="宋体"/>
                <w:color w:val="auto"/>
                <w:szCs w:val="21"/>
                <w:highlight w:val="none"/>
              </w:rPr>
              <w:t>英</w:t>
            </w:r>
            <w:r>
              <w:rPr>
                <w:rFonts w:ascii="宋体" w:hAnsi="宋体" w:cs="宋体"/>
                <w:color w:val="auto"/>
                <w:szCs w:val="21"/>
                <w:highlight w:val="none"/>
              </w:rPr>
              <w:t>寸。</w:t>
            </w:r>
          </w:p>
          <w:p w14:paraId="4C978DA9">
            <w:pPr>
              <w:spacing w:line="360" w:lineRule="auto"/>
              <w:rPr>
                <w:rFonts w:hint="eastAsia" w:ascii="宋体" w:hAnsi="宋体" w:cs="宋体"/>
                <w:color w:val="auto"/>
                <w:szCs w:val="21"/>
                <w:highlight w:val="none"/>
              </w:rPr>
            </w:pPr>
            <w:r>
              <w:rPr>
                <w:rFonts w:hint="eastAsia" w:ascii="宋体" w:hAnsi="宋体" w:cs="宋体"/>
                <w:b/>
                <w:bCs/>
                <w:color w:val="auto"/>
                <w:szCs w:val="21"/>
                <w:highlight w:val="none"/>
              </w:rPr>
              <w:t>五、其他配备功能要求</w:t>
            </w:r>
          </w:p>
          <w:p w14:paraId="467F7F99">
            <w:pPr>
              <w:spacing w:line="360" w:lineRule="auto"/>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.具备实时多平面重建MPR功能。</w:t>
            </w:r>
          </w:p>
          <w:p w14:paraId="1A9FF1F2">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.具备三维重建功能。</w:t>
            </w:r>
          </w:p>
          <w:p w14:paraId="355DA6CC">
            <w:pPr>
              <w:spacing w:line="360" w:lineRule="auto"/>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.具备容积渲染成像功能。</w:t>
            </w:r>
          </w:p>
          <w:p w14:paraId="1F758E10">
            <w:pPr>
              <w:spacing w:line="360" w:lineRule="auto"/>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.具备透明显示功能。</w:t>
            </w:r>
          </w:p>
          <w:p w14:paraId="16523B96">
            <w:pPr>
              <w:spacing w:line="360" w:lineRule="auto"/>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.具备最大及最小密度投影功能。</w:t>
            </w:r>
          </w:p>
          <w:p w14:paraId="65FFCD39">
            <w:pPr>
              <w:spacing w:line="360" w:lineRule="auto"/>
              <w:rPr>
                <w:rFonts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具备电影功能。</w:t>
            </w:r>
          </w:p>
          <w:p w14:paraId="43B6EE33">
            <w:pPr>
              <w:spacing w:line="360" w:lineRule="auto"/>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.具备三维容积测量评估功能。</w:t>
            </w:r>
          </w:p>
          <w:p w14:paraId="2541AA40">
            <w:pPr>
              <w:spacing w:line="360" w:lineRule="auto"/>
              <w:rPr>
                <w:rFonts w:ascii="宋体" w:hAnsi="宋体" w:cs="宋体"/>
                <w:color w:val="auto"/>
                <w:szCs w:val="21"/>
                <w:highlight w:val="none"/>
              </w:rPr>
            </w:pPr>
            <w:r>
              <w:rPr>
                <w:rFonts w:hint="eastAsia" w:ascii="宋体" w:hAnsi="宋体" w:cs="宋体"/>
                <w:color w:val="auto"/>
                <w:szCs w:val="21"/>
                <w:highlight w:val="none"/>
              </w:rPr>
              <w:t>8</w:t>
            </w:r>
            <w:r>
              <w:rPr>
                <w:rFonts w:ascii="宋体" w:hAnsi="宋体" w:cs="宋体"/>
                <w:color w:val="auto"/>
                <w:szCs w:val="21"/>
                <w:highlight w:val="none"/>
              </w:rPr>
              <w:t>.具备血管分析功能。</w:t>
            </w:r>
          </w:p>
          <w:p w14:paraId="2085552A">
            <w:pPr>
              <w:spacing w:line="360" w:lineRule="auto"/>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.具备心脏分析功能。</w:t>
            </w:r>
          </w:p>
          <w:p w14:paraId="3D33CE9F">
            <w:pPr>
              <w:spacing w:line="360" w:lineRule="auto"/>
              <w:rPr>
                <w:rFonts w:ascii="宋体" w:hAnsi="宋体" w:cs="宋体"/>
                <w:color w:val="auto"/>
                <w:szCs w:val="21"/>
                <w:highlight w:val="none"/>
              </w:rPr>
            </w:pPr>
            <w:r>
              <w:rPr>
                <w:rFonts w:hint="eastAsia" w:ascii="宋体" w:hAnsi="宋体" w:cs="宋体"/>
                <w:color w:val="auto"/>
                <w:szCs w:val="21"/>
                <w:highlight w:val="none"/>
              </w:rPr>
              <w:t>10</w:t>
            </w:r>
            <w:r>
              <w:rPr>
                <w:rFonts w:ascii="宋体" w:hAnsi="宋体" w:cs="宋体"/>
                <w:color w:val="auto"/>
                <w:szCs w:val="21"/>
                <w:highlight w:val="none"/>
              </w:rPr>
              <w:t>.具备冠状动脉钙化分析功能。</w:t>
            </w:r>
          </w:p>
          <w:p w14:paraId="42C2D075">
            <w:pPr>
              <w:spacing w:line="360" w:lineRule="auto"/>
              <w:rPr>
                <w:rFonts w:ascii="宋体" w:hAnsi="宋体" w:cs="宋体"/>
                <w:color w:val="auto"/>
                <w:szCs w:val="21"/>
                <w:highlight w:val="none"/>
              </w:rPr>
            </w:pPr>
            <w:r>
              <w:rPr>
                <w:rFonts w:hint="eastAsia" w:ascii="宋体" w:hAnsi="宋体" w:cs="宋体"/>
                <w:color w:val="auto"/>
                <w:szCs w:val="21"/>
                <w:highlight w:val="none"/>
              </w:rPr>
              <w:t>11</w:t>
            </w:r>
            <w:r>
              <w:rPr>
                <w:rFonts w:ascii="宋体" w:hAnsi="宋体" w:cs="宋体"/>
                <w:color w:val="auto"/>
                <w:szCs w:val="21"/>
                <w:highlight w:val="none"/>
              </w:rPr>
              <w:t>.具备冠脉血管基本评分功能。</w:t>
            </w:r>
          </w:p>
          <w:p w14:paraId="360AB0C2">
            <w:pPr>
              <w:spacing w:line="360" w:lineRule="auto"/>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.具备冠状动脉血管分析功能。</w:t>
            </w:r>
          </w:p>
          <w:p w14:paraId="7416DD7D">
            <w:pPr>
              <w:spacing w:line="360" w:lineRule="auto"/>
              <w:rPr>
                <w:rFonts w:ascii="宋体" w:hAnsi="宋体" w:cs="宋体"/>
                <w:color w:val="auto"/>
                <w:szCs w:val="21"/>
                <w:highlight w:val="none"/>
              </w:rPr>
            </w:pPr>
            <w:r>
              <w:rPr>
                <w:rFonts w:hint="eastAsia" w:ascii="宋体" w:hAnsi="宋体" w:cs="宋体"/>
                <w:color w:val="auto"/>
                <w:szCs w:val="21"/>
                <w:highlight w:val="none"/>
              </w:rPr>
              <w:t>13</w:t>
            </w:r>
            <w:r>
              <w:rPr>
                <w:rFonts w:ascii="宋体" w:hAnsi="宋体" w:cs="宋体"/>
                <w:color w:val="auto"/>
                <w:szCs w:val="21"/>
                <w:highlight w:val="none"/>
              </w:rPr>
              <w:t>.具备心脏分离功能。</w:t>
            </w:r>
          </w:p>
          <w:p w14:paraId="4E3CE6EF">
            <w:pPr>
              <w:spacing w:line="360" w:lineRule="auto"/>
              <w:rPr>
                <w:rFonts w:ascii="宋体" w:hAnsi="宋体" w:cs="宋体"/>
                <w:color w:val="auto"/>
                <w:szCs w:val="21"/>
                <w:highlight w:val="none"/>
              </w:rPr>
            </w:pPr>
            <w:r>
              <w:rPr>
                <w:rFonts w:hint="eastAsia" w:ascii="宋体" w:hAnsi="宋体" w:cs="宋体"/>
                <w:color w:val="auto"/>
                <w:szCs w:val="21"/>
                <w:highlight w:val="none"/>
              </w:rPr>
              <w:t>14</w:t>
            </w:r>
            <w:r>
              <w:rPr>
                <w:rFonts w:ascii="宋体" w:hAnsi="宋体" w:cs="宋体"/>
                <w:color w:val="auto"/>
                <w:szCs w:val="21"/>
                <w:highlight w:val="none"/>
              </w:rPr>
              <w:t>.具备心脏血池自动去除功能。</w:t>
            </w:r>
          </w:p>
          <w:p w14:paraId="7B22671B">
            <w:pPr>
              <w:spacing w:line="360" w:lineRule="auto"/>
              <w:rPr>
                <w:rFonts w:ascii="宋体" w:hAnsi="宋体" w:cs="宋体"/>
                <w:color w:val="auto"/>
                <w:szCs w:val="21"/>
                <w:highlight w:val="none"/>
              </w:rPr>
            </w:pPr>
            <w:r>
              <w:rPr>
                <w:rFonts w:hint="eastAsia" w:ascii="宋体" w:hAnsi="宋体" w:cs="宋体"/>
                <w:color w:val="auto"/>
                <w:szCs w:val="21"/>
                <w:highlight w:val="none"/>
              </w:rPr>
              <w:t>15</w:t>
            </w:r>
            <w:r>
              <w:rPr>
                <w:rFonts w:ascii="宋体" w:hAnsi="宋体" w:cs="宋体"/>
                <w:color w:val="auto"/>
                <w:szCs w:val="21"/>
                <w:highlight w:val="none"/>
              </w:rPr>
              <w:t>.具备冠脉束一键自动提取功能。</w:t>
            </w:r>
          </w:p>
          <w:p w14:paraId="7817812E">
            <w:pPr>
              <w:spacing w:line="360" w:lineRule="auto"/>
              <w:rPr>
                <w:rFonts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.具备各枝冠状动脉自动探查命名功能。</w:t>
            </w:r>
          </w:p>
          <w:p w14:paraId="25E56111">
            <w:pPr>
              <w:spacing w:line="360" w:lineRule="auto"/>
              <w:rPr>
                <w:rFonts w:ascii="宋体" w:hAnsi="宋体" w:cs="宋体"/>
                <w:color w:val="auto"/>
                <w:szCs w:val="21"/>
                <w:highlight w:val="none"/>
              </w:rPr>
            </w:pPr>
            <w:r>
              <w:rPr>
                <w:rFonts w:hint="eastAsia" w:ascii="宋体" w:hAnsi="宋体" w:cs="宋体"/>
                <w:color w:val="auto"/>
                <w:szCs w:val="21"/>
                <w:highlight w:val="none"/>
              </w:rPr>
              <w:t>17</w:t>
            </w:r>
            <w:r>
              <w:rPr>
                <w:rFonts w:ascii="宋体" w:hAnsi="宋体" w:cs="宋体"/>
                <w:color w:val="auto"/>
                <w:szCs w:val="21"/>
                <w:highlight w:val="none"/>
              </w:rPr>
              <w:t>.具备自动显示各枝冠状动脉CPR图像。</w:t>
            </w:r>
          </w:p>
          <w:p w14:paraId="0F2995CD">
            <w:pPr>
              <w:spacing w:line="360" w:lineRule="auto"/>
              <w:rPr>
                <w:rFonts w:ascii="宋体" w:hAnsi="宋体" w:cs="宋体"/>
                <w:color w:val="auto"/>
                <w:szCs w:val="21"/>
                <w:highlight w:val="none"/>
              </w:rPr>
            </w:pPr>
            <w:r>
              <w:rPr>
                <w:rFonts w:hint="eastAsia" w:ascii="宋体" w:hAnsi="宋体" w:cs="宋体"/>
                <w:color w:val="auto"/>
                <w:szCs w:val="21"/>
                <w:highlight w:val="none"/>
              </w:rPr>
              <w:t>18</w:t>
            </w:r>
            <w:r>
              <w:rPr>
                <w:rFonts w:ascii="宋体" w:hAnsi="宋体" w:cs="宋体"/>
                <w:color w:val="auto"/>
                <w:szCs w:val="21"/>
                <w:highlight w:val="none"/>
              </w:rPr>
              <w:t>.具备心功能分析功能，包括收缩舒张末期容积，射血分数，动态心壁运动观察与评估。</w:t>
            </w:r>
          </w:p>
          <w:p w14:paraId="335A5410">
            <w:pPr>
              <w:spacing w:line="360" w:lineRule="auto"/>
              <w:rPr>
                <w:rFonts w:ascii="宋体" w:hAns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.具备自动计算生成心脏时间容积曲线。</w:t>
            </w:r>
          </w:p>
          <w:p w14:paraId="6DC4A28D">
            <w:pPr>
              <w:spacing w:line="360" w:lineRule="auto"/>
              <w:rPr>
                <w:rFonts w:ascii="宋体" w:hAnsi="宋体" w:cs="宋体"/>
                <w:color w:val="auto"/>
                <w:szCs w:val="21"/>
                <w:highlight w:val="none"/>
              </w:rPr>
            </w:pPr>
            <w:r>
              <w:rPr>
                <w:rFonts w:hint="eastAsia" w:ascii="宋体" w:hAnsi="宋体" w:cs="宋体"/>
                <w:color w:val="auto"/>
                <w:szCs w:val="21"/>
                <w:highlight w:val="none"/>
              </w:rPr>
              <w:t>20</w:t>
            </w:r>
            <w:r>
              <w:rPr>
                <w:rFonts w:ascii="宋体" w:hAnsi="宋体" w:cs="宋体"/>
                <w:color w:val="auto"/>
                <w:szCs w:val="21"/>
                <w:highlight w:val="none"/>
              </w:rPr>
              <w:t>.具备每博输出量评估功能。</w:t>
            </w:r>
          </w:p>
          <w:p w14:paraId="10DAEEF0">
            <w:pPr>
              <w:spacing w:line="360" w:lineRule="auto"/>
              <w:rPr>
                <w:rFonts w:ascii="宋体" w:hAnsi="宋体" w:cs="宋体"/>
                <w:color w:val="auto"/>
                <w:szCs w:val="21"/>
                <w:highlight w:val="none"/>
              </w:rPr>
            </w:pPr>
            <w:r>
              <w:rPr>
                <w:rFonts w:hint="eastAsia" w:ascii="宋体" w:hAnsi="宋体" w:cs="宋体"/>
                <w:color w:val="auto"/>
                <w:szCs w:val="21"/>
                <w:highlight w:val="none"/>
              </w:rPr>
              <w:t>21</w:t>
            </w:r>
            <w:r>
              <w:rPr>
                <w:rFonts w:ascii="宋体" w:hAnsi="宋体" w:cs="宋体"/>
                <w:color w:val="auto"/>
                <w:szCs w:val="21"/>
                <w:highlight w:val="none"/>
              </w:rPr>
              <w:t>.具备射血分数评估功能。</w:t>
            </w:r>
          </w:p>
          <w:p w14:paraId="16AE2111">
            <w:pPr>
              <w:spacing w:line="360" w:lineRule="auto"/>
              <w:rPr>
                <w:rFonts w:ascii="宋体" w:hAnsi="宋体" w:cs="宋体"/>
                <w:color w:val="auto"/>
                <w:szCs w:val="21"/>
                <w:highlight w:val="none"/>
              </w:rPr>
            </w:pPr>
            <w:r>
              <w:rPr>
                <w:rFonts w:hint="eastAsia" w:ascii="宋体" w:hAnsi="宋体" w:cs="宋体"/>
                <w:color w:val="auto"/>
                <w:szCs w:val="21"/>
                <w:highlight w:val="none"/>
              </w:rPr>
              <w:t>22</w:t>
            </w:r>
            <w:r>
              <w:rPr>
                <w:rFonts w:ascii="宋体" w:hAnsi="宋体" w:cs="宋体"/>
                <w:color w:val="auto"/>
                <w:szCs w:val="21"/>
                <w:highlight w:val="none"/>
              </w:rPr>
              <w:t>.具备去除检查床功能。</w:t>
            </w:r>
          </w:p>
          <w:p w14:paraId="41B5043C">
            <w:pPr>
              <w:spacing w:line="360" w:lineRule="auto"/>
              <w:rPr>
                <w:rFonts w:ascii="宋体" w:hAnsi="宋体" w:cs="宋体"/>
                <w:color w:val="auto"/>
                <w:szCs w:val="21"/>
                <w:highlight w:val="none"/>
              </w:rPr>
            </w:pPr>
            <w:r>
              <w:rPr>
                <w:rFonts w:hint="eastAsia" w:ascii="宋体" w:hAnsi="宋体" w:cs="宋体"/>
                <w:color w:val="auto"/>
                <w:szCs w:val="21"/>
                <w:highlight w:val="none"/>
              </w:rPr>
              <w:t>23</w:t>
            </w:r>
            <w:r>
              <w:rPr>
                <w:rFonts w:ascii="宋体" w:hAnsi="宋体" w:cs="宋体"/>
                <w:color w:val="auto"/>
                <w:szCs w:val="21"/>
                <w:highlight w:val="none"/>
              </w:rPr>
              <w:t>.具备去除骨功能。</w:t>
            </w:r>
          </w:p>
          <w:p w14:paraId="326C95E5">
            <w:pPr>
              <w:spacing w:line="360" w:lineRule="auto"/>
              <w:rPr>
                <w:rFonts w:ascii="宋体" w:hAnsi="宋体" w:cs="宋体"/>
                <w:color w:val="auto"/>
                <w:szCs w:val="21"/>
                <w:highlight w:val="none"/>
              </w:rPr>
            </w:pPr>
            <w:r>
              <w:rPr>
                <w:rFonts w:hint="eastAsia" w:ascii="宋体" w:hAnsi="宋体" w:cs="宋体"/>
                <w:color w:val="auto"/>
                <w:szCs w:val="21"/>
                <w:highlight w:val="none"/>
              </w:rPr>
              <w:t>24</w:t>
            </w:r>
            <w:r>
              <w:rPr>
                <w:rFonts w:ascii="宋体" w:hAnsi="宋体" w:cs="宋体"/>
                <w:color w:val="auto"/>
                <w:szCs w:val="21"/>
                <w:highlight w:val="none"/>
              </w:rPr>
              <w:t>.具备神经灌注功能。</w:t>
            </w:r>
          </w:p>
          <w:p w14:paraId="0BFB95F3">
            <w:pPr>
              <w:spacing w:line="360" w:lineRule="auto"/>
              <w:rPr>
                <w:rFonts w:ascii="宋体" w:hAnsi="宋体" w:cs="宋体"/>
                <w:color w:val="auto"/>
                <w:szCs w:val="21"/>
                <w:highlight w:val="none"/>
              </w:rPr>
            </w:pPr>
            <w:r>
              <w:rPr>
                <w:rFonts w:hint="eastAsia" w:ascii="宋体" w:hAnsi="宋体" w:cs="宋体"/>
                <w:color w:val="auto"/>
                <w:szCs w:val="21"/>
                <w:highlight w:val="none"/>
              </w:rPr>
              <w:t>25</w:t>
            </w:r>
            <w:r>
              <w:rPr>
                <w:rFonts w:ascii="宋体" w:hAnsi="宋体" w:cs="宋体"/>
                <w:color w:val="auto"/>
                <w:szCs w:val="21"/>
                <w:highlight w:val="none"/>
              </w:rPr>
              <w:t>.具备神经血管减影功能。</w:t>
            </w:r>
          </w:p>
          <w:p w14:paraId="5099040F">
            <w:pPr>
              <w:spacing w:line="360" w:lineRule="auto"/>
              <w:rPr>
                <w:rFonts w:ascii="宋体" w:hAnsi="宋体" w:cs="宋体"/>
                <w:color w:val="auto"/>
                <w:szCs w:val="21"/>
                <w:highlight w:val="none"/>
              </w:rPr>
            </w:pPr>
            <w:r>
              <w:rPr>
                <w:rFonts w:hint="eastAsia" w:ascii="宋体" w:hAnsi="宋体" w:cs="宋体"/>
                <w:color w:val="auto"/>
                <w:szCs w:val="21"/>
                <w:highlight w:val="none"/>
              </w:rPr>
              <w:t>26</w:t>
            </w:r>
            <w:r>
              <w:rPr>
                <w:rFonts w:ascii="宋体" w:hAnsi="宋体" w:cs="宋体"/>
                <w:color w:val="auto"/>
                <w:szCs w:val="21"/>
                <w:highlight w:val="none"/>
              </w:rPr>
              <w:t>.具备结肠分析功能。</w:t>
            </w:r>
          </w:p>
          <w:p w14:paraId="3E04B290">
            <w:pPr>
              <w:spacing w:line="360" w:lineRule="auto"/>
              <w:rPr>
                <w:rFonts w:ascii="宋体" w:hAnsi="宋体" w:cs="宋体"/>
                <w:color w:val="auto"/>
                <w:szCs w:val="21"/>
                <w:highlight w:val="none"/>
              </w:rPr>
            </w:pPr>
            <w:r>
              <w:rPr>
                <w:rFonts w:hint="eastAsia" w:ascii="宋体" w:hAnsi="宋体" w:cs="宋体"/>
                <w:color w:val="auto"/>
                <w:szCs w:val="21"/>
                <w:highlight w:val="none"/>
              </w:rPr>
              <w:t>27</w:t>
            </w:r>
            <w:r>
              <w:rPr>
                <w:rFonts w:ascii="宋体" w:hAnsi="宋体" w:cs="宋体"/>
                <w:color w:val="auto"/>
                <w:szCs w:val="21"/>
                <w:highlight w:val="none"/>
              </w:rPr>
              <w:t>.具备VRT重建功能。</w:t>
            </w:r>
          </w:p>
          <w:p w14:paraId="6EDE82C8">
            <w:pPr>
              <w:spacing w:line="360" w:lineRule="auto"/>
              <w:rPr>
                <w:rFonts w:ascii="宋体" w:hAnsi="宋体" w:cs="宋体"/>
                <w:color w:val="auto"/>
                <w:szCs w:val="21"/>
                <w:highlight w:val="none"/>
              </w:rPr>
            </w:pPr>
            <w:r>
              <w:rPr>
                <w:rFonts w:hint="eastAsia" w:ascii="宋体" w:hAnsi="宋体" w:cs="宋体"/>
                <w:color w:val="auto"/>
                <w:szCs w:val="21"/>
                <w:highlight w:val="none"/>
              </w:rPr>
              <w:t>28</w:t>
            </w:r>
            <w:r>
              <w:rPr>
                <w:rFonts w:ascii="宋体" w:hAnsi="宋体" w:cs="宋体"/>
                <w:color w:val="auto"/>
                <w:szCs w:val="21"/>
                <w:highlight w:val="none"/>
              </w:rPr>
              <w:t>.具备全模型迭代重建架构。</w:t>
            </w:r>
          </w:p>
          <w:p w14:paraId="74FABC07">
            <w:pPr>
              <w:spacing w:line="360" w:lineRule="auto"/>
              <w:rPr>
                <w:rFonts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.具备冠脉运动伪影校正功能。</w:t>
            </w:r>
          </w:p>
          <w:p w14:paraId="5E06B23C">
            <w:pPr>
              <w:spacing w:line="360" w:lineRule="auto"/>
              <w:rPr>
                <w:rFonts w:ascii="宋体" w:hAnsi="宋体" w:cs="宋体"/>
                <w:color w:val="auto"/>
                <w:szCs w:val="21"/>
                <w:highlight w:val="none"/>
              </w:rPr>
            </w:pPr>
            <w:r>
              <w:rPr>
                <w:rFonts w:hint="eastAsia" w:ascii="宋体" w:hAnsi="宋体" w:cs="宋体"/>
                <w:color w:val="auto"/>
                <w:szCs w:val="21"/>
                <w:highlight w:val="none"/>
              </w:rPr>
              <w:t>30</w:t>
            </w:r>
            <w:r>
              <w:rPr>
                <w:rFonts w:ascii="宋体" w:hAnsi="宋体" w:cs="宋体"/>
                <w:color w:val="auto"/>
                <w:szCs w:val="21"/>
                <w:highlight w:val="none"/>
              </w:rPr>
              <w:t>.具备头部运动校正功能。</w:t>
            </w:r>
          </w:p>
          <w:p w14:paraId="12E9A51F">
            <w:pPr>
              <w:spacing w:line="360" w:lineRule="auto"/>
              <w:rPr>
                <w:rFonts w:ascii="宋体" w:hAnsi="宋体" w:cs="宋体"/>
                <w:color w:val="auto"/>
                <w:szCs w:val="21"/>
                <w:highlight w:val="none"/>
              </w:rPr>
            </w:pPr>
            <w:r>
              <w:rPr>
                <w:rFonts w:hint="eastAsia" w:ascii="宋体" w:hAnsi="宋体" w:cs="宋体"/>
                <w:color w:val="auto"/>
                <w:szCs w:val="21"/>
                <w:highlight w:val="none"/>
              </w:rPr>
              <w:t>31</w:t>
            </w:r>
            <w:r>
              <w:rPr>
                <w:rFonts w:ascii="宋体" w:hAnsi="宋体" w:cs="宋体"/>
                <w:color w:val="auto"/>
                <w:szCs w:val="21"/>
                <w:highlight w:val="none"/>
              </w:rPr>
              <w:t>.使用螺旋扫描图像进行图像减影时，可通过将X射线管的轨道相对于每次螺旋扫描中的床运动相匹配，稳定螺旋扫描中的CT值。</w:t>
            </w:r>
          </w:p>
          <w:p w14:paraId="54F91952">
            <w:pPr>
              <w:spacing w:line="360" w:lineRule="auto"/>
              <w:rPr>
                <w:rFonts w:ascii="宋体" w:hAnsi="宋体" w:cs="宋体"/>
                <w:color w:val="auto"/>
                <w:szCs w:val="21"/>
                <w:highlight w:val="none"/>
              </w:rPr>
            </w:pPr>
            <w:r>
              <w:rPr>
                <w:rFonts w:hint="eastAsia" w:ascii="宋体" w:hAnsi="宋体" w:cs="宋体"/>
                <w:color w:val="auto"/>
                <w:szCs w:val="21"/>
                <w:highlight w:val="none"/>
              </w:rPr>
              <w:t>32</w:t>
            </w:r>
            <w:r>
              <w:rPr>
                <w:rFonts w:ascii="宋体" w:hAnsi="宋体" w:cs="宋体"/>
                <w:color w:val="auto"/>
                <w:szCs w:val="21"/>
                <w:highlight w:val="none"/>
              </w:rPr>
              <w:t>.可在一次连续扫描中使用三个不同的螺距连续采集，如在心血管及腹部大血管大范围扫描中，可使用心电门控小螺距进行心脏扫描后，再准确无误地切换到腹部大血管大</w:t>
            </w:r>
            <w:r>
              <w:rPr>
                <w:rFonts w:hint="eastAsia" w:ascii="宋体" w:hAnsi="宋体" w:cs="宋体"/>
                <w:color w:val="auto"/>
                <w:szCs w:val="21"/>
                <w:highlight w:val="none"/>
                <w:lang w:eastAsia="zh-CN"/>
              </w:rPr>
              <w:t>范围</w:t>
            </w:r>
            <w:r>
              <w:rPr>
                <w:rFonts w:ascii="宋体" w:hAnsi="宋体" w:cs="宋体"/>
                <w:color w:val="auto"/>
                <w:szCs w:val="21"/>
                <w:highlight w:val="none"/>
              </w:rPr>
              <w:t>扫描。两个扫描部位仅需注射一次对比剂。</w:t>
            </w:r>
          </w:p>
          <w:p w14:paraId="60F78BB8">
            <w:pPr>
              <w:spacing w:line="360" w:lineRule="auto"/>
              <w:rPr>
                <w:rFonts w:ascii="宋体" w:hAnsi="宋体" w:cs="宋体"/>
                <w:color w:val="auto"/>
                <w:szCs w:val="21"/>
                <w:highlight w:val="none"/>
              </w:rPr>
            </w:pPr>
            <w:r>
              <w:rPr>
                <w:rFonts w:hint="eastAsia" w:ascii="宋体" w:hAnsi="宋体" w:cs="宋体"/>
                <w:color w:val="auto"/>
                <w:szCs w:val="21"/>
                <w:highlight w:val="none"/>
              </w:rPr>
              <w:t>33</w:t>
            </w:r>
            <w:r>
              <w:rPr>
                <w:rFonts w:ascii="宋体" w:hAnsi="宋体" w:cs="宋体"/>
                <w:color w:val="auto"/>
                <w:szCs w:val="21"/>
                <w:highlight w:val="none"/>
              </w:rPr>
              <w:t>.具备任意心率/心律情况下，心脏与全身联合扫描功能。</w:t>
            </w:r>
          </w:p>
          <w:p w14:paraId="07165462">
            <w:pPr>
              <w:spacing w:line="360" w:lineRule="auto"/>
              <w:rPr>
                <w:rFonts w:ascii="宋体" w:hAnsi="宋体" w:cs="宋体"/>
                <w:color w:val="auto"/>
                <w:szCs w:val="21"/>
                <w:highlight w:val="none"/>
              </w:rPr>
            </w:pPr>
            <w:r>
              <w:rPr>
                <w:rFonts w:hint="eastAsia" w:ascii="宋体" w:hAnsi="宋体" w:cs="宋体"/>
                <w:color w:val="auto"/>
                <w:szCs w:val="21"/>
                <w:highlight w:val="none"/>
              </w:rPr>
              <w:t>34</w:t>
            </w:r>
            <w:r>
              <w:rPr>
                <w:rFonts w:ascii="宋体" w:hAnsi="宋体" w:cs="宋体"/>
                <w:color w:val="auto"/>
                <w:szCs w:val="21"/>
                <w:highlight w:val="none"/>
              </w:rPr>
              <w:t>.自由呼吸下，可进行心脏冠脉扫描。</w:t>
            </w:r>
          </w:p>
          <w:p w14:paraId="1E7C5597">
            <w:pPr>
              <w:spacing w:line="360" w:lineRule="auto"/>
              <w:rPr>
                <w:rFonts w:ascii="宋体" w:hAnsi="宋体" w:cs="宋体"/>
                <w:color w:val="auto"/>
                <w:szCs w:val="21"/>
                <w:highlight w:val="none"/>
              </w:rPr>
            </w:pPr>
            <w:r>
              <w:rPr>
                <w:rFonts w:hint="eastAsia" w:ascii="宋体" w:hAnsi="宋体" w:cs="宋体"/>
                <w:color w:val="auto"/>
                <w:szCs w:val="21"/>
                <w:highlight w:val="none"/>
              </w:rPr>
              <w:t>35</w:t>
            </w:r>
            <w:r>
              <w:rPr>
                <w:rFonts w:ascii="宋体" w:hAnsi="宋体" w:cs="宋体"/>
                <w:color w:val="auto"/>
                <w:szCs w:val="21"/>
                <w:highlight w:val="none"/>
              </w:rPr>
              <w:t>.具备全自动血管量化分析功能，分析数据至少含概：血管长度、管腔最大/最小直径、管腔最大/最小截面面积等</w:t>
            </w:r>
            <w:r>
              <w:rPr>
                <w:rFonts w:hint="eastAsia" w:ascii="宋体" w:hAnsi="宋体" w:cs="宋体"/>
                <w:color w:val="auto"/>
                <w:szCs w:val="21"/>
                <w:highlight w:val="none"/>
              </w:rPr>
              <w:t>。</w:t>
            </w:r>
          </w:p>
          <w:p w14:paraId="5B269A91">
            <w:pPr>
              <w:spacing w:line="360" w:lineRule="auto"/>
              <w:rPr>
                <w:rFonts w:ascii="宋体" w:hAnsi="宋体" w:cs="宋体"/>
                <w:color w:val="auto"/>
                <w:szCs w:val="21"/>
                <w:highlight w:val="none"/>
              </w:rPr>
            </w:pPr>
            <w:r>
              <w:rPr>
                <w:rFonts w:hint="eastAsia" w:ascii="宋体" w:hAnsi="宋体" w:cs="宋体"/>
                <w:color w:val="auto"/>
                <w:szCs w:val="21"/>
                <w:highlight w:val="none"/>
              </w:rPr>
              <w:t>36</w:t>
            </w:r>
            <w:r>
              <w:rPr>
                <w:rFonts w:ascii="宋体" w:hAnsi="宋体" w:cs="宋体"/>
                <w:color w:val="auto"/>
                <w:szCs w:val="21"/>
                <w:highlight w:val="none"/>
              </w:rPr>
              <w:t>.具备去金属伪影功能</w:t>
            </w:r>
            <w:r>
              <w:rPr>
                <w:rFonts w:hint="eastAsia" w:ascii="宋体" w:hAnsi="宋体" w:cs="宋体"/>
                <w:color w:val="auto"/>
                <w:szCs w:val="21"/>
                <w:highlight w:val="none"/>
              </w:rPr>
              <w:t>。</w:t>
            </w:r>
          </w:p>
          <w:p w14:paraId="00A31275">
            <w:pPr>
              <w:spacing w:line="360" w:lineRule="auto"/>
              <w:rPr>
                <w:rFonts w:ascii="宋体" w:hAnsi="宋体" w:cs="宋体"/>
                <w:color w:val="auto"/>
                <w:szCs w:val="21"/>
                <w:highlight w:val="none"/>
              </w:rPr>
            </w:pPr>
            <w:r>
              <w:rPr>
                <w:rFonts w:hint="eastAsia" w:ascii="宋体" w:hAnsi="宋体" w:cs="宋体"/>
                <w:color w:val="auto"/>
                <w:szCs w:val="21"/>
                <w:highlight w:val="none"/>
              </w:rPr>
              <w:t>37</w:t>
            </w:r>
            <w:r>
              <w:rPr>
                <w:rFonts w:ascii="宋体" w:hAnsi="宋体" w:cs="宋体"/>
                <w:color w:val="auto"/>
                <w:szCs w:val="21"/>
                <w:highlight w:val="none"/>
              </w:rPr>
              <w:t>.具备能谱功能</w:t>
            </w:r>
            <w:r>
              <w:rPr>
                <w:rFonts w:hint="eastAsia" w:ascii="宋体" w:hAnsi="宋体" w:cs="宋体"/>
                <w:color w:val="auto"/>
                <w:szCs w:val="21"/>
                <w:highlight w:val="none"/>
              </w:rPr>
              <w:t>。</w:t>
            </w:r>
          </w:p>
          <w:p w14:paraId="617311C4">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六、配置要求</w:t>
            </w:r>
          </w:p>
          <w:p w14:paraId="66D4856D">
            <w:pPr>
              <w:spacing w:line="360" w:lineRule="auto"/>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QCT</w:t>
            </w:r>
            <w:r>
              <w:rPr>
                <w:rFonts w:hint="eastAsia" w:ascii="宋体" w:hAnsi="宋体" w:cs="宋体"/>
                <w:color w:val="auto"/>
                <w:szCs w:val="21"/>
                <w:highlight w:val="none"/>
                <w:lang w:eastAsia="zh-CN"/>
              </w:rPr>
              <w:t>（定量计算机断层扫描）</w:t>
            </w:r>
            <w:r>
              <w:rPr>
                <w:rFonts w:ascii="宋体" w:hAnsi="宋体" w:cs="宋体"/>
                <w:color w:val="auto"/>
                <w:szCs w:val="21"/>
                <w:highlight w:val="none"/>
              </w:rPr>
              <w:t>一套</w:t>
            </w:r>
            <w:r>
              <w:rPr>
                <w:rFonts w:hint="eastAsia" w:ascii="宋体" w:hAnsi="宋体" w:cs="宋体"/>
                <w:color w:val="auto"/>
                <w:szCs w:val="21"/>
                <w:highlight w:val="none"/>
              </w:rPr>
              <w:t>；</w:t>
            </w:r>
          </w:p>
          <w:p w14:paraId="7209FC1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非门控钙化积分人工智能辅助诊断系统一套</w:t>
            </w:r>
            <w:r>
              <w:rPr>
                <w:rFonts w:hint="eastAsia" w:ascii="宋体" w:hAnsi="宋体" w:cs="宋体"/>
                <w:color w:val="auto"/>
                <w:szCs w:val="21"/>
                <w:highlight w:val="none"/>
              </w:rPr>
              <w:t>；</w:t>
            </w:r>
          </w:p>
          <w:p w14:paraId="3991531E">
            <w:pPr>
              <w:spacing w:line="360" w:lineRule="auto"/>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高压注射系统一套</w:t>
            </w:r>
            <w:r>
              <w:rPr>
                <w:rFonts w:hint="eastAsia" w:ascii="宋体" w:hAnsi="宋体" w:cs="宋体"/>
                <w:color w:val="auto"/>
                <w:szCs w:val="21"/>
                <w:highlight w:val="none"/>
              </w:rPr>
              <w:t>；</w:t>
            </w:r>
          </w:p>
          <w:p w14:paraId="3DF51FAB">
            <w:pPr>
              <w:spacing w:line="360" w:lineRule="auto"/>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防护用品：包含铅橡胶性腺防护围裙（方形）或方巾</w:t>
            </w:r>
            <w:r>
              <w:rPr>
                <w:rFonts w:hint="eastAsia" w:ascii="宋体" w:hAnsi="宋体" w:cs="宋体"/>
                <w:color w:val="auto"/>
                <w:szCs w:val="21"/>
                <w:highlight w:val="none"/>
                <w:lang w:val="en-US" w:eastAsia="zh-CN"/>
              </w:rPr>
              <w:t>×2块</w:t>
            </w:r>
            <w:r>
              <w:rPr>
                <w:rFonts w:ascii="宋体" w:hAnsi="宋体" w:cs="宋体"/>
                <w:color w:val="auto"/>
                <w:szCs w:val="21"/>
                <w:highlight w:val="none"/>
              </w:rPr>
              <w:t>、铅橡胶颈套</w:t>
            </w:r>
            <w:r>
              <w:rPr>
                <w:rFonts w:hint="eastAsia" w:ascii="宋体" w:hAnsi="宋体" w:cs="宋体"/>
                <w:color w:val="auto"/>
                <w:szCs w:val="21"/>
                <w:highlight w:val="none"/>
                <w:lang w:val="en-US" w:eastAsia="zh-CN"/>
              </w:rPr>
              <w:t>×2套</w:t>
            </w:r>
            <w:r>
              <w:rPr>
                <w:rFonts w:ascii="宋体" w:hAnsi="宋体" w:cs="宋体"/>
                <w:color w:val="auto"/>
                <w:szCs w:val="21"/>
                <w:highlight w:val="none"/>
              </w:rPr>
              <w:t>、铅橡胶帽子</w:t>
            </w:r>
            <w:r>
              <w:rPr>
                <w:rFonts w:hint="eastAsia" w:ascii="宋体" w:hAnsi="宋体" w:cs="宋体"/>
                <w:color w:val="auto"/>
                <w:szCs w:val="21"/>
                <w:highlight w:val="none"/>
                <w:lang w:val="en-US" w:eastAsia="zh-CN"/>
              </w:rPr>
              <w:t>×2个</w:t>
            </w:r>
            <w:r>
              <w:rPr>
                <w:rFonts w:ascii="宋体" w:hAnsi="宋体" w:cs="宋体"/>
                <w:color w:val="auto"/>
                <w:szCs w:val="21"/>
                <w:highlight w:val="none"/>
              </w:rPr>
              <w:t>、铅围裙</w:t>
            </w:r>
            <w:r>
              <w:rPr>
                <w:rFonts w:hint="eastAsia" w:ascii="宋体" w:hAnsi="宋体" w:cs="宋体"/>
                <w:color w:val="auto"/>
                <w:szCs w:val="21"/>
                <w:highlight w:val="none"/>
                <w:lang w:val="en-US" w:eastAsia="zh-CN"/>
              </w:rPr>
              <w:t>×2套</w:t>
            </w:r>
            <w:r>
              <w:rPr>
                <w:rFonts w:ascii="宋体" w:hAnsi="宋体" w:cs="宋体"/>
                <w:color w:val="auto"/>
                <w:szCs w:val="21"/>
                <w:highlight w:val="none"/>
              </w:rPr>
              <w:t>（方形，桶装，可包裹</w:t>
            </w:r>
            <w:r>
              <w:rPr>
                <w:rFonts w:hint="eastAsia" w:ascii="宋体" w:hAnsi="宋体" w:cs="宋体"/>
                <w:color w:val="auto"/>
                <w:szCs w:val="21"/>
                <w:highlight w:val="none"/>
                <w:lang w:val="en-US" w:eastAsia="zh-CN"/>
              </w:rPr>
              <w:t>1张</w:t>
            </w:r>
            <w:r>
              <w:rPr>
                <w:rFonts w:ascii="宋体" w:hAnsi="宋体" w:cs="宋体"/>
                <w:color w:val="auto"/>
                <w:szCs w:val="21"/>
                <w:highlight w:val="none"/>
              </w:rPr>
              <w:t>），铅防护马甲</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成人、儿童各1套</w:t>
            </w:r>
            <w:r>
              <w:rPr>
                <w:rFonts w:hint="eastAsia" w:ascii="宋体" w:hAnsi="宋体" w:cs="宋体"/>
                <w:color w:val="auto"/>
                <w:szCs w:val="21"/>
                <w:highlight w:val="none"/>
                <w:lang w:eastAsia="zh-CN"/>
              </w:rPr>
              <w:t>）</w:t>
            </w:r>
            <w:r>
              <w:rPr>
                <w:rFonts w:ascii="宋体" w:hAnsi="宋体" w:cs="宋体"/>
                <w:color w:val="auto"/>
                <w:szCs w:val="21"/>
                <w:highlight w:val="none"/>
              </w:rPr>
              <w:t>、铅眼镜</w:t>
            </w:r>
            <w:r>
              <w:rPr>
                <w:rFonts w:hint="eastAsia" w:ascii="宋体" w:hAnsi="宋体" w:cs="宋体"/>
                <w:color w:val="auto"/>
                <w:szCs w:val="21"/>
                <w:highlight w:val="none"/>
                <w:lang w:val="en-US" w:eastAsia="zh-CN"/>
              </w:rPr>
              <w:t>×2副</w:t>
            </w:r>
            <w:r>
              <w:rPr>
                <w:rFonts w:hint="eastAsia" w:ascii="宋体" w:hAnsi="宋体" w:cs="宋体"/>
                <w:color w:val="auto"/>
                <w:szCs w:val="21"/>
                <w:highlight w:val="none"/>
              </w:rPr>
              <w:t>、铅衣架</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p>
          <w:p w14:paraId="03605574">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.提供CT</w:t>
            </w:r>
            <w:r>
              <w:rPr>
                <w:rFonts w:hint="eastAsia" w:ascii="宋体" w:hAnsi="宋体" w:cs="宋体"/>
                <w:color w:val="auto"/>
                <w:szCs w:val="21"/>
                <w:highlight w:val="none"/>
                <w:lang w:val="en-US" w:eastAsia="zh-CN"/>
              </w:rPr>
              <w:t>专用操作台</w:t>
            </w:r>
            <w:r>
              <w:rPr>
                <w:rFonts w:hint="eastAsia" w:ascii="宋体" w:hAnsi="宋体" w:cs="宋体"/>
                <w:color w:val="auto"/>
                <w:szCs w:val="21"/>
                <w:highlight w:val="none"/>
              </w:rPr>
              <w:t>（满足主操作台及后处理同时使用）</w:t>
            </w:r>
          </w:p>
          <w:p w14:paraId="7081753B">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.提供除湿机2台（分别满足35平米空间使用）。</w:t>
            </w:r>
          </w:p>
          <w:p w14:paraId="70C25222">
            <w:pPr>
              <w:spacing w:line="360" w:lineRule="auto"/>
              <w:rPr>
                <w:rFonts w:hint="eastAsia" w:ascii="Times New Roman" w:hAnsi="Times New Roman" w:eastAsia="宋体" w:cs="Times New Roman"/>
                <w:color w:val="auto"/>
                <w:sz w:val="21"/>
                <w:szCs w:val="24"/>
                <w:highlight w:val="none"/>
                <w:lang w:val="en-US" w:eastAsia="zh-CN" w:bidi="ar-SA"/>
              </w:rPr>
            </w:pPr>
            <w:r>
              <w:rPr>
                <w:rFonts w:hint="eastAsia" w:ascii="仿宋" w:hAnsi="仿宋" w:eastAsia="仿宋" w:cs="仿宋"/>
                <w:b/>
                <w:bCs/>
                <w:color w:val="auto"/>
                <w:highlight w:val="none"/>
              </w:rPr>
              <w:t>▲</w:t>
            </w:r>
            <w:r>
              <w:rPr>
                <w:rFonts w:hint="eastAsia" w:ascii="仿宋" w:hAnsi="仿宋" w:eastAsia="仿宋" w:cs="仿宋"/>
                <w:b/>
                <w:bCs/>
                <w:color w:val="auto"/>
                <w:highlight w:val="none"/>
                <w:lang w:val="en-US" w:eastAsia="zh-CN"/>
              </w:rPr>
              <w:t>7.</w:t>
            </w:r>
            <w:r>
              <w:rPr>
                <w:rFonts w:hint="eastAsia" w:ascii="宋体" w:hAnsi="宋体" w:cs="宋体"/>
                <w:b/>
                <w:bCs/>
                <w:color w:val="auto"/>
                <w:szCs w:val="21"/>
                <w:highlight w:val="none"/>
                <w:lang w:val="en-US" w:eastAsia="zh-CN"/>
              </w:rPr>
              <w:t>供应商负责</w:t>
            </w:r>
            <w:r>
              <w:rPr>
                <w:rFonts w:hint="eastAsia" w:ascii="宋体" w:hAnsi="宋体" w:cs="宋体"/>
                <w:b/>
                <w:bCs/>
                <w:color w:val="auto"/>
                <w:szCs w:val="21"/>
                <w:highlight w:val="none"/>
              </w:rPr>
              <w:t>机房改造</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必须</w:t>
            </w:r>
            <w:r>
              <w:rPr>
                <w:rFonts w:ascii="宋体" w:hAnsi="宋体" w:cs="宋体"/>
                <w:b/>
                <w:bCs/>
                <w:color w:val="auto"/>
                <w:szCs w:val="21"/>
                <w:highlight w:val="none"/>
              </w:rPr>
              <w:t>确保设备能如期竣工验收使用</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在</w:t>
            </w:r>
            <w:r>
              <w:rPr>
                <w:rFonts w:hint="eastAsia" w:ascii="宋体" w:hAnsi="宋体" w:cs="宋体"/>
                <w:b/>
                <w:bCs/>
                <w:color w:val="auto"/>
                <w:szCs w:val="21"/>
                <w:highlight w:val="none"/>
                <w:lang w:val="en-US" w:eastAsia="zh-CN"/>
              </w:rPr>
              <w:t>采购人</w:t>
            </w:r>
            <w:r>
              <w:rPr>
                <w:rFonts w:ascii="宋体" w:hAnsi="宋体" w:cs="宋体"/>
                <w:b/>
                <w:bCs/>
                <w:color w:val="auto"/>
                <w:szCs w:val="21"/>
                <w:highlight w:val="none"/>
              </w:rPr>
              <w:t>现有16排CT室基础上移动墙体</w:t>
            </w:r>
            <w:r>
              <w:rPr>
                <w:rFonts w:hint="eastAsia" w:ascii="宋体" w:hAnsi="宋体" w:cs="宋体"/>
                <w:b/>
                <w:bCs/>
                <w:color w:val="auto"/>
                <w:szCs w:val="21"/>
                <w:highlight w:val="none"/>
              </w:rPr>
              <w:t>；</w:t>
            </w:r>
            <w:r>
              <w:rPr>
                <w:rFonts w:ascii="宋体" w:hAnsi="宋体" w:cs="宋体"/>
                <w:b/>
                <w:bCs/>
                <w:color w:val="auto"/>
                <w:szCs w:val="21"/>
                <w:highlight w:val="none"/>
              </w:rPr>
              <w:t>防护改造</w:t>
            </w:r>
            <w:r>
              <w:rPr>
                <w:rFonts w:hint="eastAsia" w:ascii="宋体" w:hAnsi="宋体" w:cs="宋体"/>
                <w:b/>
                <w:bCs/>
                <w:color w:val="auto"/>
                <w:szCs w:val="21"/>
                <w:highlight w:val="none"/>
              </w:rPr>
              <w:t>（包括防护材料粉刷墙体、更换防护门把锁扣、更换防护大门电机部分及相应摇控器）；移动配电柜；重新安装</w:t>
            </w:r>
            <w:r>
              <w:rPr>
                <w:rFonts w:ascii="宋体" w:hAnsi="宋体" w:cs="宋体"/>
                <w:b/>
                <w:bCs/>
                <w:color w:val="auto"/>
                <w:szCs w:val="21"/>
                <w:highlight w:val="none"/>
              </w:rPr>
              <w:t>吊顶、照明、</w:t>
            </w:r>
            <w:r>
              <w:rPr>
                <w:rFonts w:hint="eastAsia" w:ascii="宋体" w:hAnsi="宋体" w:cs="宋体"/>
                <w:b/>
                <w:bCs/>
                <w:color w:val="auto"/>
                <w:szCs w:val="21"/>
                <w:highlight w:val="none"/>
              </w:rPr>
              <w:t>调整电线网络线路及开关等</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扫描室及设备室重新粉刷墙漆、贴地砖等。</w:t>
            </w:r>
          </w:p>
        </w:tc>
      </w:tr>
      <w:tr w14:paraId="6181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78A2152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二、商务条款</w:t>
            </w:r>
          </w:p>
        </w:tc>
      </w:tr>
      <w:tr w14:paraId="563E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60D7A49D">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25CF50B6">
            <w:pPr>
              <w:bidi w:val="0"/>
              <w:spacing w:line="360" w:lineRule="auto"/>
              <w:ind w:firstLine="422"/>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的总报价应该包括：货物、货物标准附件、备品备件、机房装修、装修设计</w:t>
            </w:r>
            <w:r>
              <w:rPr>
                <w:rFonts w:hint="eastAsia" w:ascii="宋体" w:hAnsi="宋体" w:eastAsia="宋体" w:cs="宋体"/>
                <w:b/>
                <w:bCs/>
                <w:color w:val="auto"/>
                <w:sz w:val="21"/>
                <w:szCs w:val="21"/>
                <w:highlight w:val="none"/>
                <w:lang w:eastAsia="zh-CN"/>
              </w:rPr>
              <w:t>费、</w:t>
            </w:r>
            <w:r>
              <w:rPr>
                <w:rFonts w:hint="eastAsia" w:ascii="宋体" w:hAnsi="宋体" w:eastAsia="宋体" w:cs="宋体"/>
                <w:b/>
                <w:bCs/>
                <w:color w:val="auto"/>
                <w:sz w:val="21"/>
                <w:szCs w:val="21"/>
                <w:highlight w:val="none"/>
              </w:rPr>
              <w:t>环评、预评、控评、线缆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专用工具、设备安装辅材、施工辅材、包装、运输、装卸、保险、货到就位的各种费用、税金、售后服务、技术培训、验收及其他所有费用。</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须自行考虑完成项目所需的全部内容产生的所有费用</w:t>
            </w:r>
            <w:r>
              <w:rPr>
                <w:rFonts w:hint="eastAsia" w:ascii="宋体" w:hAnsi="宋体" w:eastAsia="宋体" w:cs="宋体"/>
                <w:b/>
                <w:bCs/>
                <w:color w:val="auto"/>
                <w:sz w:val="21"/>
                <w:szCs w:val="21"/>
                <w:highlight w:val="none"/>
                <w:lang w:eastAsia="zh-CN"/>
              </w:rPr>
              <w:t>，在</w:t>
            </w:r>
            <w:r>
              <w:rPr>
                <w:rFonts w:hint="eastAsia" w:ascii="宋体" w:hAnsi="宋体" w:eastAsia="宋体" w:cs="宋体"/>
                <w:b/>
                <w:bCs/>
                <w:color w:val="auto"/>
                <w:sz w:val="21"/>
                <w:szCs w:val="21"/>
                <w:highlight w:val="none"/>
              </w:rPr>
              <w:t>合同实施阶段，采购人不再支付任何费用。</w:t>
            </w:r>
          </w:p>
        </w:tc>
      </w:tr>
      <w:tr w14:paraId="6A3D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0EF149C4">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▲合同签订时间</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6680E451">
            <w:pPr>
              <w:bidi w:val="0"/>
              <w:spacing w:line="360" w:lineRule="auto"/>
              <w:ind w:firstLine="422"/>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自中标通知书发出之日</w:t>
            </w:r>
            <w:r>
              <w:rPr>
                <w:rFonts w:hint="eastAsia" w:ascii="宋体" w:hAnsi="宋体" w:eastAsia="宋体" w:cs="宋体"/>
                <w:b/>
                <w:bCs/>
                <w:color w:val="auto"/>
                <w:sz w:val="21"/>
                <w:szCs w:val="21"/>
                <w:highlight w:val="none"/>
                <w:lang w:eastAsia="zh-CN"/>
              </w:rPr>
              <w:t>起</w:t>
            </w:r>
            <w:r>
              <w:rPr>
                <w:rFonts w:hint="eastAsia" w:ascii="宋体" w:hAnsi="宋体" w:eastAsia="宋体" w:cs="宋体"/>
                <w:b/>
                <w:bCs/>
                <w:color w:val="auto"/>
                <w:sz w:val="21"/>
                <w:szCs w:val="21"/>
                <w:highlight w:val="none"/>
              </w:rPr>
              <w:t>25日内与采购人签订合同。</w:t>
            </w:r>
            <w:r>
              <w:rPr>
                <w:rFonts w:hint="eastAsia" w:ascii="宋体" w:hAnsi="宋体" w:eastAsia="宋体" w:cs="宋体"/>
                <w:b/>
                <w:bCs/>
                <w:color w:val="auto"/>
                <w:sz w:val="21"/>
                <w:szCs w:val="21"/>
                <w:highlight w:val="none"/>
                <w:lang w:eastAsia="zh-CN"/>
              </w:rPr>
              <w:t>（如因不可抗力原因延迟签订合同的，自不可抗力事由消除之日起5个工作日内完成合同签订事宜。）</w:t>
            </w:r>
          </w:p>
        </w:tc>
      </w:tr>
      <w:tr w14:paraId="1F18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0C089384">
            <w:pPr>
              <w:spacing w:line="360" w:lineRule="auto"/>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rPr>
              <w:t>▲交付（实施）的时间（期限）和地点（范围）</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EF9E496">
            <w:pPr>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交付（实施）的时间（期限）：</w:t>
            </w:r>
            <w:r>
              <w:rPr>
                <w:rFonts w:hint="eastAsia" w:ascii="宋体" w:hAnsi="宋体" w:eastAsia="宋体" w:cs="宋体"/>
                <w:b/>
                <w:bCs/>
                <w:color w:val="auto"/>
                <w:sz w:val="21"/>
                <w:szCs w:val="21"/>
                <w:highlight w:val="none"/>
                <w:lang w:eastAsia="zh-CN"/>
              </w:rPr>
              <w:t>自签订合同之日起</w:t>
            </w:r>
            <w:r>
              <w:rPr>
                <w:rFonts w:hint="eastAsia" w:ascii="宋体" w:hAnsi="宋体" w:cs="宋体"/>
                <w:b/>
                <w:bCs/>
                <w:color w:val="auto"/>
                <w:sz w:val="21"/>
                <w:szCs w:val="21"/>
                <w:highlight w:val="none"/>
                <w:lang w:val="en-US" w:eastAsia="zh-CN"/>
              </w:rPr>
              <w:t>90</w:t>
            </w:r>
            <w:r>
              <w:rPr>
                <w:rFonts w:hint="eastAsia" w:ascii="宋体" w:hAnsi="宋体" w:eastAsia="宋体" w:cs="宋体"/>
                <w:b/>
                <w:bCs/>
                <w:color w:val="auto"/>
                <w:sz w:val="21"/>
                <w:szCs w:val="21"/>
                <w:highlight w:val="none"/>
                <w:lang w:val="en-US" w:eastAsia="zh-CN"/>
              </w:rPr>
              <w:t>个</w:t>
            </w:r>
            <w:r>
              <w:rPr>
                <w:rFonts w:hint="eastAsia" w:ascii="宋体" w:hAnsi="宋体" w:eastAsia="宋体" w:cs="宋体"/>
                <w:b/>
                <w:bCs/>
                <w:color w:val="auto"/>
                <w:sz w:val="21"/>
                <w:szCs w:val="21"/>
                <w:highlight w:val="none"/>
                <w:lang w:eastAsia="zh-CN"/>
              </w:rPr>
              <w:t>日历日内安装调试完毕</w:t>
            </w:r>
            <w:r>
              <w:rPr>
                <w:rFonts w:hint="eastAsia" w:ascii="宋体" w:hAnsi="宋体" w:eastAsia="宋体" w:cs="宋体"/>
                <w:b/>
                <w:bCs/>
                <w:color w:val="auto"/>
                <w:sz w:val="21"/>
                <w:szCs w:val="21"/>
                <w:highlight w:val="none"/>
              </w:rPr>
              <w:t>。</w:t>
            </w:r>
          </w:p>
          <w:p w14:paraId="0542F6D6">
            <w:pPr>
              <w:bidi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rPr>
              <w:t>交付（实施）的地点（范围）：贵港市港北区建设路29号贵港市中西医结合骨科医院一楼。</w:t>
            </w:r>
            <w:r>
              <w:rPr>
                <w:rFonts w:hint="eastAsia" w:ascii="宋体" w:hAnsi="宋体" w:eastAsia="宋体" w:cs="宋体"/>
                <w:b/>
                <w:bCs/>
                <w:color w:val="auto"/>
                <w:sz w:val="21"/>
                <w:szCs w:val="21"/>
                <w:highlight w:val="none"/>
                <w:u w:val="single"/>
                <w:lang w:eastAsia="zh-CN"/>
              </w:rPr>
              <w:t>（供应商</w:t>
            </w:r>
            <w:r>
              <w:rPr>
                <w:rFonts w:hint="eastAsia" w:ascii="宋体" w:hAnsi="宋体" w:eastAsia="宋体" w:cs="宋体"/>
                <w:b/>
                <w:bCs/>
                <w:color w:val="auto"/>
                <w:sz w:val="21"/>
                <w:szCs w:val="21"/>
                <w:highlight w:val="none"/>
                <w:u w:val="single"/>
              </w:rPr>
              <w:t>如需现场</w:t>
            </w:r>
            <w:r>
              <w:rPr>
                <w:rFonts w:hint="eastAsia" w:ascii="宋体" w:hAnsi="宋体" w:eastAsia="宋体" w:cs="宋体"/>
                <w:b/>
                <w:bCs/>
                <w:color w:val="auto"/>
                <w:sz w:val="21"/>
                <w:szCs w:val="21"/>
                <w:highlight w:val="none"/>
                <w:u w:val="single"/>
                <w:lang w:eastAsia="zh-CN"/>
              </w:rPr>
              <w:t>踏勘</w:t>
            </w:r>
            <w:r>
              <w:rPr>
                <w:rFonts w:hint="eastAsia" w:ascii="宋体" w:hAnsi="宋体" w:eastAsia="宋体" w:cs="宋体"/>
                <w:b/>
                <w:bCs/>
                <w:color w:val="auto"/>
                <w:sz w:val="21"/>
                <w:szCs w:val="21"/>
                <w:highlight w:val="none"/>
                <w:u w:val="single"/>
              </w:rPr>
              <w:t>可自行前往项目交付地点了解相关情况</w:t>
            </w:r>
            <w:r>
              <w:rPr>
                <w:rFonts w:hint="eastAsia" w:ascii="宋体" w:hAnsi="宋体" w:eastAsia="宋体" w:cs="宋体"/>
                <w:b/>
                <w:bCs/>
                <w:color w:val="auto"/>
                <w:sz w:val="21"/>
                <w:szCs w:val="21"/>
                <w:highlight w:val="none"/>
                <w:u w:val="single"/>
                <w:lang w:eastAsia="zh-CN"/>
              </w:rPr>
              <w:t>，前往时请联系港市中西医结合骨科医院采购办，罗健，0775-4213112）</w:t>
            </w:r>
          </w:p>
        </w:tc>
      </w:tr>
      <w:tr w14:paraId="0011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956AEAF">
            <w:pPr>
              <w:spacing w:line="360" w:lineRule="auto"/>
              <w:rPr>
                <w:rFonts w:hint="eastAsia" w:ascii="宋体" w:hAnsi="宋体" w:eastAsia="宋体" w:cs="宋体"/>
                <w:bCs/>
                <w:color w:val="auto"/>
                <w:sz w:val="21"/>
                <w:szCs w:val="21"/>
                <w:highlight w:val="none"/>
                <w:lang w:bidi="ar"/>
              </w:rPr>
            </w:pPr>
            <w:r>
              <w:rPr>
                <w:rFonts w:hint="eastAsia" w:ascii="宋体" w:hAnsi="宋体" w:eastAsia="宋体" w:cs="宋体"/>
                <w:b/>
                <w:bCs/>
                <w:color w:val="auto"/>
                <w:sz w:val="21"/>
                <w:szCs w:val="21"/>
                <w:highlight w:val="none"/>
              </w:rPr>
              <w:t>▲付款方式（进度和方式）</w:t>
            </w:r>
          </w:p>
        </w:tc>
        <w:tc>
          <w:tcPr>
            <w:tcW w:w="8379"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4C81D2A8">
            <w:pPr>
              <w:spacing w:line="360" w:lineRule="auto"/>
              <w:rPr>
                <w:rFonts w:hint="eastAsia"/>
                <w:b/>
                <w:bCs/>
                <w:color w:val="auto"/>
                <w:sz w:val="21"/>
                <w:szCs w:val="24"/>
                <w:highlight w:val="none"/>
                <w:lang w:val="en-US" w:eastAsia="zh-CN" w:bidi="ar-SA"/>
              </w:rPr>
            </w:pPr>
            <w:r>
              <w:rPr>
                <w:rFonts w:hint="eastAsia"/>
                <w:b/>
                <w:bCs/>
                <w:color w:val="auto"/>
                <w:sz w:val="21"/>
                <w:szCs w:val="24"/>
                <w:highlight w:val="none"/>
                <w:lang w:val="en-US" w:eastAsia="zh-CN" w:bidi="ar-SA"/>
              </w:rPr>
              <w:t xml:space="preserve">（一）中标供应商为中小型或微型企业的： 在合同生效后10个工作日内，采购人支付中标供应商合同总价款的30%作为预付款。中标供应商应在申请预付款时向采购人提供等额的预付款保函（有效期至验收合格日）或对应金额的合法有效发票。签订合同时，如中标供应商明确表示无需预付款或者主动要求降低预付款比例，采购人可不支付预付款或降低预付款比例。 在全部货物安装调试完毕且通过最终验收合格并提交完整的资料及对应金额的合法有效发票后60日内，采购人支付至合同总价款的100%。 </w:t>
            </w:r>
          </w:p>
          <w:p w14:paraId="40D02643">
            <w:pPr>
              <w:spacing w:line="360" w:lineRule="auto"/>
              <w:rPr>
                <w:rFonts w:hint="eastAsia"/>
                <w:b/>
                <w:bCs/>
                <w:color w:val="auto"/>
                <w:sz w:val="21"/>
                <w:szCs w:val="24"/>
                <w:highlight w:val="none"/>
                <w:lang w:val="en-US" w:eastAsia="zh-CN" w:bidi="ar-SA"/>
              </w:rPr>
            </w:pPr>
            <w:r>
              <w:rPr>
                <w:rFonts w:hint="eastAsia"/>
                <w:b/>
                <w:bCs/>
                <w:color w:val="auto"/>
                <w:sz w:val="21"/>
                <w:szCs w:val="24"/>
                <w:highlight w:val="none"/>
                <w:lang w:val="en-US" w:eastAsia="zh-CN" w:bidi="ar-SA"/>
              </w:rPr>
              <w:t>（二）中标供应商为非中小型或微型企业的： 在合同生效后10个工作日内，采购人支付中标供应商合同总价款的10%作为预付款。中标供应商应在申请预付款时向采购人提供等额的预付款保函（有效期至验收合格日）或对应金额的合法有效发票。签订合同时，如中标供应商明确表示无需预付款或者主动要求降低预付款比例，采购人可不支付预付款或降低预付款比例。在全部货物安装调试完毕且通过最终验收合格并提交完整的资料及对应金额的合法有效发票后90日内采购人支付剩余合同价款。</w:t>
            </w:r>
          </w:p>
          <w:p w14:paraId="23F63F57">
            <w:pPr>
              <w:spacing w:line="360" w:lineRule="auto"/>
              <w:rPr>
                <w:rFonts w:hint="eastAsia" w:ascii="Times New Roman" w:hAnsi="Times New Roman" w:eastAsia="宋体" w:cs="Times New Roman"/>
                <w:b/>
                <w:bCs/>
                <w:color w:val="auto"/>
                <w:sz w:val="21"/>
                <w:szCs w:val="24"/>
                <w:highlight w:val="none"/>
                <w:lang w:val="en-US" w:eastAsia="zh-CN" w:bidi="ar-SA"/>
              </w:rPr>
            </w:pPr>
            <w:r>
              <w:rPr>
                <w:rFonts w:hint="eastAsia"/>
                <w:b/>
                <w:bCs/>
                <w:color w:val="auto"/>
                <w:sz w:val="21"/>
                <w:szCs w:val="24"/>
                <w:highlight w:val="none"/>
                <w:lang w:val="en-US" w:eastAsia="zh-CN" w:bidi="ar-SA"/>
              </w:rPr>
              <w:t>（三）因中标供应商未及时提供发票或提供的发票不符合合同约定造成延时付款的，采购人不承担任何逾期违约责任。</w:t>
            </w:r>
          </w:p>
        </w:tc>
      </w:tr>
      <w:tr w14:paraId="7DED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4F59E32D">
            <w:pPr>
              <w:bidi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▲售后服务要求</w:t>
            </w:r>
          </w:p>
        </w:tc>
        <w:tc>
          <w:tcPr>
            <w:tcW w:w="8379"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01D05426">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下述服务内容的费用要求已包含在本次项目报价中，不得另行收费。</w:t>
            </w:r>
          </w:p>
          <w:p w14:paraId="147D81EE">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1.中标供应商负责送货上门，安装调试。</w:t>
            </w:r>
          </w:p>
          <w:p w14:paraId="47C14C4D">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2.质保期内仪器设备出现故障，除技术要求及参数中有特殊说明的除外，其他均要求在接到电话通知后，2小时内做出响应，24小时内到达维修现场。一般问题应在24小时内解决，重大问题或其他无法迅速解决的问题应在5个工作日内解决。</w:t>
            </w:r>
          </w:p>
          <w:p w14:paraId="2E905EF4">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3.质保期内，根据厂家规定提供设备的定期维护保养。其中包括设备的安全检查，影像质量检查，运行状态检查，并提供当年的维护保养报告等。</w:t>
            </w:r>
          </w:p>
          <w:p w14:paraId="5A8DE772">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4.设备保修期内，供应商负责应用软件、操作系统及数据库完善和稳定性升级。</w:t>
            </w:r>
          </w:p>
          <w:p w14:paraId="0EEFD0AD">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5.投标产品必须是全新、未使用过的产品。产品包装必须是未经使用的全新的合格产品，并按照原厂标准包装规格供货，不接受散装或拆包装件。所有货物都提供使用说明书和详细装箱清单。</w:t>
            </w:r>
          </w:p>
          <w:p w14:paraId="14DEB4E2">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6.协助采购人进行安装前的准备工作，安装前提供相关的布局图和设计要求（如有），提供建设安装资料并做相应的指导，仪器到货后，并由仪器工程师安装并为使用人员进行现场培训。</w:t>
            </w:r>
          </w:p>
          <w:p w14:paraId="6D36CCE0">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7.提供维护手册、维修手册、备件清单等随机材料。</w:t>
            </w:r>
          </w:p>
          <w:p w14:paraId="3D69E1FF">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8.提供7×24小时的技术支持服务。技术支持方式包括但不限于：电话技术服务、现场技术服务、技术升级服务等。</w:t>
            </w:r>
          </w:p>
          <w:p w14:paraId="76F59E80">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9.中标供应商负责为本项目提供场所（包括机房）的装修，满足交钥匙工程。开展装修前中标供应商提供场所装修设计方案，并经采购人确认。</w:t>
            </w:r>
          </w:p>
          <w:p w14:paraId="57B84740">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10.中标供应商需完成机房建设工程项目的环评、预评、控评及验收技术咨询服务，并配合采购人办理相关证件，直至采购人通过上级部门的验收。</w:t>
            </w:r>
          </w:p>
          <w:p w14:paraId="0BACB63D">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11.场所的布局设计、装修等应符合建设规范要求，并通过上级部门的验收。</w:t>
            </w:r>
          </w:p>
          <w:p w14:paraId="6B96E542">
            <w:pPr>
              <w:spacing w:line="360" w:lineRule="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12.</w:t>
            </w:r>
            <w:r>
              <w:rPr>
                <w:rFonts w:hint="eastAsia" w:ascii="宋体" w:hAnsi="宋体" w:cs="宋体"/>
                <w:b/>
                <w:bCs/>
                <w:color w:val="auto"/>
                <w:szCs w:val="21"/>
                <w:highlight w:val="none"/>
              </w:rPr>
              <w:t>设备投入使用前，</w:t>
            </w:r>
            <w:r>
              <w:rPr>
                <w:rFonts w:hint="eastAsia" w:ascii="宋体" w:hAnsi="宋体" w:cs="宋体"/>
                <w:b/>
                <w:bCs/>
                <w:color w:val="auto"/>
                <w:szCs w:val="21"/>
                <w:highlight w:val="none"/>
                <w:lang w:val="en-US" w:eastAsia="zh-CN"/>
              </w:rPr>
              <w:t>负责聘请具备检测资质的第三方公司对环境、设备性能、场地防护检测并提供检测报告，如预评、环评、控评，相关的检测费用由中标供应商承担。</w:t>
            </w:r>
          </w:p>
          <w:p w14:paraId="5322D4ED">
            <w:pPr>
              <w:spacing w:line="360" w:lineRule="auto"/>
              <w:rPr>
                <w:rFonts w:hint="eastAsia" w:ascii="宋体" w:hAnsi="宋体" w:eastAsia="宋体" w:cs="宋体"/>
                <w:b/>
                <w:bCs/>
                <w:color w:val="auto"/>
                <w:sz w:val="21"/>
                <w:szCs w:val="21"/>
                <w:highlight w:val="none"/>
                <w:lang w:val="en-US" w:eastAsia="zh-CN" w:bidi="ar-SA"/>
              </w:rPr>
            </w:pPr>
            <w:r>
              <w:rPr>
                <w:rFonts w:hint="eastAsia" w:ascii="宋体" w:hAnsi="宋体" w:cs="宋体"/>
                <w:b/>
                <w:bCs/>
                <w:color w:val="auto"/>
                <w:szCs w:val="21"/>
                <w:highlight w:val="none"/>
              </w:rPr>
              <w:t>1</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.中标供应商负责将设备接入医院相应的PACS系统，接入费用由中标供应商承担。</w:t>
            </w:r>
          </w:p>
        </w:tc>
      </w:tr>
      <w:tr w14:paraId="0095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732CD6EA">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▲质量保证</w:t>
            </w:r>
          </w:p>
        </w:tc>
        <w:tc>
          <w:tcPr>
            <w:tcW w:w="8379"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2F7B1B3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1.质保期：按国家有关产品“三包”规定执行“三包”，除特别说明外，</w:t>
            </w:r>
            <w:r>
              <w:rPr>
                <w:rFonts w:hint="eastAsia" w:ascii="宋体" w:hAnsi="宋体" w:cs="宋体"/>
                <w:b/>
                <w:bCs/>
                <w:color w:val="auto"/>
                <w:szCs w:val="21"/>
                <w:highlight w:val="none"/>
                <w:u w:val="single"/>
              </w:rPr>
              <w:t>CT整机质保期≥2年，其他附属设备质保期≥1年</w:t>
            </w:r>
            <w:r>
              <w:rPr>
                <w:rFonts w:hint="eastAsia" w:ascii="宋体" w:hAnsi="宋体" w:cs="宋体"/>
                <w:color w:val="auto"/>
                <w:szCs w:val="21"/>
                <w:highlight w:val="none"/>
              </w:rPr>
              <w:t>，自设备验收合格并能正常使用之日算起。注：如投标文件中提供产品生产厂家对质保期的承诺，与投标人承诺不一致的，以生产厂家承诺为准。</w:t>
            </w:r>
          </w:p>
          <w:p w14:paraId="2D33575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2.中标供应商应按照国家有关法律法规和“三包”规定以及招标文件、投标文件、本合同所附的和本合同所附的《售后服务承诺》为采购人提供售后服务，</w:t>
            </w:r>
            <w:r>
              <w:rPr>
                <w:rFonts w:hint="eastAsia" w:ascii="宋体" w:hAnsi="宋体" w:cs="宋体"/>
                <w:b/>
                <w:bCs/>
                <w:color w:val="auto"/>
                <w:szCs w:val="21"/>
                <w:highlight w:val="none"/>
                <w:u w:val="single"/>
              </w:rPr>
              <w:t>CT整机质保期≥2年，其他附属设备质保期≥1年</w:t>
            </w:r>
            <w:r>
              <w:rPr>
                <w:rFonts w:hint="eastAsia" w:ascii="宋体" w:hAnsi="宋体" w:cs="宋体"/>
                <w:color w:val="auto"/>
                <w:szCs w:val="21"/>
                <w:highlight w:val="none"/>
              </w:rPr>
              <w:t>【自所有设备验收合格（以验收报告落款时间为准）、正常使用之日起，提供设备原厂维保】。质保期内，设备发生一般故障时，中标供应商应负责修理、更换零配件；如设备发生大故障（指主要部件出现质量问题）时，中标供应商应负责更换相同品牌、型号的新机器。设备维修或更换后其</w:t>
            </w:r>
            <w:r>
              <w:rPr>
                <w:rFonts w:hint="eastAsia" w:ascii="宋体" w:hAnsi="宋体" w:cs="宋体"/>
                <w:color w:val="auto"/>
                <w:szCs w:val="21"/>
                <w:highlight w:val="none"/>
                <w:lang w:eastAsia="zh-CN"/>
              </w:rPr>
              <w:t>质保期</w:t>
            </w:r>
            <w:r>
              <w:rPr>
                <w:rFonts w:hint="eastAsia" w:ascii="宋体" w:hAnsi="宋体" w:cs="宋体"/>
                <w:color w:val="auto"/>
                <w:szCs w:val="21"/>
                <w:highlight w:val="none"/>
              </w:rPr>
              <w:t>相应顺延。所有非故意性损坏以及在要求质量标准范围内的正常使用造成的损坏均要维修。因采购人的不正当使用所造成的设备损坏不归中标供应商负责保修，但中标供应商也要积极帮助采购人修理设备，并提供配件和服务。</w:t>
            </w:r>
          </w:p>
          <w:p w14:paraId="1F58857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3.中标供应商所提供的货物型号、技术规格、技术参数等质量必须与招标、投标文件和承诺相一致。</w:t>
            </w:r>
          </w:p>
          <w:p w14:paraId="6726419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4.所提供的货物必须是全新、未使用过的且符合国家安全质量标准的原装合格产品，且在正常安装、使用和保养条件下，其使用寿命期内各项指标均达到质量要求。</w:t>
            </w:r>
          </w:p>
          <w:p w14:paraId="3257446B">
            <w:pPr>
              <w:spacing w:line="360" w:lineRule="auto"/>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5.中标供应商提供的所有货物（包含配套设备、配件等）安装验收日期与生产日期时间间隔原则上应满足：不超过6个月；特殊情况及客观原因除外。</w:t>
            </w:r>
          </w:p>
        </w:tc>
      </w:tr>
      <w:tr w14:paraId="3711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29EFE54B">
            <w:pPr>
              <w:spacing w:line="360" w:lineRule="auto"/>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▲验收标准</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72C069C0">
            <w:pPr>
              <w:widowControl/>
              <w:numPr>
                <w:ilvl w:val="0"/>
                <w:numId w:val="0"/>
              </w:numPr>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bidi="ar-SA"/>
              </w:rPr>
              <w:t>1.</w:t>
            </w:r>
            <w:r>
              <w:rPr>
                <w:rFonts w:hint="eastAsia" w:ascii="宋体" w:hAnsi="宋体" w:eastAsia="宋体" w:cs="宋体"/>
                <w:b/>
                <w:bCs/>
                <w:color w:val="auto"/>
                <w:spacing w:val="17"/>
                <w:sz w:val="21"/>
                <w:szCs w:val="21"/>
                <w:highlight w:val="none"/>
              </w:rPr>
              <w:t>验收时，采购人对中标供应商所交货物及</w:t>
            </w:r>
            <w:r>
              <w:rPr>
                <w:rFonts w:hint="eastAsia" w:ascii="宋体" w:hAnsi="宋体" w:eastAsia="宋体" w:cs="宋体"/>
                <w:b/>
                <w:bCs/>
                <w:color w:val="auto"/>
                <w:spacing w:val="17"/>
                <w:sz w:val="21"/>
                <w:szCs w:val="21"/>
                <w:highlight w:val="none"/>
                <w:lang w:val="en-US" w:eastAsia="zh-CN"/>
              </w:rPr>
              <w:t>服务等</w:t>
            </w:r>
            <w:r>
              <w:rPr>
                <w:rFonts w:hint="eastAsia" w:ascii="宋体" w:hAnsi="宋体" w:eastAsia="宋体" w:cs="宋体"/>
                <w:b/>
                <w:bCs/>
                <w:color w:val="auto"/>
                <w:spacing w:val="17"/>
                <w:sz w:val="21"/>
                <w:szCs w:val="21"/>
                <w:highlight w:val="none"/>
              </w:rPr>
              <w:t>依照中标供应商的投标文件所承诺的技术规格要求和国家有关标准进行现场验收。</w:t>
            </w:r>
          </w:p>
          <w:p w14:paraId="3B8FA95F">
            <w:pPr>
              <w:widowControl/>
              <w:numPr>
                <w:ilvl w:val="0"/>
                <w:numId w:val="0"/>
              </w:numPr>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bidi="ar-SA"/>
              </w:rPr>
              <w:t>2.</w:t>
            </w:r>
            <w:r>
              <w:rPr>
                <w:rFonts w:hint="eastAsia" w:ascii="宋体" w:hAnsi="宋体" w:eastAsia="宋体" w:cs="宋体"/>
                <w:b/>
                <w:bCs/>
                <w:color w:val="auto"/>
                <w:spacing w:val="17"/>
                <w:sz w:val="21"/>
                <w:szCs w:val="21"/>
                <w:highlight w:val="none"/>
              </w:rPr>
              <w:t>在所有货物到达指定地点后</w:t>
            </w:r>
            <w:r>
              <w:rPr>
                <w:rFonts w:hint="eastAsia" w:ascii="宋体" w:hAnsi="宋体" w:eastAsia="宋体" w:cs="宋体"/>
                <w:b/>
                <w:bCs/>
                <w:color w:val="auto"/>
                <w:spacing w:val="17"/>
                <w:sz w:val="21"/>
                <w:szCs w:val="21"/>
                <w:highlight w:val="none"/>
                <w:lang w:val="en-US" w:eastAsia="zh-CN"/>
              </w:rPr>
              <w:t>3</w:t>
            </w:r>
            <w:r>
              <w:rPr>
                <w:rFonts w:hint="eastAsia" w:ascii="宋体" w:hAnsi="宋体" w:eastAsia="宋体" w:cs="宋体"/>
                <w:b/>
                <w:bCs/>
                <w:color w:val="auto"/>
                <w:spacing w:val="17"/>
                <w:sz w:val="21"/>
                <w:szCs w:val="21"/>
                <w:highlight w:val="none"/>
              </w:rPr>
              <w:t>个工作日内，由采购人对货物的数量和质量进行初步验收后，对不符合要求的货物立即要求退换</w:t>
            </w:r>
            <w:r>
              <w:rPr>
                <w:rFonts w:hint="eastAsia" w:ascii="宋体" w:hAnsi="宋体" w:eastAsia="宋体" w:cs="宋体"/>
                <w:b/>
                <w:bCs/>
                <w:color w:val="auto"/>
                <w:spacing w:val="17"/>
                <w:sz w:val="21"/>
                <w:szCs w:val="21"/>
                <w:highlight w:val="none"/>
                <w:lang w:eastAsia="zh-CN"/>
              </w:rPr>
              <w:t>。</w:t>
            </w:r>
          </w:p>
          <w:p w14:paraId="5087E6E4">
            <w:pPr>
              <w:widowControl/>
              <w:numPr>
                <w:ilvl w:val="0"/>
                <w:numId w:val="0"/>
              </w:numPr>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bidi="ar-SA"/>
              </w:rPr>
              <w:t>3.</w:t>
            </w:r>
            <w:r>
              <w:rPr>
                <w:rFonts w:hint="eastAsia" w:ascii="宋体" w:hAnsi="宋体" w:eastAsia="宋体" w:cs="宋体"/>
                <w:b/>
                <w:bCs/>
                <w:color w:val="auto"/>
                <w:spacing w:val="17"/>
                <w:sz w:val="21"/>
                <w:szCs w:val="21"/>
                <w:highlight w:val="none"/>
              </w:rPr>
              <w:t>在采购人将所有的货物按照招标文件要求和国家标准或行业标准进行检测验收后，发现有其他非故意的损坏或质量问题的由中标</w:t>
            </w:r>
            <w:r>
              <w:rPr>
                <w:rFonts w:hint="eastAsia" w:ascii="宋体" w:hAnsi="宋体" w:eastAsia="宋体" w:cs="宋体"/>
                <w:b/>
                <w:bCs/>
                <w:color w:val="auto"/>
                <w:spacing w:val="17"/>
                <w:sz w:val="21"/>
                <w:szCs w:val="21"/>
                <w:highlight w:val="none"/>
                <w:lang w:eastAsia="zh-CN"/>
              </w:rPr>
              <w:t>供应商</w:t>
            </w:r>
            <w:r>
              <w:rPr>
                <w:rFonts w:hint="eastAsia" w:ascii="宋体" w:hAnsi="宋体" w:eastAsia="宋体" w:cs="宋体"/>
                <w:b/>
                <w:bCs/>
                <w:color w:val="auto"/>
                <w:spacing w:val="17"/>
                <w:sz w:val="21"/>
                <w:szCs w:val="21"/>
                <w:highlight w:val="none"/>
              </w:rPr>
              <w:t>立即予以更换，不得拒绝和延误。</w:t>
            </w:r>
          </w:p>
          <w:p w14:paraId="2FC24F95">
            <w:pPr>
              <w:widowControl/>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rPr>
              <w:t>4.</w:t>
            </w:r>
            <w:r>
              <w:rPr>
                <w:rFonts w:hint="eastAsia" w:ascii="宋体" w:hAnsi="宋体" w:eastAsia="宋体" w:cs="宋体"/>
                <w:b/>
                <w:bCs/>
                <w:color w:val="auto"/>
                <w:spacing w:val="17"/>
                <w:sz w:val="21"/>
                <w:szCs w:val="21"/>
                <w:highlight w:val="none"/>
              </w:rPr>
              <w:t>供应商提供不符合招标文件、投标文件承诺或</w:t>
            </w:r>
            <w:r>
              <w:rPr>
                <w:rFonts w:hint="eastAsia" w:ascii="宋体" w:hAnsi="宋体" w:eastAsia="宋体" w:cs="宋体"/>
                <w:b/>
                <w:bCs/>
                <w:color w:val="auto"/>
                <w:spacing w:val="17"/>
                <w:sz w:val="21"/>
                <w:szCs w:val="21"/>
                <w:highlight w:val="none"/>
                <w:lang w:val="en-US" w:eastAsia="zh-CN"/>
              </w:rPr>
              <w:t>采购</w:t>
            </w:r>
            <w:r>
              <w:rPr>
                <w:rFonts w:hint="eastAsia" w:ascii="宋体" w:hAnsi="宋体" w:eastAsia="宋体" w:cs="宋体"/>
                <w:b/>
                <w:bCs/>
                <w:color w:val="auto"/>
                <w:spacing w:val="17"/>
                <w:sz w:val="21"/>
                <w:szCs w:val="21"/>
                <w:highlight w:val="none"/>
              </w:rPr>
              <w:t>合同</w:t>
            </w:r>
            <w:r>
              <w:rPr>
                <w:rFonts w:hint="eastAsia" w:ascii="宋体" w:hAnsi="宋体" w:eastAsia="宋体" w:cs="宋体"/>
                <w:b/>
                <w:bCs/>
                <w:color w:val="auto"/>
                <w:spacing w:val="17"/>
                <w:sz w:val="21"/>
                <w:szCs w:val="21"/>
                <w:highlight w:val="none"/>
                <w:lang w:val="en-US" w:eastAsia="zh-CN"/>
              </w:rPr>
              <w:t>约</w:t>
            </w:r>
            <w:r>
              <w:rPr>
                <w:rFonts w:hint="eastAsia" w:ascii="宋体" w:hAnsi="宋体" w:eastAsia="宋体" w:cs="宋体"/>
                <w:b/>
                <w:bCs/>
                <w:color w:val="auto"/>
                <w:spacing w:val="17"/>
                <w:sz w:val="21"/>
                <w:szCs w:val="21"/>
                <w:highlight w:val="none"/>
              </w:rPr>
              <w:t>定的货物</w:t>
            </w:r>
            <w:r>
              <w:rPr>
                <w:rFonts w:hint="eastAsia" w:ascii="宋体" w:hAnsi="宋体" w:eastAsia="宋体" w:cs="宋体"/>
                <w:b/>
                <w:bCs/>
                <w:color w:val="auto"/>
                <w:spacing w:val="17"/>
                <w:sz w:val="21"/>
                <w:szCs w:val="21"/>
                <w:highlight w:val="none"/>
                <w:lang w:val="en-US" w:eastAsia="zh-CN"/>
              </w:rPr>
              <w:t>或服务</w:t>
            </w:r>
            <w:r>
              <w:rPr>
                <w:rFonts w:hint="eastAsia" w:ascii="宋体" w:hAnsi="宋体" w:eastAsia="宋体" w:cs="宋体"/>
                <w:b/>
                <w:bCs/>
                <w:color w:val="auto"/>
                <w:spacing w:val="17"/>
                <w:sz w:val="21"/>
                <w:szCs w:val="21"/>
                <w:highlight w:val="none"/>
              </w:rPr>
              <w:t>，采购人有权拒绝接受。</w:t>
            </w:r>
          </w:p>
          <w:p w14:paraId="00AAAA00">
            <w:pPr>
              <w:widowControl/>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rPr>
              <w:t>5</w:t>
            </w:r>
            <w:r>
              <w:rPr>
                <w:rFonts w:hint="eastAsia" w:ascii="宋体" w:hAnsi="宋体" w:eastAsia="宋体" w:cs="宋体"/>
                <w:b/>
                <w:bCs/>
                <w:color w:val="auto"/>
                <w:spacing w:val="17"/>
                <w:sz w:val="21"/>
                <w:szCs w:val="21"/>
                <w:highlight w:val="none"/>
              </w:rPr>
              <w:t>.供应商应将所提供货物的装箱清单、用户手册、原厂保修卡、随机资料、工具和备品、备件等交付给采购人，如有缺失应在采购人要求的期限内及时补齐，否则视为逾期交货。</w:t>
            </w:r>
          </w:p>
          <w:p w14:paraId="53B72C80">
            <w:pPr>
              <w:widowControl/>
              <w:spacing w:line="360" w:lineRule="auto"/>
              <w:jc w:val="left"/>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rPr>
              <w:t>6</w:t>
            </w:r>
            <w:r>
              <w:rPr>
                <w:rFonts w:hint="eastAsia" w:ascii="宋体" w:hAnsi="宋体" w:eastAsia="宋体" w:cs="宋体"/>
                <w:b/>
                <w:bCs/>
                <w:color w:val="auto"/>
                <w:spacing w:val="17"/>
                <w:sz w:val="21"/>
                <w:szCs w:val="21"/>
                <w:highlight w:val="none"/>
              </w:rPr>
              <w:t>.</w:t>
            </w:r>
            <w:r>
              <w:rPr>
                <w:rFonts w:hint="eastAsia" w:ascii="宋体" w:hAnsi="宋体" w:cs="宋体"/>
                <w:b/>
                <w:bCs/>
                <w:color w:val="auto"/>
                <w:spacing w:val="17"/>
                <w:szCs w:val="21"/>
                <w:highlight w:val="none"/>
              </w:rPr>
              <w:t>中标供应商完成所有设备的安装调试并稳定试运行后可向采购人提出最终验收申请。</w:t>
            </w:r>
            <w:r>
              <w:rPr>
                <w:rFonts w:hint="eastAsia" w:ascii="宋体" w:hAnsi="宋体" w:eastAsia="宋体" w:cs="宋体"/>
                <w:b/>
                <w:bCs/>
                <w:color w:val="auto"/>
                <w:spacing w:val="17"/>
                <w:sz w:val="21"/>
                <w:szCs w:val="21"/>
                <w:highlight w:val="none"/>
              </w:rPr>
              <w:t>本项目</w:t>
            </w:r>
            <w:r>
              <w:rPr>
                <w:rFonts w:hint="eastAsia" w:ascii="宋体" w:hAnsi="宋体" w:cs="宋体"/>
                <w:b/>
                <w:bCs/>
                <w:color w:val="auto"/>
                <w:spacing w:val="17"/>
                <w:sz w:val="21"/>
                <w:szCs w:val="21"/>
                <w:highlight w:val="none"/>
                <w:lang w:eastAsia="zh-CN"/>
              </w:rPr>
              <w:t>最终</w:t>
            </w:r>
            <w:r>
              <w:rPr>
                <w:rFonts w:hint="eastAsia" w:ascii="宋体" w:hAnsi="宋体" w:eastAsia="宋体" w:cs="宋体"/>
                <w:b/>
                <w:bCs/>
                <w:color w:val="auto"/>
                <w:spacing w:val="17"/>
                <w:sz w:val="21"/>
                <w:szCs w:val="21"/>
                <w:highlight w:val="none"/>
              </w:rPr>
              <w:t>验收工作由采购人委托第三方验收代理机构组织实施，由验收小组对照招标文件、投标文件承诺或采购合同</w:t>
            </w:r>
            <w:r>
              <w:rPr>
                <w:rFonts w:hint="eastAsia" w:ascii="宋体" w:hAnsi="宋体" w:eastAsia="宋体" w:cs="宋体"/>
                <w:b/>
                <w:bCs/>
                <w:color w:val="auto"/>
                <w:spacing w:val="17"/>
                <w:sz w:val="21"/>
                <w:szCs w:val="21"/>
                <w:highlight w:val="none"/>
                <w:lang w:val="en-US" w:eastAsia="zh-CN"/>
              </w:rPr>
              <w:t>进行</w:t>
            </w:r>
            <w:r>
              <w:rPr>
                <w:rFonts w:hint="eastAsia" w:ascii="宋体" w:hAnsi="宋体" w:eastAsia="宋体" w:cs="宋体"/>
                <w:b/>
                <w:bCs/>
                <w:color w:val="auto"/>
                <w:spacing w:val="17"/>
                <w:sz w:val="21"/>
                <w:szCs w:val="21"/>
                <w:highlight w:val="none"/>
              </w:rPr>
              <w:t>核对检验，如不符合要求的，按合同约定执行，中标供应商承担所有责任和费用。采购人保留进一步追究责任的权利。</w:t>
            </w:r>
          </w:p>
          <w:p w14:paraId="380B073F">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7.本项目验收代理服务费已包含在项目</w:t>
            </w:r>
            <w:r>
              <w:rPr>
                <w:rFonts w:hint="eastAsia" w:ascii="宋体" w:hAnsi="宋体" w:cs="宋体"/>
                <w:b/>
                <w:bCs/>
                <w:color w:val="auto"/>
                <w:szCs w:val="21"/>
                <w:highlight w:val="none"/>
                <w:lang w:eastAsia="zh-CN"/>
              </w:rPr>
              <w:t>预算</w:t>
            </w:r>
            <w:r>
              <w:rPr>
                <w:rFonts w:hint="eastAsia" w:ascii="宋体" w:hAnsi="宋体" w:cs="宋体"/>
                <w:b/>
                <w:bCs/>
                <w:color w:val="auto"/>
                <w:szCs w:val="21"/>
                <w:highlight w:val="none"/>
              </w:rPr>
              <w:t>价内，供应商在报价时应考虑相关费用。（本项目验收委托</w:t>
            </w:r>
            <w:r>
              <w:rPr>
                <w:rFonts w:hint="eastAsia" w:ascii="宋体" w:hAnsi="宋体" w:cs="宋体"/>
                <w:b/>
                <w:bCs/>
                <w:color w:val="auto"/>
                <w:szCs w:val="21"/>
                <w:highlight w:val="none"/>
                <w:lang w:val="en-US" w:eastAsia="zh-CN"/>
              </w:rPr>
              <w:t>第三方代理机构</w:t>
            </w:r>
            <w:r>
              <w:rPr>
                <w:rFonts w:hint="eastAsia" w:ascii="宋体" w:hAnsi="宋体" w:cs="宋体"/>
                <w:b/>
                <w:bCs/>
                <w:color w:val="auto"/>
                <w:szCs w:val="21"/>
                <w:highlight w:val="none"/>
                <w:u w:val="single"/>
                <w:lang w:val="en-US" w:eastAsia="zh-CN"/>
              </w:rPr>
              <w:t>广西科考信息咨询服务有限公司</w:t>
            </w:r>
            <w:r>
              <w:rPr>
                <w:rFonts w:hint="eastAsia" w:ascii="宋体" w:hAnsi="宋体" w:cs="宋体"/>
                <w:b/>
                <w:bCs/>
                <w:color w:val="auto"/>
                <w:szCs w:val="21"/>
                <w:highlight w:val="none"/>
              </w:rPr>
              <w:t>组织实施，</w:t>
            </w:r>
            <w:r>
              <w:rPr>
                <w:rFonts w:hint="eastAsia" w:ascii="宋体" w:hAnsi="宋体" w:cs="宋体"/>
                <w:b/>
                <w:bCs/>
                <w:color w:val="auto"/>
                <w:szCs w:val="21"/>
                <w:highlight w:val="none"/>
                <w:lang w:eastAsia="zh-CN"/>
              </w:rPr>
              <w:t>本分标</w:t>
            </w:r>
            <w:r>
              <w:rPr>
                <w:rFonts w:hint="eastAsia" w:ascii="宋体" w:hAnsi="宋体" w:cs="宋体"/>
                <w:b/>
                <w:bCs/>
                <w:color w:val="auto"/>
                <w:szCs w:val="21"/>
                <w:highlight w:val="none"/>
              </w:rPr>
              <w:t>验收代理服务</w:t>
            </w:r>
            <w:r>
              <w:rPr>
                <w:rFonts w:hint="eastAsia" w:ascii="宋体" w:hAnsi="宋体" w:cs="宋体"/>
                <w:b/>
                <w:bCs/>
                <w:color w:val="auto"/>
                <w:szCs w:val="21"/>
                <w:highlight w:val="none"/>
                <w:u w:val="none"/>
              </w:rPr>
              <w:t>费</w:t>
            </w:r>
            <w:r>
              <w:rPr>
                <w:rFonts w:hint="eastAsia" w:hAnsi="宋体" w:cs="宋体"/>
                <w:b/>
                <w:bCs/>
                <w:color w:val="auto"/>
                <w:sz w:val="21"/>
                <w:highlight w:val="none"/>
                <w:u w:val="none"/>
              </w:rPr>
              <w:t>为人民币</w:t>
            </w:r>
            <w:r>
              <w:rPr>
                <w:rFonts w:hint="eastAsia" w:hAnsi="宋体" w:cs="宋体"/>
                <w:b/>
                <w:bCs/>
                <w:color w:val="auto"/>
                <w:sz w:val="21"/>
                <w:highlight w:val="none"/>
                <w:u w:val="none"/>
                <w:lang w:eastAsia="zh-CN"/>
              </w:rPr>
              <w:t>壹万玖仟肆佰捌拾叁</w:t>
            </w:r>
            <w:r>
              <w:rPr>
                <w:rFonts w:hint="eastAsia" w:hAnsi="宋体" w:cs="宋体"/>
                <w:b/>
                <w:bCs/>
                <w:color w:val="auto"/>
                <w:sz w:val="21"/>
                <w:highlight w:val="none"/>
                <w:u w:val="none"/>
              </w:rPr>
              <w:t>元整（¥</w:t>
            </w:r>
            <w:r>
              <w:rPr>
                <w:rFonts w:hint="eastAsia" w:hAnsi="宋体" w:cs="宋体"/>
                <w:b/>
                <w:bCs/>
                <w:color w:val="auto"/>
                <w:sz w:val="21"/>
                <w:highlight w:val="none"/>
                <w:u w:val="none"/>
                <w:lang w:val="en-US" w:eastAsia="zh-CN"/>
              </w:rPr>
              <w:t>19483</w:t>
            </w:r>
            <w:r>
              <w:rPr>
                <w:rFonts w:hint="eastAsia" w:hAnsi="宋体" w:cs="宋体"/>
                <w:b/>
                <w:bCs/>
                <w:color w:val="auto"/>
                <w:sz w:val="21"/>
                <w:highlight w:val="none"/>
                <w:u w:val="none"/>
              </w:rPr>
              <w:t>.00）</w:t>
            </w:r>
            <w:r>
              <w:rPr>
                <w:rFonts w:hint="eastAsia" w:hAnsi="宋体" w:cs="宋体"/>
                <w:b/>
                <w:bCs/>
                <w:color w:val="auto"/>
                <w:sz w:val="21"/>
                <w:highlight w:val="none"/>
                <w:u w:val="none"/>
                <w:lang w:eastAsia="zh-CN"/>
              </w:rPr>
              <w:t>，</w:t>
            </w:r>
            <w:r>
              <w:rPr>
                <w:rFonts w:hint="eastAsia" w:ascii="宋体" w:hAnsi="宋体" w:cs="宋体"/>
                <w:b/>
                <w:bCs/>
                <w:color w:val="auto"/>
                <w:szCs w:val="21"/>
                <w:highlight w:val="none"/>
                <w:u w:val="none"/>
              </w:rPr>
              <w:t>验收代理服务费由中标供应商获得项目预付款后在验收前一次性付清</w:t>
            </w:r>
            <w:r>
              <w:rPr>
                <w:rFonts w:hint="eastAsia" w:ascii="宋体" w:hAnsi="宋体" w:cs="宋体"/>
                <w:b/>
                <w:bCs/>
                <w:color w:val="auto"/>
                <w:szCs w:val="21"/>
                <w:highlight w:val="none"/>
              </w:rPr>
              <w:t>；因验收不合格导致多次验收所产生的费用均由该项目中标供应商承担，供应商在报价时应考虑相关费用。）</w:t>
            </w:r>
          </w:p>
          <w:p w14:paraId="3848B608">
            <w:pPr>
              <w:keepNext w:val="0"/>
              <w:keepLines w:val="0"/>
              <w:pageBreakBefore w:val="0"/>
              <w:widowControl w:val="0"/>
              <w:bidi w:val="0"/>
              <w:spacing w:line="360" w:lineRule="auto"/>
              <w:jc w:val="both"/>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lang w:val="en-US" w:eastAsia="zh-CN"/>
              </w:rPr>
              <w:t>8</w:t>
            </w:r>
            <w:r>
              <w:rPr>
                <w:rFonts w:hint="eastAsia" w:ascii="宋体" w:hAnsi="宋体" w:eastAsia="宋体" w:cs="宋体"/>
                <w:b/>
                <w:bCs/>
                <w:color w:val="auto"/>
                <w:spacing w:val="17"/>
                <w:sz w:val="21"/>
                <w:szCs w:val="21"/>
                <w:highlight w:val="none"/>
              </w:rPr>
              <w:t>.采购人对</w:t>
            </w:r>
            <w:r>
              <w:rPr>
                <w:rFonts w:hint="eastAsia" w:ascii="宋体" w:hAnsi="宋体" w:cs="宋体"/>
                <w:b/>
                <w:bCs/>
                <w:color w:val="auto"/>
                <w:spacing w:val="17"/>
                <w:sz w:val="21"/>
                <w:szCs w:val="21"/>
                <w:highlight w:val="none"/>
                <w:lang w:eastAsia="zh-CN"/>
              </w:rPr>
              <w:t>最终</w:t>
            </w:r>
            <w:r>
              <w:rPr>
                <w:rFonts w:hint="eastAsia" w:ascii="宋体" w:hAnsi="宋体" w:eastAsia="宋体" w:cs="宋体"/>
                <w:b/>
                <w:bCs/>
                <w:color w:val="auto"/>
                <w:spacing w:val="17"/>
                <w:sz w:val="21"/>
                <w:szCs w:val="21"/>
                <w:highlight w:val="none"/>
              </w:rPr>
              <w:t>验收有异议的，在</w:t>
            </w:r>
            <w:r>
              <w:rPr>
                <w:rFonts w:hint="eastAsia" w:ascii="宋体" w:hAnsi="宋体" w:cs="宋体"/>
                <w:b/>
                <w:bCs/>
                <w:color w:val="auto"/>
                <w:spacing w:val="17"/>
                <w:sz w:val="21"/>
                <w:szCs w:val="21"/>
                <w:highlight w:val="none"/>
                <w:lang w:eastAsia="zh-CN"/>
              </w:rPr>
              <w:t>最终</w:t>
            </w:r>
            <w:r>
              <w:rPr>
                <w:rFonts w:hint="eastAsia" w:ascii="宋体" w:hAnsi="宋体" w:eastAsia="宋体" w:cs="宋体"/>
                <w:b/>
                <w:bCs/>
                <w:color w:val="auto"/>
                <w:spacing w:val="17"/>
                <w:sz w:val="21"/>
                <w:szCs w:val="21"/>
                <w:highlight w:val="none"/>
              </w:rPr>
              <w:t>验收后以书面形式向中标人提出，中标人应自收到采购人书面异议后五日内及时予以解决，中标人不予答复或未予以实质解决的，视为认可采购人异议及处置意见。</w:t>
            </w:r>
          </w:p>
          <w:p w14:paraId="3CA2AC53">
            <w:pPr>
              <w:keepNext w:val="0"/>
              <w:keepLines w:val="0"/>
              <w:pageBreakBefore w:val="0"/>
              <w:widowControl w:val="0"/>
              <w:bidi w:val="0"/>
              <w:spacing w:line="360" w:lineRule="auto"/>
              <w:jc w:val="both"/>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pacing w:val="17"/>
                <w:sz w:val="21"/>
                <w:szCs w:val="21"/>
                <w:highlight w:val="none"/>
                <w:lang w:val="en-US" w:eastAsia="zh-CN"/>
              </w:rPr>
              <w:t>9.</w:t>
            </w:r>
            <w:r>
              <w:rPr>
                <w:rFonts w:hint="eastAsia" w:ascii="宋体" w:hAnsi="宋体" w:eastAsia="宋体" w:cs="宋体"/>
                <w:b/>
                <w:bCs/>
                <w:color w:val="auto"/>
                <w:sz w:val="21"/>
                <w:szCs w:val="21"/>
                <w:highlight w:val="none"/>
              </w:rPr>
              <w:t xml:space="preserve">未尽事宜，按照《关于印发广西壮族自治区政府采购项目履约验收管理办法的通知》（桂财采〔2015〕22号）开展相关工作。     </w:t>
            </w:r>
          </w:p>
        </w:tc>
      </w:tr>
      <w:tr w14:paraId="3A21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2B925E51">
            <w:pPr>
              <w:spacing w:line="360" w:lineRule="auto"/>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▲需执行的国家相关标准、行业标准、地方标准或者其他标准、规范</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6D8D4B1">
            <w:pPr>
              <w:keepNext w:val="0"/>
              <w:keepLines w:val="0"/>
              <w:pageBreakBefore w:val="0"/>
              <w:widowControl w:val="0"/>
              <w:bidi w:val="0"/>
              <w:spacing w:line="360" w:lineRule="auto"/>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rPr>
              <w:t>本项目应执行的国家相关标准、行业标准、地方标准或者其他标准、规范为：按技术指标要求中的规定。</w:t>
            </w:r>
          </w:p>
          <w:p w14:paraId="2BB1E7AA">
            <w:pPr>
              <w:keepNext w:val="0"/>
              <w:keepLines w:val="0"/>
              <w:pageBreakBefore w:val="0"/>
              <w:widowControl w:val="0"/>
              <w:bidi w:val="0"/>
              <w:spacing w:line="360" w:lineRule="auto"/>
              <w:ind w:firstLine="422"/>
              <w:rPr>
                <w:rFonts w:hint="eastAsia" w:ascii="宋体" w:hAnsi="宋体" w:eastAsia="宋体" w:cs="宋体"/>
                <w:color w:val="auto"/>
                <w:sz w:val="21"/>
                <w:szCs w:val="21"/>
                <w:highlight w:val="none"/>
                <w:lang w:val="en-US" w:eastAsia="zh-CN" w:bidi="ar-SA"/>
              </w:rPr>
            </w:pP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rPr>
              <w:t>如技术要求/服务要求与上述标准、规范不一致的，高于标准、规范的按技术要求执行，低于标准、规范的按标准、规范执行。</w:t>
            </w:r>
          </w:p>
        </w:tc>
      </w:tr>
      <w:tr w14:paraId="70E0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580DC2E5">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▲包装和运输要求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00A748D3">
            <w:pPr>
              <w:keepNext w:val="0"/>
              <w:keepLines w:val="0"/>
              <w:pageBreakBefore w:val="0"/>
              <w:widowControl w:val="0"/>
              <w:bidi w:val="0"/>
              <w:spacing w:line="360" w:lineRule="auto"/>
              <w:ind w:firstLine="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根据《财政部等三部门联合印发商品包装和快递包装政府采购需求一览表标准（试行）》财办库〔2020〕123号文规定，若投标产品使用塑料、纸质、木质等包装材料时应满足《商品包装政府采购需求一览表标准（试行）》要求，若投标产品需要快递包装，快递封装材料应满足《快递包装政府采购需求一览表标准（试行）》要求。</w:t>
            </w:r>
          </w:p>
        </w:tc>
      </w:tr>
      <w:tr w14:paraId="5458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C188353">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▲保险</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3D5A1263">
            <w:pPr>
              <w:keepNext w:val="0"/>
              <w:keepLines w:val="0"/>
              <w:pageBreakBefore w:val="0"/>
              <w:widowControl w:val="0"/>
              <w:bidi w:val="0"/>
              <w:spacing w:line="360" w:lineRule="auto"/>
              <w:ind w:firstLine="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中标供应商负责办理运输和保险，将货物运抵交货地点。与运输、保险相关的费用由供应商承担。</w:t>
            </w:r>
          </w:p>
        </w:tc>
      </w:tr>
      <w:tr w14:paraId="19E0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1EB74DA4">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▲知识产权</w:t>
            </w:r>
          </w:p>
        </w:tc>
        <w:tc>
          <w:tcPr>
            <w:tcW w:w="8379" w:type="dxa"/>
            <w:gridSpan w:val="4"/>
            <w:tcBorders>
              <w:top w:val="single" w:color="auto" w:sz="4" w:space="0"/>
              <w:left w:val="single" w:color="auto" w:sz="4" w:space="0"/>
              <w:bottom w:val="single" w:color="auto" w:sz="4" w:space="0"/>
              <w:right w:val="single" w:color="auto" w:sz="4" w:space="0"/>
            </w:tcBorders>
            <w:noWrap w:val="0"/>
            <w:vAlign w:val="top"/>
          </w:tcPr>
          <w:p w14:paraId="3E797B44">
            <w:pPr>
              <w:widowControl/>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bCs/>
                <w:color w:val="auto"/>
                <w:spacing w:val="17"/>
                <w:sz w:val="21"/>
                <w:szCs w:val="21"/>
                <w:highlight w:val="none"/>
              </w:rPr>
              <w:t>采购人在中华人民共和国境内使用中标</w:t>
            </w:r>
            <w:r>
              <w:rPr>
                <w:rFonts w:hint="eastAsia" w:ascii="宋体" w:hAnsi="宋体" w:eastAsia="宋体" w:cs="宋体"/>
                <w:b/>
                <w:bCs/>
                <w:color w:val="auto"/>
                <w:spacing w:val="17"/>
                <w:sz w:val="21"/>
                <w:szCs w:val="21"/>
                <w:highlight w:val="none"/>
                <w:lang w:eastAsia="zh-CN"/>
              </w:rPr>
              <w:t>供应商</w:t>
            </w:r>
            <w:r>
              <w:rPr>
                <w:rFonts w:hint="eastAsia" w:ascii="宋体" w:hAnsi="宋体" w:eastAsia="宋体" w:cs="宋体"/>
                <w:b/>
                <w:bCs/>
                <w:color w:val="auto"/>
                <w:spacing w:val="17"/>
                <w:sz w:val="21"/>
                <w:szCs w:val="21"/>
                <w:highlight w:val="none"/>
              </w:rPr>
              <w:t>提供的产品及服务时免受第三方提出的侵犯其专利权或其他知识产权的起诉。如果第三方提出侵权指控，中标</w:t>
            </w:r>
            <w:r>
              <w:rPr>
                <w:rFonts w:hint="eastAsia" w:ascii="宋体" w:hAnsi="宋体" w:eastAsia="宋体" w:cs="宋体"/>
                <w:b/>
                <w:bCs/>
                <w:color w:val="auto"/>
                <w:spacing w:val="17"/>
                <w:sz w:val="21"/>
                <w:szCs w:val="21"/>
                <w:highlight w:val="none"/>
                <w:lang w:eastAsia="zh-CN"/>
              </w:rPr>
              <w:t>供应商</w:t>
            </w:r>
            <w:r>
              <w:rPr>
                <w:rFonts w:hint="eastAsia" w:ascii="宋体" w:hAnsi="宋体" w:eastAsia="宋体" w:cs="宋体"/>
                <w:b/>
                <w:bCs/>
                <w:color w:val="auto"/>
                <w:spacing w:val="17"/>
                <w:sz w:val="21"/>
                <w:szCs w:val="21"/>
                <w:highlight w:val="none"/>
              </w:rPr>
              <w:t>应承担由此而引起的一切法律责任和费用。</w:t>
            </w:r>
          </w:p>
        </w:tc>
      </w:tr>
      <w:tr w14:paraId="7671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492FA74C">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▲其他要求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7676410D">
            <w:pPr>
              <w:keepNext w:val="0"/>
              <w:keepLines w:val="0"/>
              <w:pageBreakBefore w:val="0"/>
              <w:widowControl w:val="0"/>
              <w:numPr>
                <w:ilvl w:val="0"/>
                <w:numId w:val="0"/>
              </w:numPr>
              <w:bidi w:val="0"/>
              <w:spacing w:line="360" w:lineRule="auto"/>
              <w:ind w:firstLine="422"/>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1.</w:t>
            </w:r>
            <w:r>
              <w:rPr>
                <w:rFonts w:hint="eastAsia" w:ascii="宋体" w:hAnsi="宋体" w:eastAsia="宋体" w:cs="宋体"/>
                <w:b/>
                <w:bCs/>
                <w:color w:val="auto"/>
                <w:sz w:val="21"/>
                <w:szCs w:val="21"/>
                <w:highlight w:val="none"/>
              </w:rPr>
              <w:t>如投标产品属第</w:t>
            </w:r>
            <w:r>
              <w:rPr>
                <w:rFonts w:hint="eastAsia" w:ascii="宋体" w:hAnsi="宋体" w:eastAsia="宋体" w:cs="宋体"/>
                <w:b/>
                <w:bCs/>
                <w:color w:val="auto"/>
                <w:sz w:val="21"/>
                <w:szCs w:val="21"/>
                <w:highlight w:val="none"/>
                <w:lang w:eastAsia="zh-CN"/>
              </w:rPr>
              <w:t>二类、第</w:t>
            </w:r>
            <w:r>
              <w:rPr>
                <w:rFonts w:hint="eastAsia" w:ascii="宋体" w:hAnsi="宋体" w:eastAsia="宋体" w:cs="宋体"/>
                <w:b/>
                <w:bCs/>
                <w:color w:val="auto"/>
                <w:sz w:val="21"/>
                <w:szCs w:val="21"/>
                <w:highlight w:val="none"/>
              </w:rPr>
              <w:t>三类医疗器械产品的，供应商须按《</w:t>
            </w:r>
            <w:r>
              <w:rPr>
                <w:b/>
                <w:bCs/>
                <w:color w:val="auto"/>
                <w:highlight w:val="none"/>
              </w:rPr>
              <w:t>医疗器械注册与备案管理办法</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国家市场监督管理总局令第</w:t>
            </w:r>
            <w:r>
              <w:rPr>
                <w:rFonts w:hint="eastAsia" w:ascii="宋体" w:hAnsi="宋体" w:eastAsia="宋体" w:cs="宋体"/>
                <w:b/>
                <w:bCs/>
                <w:color w:val="auto"/>
                <w:sz w:val="21"/>
                <w:szCs w:val="21"/>
                <w:highlight w:val="none"/>
                <w:lang w:val="en-US" w:eastAsia="zh-CN"/>
              </w:rPr>
              <w:t>47</w:t>
            </w:r>
            <w:r>
              <w:rPr>
                <w:rFonts w:hint="eastAsia" w:ascii="宋体" w:hAnsi="宋体" w:eastAsia="宋体" w:cs="宋体"/>
                <w:b/>
                <w:bCs/>
                <w:color w:val="auto"/>
                <w:sz w:val="21"/>
                <w:szCs w:val="21"/>
                <w:highlight w:val="none"/>
              </w:rPr>
              <w:t>号</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bidi="ar-SA"/>
              </w:rPr>
              <w:t>在中标后供货前提供该设备有效的医疗注册证复印件。</w:t>
            </w:r>
          </w:p>
          <w:p w14:paraId="2902EFD9">
            <w:pPr>
              <w:keepNext w:val="0"/>
              <w:keepLines w:val="0"/>
              <w:pageBreakBefore w:val="0"/>
              <w:widowControl w:val="0"/>
              <w:numPr>
                <w:ilvl w:val="0"/>
                <w:numId w:val="0"/>
              </w:numPr>
              <w:bidi w:val="0"/>
              <w:spacing w:line="360" w:lineRule="auto"/>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bidi="ar-SA"/>
              </w:rPr>
              <w:t>2.</w:t>
            </w:r>
            <w:r>
              <w:rPr>
                <w:rFonts w:hint="eastAsia" w:ascii="宋体" w:hAnsi="宋体" w:eastAsia="宋体" w:cs="宋体"/>
                <w:b/>
                <w:bCs/>
                <w:color w:val="auto"/>
                <w:sz w:val="21"/>
                <w:szCs w:val="21"/>
                <w:highlight w:val="none"/>
              </w:rPr>
              <w:t>投标人所提供的投标材料均应为厂家官网下载或印刷版本或者通过正规渠道获取，投标人未进行篡改，</w:t>
            </w:r>
            <w:r>
              <w:rPr>
                <w:rFonts w:hint="eastAsia" w:ascii="宋体" w:hAnsi="宋体" w:eastAsia="宋体" w:cs="宋体"/>
                <w:b/>
                <w:bCs/>
                <w:color w:val="auto"/>
                <w:sz w:val="21"/>
                <w:szCs w:val="21"/>
                <w:highlight w:val="none"/>
                <w:lang w:eastAsia="zh-CN"/>
              </w:rPr>
              <w:t>如</w:t>
            </w:r>
            <w:r>
              <w:rPr>
                <w:rFonts w:hint="eastAsia" w:ascii="宋体" w:hAnsi="宋体" w:eastAsia="宋体" w:cs="宋体"/>
                <w:b/>
                <w:bCs/>
                <w:color w:val="auto"/>
                <w:sz w:val="21"/>
                <w:szCs w:val="21"/>
                <w:highlight w:val="none"/>
              </w:rPr>
              <w:t>发现承诺文件的内容与设备实际功能不相符，追究投标人虚假应标的法律责任。</w:t>
            </w:r>
          </w:p>
        </w:tc>
      </w:tr>
      <w:tr w14:paraId="1CFE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7B4D5F9B">
            <w:pPr>
              <w:spacing w:line="360" w:lineRule="auto"/>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三、与实现项目目标相关的其他要求</w:t>
            </w:r>
          </w:p>
        </w:tc>
      </w:tr>
      <w:tr w14:paraId="1916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117267A">
            <w:pPr>
              <w:spacing w:line="360" w:lineRule="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（一）投标人的履约能力要求</w:t>
            </w:r>
          </w:p>
        </w:tc>
      </w:tr>
      <w:tr w14:paraId="449CC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C2CF31A">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管理体系要求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7C569229">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无</w:t>
            </w:r>
          </w:p>
        </w:tc>
      </w:tr>
      <w:tr w14:paraId="1D8E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noWrap w:val="0"/>
            <w:vAlign w:val="center"/>
          </w:tcPr>
          <w:p w14:paraId="3BB396C5">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业绩要求</w:t>
            </w:r>
          </w:p>
        </w:tc>
        <w:tc>
          <w:tcPr>
            <w:tcW w:w="8379" w:type="dxa"/>
            <w:gridSpan w:val="4"/>
            <w:tcBorders>
              <w:top w:val="single" w:color="auto" w:sz="4" w:space="0"/>
              <w:left w:val="single" w:color="auto" w:sz="4" w:space="0"/>
              <w:bottom w:val="single" w:color="auto" w:sz="4" w:space="0"/>
              <w:right w:val="single" w:color="auto" w:sz="4" w:space="0"/>
            </w:tcBorders>
            <w:noWrap w:val="0"/>
            <w:vAlign w:val="center"/>
          </w:tcPr>
          <w:p w14:paraId="5143C9CA">
            <w:pPr>
              <w:spacing w:line="360" w:lineRule="auto"/>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无</w:t>
            </w:r>
          </w:p>
        </w:tc>
      </w:tr>
      <w:tr w14:paraId="33C5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0496BE9F">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（二）政策性加分条件</w:t>
            </w:r>
          </w:p>
        </w:tc>
      </w:tr>
      <w:tr w14:paraId="1E9D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4D86FC98">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符合节能环保等国家政策要求</w:t>
            </w:r>
          </w:p>
        </w:tc>
      </w:tr>
      <w:tr w14:paraId="22D2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4E183E4">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（三）进口产品说明</w:t>
            </w:r>
          </w:p>
        </w:tc>
      </w:tr>
      <w:tr w14:paraId="5D76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6678E712">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本项目货物不接受进口产品（即通过中国海关报关验放进入中国境内且产自关境外的产品）参与投标，</w:t>
            </w:r>
            <w:r>
              <w:rPr>
                <w:rFonts w:hint="eastAsia" w:ascii="宋体" w:hAnsi="宋体" w:eastAsia="宋体" w:cs="宋体"/>
                <w:b/>
                <w:bCs/>
                <w:color w:val="auto"/>
                <w:sz w:val="21"/>
                <w:szCs w:val="21"/>
                <w:highlight w:val="none"/>
                <w:u w:val="single"/>
              </w:rPr>
              <w:t>如有进口产品参与投标的，其投标文件按无效处理。</w:t>
            </w:r>
          </w:p>
        </w:tc>
      </w:tr>
      <w:tr w14:paraId="32AC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3E2B0D7F">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四、其他要求</w:t>
            </w:r>
          </w:p>
        </w:tc>
      </w:tr>
      <w:tr w14:paraId="4151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698" w:type="dxa"/>
            <w:gridSpan w:val="6"/>
            <w:tcBorders>
              <w:top w:val="single" w:color="auto" w:sz="4" w:space="0"/>
              <w:left w:val="single" w:color="auto" w:sz="4" w:space="0"/>
              <w:bottom w:val="single" w:color="auto" w:sz="4" w:space="0"/>
              <w:right w:val="single" w:color="auto" w:sz="4" w:space="0"/>
            </w:tcBorders>
            <w:noWrap w:val="0"/>
            <w:vAlign w:val="center"/>
          </w:tcPr>
          <w:p w14:paraId="2F448662">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投标人根据本项目招标文件要求，</w:t>
            </w:r>
            <w:r>
              <w:rPr>
                <w:rFonts w:hint="eastAsia"/>
                <w:b/>
                <w:bCs/>
                <w:color w:val="auto"/>
                <w:highlight w:val="none"/>
              </w:rPr>
              <w:t>必须</w:t>
            </w:r>
            <w:r>
              <w:rPr>
                <w:rFonts w:hint="eastAsia" w:ascii="宋体" w:hAnsi="宋体" w:eastAsia="宋体" w:cs="宋体"/>
                <w:b/>
                <w:bCs/>
                <w:color w:val="auto"/>
                <w:sz w:val="21"/>
                <w:szCs w:val="21"/>
                <w:highlight w:val="none"/>
              </w:rPr>
              <w:t>于投</w:t>
            </w:r>
            <w:r>
              <w:rPr>
                <w:rFonts w:hint="eastAsia" w:ascii="宋体" w:hAnsi="宋体" w:eastAsia="宋体" w:cs="宋体"/>
                <w:b/>
                <w:color w:val="auto"/>
                <w:sz w:val="21"/>
                <w:szCs w:val="21"/>
                <w:highlight w:val="none"/>
              </w:rPr>
              <w:t>标文件中提供相应的“技术方案[可包含实施方案（项目执行方案、项目组织管理措施、安装方案）、培训方案]、售后服务”等内容。</w:t>
            </w:r>
            <w:bookmarkEnd w:id="49"/>
            <w:bookmarkEnd w:id="50"/>
            <w:bookmarkEnd w:id="51"/>
          </w:p>
        </w:tc>
      </w:tr>
    </w:tbl>
    <w:p w14:paraId="3D7E345D">
      <w:pPr>
        <w:pStyle w:val="242"/>
        <w:rPr>
          <w:rFonts w:hint="eastAsia" w:ascii="宋体" w:hAnsi="宋体" w:cs="宋体"/>
          <w:color w:val="auto"/>
          <w:sz w:val="32"/>
          <w:szCs w:val="32"/>
          <w:highlight w:val="none"/>
        </w:rPr>
      </w:pPr>
      <w:r>
        <w:rPr>
          <w:rFonts w:hint="eastAsia" w:ascii="宋体" w:hAnsi="宋体" w:cs="宋体"/>
          <w:b/>
          <w:bCs/>
          <w:color w:val="auto"/>
          <w:sz w:val="32"/>
          <w:szCs w:val="32"/>
          <w:highlight w:val="none"/>
        </w:rPr>
        <w:br w:type="page" w:clear="all"/>
      </w:r>
      <w:r>
        <w:rPr>
          <w:rFonts w:hint="eastAsia" w:ascii="宋体" w:hAnsi="宋体" w:cs="宋体"/>
          <w:b/>
          <w:bCs/>
          <w:color w:val="auto"/>
          <w:sz w:val="32"/>
          <w:szCs w:val="32"/>
          <w:highlight w:val="none"/>
        </w:rPr>
        <w:t>附件</w:t>
      </w:r>
      <w:r>
        <w:rPr>
          <w:rFonts w:hint="eastAsia" w:ascii="宋体" w:hAnsi="宋体" w:cs="宋体"/>
          <w:b/>
          <w:bCs/>
          <w:color w:val="auto"/>
          <w:sz w:val="32"/>
          <w:szCs w:val="32"/>
          <w:highlight w:val="none"/>
          <w:lang w:val="en-US" w:eastAsia="zh-CN"/>
        </w:rPr>
        <w:t>1</w:t>
      </w:r>
      <w:r>
        <w:rPr>
          <w:rFonts w:hint="eastAsia" w:ascii="宋体" w:hAnsi="宋体" w:cs="宋体"/>
          <w:b/>
          <w:bCs/>
          <w:color w:val="auto"/>
          <w:sz w:val="32"/>
          <w:szCs w:val="32"/>
          <w:highlight w:val="none"/>
        </w:rPr>
        <w:t>：</w:t>
      </w:r>
    </w:p>
    <w:p w14:paraId="3EE8A72F">
      <w:pPr>
        <w:spacing w:line="528" w:lineRule="exact"/>
        <w:jc w:val="center"/>
        <w:rPr>
          <w:rFonts w:hint="eastAsia" w:ascii="宋体" w:hAnsi="宋体" w:cs="宋体"/>
          <w:b/>
          <w:bCs/>
          <w:color w:val="auto"/>
          <w:sz w:val="40"/>
          <w:szCs w:val="40"/>
          <w:highlight w:val="none"/>
        </w:rPr>
      </w:pPr>
      <w:r>
        <w:rPr>
          <w:rFonts w:hint="eastAsia" w:ascii="宋体" w:hAnsi="宋体" w:cs="宋体"/>
          <w:b/>
          <w:bCs/>
          <w:color w:val="auto"/>
          <w:sz w:val="44"/>
          <w:szCs w:val="44"/>
          <w:highlight w:val="none"/>
        </w:rPr>
        <w:t>节能产品政府采购品目清单</w:t>
      </w:r>
    </w:p>
    <w:tbl>
      <w:tblPr>
        <w:tblStyle w:val="30"/>
        <w:tblW w:w="93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421"/>
        <w:gridCol w:w="1581"/>
        <w:gridCol w:w="1371"/>
        <w:gridCol w:w="4293"/>
      </w:tblGrid>
      <w:tr w14:paraId="0B2A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F4F68E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品目序号</w:t>
            </w:r>
          </w:p>
        </w:tc>
        <w:tc>
          <w:tcPr>
            <w:tcW w:w="4289" w:type="dxa"/>
            <w:gridSpan w:val="3"/>
            <w:tcBorders>
              <w:top w:val="single" w:color="auto" w:sz="4" w:space="0"/>
              <w:left w:val="single" w:color="auto" w:sz="4" w:space="0"/>
              <w:bottom w:val="single" w:color="auto" w:sz="4" w:space="0"/>
              <w:right w:val="single" w:color="auto" w:sz="4" w:space="0"/>
            </w:tcBorders>
            <w:noWrap w:val="0"/>
            <w:vAlign w:val="center"/>
          </w:tcPr>
          <w:p w14:paraId="61755D8E">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名称</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3D380062">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依据的标准</w:t>
            </w:r>
          </w:p>
        </w:tc>
      </w:tr>
      <w:tr w14:paraId="0518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56FBE5CE">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0E25EB78">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A02010100计算机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9969F2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★A02010105台式计算机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1407F3B">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450EEA7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《微型计算机能效限定值及能效等级》（GB28380）</w:t>
            </w:r>
          </w:p>
        </w:tc>
      </w:tr>
      <w:tr w14:paraId="488F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810E9AE">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55BD61">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1DC095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★A02010108便携式计算机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FB1F48D">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1E52490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《微型计算机能效限定值及能效等级》（GB28380）</w:t>
            </w:r>
          </w:p>
        </w:tc>
      </w:tr>
      <w:tr w14:paraId="397F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424AE31">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16F10C">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4AADA0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★A02010109平板式计算机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4E847CB">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6FA80C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《微型计算机能效限定值及能效等级》（GB28380）</w:t>
            </w:r>
          </w:p>
        </w:tc>
      </w:tr>
      <w:tr w14:paraId="549F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6D9B8394">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1EA8EA4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A02020000办公设备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18F1A975">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A02021000打印机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2B5E13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A02021001 A3黑白打印机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6B09E2A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1B8C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718B588">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3006CB1">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63ECA014">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8B9E8B4">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A02021002 A3彩色打印机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2AFE31A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626F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CB6AE6B">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DF66D0">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5EAD1C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10B839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A02021003 A4黑白打印机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01DB91C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55DE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A864350">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FDAD06">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36D9AFE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F7B4014">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A02021004 A4彩色打印机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195CDF5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6A42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F05F29B">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09687CA">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4F78973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F16852C">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A02021005 3D打印机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029CFF8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0D8B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B382EE4">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6212A0A">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30ED45E7">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F157F4B">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A02021006票据打印机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852A5C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7E66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6C0A97E">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22225C1">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017D343E">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B98A53E">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A02021007条码打印机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6F70A20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5551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E0F88DB">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ACF84DD">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41B4E6D7">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36FC575">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A02021008地址打印机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2579538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5056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6B64E23">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6E1F3F9">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B965100">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99E8D1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A02021099其他打印机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91A98E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6615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A8B5E6B">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5C62B91">
            <w:pPr>
              <w:widowControl/>
              <w:spacing w:line="360" w:lineRule="auto"/>
              <w:jc w:val="left"/>
              <w:rPr>
                <w:rFonts w:hint="eastAsia" w:ascii="宋体" w:hAnsi="宋体" w:eastAsia="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5C54F420">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A02021100输入输出设备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3FC2453">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★A02021104液晶显示器</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0625CD0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《计算机显示器能效限定值及能效等级》（GB21520）</w:t>
            </w:r>
          </w:p>
        </w:tc>
      </w:tr>
      <w:tr w14:paraId="1821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DCA6FC0">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C8BEE4F">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7AD9974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E177D4B">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A02021118扫描仪</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2946139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参照《复印机、打印机和传真机能效限定值及能效等级》（GB21521）中打印速度为15页/分的针式打印机相关要求</w:t>
            </w:r>
          </w:p>
        </w:tc>
      </w:tr>
      <w:tr w14:paraId="79FA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1A81F9A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3C5212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A02020200投影仪</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73B3996">
            <w:pPr>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508B0C6">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center"/>
          </w:tcPr>
          <w:p w14:paraId="3B65D4E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《投影机能效限定值及能效等级》（GB32028）</w:t>
            </w:r>
          </w:p>
        </w:tc>
      </w:tr>
      <w:tr w14:paraId="32A5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0567FFB">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540103C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A02020400多功能一体机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F24057C">
            <w:pPr>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A24AC5B">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center"/>
          </w:tcPr>
          <w:p w14:paraId="54FFE54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《复印机、打印机和传真机能效限定值及能效等级》（GB21521）</w:t>
            </w:r>
          </w:p>
        </w:tc>
      </w:tr>
      <w:tr w14:paraId="2A58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37A3FCC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4445BA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A02051900泵</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8A394A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A02051901离心泵</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C04598E">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2F25C6B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《清水离心泵能效限定值及节能评价值》（GB19762）</w:t>
            </w:r>
          </w:p>
        </w:tc>
      </w:tr>
      <w:tr w14:paraId="6A34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2652E42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309D90F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A02052300制冷空调设备</w:t>
            </w: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6681F3A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★A02052301制冷压缩机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3A5621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冷水机组</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D51A9C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《冷水机组能效限定值及能效等级》（GB19577），《低环境温度空气源热泵（冷水）机组能效限定值及能效等级》（GB37480）</w:t>
            </w:r>
          </w:p>
        </w:tc>
      </w:tr>
      <w:tr w14:paraId="68E2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93CB40A">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0A99F2A">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80B480A">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1E83A4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溴化锂吸收式冷水机组</w:t>
            </w:r>
          </w:p>
        </w:tc>
        <w:tc>
          <w:tcPr>
            <w:tcW w:w="4370" w:type="dxa"/>
            <w:tcBorders>
              <w:top w:val="single" w:color="auto" w:sz="4" w:space="0"/>
              <w:left w:val="single" w:color="auto" w:sz="4" w:space="0"/>
              <w:bottom w:val="single" w:color="auto" w:sz="4" w:space="0"/>
              <w:right w:val="single" w:color="auto" w:sz="4" w:space="0"/>
            </w:tcBorders>
            <w:noWrap w:val="0"/>
            <w:vAlign w:val="center"/>
          </w:tcPr>
          <w:p w14:paraId="15C2B003">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《溴化锂吸收式冷水机组能效限</w:t>
            </w:r>
          </w:p>
          <w:p w14:paraId="343C3ED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定值及能效等级》（GB29540）</w:t>
            </w:r>
          </w:p>
        </w:tc>
      </w:tr>
      <w:tr w14:paraId="545F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53DC691">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AE2F433">
            <w:pPr>
              <w:widowControl/>
              <w:spacing w:line="360" w:lineRule="auto"/>
              <w:jc w:val="left"/>
              <w:rPr>
                <w:rFonts w:hint="eastAsia" w:ascii="宋体" w:hAnsi="宋体" w:eastAsia="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3472668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★A02052305空调机组</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2ADB40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多联式空调（热泵）机组（制冷量&gt;14000W）</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0133B73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《多联式空调（热泵）机组能效限定值及能源效率等级》（GB21454）</w:t>
            </w:r>
          </w:p>
        </w:tc>
      </w:tr>
      <w:tr w14:paraId="5CC0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316B976">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0E8CA34">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54DD0186">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81EEDB7">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单元式空气调节机</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4A4E407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《单元式空气调节机能效限定值及能效等级》（GB19576）《风管送风式空调机组能效限定值及能效等级》（GB37479）</w:t>
            </w:r>
          </w:p>
        </w:tc>
      </w:tr>
      <w:tr w14:paraId="5B9C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7CA69A6">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9D8355E">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2639BA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★A02052309专用制冷、空调设备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2A06FC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机房空调</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72870F94">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《单元式空气调节机能效限定值</w:t>
            </w:r>
          </w:p>
          <w:p w14:paraId="230D7D5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及能效等级》（GB19576）</w:t>
            </w:r>
          </w:p>
        </w:tc>
      </w:tr>
      <w:tr w14:paraId="745D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1D7657D">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241318D">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28D339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A02052399其他制冷</w:t>
            </w:r>
          </w:p>
          <w:p w14:paraId="518BB019">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空调设备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C3A7316">
            <w:pPr>
              <w:widowControl/>
              <w:spacing w:line="360" w:lineRule="auto"/>
              <w:jc w:val="left"/>
              <w:rPr>
                <w:rFonts w:hint="eastAsia" w:ascii="宋体" w:hAnsi="宋体" w:eastAsia="宋体" w:cs="宋体"/>
                <w:color w:val="auto"/>
                <w:highlight w:val="none"/>
                <w:lang w:eastAsia="en-US"/>
              </w:rPr>
            </w:pPr>
            <w:r>
              <w:rPr>
                <w:rFonts w:hint="eastAsia" w:ascii="宋体" w:hAnsi="宋体" w:eastAsia="宋体" w:cs="宋体"/>
                <w:color w:val="auto"/>
                <w:highlight w:val="none"/>
              </w:rPr>
              <w:t>冷却塔</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721D1B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《机械通风冷却塔第1部分：中小型开式冷却塔》（GB/T7190.1）</w:t>
            </w:r>
          </w:p>
          <w:p w14:paraId="74616004">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《机械通风冷却塔第2部分：大型开式冷却塔》（GB/T7190.2）</w:t>
            </w:r>
          </w:p>
        </w:tc>
      </w:tr>
      <w:tr w14:paraId="0888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4F142E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51FCD8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A02060100电机</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90B9BDA">
            <w:pPr>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3B5AC99">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0F5F361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《中小型三相异步电动机能效限定值及能效等级》（GB18613）</w:t>
            </w:r>
          </w:p>
        </w:tc>
      </w:tr>
      <w:tr w14:paraId="7D81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2C550D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48FDA4C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A02060200变压</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996491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配电变压器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8D5A53D">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7433BB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《三相配电变压器能效限定值及能效等级》</w:t>
            </w:r>
          </w:p>
        </w:tc>
      </w:tr>
      <w:tr w14:paraId="1493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2A5351A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3EBBE7F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★A02060900镇流器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55CB11E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管型荧光灯镇流器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5780646">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17748E3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《管形荧光灯镇流器能效限定值及能效等级》（GB17896）</w:t>
            </w:r>
          </w:p>
        </w:tc>
      </w:tr>
      <w:tr w14:paraId="2739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34908F4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19E42EB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A02061800生活用电器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EE9A3D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A02061801电冰箱</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82CC3FE">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3735CBB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《家用电冰箱耗电量限定值及能效等级》（GB12021.2）</w:t>
            </w:r>
          </w:p>
        </w:tc>
      </w:tr>
      <w:tr w14:paraId="519F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58D9915">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9B8FD4C">
            <w:pPr>
              <w:widowControl/>
              <w:spacing w:line="360" w:lineRule="auto"/>
              <w:jc w:val="left"/>
              <w:rPr>
                <w:rFonts w:hint="eastAsia" w:ascii="宋体" w:hAnsi="宋体" w:eastAsia="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1E6A0EF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★A02061804空调机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388015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房间空气调节器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59EE5F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《房间空气调节器能效限定值及能效等级》（GB21455-2019）</w:t>
            </w:r>
          </w:p>
        </w:tc>
      </w:tr>
      <w:tr w14:paraId="786C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3D294AE">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7E61A63">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729EE28F">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B49B29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多联式空调（热泵）机组（制冷量≤ 14000W）</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F3D788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《多联式空调（热泵）机组能效限定值及能源效率等级》（GB21454）</w:t>
            </w:r>
          </w:p>
        </w:tc>
      </w:tr>
      <w:tr w14:paraId="20AEA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CDB5248">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39854A4">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5D2BE875">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6424F2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单元式空气调节机（制冷量≤ 14000W）</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3F68951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《单元式空气调节机能效限定值及能源效率等级》（GB19576）《风管送风式空调机组能效限定值及能效等级》（GB37479）</w:t>
            </w:r>
          </w:p>
        </w:tc>
      </w:tr>
      <w:tr w14:paraId="691A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A8C9A59">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0FA3332">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BED17F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A02061810洗衣机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59B04C3">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191C0D1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《电动洗衣机能效水效限定值及等级》（GB12021.4）</w:t>
            </w:r>
          </w:p>
        </w:tc>
      </w:tr>
      <w:tr w14:paraId="4031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5B1F03D">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6BF4C85">
            <w:pPr>
              <w:widowControl/>
              <w:spacing w:line="360" w:lineRule="auto"/>
              <w:jc w:val="left"/>
              <w:rPr>
                <w:rFonts w:hint="eastAsia" w:ascii="宋体" w:hAnsi="宋体" w:eastAsia="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noWrap w:val="0"/>
            <w:vAlign w:val="center"/>
          </w:tcPr>
          <w:p w14:paraId="704F9A4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A02061819热水器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A609B8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★电热水器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28D10B2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《储水式电热水器能效限定值及能效等级》（GB21519）</w:t>
            </w:r>
          </w:p>
        </w:tc>
      </w:tr>
      <w:tr w14:paraId="5208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8E55C8">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2CCAB0C8">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239ED73F">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3FDD70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燃气热水器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3BD51A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《家用燃气快速热水器和燃气采暖热水炉能效限定值及能效等级》（GB20665）</w:t>
            </w:r>
          </w:p>
        </w:tc>
      </w:tr>
      <w:tr w14:paraId="120E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CAABB1F">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0F3383D">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1E069E48">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8639DA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热泵热水器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5E07C81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《热泵热水机（器）能效限定值及能效等级》（GB29541）</w:t>
            </w:r>
          </w:p>
        </w:tc>
      </w:tr>
      <w:tr w14:paraId="7CDC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8675A91">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0F008AD">
            <w:pPr>
              <w:widowControl/>
              <w:spacing w:line="360" w:lineRule="auto"/>
              <w:jc w:val="left"/>
              <w:rPr>
                <w:rFonts w:hint="eastAsia" w:ascii="宋体" w:hAnsi="宋体" w:eastAsia="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noWrap w:val="0"/>
            <w:vAlign w:val="center"/>
          </w:tcPr>
          <w:p w14:paraId="2B7F57D0">
            <w:pPr>
              <w:widowControl/>
              <w:spacing w:line="360" w:lineRule="auto"/>
              <w:jc w:val="left"/>
              <w:rPr>
                <w:rFonts w:hint="eastAsia" w:ascii="宋体" w:hAnsi="宋体" w:eastAsia="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0EF7DC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太阳能热水系统</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4D53108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《家用太阳能热水系统能效限定值及能效等级》（GB26969）</w:t>
            </w:r>
          </w:p>
        </w:tc>
      </w:tr>
      <w:tr w14:paraId="3ECE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6969DF4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63FE4F9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A02061900照明设备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48FAAA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★通照明用端荧光灯</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C697DB1">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E44953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《普通照明用双端荧光灯能效限定值及能效等级》（GB19043）</w:t>
            </w:r>
          </w:p>
        </w:tc>
      </w:tr>
      <w:tr w14:paraId="2AD6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FB698F4">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462372C">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19B89C8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LED道路/隧道照明产品</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CB029F5">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7DBDC7A7">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《道路和隧道照明用LED灯具能效限定值及能效等级》</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GB37478</w:t>
            </w:r>
            <w:r>
              <w:rPr>
                <w:rFonts w:hint="eastAsia" w:ascii="宋体" w:hAnsi="宋体" w:eastAsia="宋体" w:cs="宋体"/>
                <w:color w:val="auto"/>
                <w:highlight w:val="none"/>
                <w:lang w:eastAsia="zh-CN"/>
              </w:rPr>
              <w:t>）</w:t>
            </w:r>
          </w:p>
        </w:tc>
      </w:tr>
      <w:tr w14:paraId="4085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CF474B7">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10CAA13">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293165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LED筒灯</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458BBEC">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A6D98BD">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《室内照明用LED产品能效限定值及能效等级》（GB30255）</w:t>
            </w:r>
          </w:p>
        </w:tc>
      </w:tr>
      <w:tr w14:paraId="3BA3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60F13D93">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4C236038">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25D24B2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普通照明用非定向自镇流LED灯</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EE49FD3">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C3C9FD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《室内照明用LED产品能效限定值及能效等级》（GB30255）</w:t>
            </w:r>
          </w:p>
        </w:tc>
      </w:tr>
      <w:tr w14:paraId="6828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75C9EFD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12</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2D5B04E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★A02091000电视设备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108535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A02091001普通电视设备（电视机）</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273B907">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F62D79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《平板电视能效限定值及能效等级》（GB24850）</w:t>
            </w:r>
          </w:p>
        </w:tc>
      </w:tr>
      <w:tr w14:paraId="4791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B79DA6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13</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F985B5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★A02091100视频设备</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7014DF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A02091107视频监控设备</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942555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监视器</w:t>
            </w:r>
          </w:p>
        </w:tc>
        <w:tc>
          <w:tcPr>
            <w:tcW w:w="4370" w:type="dxa"/>
            <w:tcBorders>
              <w:top w:val="single" w:color="auto" w:sz="4" w:space="0"/>
              <w:left w:val="single" w:color="auto" w:sz="4" w:space="0"/>
              <w:bottom w:val="single" w:color="auto" w:sz="4" w:space="0"/>
              <w:right w:val="single" w:color="auto" w:sz="4" w:space="0"/>
            </w:tcBorders>
            <w:noWrap w:val="0"/>
            <w:vAlign w:val="top"/>
          </w:tcPr>
          <w:p w14:paraId="76B44F5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以射频信号为主要信号输入的监视器应符合《平板电视能效限定值及能效等级》（GB24850），以数字信号为主要信号输入的监视器应符合《计算机显示器能效限定值及能效等级》（GB21520）</w:t>
            </w:r>
          </w:p>
        </w:tc>
      </w:tr>
      <w:tr w14:paraId="2315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10671C7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14</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634EFC0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A02241000饮食炊事机械</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489A6A4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商用燃气灶具</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432A989">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7D4987F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《商用燃气灶具能效限定值及能效等级》（GB30531）</w:t>
            </w:r>
          </w:p>
        </w:tc>
      </w:tr>
      <w:tr w14:paraId="304D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14:paraId="571B5B8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15</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14:paraId="4F57F15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★A05020105便器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B2E45F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坐便器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135276F">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E1DA04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《坐便器水效限定值及水效等级》</w:t>
            </w:r>
          </w:p>
          <w:p w14:paraId="58F55521">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GB25502</w:t>
            </w:r>
            <w:r>
              <w:rPr>
                <w:rFonts w:hint="eastAsia" w:ascii="宋体" w:hAnsi="宋体" w:eastAsia="宋体" w:cs="宋体"/>
                <w:color w:val="auto"/>
                <w:highlight w:val="none"/>
                <w:lang w:eastAsia="zh-CN"/>
              </w:rPr>
              <w:t>)</w:t>
            </w:r>
          </w:p>
        </w:tc>
      </w:tr>
      <w:tr w14:paraId="0EE2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725AFFCD">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C88E7BC">
            <w:pPr>
              <w:widowControl/>
              <w:spacing w:line="360" w:lineRule="auto"/>
              <w:jc w:val="left"/>
              <w:rPr>
                <w:rFonts w:hint="eastAsia" w:ascii="宋体" w:hAnsi="宋体" w:eastAsia="宋体" w:cs="宋体"/>
                <w:color w:val="auto"/>
                <w:highlight w:val="none"/>
                <w:lang w:eastAsia="en-US"/>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7CA95BD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蹲便器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38BF3EE">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3CF6081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《蹲便器用水效率限定值及用水效率等级》（GB30717）</w:t>
            </w:r>
          </w:p>
        </w:tc>
      </w:tr>
      <w:tr w14:paraId="41DD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5D60B062">
            <w:pPr>
              <w:widowControl/>
              <w:spacing w:line="360" w:lineRule="auto"/>
              <w:jc w:val="left"/>
              <w:rPr>
                <w:rFonts w:hint="eastAsia" w:ascii="宋体" w:hAnsi="宋体" w:eastAsia="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17EC7E2E">
            <w:pPr>
              <w:widowControl/>
              <w:spacing w:line="360" w:lineRule="auto"/>
              <w:jc w:val="left"/>
              <w:rPr>
                <w:rFonts w:hint="eastAsia" w:ascii="宋体" w:hAnsi="宋体" w:eastAsia="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02D962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小便器</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011254D">
            <w:pPr>
              <w:spacing w:line="360" w:lineRule="auto"/>
              <w:jc w:val="left"/>
              <w:rPr>
                <w:rFonts w:hint="eastAsia" w:ascii="宋体" w:hAnsi="宋体" w:eastAsia="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563F186">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《小便器用水效率限定值及用水效率等级》（GB28377）</w:t>
            </w:r>
          </w:p>
        </w:tc>
      </w:tr>
      <w:tr w14:paraId="0339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6E83775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16</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7F684EC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★A05020106水嘴</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0C1E49CF">
            <w:pPr>
              <w:spacing w:line="360" w:lineRule="auto"/>
              <w:jc w:val="left"/>
              <w:rPr>
                <w:rFonts w:hint="eastAsia" w:ascii="宋体" w:hAnsi="宋体" w:eastAsia="宋体" w:cs="宋体"/>
                <w:color w:val="auto"/>
                <w:highlight w:val="none"/>
                <w:lang w:eastAsia="en-US"/>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C5F6D06">
            <w:pPr>
              <w:spacing w:line="360" w:lineRule="auto"/>
              <w:jc w:val="left"/>
              <w:rPr>
                <w:rFonts w:hint="eastAsia" w:ascii="宋体" w:hAnsi="宋体" w:eastAsia="宋体" w:cs="宋体"/>
                <w:color w:val="auto"/>
                <w:highlight w:val="none"/>
                <w:lang w:eastAsia="en-US"/>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671DFA5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《水嘴用水效率限定值及用水效率等级》（GB 25501）</w:t>
            </w:r>
          </w:p>
        </w:tc>
      </w:tr>
      <w:tr w14:paraId="1397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4A9064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17</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164BAC2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A05020107便器冲洗阀</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3E4AD754">
            <w:pPr>
              <w:spacing w:line="360" w:lineRule="auto"/>
              <w:jc w:val="left"/>
              <w:rPr>
                <w:rFonts w:hint="eastAsia" w:ascii="宋体" w:hAnsi="宋体" w:eastAsia="宋体" w:cs="宋体"/>
                <w:color w:val="auto"/>
                <w:highlight w:val="none"/>
                <w:lang w:eastAsia="en-US"/>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4A8ADCF5">
            <w:pPr>
              <w:spacing w:line="360" w:lineRule="auto"/>
              <w:jc w:val="left"/>
              <w:rPr>
                <w:rFonts w:hint="eastAsia" w:ascii="宋体" w:hAnsi="宋体" w:eastAsia="宋体" w:cs="宋体"/>
                <w:color w:val="auto"/>
                <w:highlight w:val="none"/>
                <w:lang w:eastAsia="en-US"/>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565193D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《便器冲洗阀用水效率限定值及用水效率等级》（GB28379）</w:t>
            </w:r>
          </w:p>
        </w:tc>
      </w:tr>
      <w:tr w14:paraId="7DED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noWrap w:val="0"/>
            <w:vAlign w:val="center"/>
          </w:tcPr>
          <w:p w14:paraId="45F3982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18</w:t>
            </w:r>
          </w:p>
        </w:tc>
        <w:tc>
          <w:tcPr>
            <w:tcW w:w="1422" w:type="dxa"/>
            <w:tcBorders>
              <w:top w:val="single" w:color="auto" w:sz="4" w:space="0"/>
              <w:left w:val="single" w:color="auto" w:sz="4" w:space="0"/>
              <w:bottom w:val="single" w:color="auto" w:sz="4" w:space="0"/>
              <w:right w:val="single" w:color="auto" w:sz="4" w:space="0"/>
            </w:tcBorders>
            <w:noWrap w:val="0"/>
            <w:vAlign w:val="center"/>
          </w:tcPr>
          <w:p w14:paraId="39A50AB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A05020110淋浴器</w:t>
            </w:r>
          </w:p>
        </w:tc>
        <w:tc>
          <w:tcPr>
            <w:tcW w:w="1496" w:type="dxa"/>
            <w:tcBorders>
              <w:top w:val="single" w:color="auto" w:sz="4" w:space="0"/>
              <w:left w:val="single" w:color="auto" w:sz="4" w:space="0"/>
              <w:bottom w:val="single" w:color="auto" w:sz="4" w:space="0"/>
              <w:right w:val="single" w:color="auto" w:sz="4" w:space="0"/>
            </w:tcBorders>
            <w:noWrap w:val="0"/>
            <w:vAlign w:val="center"/>
          </w:tcPr>
          <w:p w14:paraId="6FA4B6CB">
            <w:pPr>
              <w:spacing w:line="360" w:lineRule="auto"/>
              <w:jc w:val="left"/>
              <w:rPr>
                <w:rFonts w:hint="eastAsia" w:ascii="宋体" w:hAnsi="宋体" w:eastAsia="宋体" w:cs="宋体"/>
                <w:color w:val="auto"/>
                <w:highlight w:val="none"/>
                <w:lang w:eastAsia="en-US"/>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56C15138">
            <w:pPr>
              <w:spacing w:line="360" w:lineRule="auto"/>
              <w:jc w:val="left"/>
              <w:rPr>
                <w:rFonts w:hint="eastAsia" w:ascii="宋体" w:hAnsi="宋体" w:eastAsia="宋体" w:cs="宋体"/>
                <w:color w:val="auto"/>
                <w:highlight w:val="none"/>
                <w:lang w:eastAsia="en-US"/>
              </w:rPr>
            </w:pPr>
          </w:p>
        </w:tc>
        <w:tc>
          <w:tcPr>
            <w:tcW w:w="4370" w:type="dxa"/>
            <w:tcBorders>
              <w:top w:val="single" w:color="auto" w:sz="4" w:space="0"/>
              <w:left w:val="single" w:color="auto" w:sz="4" w:space="0"/>
              <w:bottom w:val="single" w:color="auto" w:sz="4" w:space="0"/>
              <w:right w:val="single" w:color="auto" w:sz="4" w:space="0"/>
            </w:tcBorders>
            <w:noWrap w:val="0"/>
            <w:vAlign w:val="top"/>
          </w:tcPr>
          <w:p w14:paraId="4040FA0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《淋浴器用水效率限定值及用水效率等级》（GB28378）</w:t>
            </w:r>
          </w:p>
        </w:tc>
      </w:tr>
    </w:tbl>
    <w:p w14:paraId="254D68E4">
      <w:pPr>
        <w:pStyle w:val="221"/>
        <w:spacing w:line="360" w:lineRule="auto"/>
        <w:ind w:firstLine="408"/>
        <w:rPr>
          <w:rFonts w:hint="eastAsia" w:ascii="宋体" w:hAnsi="宋体" w:cs="宋体"/>
          <w:color w:val="auto"/>
          <w:sz w:val="21"/>
          <w:szCs w:val="21"/>
          <w:highlight w:val="none"/>
        </w:rPr>
      </w:pPr>
      <w:r>
        <w:rPr>
          <w:rFonts w:hint="eastAsia" w:ascii="宋体" w:hAnsi="宋体" w:cs="宋体"/>
          <w:color w:val="auto"/>
          <w:spacing w:val="-3"/>
          <w:sz w:val="21"/>
          <w:szCs w:val="21"/>
          <w:highlight w:val="none"/>
        </w:rPr>
        <w:t>注：1.节能产品认证应依据相关国家标准的最新版本，依据国家标准中二级能效（水效）</w:t>
      </w:r>
      <w:r>
        <w:rPr>
          <w:rFonts w:hint="eastAsia" w:ascii="宋体" w:hAnsi="宋体" w:cs="宋体"/>
          <w:color w:val="auto"/>
          <w:sz w:val="21"/>
          <w:szCs w:val="21"/>
          <w:highlight w:val="none"/>
        </w:rPr>
        <w:t>指标。</w:t>
      </w:r>
    </w:p>
    <w:p w14:paraId="4A910C08">
      <w:pPr>
        <w:pStyle w:val="221"/>
        <w:spacing w:line="360" w:lineRule="auto"/>
        <w:ind w:firstLine="42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以“★”标注的为政府强制采购产品。</w:t>
      </w:r>
    </w:p>
    <w:p w14:paraId="4578ECDE">
      <w:pPr>
        <w:pStyle w:val="221"/>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122FDE75">
      <w:pPr>
        <w:widowControl/>
        <w:ind w:firstLine="400"/>
        <w:jc w:val="left"/>
        <w:rPr>
          <w:rFonts w:hint="eastAsia" w:ascii="宋体" w:hAnsi="宋体" w:cs="宋体"/>
          <w:color w:val="auto"/>
          <w:sz w:val="32"/>
          <w:szCs w:val="32"/>
          <w:highlight w:val="none"/>
        </w:rPr>
      </w:pPr>
      <w:r>
        <w:rPr>
          <w:rFonts w:hint="eastAsia" w:ascii="宋体" w:hAnsi="宋体" w:cs="宋体"/>
          <w:color w:val="auto"/>
          <w:sz w:val="20"/>
          <w:szCs w:val="20"/>
          <w:highlight w:val="none"/>
        </w:rPr>
        <w:br w:type="page" w:clear="all"/>
      </w:r>
      <w:r>
        <w:rPr>
          <w:rFonts w:hint="eastAsia" w:ascii="宋体" w:hAnsi="宋体" w:cs="宋体"/>
          <w:b/>
          <w:bCs/>
          <w:color w:val="auto"/>
          <w:sz w:val="32"/>
          <w:szCs w:val="32"/>
          <w:highlight w:val="none"/>
        </w:rPr>
        <w:t>附件</w:t>
      </w:r>
      <w:r>
        <w:rPr>
          <w:rFonts w:hint="eastAsia" w:ascii="宋体" w:hAnsi="宋体" w:cs="宋体"/>
          <w:b/>
          <w:bCs/>
          <w:color w:val="auto"/>
          <w:sz w:val="32"/>
          <w:szCs w:val="32"/>
          <w:highlight w:val="none"/>
          <w:lang w:val="en-US" w:eastAsia="zh-CN"/>
        </w:rPr>
        <w:t>2</w:t>
      </w:r>
      <w:r>
        <w:rPr>
          <w:rFonts w:hint="eastAsia" w:ascii="宋体" w:hAnsi="宋体" w:cs="宋体"/>
          <w:b/>
          <w:bCs/>
          <w:color w:val="auto"/>
          <w:sz w:val="32"/>
          <w:szCs w:val="32"/>
          <w:highlight w:val="none"/>
        </w:rPr>
        <w:t>：</w:t>
      </w:r>
    </w:p>
    <w:p w14:paraId="28E00991">
      <w:pPr>
        <w:pStyle w:val="221"/>
        <w:ind w:firstLine="562"/>
        <w:jc w:val="center"/>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中小企业划型标准规定</w:t>
      </w:r>
    </w:p>
    <w:p w14:paraId="558AA6AD">
      <w:pPr>
        <w:pStyle w:val="221"/>
        <w:ind w:firstLine="42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工信部联企业〔2011〕300号</w:t>
      </w:r>
    </w:p>
    <w:p w14:paraId="14789EDF">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一、根据《中华人民共和国中小企业促进法》和《国务院关于进一步促进中小企业发展的若干意见》（国发〔2009〕36号），制定本规定。</w:t>
      </w:r>
    </w:p>
    <w:p w14:paraId="70D6E67A">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二、中小企业划分为中型、小型、微型三种类型，具体标准根据企业从业人员、营业收入、资产总额等指标，结合行业特点制定。</w:t>
      </w:r>
    </w:p>
    <w:p w14:paraId="563D28CB">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BA3E136">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四、各行业划型标准为：</w:t>
      </w:r>
    </w:p>
    <w:p w14:paraId="10CFB536">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（一）农、林、牧、渔业。营业收入20000万元以下的为中小微型企业。其中，营业收入500万元及以上的为中型企业，营业收入50万元及以上的为小型企业，营业收入50万元以下的为微型企业。</w:t>
      </w:r>
    </w:p>
    <w:p w14:paraId="09AD98DA">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DD83028">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7AFF1BC">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D747B42">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C88EDAC">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816C660">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993877F">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42CCA4D8">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13319B3">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E86FFD5">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DDE5E2F">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934D6EC">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87D57E8">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AC611F0">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7EF5E23">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（十六）其他未列明行业。从业人员300人以下的为中小微型企业。其中，从业人员100人及以上的为中型企业；从业人员10人及以上的为小型企业；从业人员10人以下的为微型企业。</w:t>
      </w:r>
    </w:p>
    <w:p w14:paraId="68804B52">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五、企业类型的划分以统计部门的统计数据为依据。</w:t>
      </w:r>
    </w:p>
    <w:p w14:paraId="2D7E4656">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六、本规定适用于在中华人民共和国境内依法设立的各类所有制和各种组织形式的企业。个体工商户和本规定以外的行业，参照本规定进行划型。</w:t>
      </w:r>
    </w:p>
    <w:p w14:paraId="1A2D8FAE">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七、本规定的中型企业标准上限即为大型企业标准的下限，国家统计部门据此制定大中小微型企业的统计分类。国务院有关部门据此进行相关数据分析，不得制定与本规定不一致的企业划型标准。</w:t>
      </w:r>
    </w:p>
    <w:p w14:paraId="437E495D">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八、本规定由工业和信息化部、国家统计局会同有关部门根据《国民经济行业分类》修订情况和企业发展变化情况适时修订。</w:t>
      </w:r>
    </w:p>
    <w:p w14:paraId="6BE746E2">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九、本规定由工业和信息化部、国家统计局会同有关部门负责解释。</w:t>
      </w:r>
    </w:p>
    <w:p w14:paraId="70DD9637">
      <w:pPr>
        <w:pStyle w:val="221"/>
        <w:spacing w:line="360" w:lineRule="auto"/>
        <w:ind w:firstLine="42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十、本规定自发布之日起执行，原国家经贸委、原国家计委、财政部和国家统计局2003年颁布的《中小企业标准暂行规定》同时废止。</w:t>
      </w:r>
    </w:p>
    <w:p w14:paraId="51C5E595">
      <w:pPr>
        <w:pStyle w:val="192"/>
        <w:spacing w:before="0" w:after="0" w:line="360" w:lineRule="auto"/>
        <w:ind w:firstLine="883"/>
        <w:jc w:val="center"/>
        <w:rPr>
          <w:rFonts w:hint="eastAsia" w:ascii="宋体" w:hAnsi="宋体" w:cs="宋体"/>
          <w:color w:val="auto"/>
          <w:highlight w:val="none"/>
        </w:rPr>
      </w:pPr>
      <w:bookmarkStart w:id="52" w:name="_Toc74320802"/>
      <w:r>
        <w:rPr>
          <w:rFonts w:hint="eastAsia" w:ascii="宋体" w:hAnsi="宋体" w:cs="宋体"/>
          <w:color w:val="auto"/>
          <w:highlight w:val="none"/>
        </w:rPr>
        <w:br w:type="page" w:clear="all"/>
      </w:r>
      <w:bookmarkStart w:id="53" w:name="_Toc11797"/>
      <w:bookmarkStart w:id="54" w:name="_Toc15900"/>
      <w:bookmarkStart w:id="55" w:name="_Toc30471"/>
      <w:bookmarkStart w:id="56" w:name="_Toc29551"/>
      <w:bookmarkStart w:id="57" w:name="_Toc14972"/>
      <w:r>
        <w:rPr>
          <w:rFonts w:hint="eastAsia" w:ascii="宋体" w:hAnsi="宋体" w:cs="宋体"/>
          <w:color w:val="auto"/>
          <w:highlight w:val="none"/>
        </w:rPr>
        <w:t>第三章  投标人须知</w:t>
      </w:r>
      <w:bookmarkEnd w:id="52"/>
      <w:bookmarkEnd w:id="53"/>
      <w:bookmarkEnd w:id="54"/>
      <w:bookmarkEnd w:id="55"/>
      <w:bookmarkEnd w:id="56"/>
      <w:bookmarkEnd w:id="57"/>
    </w:p>
    <w:p w14:paraId="2B6CB9FE">
      <w:pPr>
        <w:ind w:firstLine="720"/>
        <w:jc w:val="center"/>
        <w:rPr>
          <w:rFonts w:hint="eastAsia" w:ascii="宋体" w:hAnsi="宋体" w:cs="宋体"/>
          <w:color w:val="auto"/>
          <w:sz w:val="36"/>
          <w:szCs w:val="36"/>
          <w:highlight w:val="none"/>
        </w:rPr>
      </w:pPr>
      <w:bookmarkStart w:id="58" w:name="_Toc254970667"/>
      <w:bookmarkStart w:id="59" w:name="_Toc254970526"/>
      <w:r>
        <w:rPr>
          <w:rFonts w:hint="eastAsia" w:ascii="宋体" w:hAnsi="宋体" w:cs="宋体"/>
          <w:color w:val="auto"/>
          <w:sz w:val="36"/>
          <w:szCs w:val="36"/>
          <w:highlight w:val="none"/>
        </w:rPr>
        <w:t>投标人须知前附表</w:t>
      </w:r>
      <w:bookmarkEnd w:id="58"/>
      <w:bookmarkEnd w:id="59"/>
    </w:p>
    <w:tbl>
      <w:tblPr>
        <w:tblStyle w:val="30"/>
        <w:tblW w:w="956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670"/>
      </w:tblGrid>
      <w:tr w14:paraId="3BF05B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D7CE54B">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176094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4BE04A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31DA3C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E5BD26E">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1.投标人的资格要求详见招标公告。</w:t>
            </w:r>
          </w:p>
          <w:p w14:paraId="7429196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210E092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35F11D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1BF254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96F20AD">
            <w:pPr>
              <w:spacing w:line="360" w:lineRule="auto"/>
              <w:jc w:val="center"/>
              <w:rPr>
                <w:rFonts w:hint="eastAsia" w:ascii="宋体" w:hAnsi="宋体" w:cs="宋体"/>
                <w:color w:val="auto"/>
                <w:szCs w:val="21"/>
                <w:highlight w:val="none"/>
              </w:rPr>
            </w:pPr>
            <w:bookmarkStart w:id="60" w:name="_9.2"/>
            <w:bookmarkEnd w:id="60"/>
            <w:bookmarkStart w:id="61" w:name="_5"/>
            <w:bookmarkEnd w:id="61"/>
            <w:bookmarkStart w:id="62" w:name="_8.1"/>
            <w:bookmarkEnd w:id="62"/>
            <w:r>
              <w:rPr>
                <w:rFonts w:hint="eastAsia" w:ascii="宋体" w:hAnsi="宋体" w:cs="宋体"/>
                <w:color w:val="auto"/>
                <w:szCs w:val="21"/>
                <w:highlight w:val="none"/>
              </w:rPr>
              <w:t>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2221B83">
            <w:pPr>
              <w:pStyle w:val="217"/>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本项目是否接受联合体投标：详见招标公告。</w:t>
            </w:r>
          </w:p>
        </w:tc>
      </w:tr>
      <w:tr w14:paraId="48A606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7E6E2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D528074">
            <w:pPr>
              <w:pStyle w:val="217"/>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联合体投标要求：无。</w:t>
            </w:r>
          </w:p>
        </w:tc>
      </w:tr>
      <w:tr w14:paraId="6E893A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21898A2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7.2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E903BB6">
            <w:pPr>
              <w:pStyle w:val="217"/>
              <w:spacing w:line="360" w:lineRule="auto"/>
              <w:rPr>
                <w:rFonts w:hint="eastAsia" w:ascii="宋体" w:hAnsi="宋体" w:cs="宋体"/>
                <w:color w:val="auto"/>
                <w:szCs w:val="21"/>
                <w:highlight w:val="none"/>
                <w:u w:val="single"/>
                <w:lang w:val="en-US" w:eastAsia="zh-CN"/>
              </w:rPr>
            </w:pPr>
            <w:r>
              <w:rPr>
                <w:rFonts w:hint="eastAsia" w:ascii="宋体" w:hAnsi="宋体" w:cs="宋体"/>
                <w:color w:val="auto"/>
                <w:szCs w:val="21"/>
                <w:highlight w:val="none"/>
                <w:lang w:val="en-US" w:eastAsia="zh-CN"/>
              </w:rPr>
              <w:t>☑不允许分包</w:t>
            </w:r>
          </w:p>
        </w:tc>
      </w:tr>
      <w:tr w14:paraId="655D4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F5D824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8.1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5953CF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采用综合评分法的采购项目，提供相同品牌产品（非单一产品采购项目的，指核心产品）的不同投标人评审得分相同时，按照下列方式确定一个投标人获得中标</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推荐资格：</w:t>
            </w:r>
          </w:p>
          <w:p w14:paraId="087D2BA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☑依次按投标报价低的优先、政策分得分高的优先、技术评分高的优先、商务评分高的优先、质保期长优先、交货期短优先、故障响应时间短优先的顺序推荐；</w:t>
            </w:r>
          </w:p>
        </w:tc>
      </w:tr>
      <w:tr w14:paraId="5A980E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080EDE1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1796947">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☑不组织现场考察</w:t>
            </w:r>
            <w:r>
              <w:rPr>
                <w:rFonts w:hint="eastAsia"/>
                <w:color w:val="auto"/>
                <w:highlight w:val="none"/>
                <w:lang w:eastAsia="zh-CN"/>
              </w:rPr>
              <w:t>，</w:t>
            </w:r>
            <w:r>
              <w:rPr>
                <w:rFonts w:hint="eastAsia" w:ascii="宋体" w:hAnsi="宋体" w:eastAsia="宋体" w:cs="宋体"/>
                <w:color w:val="auto"/>
                <w:highlight w:val="none"/>
                <w:lang w:eastAsia="zh-CN"/>
              </w:rPr>
              <w:t>供应商如需现场踏勘可自行前往项目交付地点了解相关情况，前往时请联系港市中西医结合骨科医院采购办，罗健，0775-4213112。</w:t>
            </w:r>
          </w:p>
        </w:tc>
      </w:tr>
      <w:tr w14:paraId="589CEC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6C4AC7CE">
            <w:pPr>
              <w:spacing w:line="360" w:lineRule="auto"/>
              <w:jc w:val="center"/>
              <w:rPr>
                <w:rFonts w:hint="eastAsia" w:ascii="宋体" w:hAnsi="宋体" w:cs="宋体"/>
                <w:color w:val="auto"/>
                <w:szCs w:val="21"/>
                <w:highlight w:val="none"/>
              </w:rPr>
            </w:pP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91CB7C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☑不组织召开开标前答疑会</w:t>
            </w:r>
          </w:p>
        </w:tc>
      </w:tr>
      <w:tr w14:paraId="772D9B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bottom w:val="single" w:color="auto" w:sz="4" w:space="0"/>
              <w:right w:val="single" w:color="auto" w:sz="4" w:space="0"/>
            </w:tcBorders>
            <w:noWrap w:val="0"/>
            <w:vAlign w:val="center"/>
          </w:tcPr>
          <w:p w14:paraId="715703BE">
            <w:pPr>
              <w:spacing w:line="360" w:lineRule="auto"/>
              <w:jc w:val="center"/>
              <w:rPr>
                <w:rFonts w:hint="eastAsia" w:ascii="宋体" w:hAnsi="宋体" w:cs="宋体"/>
                <w:color w:val="auto"/>
                <w:szCs w:val="21"/>
                <w:highlight w:val="none"/>
              </w:rPr>
            </w:pPr>
            <w:bookmarkStart w:id="63" w:name="_13.1"/>
            <w:bookmarkEnd w:id="63"/>
            <w:r>
              <w:rPr>
                <w:rFonts w:hint="eastAsia" w:ascii="宋体" w:hAnsi="宋体" w:cs="宋体"/>
                <w:color w:val="auto"/>
                <w:szCs w:val="21"/>
                <w:highlight w:val="none"/>
              </w:rPr>
              <w:t>13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2E5990D">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07821FE6">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1.投标函（格式后附）；</w:t>
            </w:r>
            <w:r>
              <w:rPr>
                <w:rFonts w:hint="eastAsia" w:ascii="宋体" w:hAnsi="宋体" w:cs="宋体"/>
                <w:b/>
                <w:color w:val="auto"/>
                <w:szCs w:val="21"/>
                <w:highlight w:val="none"/>
              </w:rPr>
              <w:t>（必须提供，否则按无效投标处理）</w:t>
            </w:r>
          </w:p>
          <w:p w14:paraId="587AF367">
            <w:pPr>
              <w:tabs>
                <w:tab w:val="left" w:pos="459"/>
              </w:tabs>
              <w:spacing w:line="360" w:lineRule="auto"/>
              <w:ind w:left="420" w:firstLine="420"/>
              <w:jc w:val="left"/>
              <w:rPr>
                <w:rFonts w:hint="eastAsia" w:ascii="宋体" w:hAnsi="宋体" w:cs="宋体"/>
                <w:b/>
                <w:bCs/>
                <w:color w:val="auto"/>
                <w:szCs w:val="21"/>
                <w:highlight w:val="none"/>
              </w:rPr>
            </w:pPr>
            <w:bookmarkStart w:id="64" w:name="_Hlk71299233"/>
            <w:r>
              <w:rPr>
                <w:rFonts w:hint="eastAsia" w:ascii="宋体" w:hAnsi="宋体" w:cs="宋体"/>
                <w:color w:val="auto"/>
                <w:szCs w:val="21"/>
                <w:highlight w:val="none"/>
              </w:rPr>
              <w:t>2.开标一览表</w:t>
            </w:r>
            <w:bookmarkEnd w:id="64"/>
            <w:r>
              <w:rPr>
                <w:rFonts w:hint="eastAsia" w:ascii="宋体" w:hAnsi="宋体" w:cs="宋体"/>
                <w:color w:val="auto"/>
                <w:szCs w:val="21"/>
                <w:highlight w:val="none"/>
              </w:rPr>
              <w:t xml:space="preserve">（格式后附）； </w:t>
            </w:r>
            <w:r>
              <w:rPr>
                <w:rFonts w:hint="eastAsia" w:ascii="宋体" w:hAnsi="宋体" w:cs="宋体"/>
                <w:b/>
                <w:bCs/>
                <w:color w:val="auto"/>
                <w:szCs w:val="21"/>
                <w:highlight w:val="none"/>
              </w:rPr>
              <w:t>（必须提供，否则按无效投标处理）</w:t>
            </w:r>
          </w:p>
          <w:p w14:paraId="12CF756B">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3.供应商享受中小企业扶持政策的材料</w:t>
            </w:r>
            <w:r>
              <w:rPr>
                <w:rFonts w:hint="eastAsia" w:ascii="宋体" w:hAnsi="宋体" w:cs="宋体"/>
                <w:b/>
                <w:bCs/>
                <w:color w:val="auto"/>
                <w:szCs w:val="21"/>
                <w:highlight w:val="none"/>
              </w:rPr>
              <w:t>（供应商根据自身响应情况，提供以下任意一项材料以证明自身可享受中小企业扶持政策）</w:t>
            </w:r>
            <w:r>
              <w:rPr>
                <w:rFonts w:hint="eastAsia" w:ascii="宋体" w:hAnsi="宋体" w:cs="宋体"/>
                <w:color w:val="auto"/>
                <w:szCs w:val="21"/>
                <w:highlight w:val="none"/>
              </w:rPr>
              <w:t>：</w:t>
            </w:r>
          </w:p>
          <w:p w14:paraId="20A8EA2E">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（1）《中小企业声明函》（格式后附）；</w:t>
            </w:r>
          </w:p>
          <w:p w14:paraId="4050EC0A">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（2）《残疾人福利性单位声明函》（格式后附）</w:t>
            </w:r>
          </w:p>
          <w:p w14:paraId="683240AD">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（3）省级以上监狱管理局、戒毒管理局(含新疆生产建设兵团)出具的属于监狱企业的证明文件； </w:t>
            </w:r>
          </w:p>
          <w:p w14:paraId="1B8544CC">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4. 《关于符合本国产品标准的声明函》或者财政部会同有关部门规定的有关证明文件；</w:t>
            </w:r>
            <w:r>
              <w:rPr>
                <w:rFonts w:hint="eastAsia" w:ascii="宋体" w:hAnsi="宋体" w:cs="宋体"/>
                <w:b/>
                <w:bCs/>
                <w:color w:val="auto"/>
                <w:szCs w:val="21"/>
                <w:highlight w:val="none"/>
              </w:rPr>
              <w:t>（供应商根据自身响应情况出具）</w:t>
            </w:r>
          </w:p>
          <w:p w14:paraId="6C3AE61C">
            <w:pPr>
              <w:tabs>
                <w:tab w:val="left" w:pos="459"/>
              </w:tabs>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.投标人针对报价需要说明的其他文件和说明（格式自拟）。</w:t>
            </w:r>
          </w:p>
          <w:p w14:paraId="50477173">
            <w:pPr>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注：</w:t>
            </w:r>
            <w:r>
              <w:rPr>
                <w:rFonts w:hint="eastAsia" w:ascii="宋体" w:hAnsi="宋体" w:cs="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cs="宋体"/>
                <w:b/>
                <w:bCs/>
                <w:color w:val="auto"/>
                <w:szCs w:val="21"/>
                <w:highlight w:val="none"/>
              </w:rPr>
              <w:t>，否则按无效投标</w:t>
            </w:r>
            <w:r>
              <w:rPr>
                <w:rFonts w:hint="eastAsia" w:ascii="宋体" w:hAnsi="宋体" w:cs="宋体"/>
                <w:b/>
                <w:color w:val="auto"/>
                <w:szCs w:val="21"/>
                <w:highlight w:val="none"/>
              </w:rPr>
              <w:t xml:space="preserve">处理。 </w:t>
            </w:r>
          </w:p>
        </w:tc>
      </w:tr>
      <w:tr w14:paraId="0D687C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4BC09941">
            <w:pPr>
              <w:spacing w:line="360" w:lineRule="auto"/>
              <w:rPr>
                <w:rFonts w:hint="eastAsia" w:ascii="宋体" w:hAnsi="宋体" w:cs="宋体"/>
                <w:color w:val="auto"/>
                <w:szCs w:val="21"/>
                <w:highlight w:val="none"/>
              </w:rPr>
            </w:pPr>
            <w:bookmarkStart w:id="65" w:name="_13.2"/>
            <w:bookmarkEnd w:id="65"/>
          </w:p>
        </w:tc>
        <w:tc>
          <w:tcPr>
            <w:tcW w:w="8670" w:type="dxa"/>
            <w:tcBorders>
              <w:top w:val="single" w:color="auto" w:sz="4" w:space="0"/>
              <w:left w:val="single" w:color="auto" w:sz="4" w:space="0"/>
              <w:bottom w:val="single" w:color="auto" w:sz="4" w:space="0"/>
              <w:right w:val="single" w:color="auto" w:sz="4" w:space="0"/>
            </w:tcBorders>
            <w:noWrap w:val="0"/>
            <w:vAlign w:val="center"/>
          </w:tcPr>
          <w:p w14:paraId="2280AA29">
            <w:pPr>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6BA4216A">
            <w:pPr>
              <w:spacing w:line="360" w:lineRule="auto"/>
              <w:ind w:firstLine="420"/>
              <w:jc w:val="left"/>
              <w:rPr>
                <w:rFonts w:hint="eastAsia" w:ascii="宋体" w:hAnsi="宋体" w:cs="宋体"/>
                <w:b/>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289"/>
                <w:rFonts w:hint="eastAsia"/>
                <w:color w:val="auto"/>
                <w:sz w:val="21"/>
                <w:szCs w:val="21"/>
                <w:highlight w:val="none"/>
              </w:rPr>
              <w:t>执业许可证</w:t>
            </w:r>
            <w:r>
              <w:rPr>
                <w:rFonts w:hint="eastAsia" w:ascii="宋体" w:hAnsi="宋体" w:cs="宋体"/>
                <w:color w:val="auto"/>
                <w:szCs w:val="21"/>
                <w:highlight w:val="none"/>
              </w:rPr>
              <w:t>或者登记证书等），投标人为自然人的，提供身份证复印件</w:t>
            </w:r>
            <w:r>
              <w:rPr>
                <w:rFonts w:hint="eastAsia" w:ascii="宋体" w:hAnsi="宋体" w:cs="宋体"/>
                <w:color w:val="auto"/>
                <w:szCs w:val="21"/>
                <w:highlight w:val="none"/>
                <w:lang w:eastAsia="zh-CN"/>
              </w:rPr>
              <w:t>或扫描件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ADBD3D0">
            <w:pPr>
              <w:ind w:firstLine="420"/>
              <w:jc w:val="left"/>
              <w:rPr>
                <w:rFonts w:hint="eastAsia" w:ascii="宋体" w:hAnsi="宋体" w:cs="宋体"/>
                <w:b/>
                <w:color w:val="auto"/>
                <w:szCs w:val="21"/>
                <w:highlight w:val="none"/>
              </w:rPr>
            </w:pPr>
            <w:r>
              <w:rPr>
                <w:rFonts w:hint="eastAsia" w:ascii="宋体" w:hAnsi="宋体" w:cs="宋体"/>
                <w:color w:val="auto"/>
                <w:szCs w:val="21"/>
                <w:highlight w:val="none"/>
              </w:rPr>
              <w:t>2.</w:t>
            </w:r>
            <w:r>
              <w:rPr>
                <w:rFonts w:hint="eastAsia" w:ascii="宋体" w:hAnsi="宋体" w:cs="宋体"/>
                <w:color w:val="auto"/>
                <w:highlight w:val="none"/>
              </w:rPr>
              <w:t>《贵港市政府采购项目投标资格承诺函》（详见附件）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4195B6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3.投标人直接控股股东信息表（格式后附）；（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5CA23C1">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 投标人直接管理关系信息表（格式后附）；（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6910E7D">
            <w:pPr>
              <w:spacing w:line="360" w:lineRule="auto"/>
              <w:ind w:firstLine="420"/>
              <w:jc w:val="left"/>
              <w:rPr>
                <w:rFonts w:hint="eastAsia" w:ascii="宋体" w:hAnsi="宋体" w:cs="宋体"/>
                <w:b/>
                <w:color w:val="auto"/>
                <w:szCs w:val="21"/>
                <w:highlight w:val="none"/>
              </w:rPr>
            </w:pPr>
            <w:r>
              <w:rPr>
                <w:rFonts w:hint="eastAsia" w:ascii="宋体" w:hAnsi="宋体" w:cs="宋体"/>
                <w:color w:val="auto"/>
                <w:szCs w:val="21"/>
                <w:highlight w:val="none"/>
              </w:rPr>
              <w:t>5.投标声明（格式后附）；（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D9C241C">
            <w:pPr>
              <w:spacing w:line="360" w:lineRule="auto"/>
              <w:ind w:firstLine="420"/>
              <w:jc w:val="left"/>
              <w:rPr>
                <w:rFonts w:hint="eastAsia" w:ascii="宋体" w:hAnsi="宋体" w:cs="宋体"/>
                <w:color w:val="auto"/>
                <w:highlight w:val="none"/>
              </w:rPr>
            </w:pPr>
            <w:r>
              <w:rPr>
                <w:rFonts w:hint="eastAsia" w:ascii="宋体" w:hAnsi="宋体" w:cs="宋体"/>
                <w:color w:val="auto"/>
                <w:szCs w:val="21"/>
                <w:highlight w:val="none"/>
              </w:rPr>
              <w:t>6.</w:t>
            </w:r>
            <w:r>
              <w:rPr>
                <w:rFonts w:hint="eastAsia" w:ascii="宋体" w:hAnsi="宋体" w:cs="宋体"/>
                <w:color w:val="auto"/>
                <w:highlight w:val="none"/>
              </w:rPr>
              <w:t>投标人按以下要求提供医疗器械的有关证明材料复印件</w:t>
            </w:r>
            <w:r>
              <w:rPr>
                <w:rFonts w:hint="eastAsia" w:ascii="宋体" w:hAnsi="宋体" w:cs="宋体"/>
                <w:color w:val="auto"/>
                <w:highlight w:val="none"/>
                <w:lang w:eastAsia="zh-CN"/>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必须提供，否则作无效投标处理</w:t>
            </w:r>
            <w:r>
              <w:rPr>
                <w:rFonts w:hint="eastAsia" w:ascii="宋体" w:hAnsi="宋体" w:cs="宋体"/>
                <w:color w:val="auto"/>
                <w:highlight w:val="none"/>
              </w:rPr>
              <w:t>）</w:t>
            </w:r>
          </w:p>
          <w:p w14:paraId="47B522E4">
            <w:pPr>
              <w:spacing w:line="312"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标的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2BC3F1D1">
            <w:pPr>
              <w:spacing w:line="312"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标的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17C23F3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（3）标的有第二类和第三类医疗器械的，应按上述（1）（2）要求提供。</w:t>
            </w:r>
          </w:p>
          <w:p w14:paraId="694DA169">
            <w:pPr>
              <w:spacing w:line="360" w:lineRule="auto"/>
              <w:ind w:firstLine="420"/>
              <w:jc w:val="left"/>
              <w:rPr>
                <w:rFonts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投标人</w:t>
            </w:r>
            <w:r>
              <w:rPr>
                <w:rFonts w:hint="eastAsia" w:ascii="宋体" w:hAnsi="宋体" w:cs="宋体"/>
                <w:color w:val="auto"/>
                <w:szCs w:val="21"/>
                <w:highlight w:val="none"/>
              </w:rPr>
              <w:t>提供</w:t>
            </w:r>
            <w:r>
              <w:rPr>
                <w:rFonts w:hint="eastAsia" w:ascii="宋体" w:hAnsi="宋体"/>
                <w:color w:val="auto"/>
                <w:szCs w:val="21"/>
                <w:highlight w:val="none"/>
                <w:u w:val="none"/>
              </w:rPr>
              <w:t>有效的《辐射安全许可证》</w:t>
            </w:r>
            <w:r>
              <w:rPr>
                <w:rFonts w:hint="eastAsia" w:ascii="宋体" w:hAnsi="宋体" w:cs="宋体"/>
                <w:color w:val="auto"/>
                <w:szCs w:val="21"/>
                <w:highlight w:val="none"/>
              </w:rPr>
              <w:t>复印件</w:t>
            </w:r>
            <w:r>
              <w:rPr>
                <w:rFonts w:hint="eastAsia" w:ascii="宋体" w:hAnsi="宋体" w:cs="宋体"/>
                <w:color w:val="auto"/>
                <w:szCs w:val="21"/>
                <w:highlight w:val="none"/>
                <w:lang w:eastAsia="zh-CN"/>
              </w:rPr>
              <w:t>或扫描件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E5AFA61">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.除招标文件规定必须提供以外，投标人认为需要提供的其他证明材料。</w:t>
            </w:r>
          </w:p>
          <w:p w14:paraId="090DC36F">
            <w:pPr>
              <w:spacing w:line="360" w:lineRule="auto"/>
              <w:ind w:firstLine="422"/>
              <w:jc w:val="left"/>
              <w:rPr>
                <w:rFonts w:hint="eastAsia" w:ascii="宋体" w:hAnsi="宋体" w:cs="宋体"/>
                <w:b/>
                <w:color w:val="auto"/>
                <w:szCs w:val="21"/>
                <w:highlight w:val="none"/>
              </w:rPr>
            </w:pPr>
            <w:r>
              <w:rPr>
                <w:rFonts w:hint="eastAsia" w:ascii="宋体" w:hAnsi="宋体" w:cs="宋体"/>
                <w:b/>
                <w:bCs/>
                <w:color w:val="auto"/>
                <w:szCs w:val="21"/>
                <w:highlight w:val="none"/>
              </w:rPr>
              <w:t>注：1.</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cs="宋体"/>
                <w:b/>
                <w:bCs/>
                <w:color w:val="auto"/>
                <w:szCs w:val="21"/>
                <w:highlight w:val="none"/>
              </w:rPr>
              <w:t>，否则按无效投标</w:t>
            </w:r>
            <w:r>
              <w:rPr>
                <w:rFonts w:hint="eastAsia" w:ascii="宋体" w:hAnsi="宋体" w:cs="宋体"/>
                <w:b/>
                <w:color w:val="auto"/>
                <w:szCs w:val="21"/>
                <w:highlight w:val="none"/>
              </w:rPr>
              <w:t>处理。</w:t>
            </w:r>
          </w:p>
        </w:tc>
      </w:tr>
      <w:tr w14:paraId="6BFEAB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noWrap w:val="0"/>
            <w:vAlign w:val="center"/>
          </w:tcPr>
          <w:p w14:paraId="4AC202F8">
            <w:pPr>
              <w:spacing w:line="360" w:lineRule="auto"/>
              <w:rPr>
                <w:rFonts w:hint="eastAsia" w:ascii="宋体" w:hAnsi="宋体" w:cs="宋体"/>
                <w:color w:val="auto"/>
                <w:szCs w:val="21"/>
                <w:highlight w:val="none"/>
              </w:rPr>
            </w:pPr>
            <w:bookmarkStart w:id="66" w:name="_13.3"/>
            <w:bookmarkEnd w:id="66"/>
          </w:p>
        </w:tc>
        <w:tc>
          <w:tcPr>
            <w:tcW w:w="8670" w:type="dxa"/>
            <w:tcBorders>
              <w:top w:val="single" w:color="auto" w:sz="4" w:space="0"/>
              <w:left w:val="single" w:color="auto" w:sz="4" w:space="0"/>
              <w:bottom w:val="single" w:color="auto" w:sz="4" w:space="0"/>
              <w:right w:val="single" w:color="auto" w:sz="4" w:space="0"/>
            </w:tcBorders>
            <w:noWrap w:val="0"/>
            <w:vAlign w:val="center"/>
          </w:tcPr>
          <w:p w14:paraId="58E0C38C">
            <w:pPr>
              <w:spacing w:line="360" w:lineRule="auto"/>
              <w:ind w:firstLine="422"/>
              <w:jc w:val="left"/>
              <w:rPr>
                <w:rFonts w:hint="eastAsia" w:ascii="宋体" w:hAnsi="宋体" w:cs="宋体"/>
                <w:b/>
                <w:color w:val="auto"/>
                <w:szCs w:val="21"/>
                <w:highlight w:val="none"/>
              </w:rPr>
            </w:pPr>
            <w:r>
              <w:rPr>
                <w:rFonts w:hint="eastAsia" w:ascii="宋体" w:hAnsi="宋体" w:cs="宋体"/>
                <w:b/>
                <w:color w:val="auto"/>
                <w:highlight w:val="none"/>
              </w:rPr>
              <w:t>商务及技术文件</w:t>
            </w:r>
            <w:r>
              <w:rPr>
                <w:rFonts w:hint="eastAsia" w:ascii="宋体" w:hAnsi="宋体" w:cs="宋体"/>
                <w:b/>
                <w:color w:val="auto"/>
                <w:szCs w:val="21"/>
                <w:highlight w:val="none"/>
              </w:rPr>
              <w:t>：</w:t>
            </w:r>
          </w:p>
          <w:p w14:paraId="23381D9C">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1.无串通投标行为的承诺函（格式后附）；（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8FFCB40">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2.法定代表人身份证明及法定代表人有效身份证正反面</w:t>
            </w:r>
            <w:r>
              <w:rPr>
                <w:rFonts w:hint="eastAsia" w:ascii="宋体" w:hAnsi="宋体" w:cs="宋体"/>
                <w:color w:val="auto"/>
                <w:highlight w:val="none"/>
              </w:rPr>
              <w:t>复印件</w:t>
            </w:r>
            <w:r>
              <w:rPr>
                <w:rFonts w:hint="eastAsia" w:ascii="宋体" w:hAnsi="宋体" w:cs="宋体"/>
                <w:color w:val="auto"/>
                <w:highlight w:val="none"/>
                <w:lang w:eastAsia="zh-CN"/>
              </w:rPr>
              <w:t>或扫描件</w:t>
            </w:r>
            <w:r>
              <w:rPr>
                <w:rFonts w:hint="eastAsia" w:ascii="宋体" w:hAnsi="宋体" w:cs="宋体"/>
                <w:color w:val="auto"/>
                <w:szCs w:val="21"/>
                <w:highlight w:val="none"/>
              </w:rPr>
              <w:t>（格式后附）；（</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1BDD4FD">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3.授权委托书及委托代理人有效身份证正反面</w:t>
            </w:r>
            <w:r>
              <w:rPr>
                <w:rFonts w:hint="eastAsia" w:ascii="宋体" w:hAnsi="宋体" w:cs="宋体"/>
                <w:color w:val="auto"/>
                <w:highlight w:val="none"/>
              </w:rPr>
              <w:t>复印件</w:t>
            </w:r>
            <w:r>
              <w:rPr>
                <w:rFonts w:hint="eastAsia" w:ascii="宋体" w:hAnsi="宋体" w:cs="宋体"/>
                <w:color w:val="auto"/>
                <w:highlight w:val="none"/>
                <w:lang w:eastAsia="zh-CN"/>
              </w:rPr>
              <w:t>或扫描件</w:t>
            </w:r>
            <w:r>
              <w:rPr>
                <w:rFonts w:hint="eastAsia" w:ascii="宋体" w:hAnsi="宋体" w:cs="宋体"/>
                <w:color w:val="auto"/>
                <w:szCs w:val="21"/>
                <w:highlight w:val="none"/>
              </w:rPr>
              <w:t>（格式后附）；（</w:t>
            </w:r>
            <w:r>
              <w:rPr>
                <w:rFonts w:hint="eastAsia" w:ascii="宋体" w:hAnsi="宋体" w:cs="宋体"/>
                <w:b/>
                <w:color w:val="auto"/>
                <w:szCs w:val="21"/>
                <w:highlight w:val="none"/>
              </w:rPr>
              <w:t>委托时必须提供，否则按无效投标处理</w:t>
            </w:r>
            <w:r>
              <w:rPr>
                <w:rFonts w:hint="eastAsia" w:ascii="宋体" w:hAnsi="宋体" w:cs="宋体"/>
                <w:color w:val="auto"/>
                <w:szCs w:val="21"/>
                <w:highlight w:val="none"/>
              </w:rPr>
              <w:t>）</w:t>
            </w:r>
          </w:p>
          <w:p w14:paraId="3C837B1A">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4.商务要求偏离表（格式后附）；（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7638748">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rPr>
              <w:t>5.售后服务承诺（格式自拟）；（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5008CB6">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6.设备性能配置清单（格式后附）；（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84D99FB">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7.技术要求偏离表（格式后附）；（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4EB74E7">
            <w:pPr>
              <w:spacing w:line="360" w:lineRule="auto"/>
              <w:ind w:left="420" w:firstLine="420"/>
              <w:jc w:val="left"/>
              <w:rPr>
                <w:rFonts w:hint="eastAsia" w:ascii="宋体" w:hAnsi="宋体" w:cs="宋体"/>
                <w:b/>
                <w:bCs/>
                <w:color w:val="auto"/>
                <w:szCs w:val="21"/>
                <w:highlight w:val="none"/>
              </w:rPr>
            </w:pPr>
            <w:r>
              <w:rPr>
                <w:rFonts w:hint="eastAsia" w:ascii="宋体" w:hAnsi="宋体" w:cs="宋体"/>
                <w:b w:val="0"/>
                <w:bCs w:val="0"/>
                <w:color w:val="auto"/>
                <w:szCs w:val="21"/>
                <w:highlight w:val="none"/>
              </w:rPr>
              <w:t>8.项目技术方案（</w:t>
            </w:r>
            <w:r>
              <w:rPr>
                <w:rFonts w:hint="eastAsia" w:ascii="宋体" w:hAnsi="宋体" w:cs="宋体"/>
                <w:b w:val="0"/>
                <w:bCs w:val="0"/>
                <w:color w:val="auto"/>
                <w:szCs w:val="21"/>
                <w:highlight w:val="none"/>
                <w:lang w:eastAsia="zh-CN"/>
              </w:rPr>
              <w:t>可包括：</w:t>
            </w:r>
            <w:r>
              <w:rPr>
                <w:rFonts w:hint="eastAsia" w:ascii="宋体" w:hAnsi="宋体" w:eastAsia="宋体" w:cs="宋体"/>
                <w:b w:val="0"/>
                <w:bCs w:val="0"/>
                <w:color w:val="auto"/>
                <w:sz w:val="21"/>
                <w:szCs w:val="21"/>
                <w:highlight w:val="none"/>
              </w:rPr>
              <w:t>技术方案[可包含实施方案（项目执行方案、项目组织管理措施、安装方案）、培训方案]</w:t>
            </w:r>
            <w:r>
              <w:rPr>
                <w:rFonts w:hint="eastAsia" w:ascii="宋体" w:hAnsi="宋体" w:cs="宋体"/>
                <w:b w:val="0"/>
                <w:bCs w:val="0"/>
                <w:color w:val="auto"/>
                <w:szCs w:val="21"/>
                <w:highlight w:val="none"/>
              </w:rPr>
              <w:t>）；</w:t>
            </w:r>
            <w:r>
              <w:rPr>
                <w:rFonts w:hint="eastAsia" w:ascii="宋体" w:hAnsi="宋体" w:cs="宋体"/>
                <w:b/>
                <w:bCs/>
                <w:color w:val="auto"/>
                <w:szCs w:val="21"/>
                <w:highlight w:val="none"/>
              </w:rPr>
              <w:t>（必须提供，否则按无效投标处理）</w:t>
            </w:r>
          </w:p>
          <w:p w14:paraId="3E5BC159">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w:t>
            </w:r>
            <w:r>
              <w:rPr>
                <w:rFonts w:hint="eastAsia" w:ascii="宋体" w:hAnsi="宋体" w:cs="宋体"/>
                <w:color w:val="auto"/>
                <w:highlight w:val="none"/>
              </w:rPr>
              <w:t xml:space="preserve"> </w:t>
            </w:r>
            <w:r>
              <w:rPr>
                <w:rFonts w:hint="eastAsia" w:ascii="宋体" w:hAnsi="宋体" w:cs="宋体"/>
                <w:color w:val="auto"/>
                <w:szCs w:val="21"/>
                <w:highlight w:val="none"/>
              </w:rPr>
              <w:t>代理服务费承诺书（格式后附）；（如有请提供）</w:t>
            </w:r>
          </w:p>
          <w:p w14:paraId="72C45D52">
            <w:pPr>
              <w:spacing w:line="360" w:lineRule="auto"/>
              <w:ind w:left="413" w:firstLine="42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.投标人情况介绍（格式自拟）；（如有请提供）</w:t>
            </w:r>
          </w:p>
          <w:p w14:paraId="1ADB38F9">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.对本项目系统总体要求的理解。包括：功能说明、性能指标及设备选型说明（质量、性能、价格、外观、体积等方面进行比较和选择的理由及过程，格式自拟）；（如有请提供）</w:t>
            </w:r>
          </w:p>
          <w:p w14:paraId="507CAEBC">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.产品出厂标准、质量检测报告；（如有请提供）</w:t>
            </w:r>
          </w:p>
          <w:p w14:paraId="5B911DEE">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.优惠条件：投标人承诺给予采购人的各种优惠条件，包括售后服务、备品备件、专用耗材等方面的优惠；投标人不得给予赠品或者与采购无关的其他商品、服务；（如有请提供）</w:t>
            </w:r>
          </w:p>
          <w:p w14:paraId="30DB72F8">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.投标人对本项目的合理化建议和改进措施（格式自拟）；（如有请提供）</w:t>
            </w:r>
          </w:p>
          <w:p w14:paraId="0C3830E6">
            <w:pPr>
              <w:spacing w:line="360" w:lineRule="auto"/>
              <w:ind w:left="420" w:firstLine="42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.除招标文件规定必须提供以外，投标人认为需要提供的其他证明材料（格式自拟），（投标人根据“第二章 采购需求”及“第四章 评标方法及评标标准”提供有关证明材料）。</w:t>
            </w:r>
          </w:p>
          <w:p w14:paraId="525FB716">
            <w:pPr>
              <w:spacing w:line="360" w:lineRule="auto"/>
              <w:ind w:firstLine="422"/>
              <w:jc w:val="left"/>
              <w:rPr>
                <w:rFonts w:hint="eastAsia" w:ascii="宋体" w:hAnsi="宋体" w:cs="宋体"/>
                <w:color w:val="auto"/>
                <w:szCs w:val="21"/>
                <w:highlight w:val="none"/>
              </w:rPr>
            </w:pPr>
            <w:r>
              <w:rPr>
                <w:rFonts w:hint="eastAsia" w:ascii="宋体" w:hAnsi="宋体" w:cs="宋体"/>
                <w:b/>
                <w:bCs/>
                <w:color w:val="auto"/>
                <w:szCs w:val="21"/>
                <w:highlight w:val="none"/>
              </w:rPr>
              <w:t>注：以上标明“必须提供”的材料，格式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cs="宋体"/>
                <w:b/>
                <w:bCs/>
                <w:color w:val="auto"/>
                <w:szCs w:val="21"/>
                <w:highlight w:val="none"/>
              </w:rPr>
              <w:t>，否则按无效投标</w:t>
            </w:r>
            <w:r>
              <w:rPr>
                <w:rFonts w:hint="eastAsia" w:ascii="宋体" w:hAnsi="宋体" w:cs="宋体"/>
                <w:b/>
                <w:color w:val="auto"/>
                <w:szCs w:val="21"/>
                <w:highlight w:val="none"/>
              </w:rPr>
              <w:t>处理。</w:t>
            </w:r>
          </w:p>
        </w:tc>
      </w:tr>
      <w:tr w14:paraId="0EB532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BAD433E">
            <w:pPr>
              <w:spacing w:line="360" w:lineRule="auto"/>
              <w:jc w:val="center"/>
              <w:rPr>
                <w:rFonts w:hint="eastAsia" w:ascii="宋体" w:hAnsi="宋体" w:cs="宋体"/>
                <w:color w:val="auto"/>
                <w:szCs w:val="21"/>
                <w:highlight w:val="none"/>
                <w:lang w:eastAsia="zh-CN"/>
              </w:rPr>
            </w:pPr>
            <w:bookmarkStart w:id="67" w:name="_13.4"/>
            <w:bookmarkEnd w:id="67"/>
            <w:bookmarkStart w:id="68" w:name="_16.2"/>
            <w:bookmarkEnd w:id="68"/>
            <w:bookmarkStart w:id="69" w:name="_13.5"/>
            <w:bookmarkEnd w:id="69"/>
            <w:r>
              <w:rPr>
                <w:rFonts w:hint="eastAsia" w:ascii="宋体" w:hAnsi="宋体" w:cs="宋体"/>
                <w:color w:val="auto"/>
                <w:szCs w:val="21"/>
                <w:highlight w:val="none"/>
                <w:lang w:eastAsia="zh-CN"/>
              </w:rPr>
              <w:t xml:space="preserve"> </w:t>
            </w:r>
          </w:p>
          <w:p w14:paraId="717A140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bookmarkStart w:id="70" w:name="_Hlt19693758"/>
            <w:bookmarkStart w:id="71" w:name="_Hlt19194066"/>
            <w:bookmarkStart w:id="72" w:name="_Hlt19693759"/>
            <w:bookmarkStart w:id="73" w:name="_Hlt19194067"/>
            <w:r>
              <w:rPr>
                <w:rFonts w:hint="eastAsia" w:ascii="宋体" w:hAnsi="宋体" w:cs="宋体"/>
                <w:color w:val="auto"/>
                <w:szCs w:val="21"/>
                <w:highlight w:val="none"/>
              </w:rPr>
              <w:t>.</w:t>
            </w:r>
            <w:bookmarkEnd w:id="70"/>
            <w:bookmarkEnd w:id="71"/>
            <w:bookmarkEnd w:id="72"/>
            <w:bookmarkEnd w:id="73"/>
            <w:r>
              <w:rPr>
                <w:rFonts w:hint="eastAsia" w:ascii="宋体" w:hAnsi="宋体" w:cs="宋体"/>
                <w:color w:val="auto"/>
                <w:szCs w:val="21"/>
                <w:highlight w:val="none"/>
              </w:rPr>
              <w:t>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F8DCAA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报价应该包括：</w:t>
            </w:r>
            <w:r>
              <w:rPr>
                <w:rFonts w:hint="eastAsia" w:ascii="宋体" w:hAnsi="宋体" w:eastAsia="宋体" w:cs="宋体"/>
                <w:b/>
                <w:bCs/>
                <w:color w:val="auto"/>
                <w:sz w:val="21"/>
                <w:szCs w:val="21"/>
                <w:highlight w:val="none"/>
              </w:rPr>
              <w:t>货物、货物标准附件、备品备件、机房装修、装修设计</w:t>
            </w:r>
            <w:r>
              <w:rPr>
                <w:rFonts w:hint="eastAsia" w:ascii="宋体" w:hAnsi="宋体" w:eastAsia="宋体" w:cs="宋体"/>
                <w:b/>
                <w:bCs/>
                <w:color w:val="auto"/>
                <w:sz w:val="21"/>
                <w:szCs w:val="21"/>
                <w:highlight w:val="none"/>
                <w:lang w:eastAsia="zh-CN"/>
              </w:rPr>
              <w:t>费、</w:t>
            </w:r>
            <w:r>
              <w:rPr>
                <w:rFonts w:hint="eastAsia" w:ascii="宋体" w:hAnsi="宋体" w:eastAsia="宋体" w:cs="宋体"/>
                <w:b/>
                <w:bCs/>
                <w:color w:val="auto"/>
                <w:sz w:val="21"/>
                <w:szCs w:val="21"/>
                <w:highlight w:val="none"/>
              </w:rPr>
              <w:t>环评、预评、控评、线缆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专用工具、设备安装辅材、施工辅材、包装、运输、装卸、保险、货到就位的各种费用、税金、售后服务、技术培训、验收及其他所有费用。</w:t>
            </w:r>
            <w:r>
              <w:rPr>
                <w:rFonts w:hint="eastAsia" w:ascii="宋体" w:hAnsi="宋体" w:eastAsia="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须自行考虑完成项目所需的全部内容产生的所有费用</w:t>
            </w:r>
            <w:r>
              <w:rPr>
                <w:rFonts w:hint="eastAsia" w:ascii="宋体" w:hAnsi="宋体" w:eastAsia="宋体" w:cs="宋体"/>
                <w:b/>
                <w:bCs/>
                <w:color w:val="auto"/>
                <w:sz w:val="21"/>
                <w:szCs w:val="21"/>
                <w:highlight w:val="none"/>
                <w:lang w:eastAsia="zh-CN"/>
              </w:rPr>
              <w:t>，在</w:t>
            </w:r>
            <w:r>
              <w:rPr>
                <w:rFonts w:hint="eastAsia" w:ascii="宋体" w:hAnsi="宋体" w:eastAsia="宋体" w:cs="宋体"/>
                <w:b/>
                <w:bCs/>
                <w:color w:val="auto"/>
                <w:sz w:val="21"/>
                <w:szCs w:val="21"/>
                <w:highlight w:val="none"/>
              </w:rPr>
              <w:t>合同实施阶段，采购人不再支付任何费用。</w:t>
            </w:r>
          </w:p>
        </w:tc>
      </w:tr>
      <w:tr w14:paraId="4AA618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B07DCC5">
            <w:pPr>
              <w:spacing w:line="360" w:lineRule="auto"/>
              <w:jc w:val="center"/>
              <w:rPr>
                <w:rFonts w:hint="eastAsia" w:ascii="宋体" w:hAnsi="宋体" w:cs="宋体"/>
                <w:color w:val="auto"/>
                <w:szCs w:val="21"/>
                <w:highlight w:val="none"/>
              </w:rPr>
            </w:pPr>
            <w:bookmarkStart w:id="74" w:name="_17.1"/>
            <w:bookmarkEnd w:id="74"/>
            <w:r>
              <w:rPr>
                <w:rFonts w:hint="eastAsia" w:ascii="宋体" w:hAnsi="宋体" w:cs="宋体"/>
                <w:color w:val="auto"/>
                <w:szCs w:val="21"/>
                <w:highlight w:val="none"/>
              </w:rPr>
              <w:t>17.2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257E7F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投标有效期：自投标截止之日起</w:t>
            </w:r>
            <w:r>
              <w:rPr>
                <w:rFonts w:hint="eastAsia" w:ascii="宋体" w:hAnsi="宋体" w:cs="宋体"/>
                <w:color w:val="auto"/>
                <w:szCs w:val="21"/>
                <w:highlight w:val="none"/>
                <w:u w:val="single"/>
              </w:rPr>
              <w:t xml:space="preserve"> 120 </w:t>
            </w:r>
            <w:r>
              <w:rPr>
                <w:rFonts w:hint="eastAsia" w:ascii="宋体" w:hAnsi="宋体" w:cs="宋体"/>
                <w:color w:val="auto"/>
                <w:szCs w:val="21"/>
                <w:highlight w:val="none"/>
              </w:rPr>
              <w:t>日。</w:t>
            </w:r>
          </w:p>
        </w:tc>
      </w:tr>
      <w:tr w14:paraId="7AC4B8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2C74735">
            <w:pPr>
              <w:spacing w:line="360" w:lineRule="auto"/>
              <w:jc w:val="center"/>
              <w:rPr>
                <w:rFonts w:hint="eastAsia" w:ascii="宋体" w:hAnsi="宋体" w:cs="宋体"/>
                <w:color w:val="auto"/>
                <w:szCs w:val="21"/>
                <w:highlight w:val="none"/>
              </w:rPr>
            </w:pPr>
            <w:bookmarkStart w:id="75" w:name="_18"/>
            <w:bookmarkEnd w:id="75"/>
            <w:r>
              <w:rPr>
                <w:rFonts w:hint="eastAsia" w:ascii="宋体" w:hAnsi="宋体" w:cs="宋体"/>
                <w:color w:val="auto"/>
                <w:szCs w:val="21"/>
                <w:highlight w:val="none"/>
              </w:rPr>
              <w:t>18.1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86C4538">
            <w:pPr>
              <w:spacing w:line="360" w:lineRule="auto"/>
              <w:rPr>
                <w:rFonts w:hint="eastAsia" w:ascii="宋体" w:hAnsi="宋体" w:cs="宋体"/>
                <w:color w:val="auto"/>
                <w:highlight w:val="none"/>
              </w:rPr>
            </w:pPr>
            <w:r>
              <w:rPr>
                <w:rFonts w:hint="eastAsia" w:ascii="宋体" w:hAnsi="宋体" w:cs="宋体"/>
                <w:color w:val="auto"/>
                <w:szCs w:val="21"/>
                <w:highlight w:val="none"/>
              </w:rPr>
              <w:t>☑本项目不收取投标保证金。</w:t>
            </w:r>
          </w:p>
        </w:tc>
      </w:tr>
      <w:tr w14:paraId="47359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C14C02A">
            <w:pPr>
              <w:spacing w:line="360" w:lineRule="auto"/>
              <w:jc w:val="center"/>
              <w:rPr>
                <w:rFonts w:hint="eastAsia" w:ascii="宋体" w:hAnsi="宋体" w:cs="宋体"/>
                <w:color w:val="auto"/>
                <w:szCs w:val="21"/>
                <w:highlight w:val="none"/>
              </w:rPr>
            </w:pPr>
            <w:bookmarkStart w:id="76" w:name="_19.2"/>
            <w:bookmarkEnd w:id="76"/>
            <w:r>
              <w:rPr>
                <w:rFonts w:hint="eastAsia" w:ascii="宋体" w:hAnsi="宋体" w:cs="宋体"/>
                <w:color w:val="auto"/>
                <w:szCs w:val="21"/>
                <w:highlight w:val="none"/>
              </w:rPr>
              <w:t>20</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467D08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☑本项目不接受</w:t>
            </w:r>
            <w:r>
              <w:rPr>
                <w:rFonts w:hint="eastAsia" w:ascii="宋体" w:hAnsi="宋体" w:cs="宋体"/>
                <w:color w:val="auto"/>
                <w:highlight w:val="none"/>
              </w:rPr>
              <w:t>电子</w:t>
            </w:r>
            <w:r>
              <w:rPr>
                <w:rFonts w:hint="eastAsia" w:ascii="宋体" w:hAnsi="宋体" w:cs="宋体"/>
                <w:color w:val="auto"/>
                <w:szCs w:val="21"/>
                <w:highlight w:val="none"/>
              </w:rPr>
              <w:t>备份投标文件；</w:t>
            </w:r>
          </w:p>
        </w:tc>
      </w:tr>
      <w:tr w14:paraId="73333F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69147F69">
            <w:pPr>
              <w:spacing w:line="360" w:lineRule="auto"/>
              <w:jc w:val="center"/>
              <w:rPr>
                <w:rFonts w:hint="eastAsia" w:ascii="宋体" w:hAnsi="宋体" w:cs="宋体"/>
                <w:color w:val="auto"/>
                <w:szCs w:val="21"/>
                <w:highlight w:val="none"/>
              </w:rPr>
            </w:pPr>
            <w:bookmarkStart w:id="77" w:name="_21.1"/>
            <w:bookmarkEnd w:id="77"/>
            <w:r>
              <w:rPr>
                <w:rFonts w:hint="eastAsia" w:ascii="宋体" w:hAnsi="宋体" w:cs="宋体"/>
                <w:color w:val="auto"/>
                <w:szCs w:val="21"/>
                <w:highlight w:val="none"/>
              </w:rPr>
              <w:t>21.1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F7DB277">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1.提交投标文件截止时间：详见招标公告</w:t>
            </w:r>
          </w:p>
          <w:p w14:paraId="258195F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2.投标地点：详见招标公告</w:t>
            </w:r>
          </w:p>
        </w:tc>
      </w:tr>
      <w:tr w14:paraId="42D6A4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8C19193">
            <w:pPr>
              <w:spacing w:line="360" w:lineRule="auto"/>
              <w:jc w:val="center"/>
              <w:rPr>
                <w:rFonts w:hint="eastAsia" w:ascii="宋体" w:hAnsi="宋体" w:cs="宋体"/>
                <w:color w:val="auto"/>
                <w:szCs w:val="21"/>
                <w:highlight w:val="none"/>
              </w:rPr>
            </w:pPr>
            <w:bookmarkStart w:id="78" w:name="_23"/>
            <w:bookmarkEnd w:id="78"/>
            <w:r>
              <w:rPr>
                <w:rFonts w:hint="eastAsia" w:ascii="宋体" w:hAnsi="宋体" w:cs="宋体"/>
                <w:color w:val="auto"/>
                <w:szCs w:val="21"/>
                <w:highlight w:val="none"/>
              </w:rPr>
              <w:t>23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BBF50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1.开标时间：详见招标公告</w:t>
            </w:r>
          </w:p>
          <w:p w14:paraId="523DCF2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2.开标地点：详见招标公告</w:t>
            </w:r>
          </w:p>
        </w:tc>
      </w:tr>
      <w:tr w14:paraId="70F4D1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140F398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24.3（1）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03E5D17">
            <w:pPr>
              <w:spacing w:line="360" w:lineRule="auto"/>
              <w:rPr>
                <w:rFonts w:hint="eastAsia" w:ascii="宋体" w:hAnsi="宋体" w:cs="宋体"/>
                <w:color w:val="auto"/>
                <w:highlight w:val="none"/>
                <w:u w:val="single"/>
              </w:rPr>
            </w:pPr>
            <w:r>
              <w:rPr>
                <w:rFonts w:hint="eastAsia" w:ascii="宋体" w:hAnsi="宋体" w:cs="宋体"/>
                <w:color w:val="auto"/>
                <w:highlight w:val="none"/>
              </w:rPr>
              <w:t>电子投标文件解密时间：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780AFF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F0AB0E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24.3（2）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7753DA2E">
            <w:pPr>
              <w:spacing w:line="360" w:lineRule="auto"/>
              <w:rPr>
                <w:rFonts w:hint="eastAsia" w:ascii="宋体" w:hAnsi="宋体" w:cs="宋体"/>
                <w:color w:val="auto"/>
                <w:szCs w:val="21"/>
                <w:highlight w:val="none"/>
              </w:rPr>
            </w:pPr>
            <w:r>
              <w:rPr>
                <w:rFonts w:hint="eastAsia" w:ascii="宋体" w:hAnsi="宋体" w:cs="宋体"/>
                <w:color w:val="auto"/>
                <w:highlight w:val="none"/>
              </w:rPr>
              <w:t>宣布的内容：投标人名称、投标价格、</w:t>
            </w:r>
            <w:r>
              <w:rPr>
                <w:rFonts w:hint="eastAsia" w:ascii="宋体" w:hAnsi="宋体" w:cs="宋体"/>
                <w:color w:val="auto"/>
                <w:highlight w:val="none"/>
                <w:u w:val="single"/>
              </w:rPr>
              <w:t>合同履约期限</w:t>
            </w:r>
          </w:p>
        </w:tc>
      </w:tr>
      <w:tr w14:paraId="260600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8DA875D">
            <w:pPr>
              <w:spacing w:line="360" w:lineRule="auto"/>
              <w:jc w:val="center"/>
              <w:rPr>
                <w:rFonts w:hint="eastAsia" w:ascii="宋体" w:hAnsi="宋体" w:cs="宋体"/>
                <w:color w:val="auto"/>
                <w:szCs w:val="21"/>
                <w:highlight w:val="none"/>
              </w:rPr>
            </w:pPr>
            <w:bookmarkStart w:id="79" w:name="_25.3"/>
            <w:bookmarkEnd w:id="79"/>
            <w:r>
              <w:rPr>
                <w:rFonts w:hint="eastAsia" w:ascii="宋体" w:hAnsi="宋体" w:cs="宋体"/>
                <w:color w:val="auto"/>
                <w:szCs w:val="21"/>
                <w:highlight w:val="none"/>
              </w:rPr>
              <w:t>25.3（2）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8C7A16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2FA86E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p w14:paraId="07FB1B6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6F9EA8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查询记录和证据留存方式：在查询网站中直接截图查询记录，截图作为在广西政府采购云平台作为附件上传保存。</w:t>
            </w:r>
          </w:p>
          <w:p w14:paraId="44FE5C8C">
            <w:pPr>
              <w:spacing w:line="360" w:lineRule="auto"/>
              <w:ind w:firstLine="420"/>
              <w:rPr>
                <w:rFonts w:hint="eastAsia" w:ascii="宋体" w:hAnsi="宋体" w:cs="宋体"/>
                <w:b/>
                <w:color w:val="auto"/>
                <w:szCs w:val="21"/>
                <w:highlight w:val="none"/>
              </w:rPr>
            </w:pPr>
            <w:r>
              <w:rPr>
                <w:rFonts w:hint="eastAsia" w:ascii="宋体" w:hAnsi="宋体" w:cs="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color w:val="auto"/>
                <w:sz w:val="22"/>
                <w:szCs w:val="22"/>
                <w:highlight w:val="none"/>
              </w:rPr>
              <w:t>应当拒绝其参与政府采购活动</w:t>
            </w: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176D1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5595D4C">
            <w:pPr>
              <w:spacing w:line="360" w:lineRule="auto"/>
              <w:jc w:val="center"/>
              <w:rPr>
                <w:rFonts w:hint="eastAsia" w:ascii="宋体" w:hAnsi="宋体" w:cs="宋体"/>
                <w:color w:val="auto"/>
                <w:szCs w:val="21"/>
                <w:highlight w:val="none"/>
              </w:rPr>
            </w:pPr>
            <w:bookmarkStart w:id="80" w:name="_26"/>
            <w:bookmarkEnd w:id="80"/>
            <w:r>
              <w:rPr>
                <w:rFonts w:hint="eastAsia" w:ascii="宋体" w:hAnsi="宋体" w:cs="宋体"/>
                <w:color w:val="auto"/>
                <w:szCs w:val="21"/>
                <w:highlight w:val="none"/>
              </w:rPr>
              <w:t>26.1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F43C3D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评标委员会的人数：</w:t>
            </w:r>
            <w:r>
              <w:rPr>
                <w:rFonts w:hint="eastAsia" w:ascii="宋体" w:hAnsi="宋体" w:cs="宋体"/>
                <w:color w:val="auto"/>
                <w:szCs w:val="21"/>
                <w:highlight w:val="none"/>
                <w:u w:val="single"/>
              </w:rPr>
              <w:t xml:space="preserve"> 5 </w:t>
            </w:r>
            <w:r>
              <w:rPr>
                <w:rFonts w:hint="eastAsia" w:ascii="宋体" w:hAnsi="宋体" w:cs="宋体"/>
                <w:color w:val="auto"/>
                <w:szCs w:val="21"/>
                <w:highlight w:val="none"/>
              </w:rPr>
              <w:t>人</w:t>
            </w:r>
          </w:p>
        </w:tc>
      </w:tr>
      <w:tr w14:paraId="269091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38477F4">
            <w:pPr>
              <w:spacing w:line="360" w:lineRule="auto"/>
              <w:jc w:val="center"/>
              <w:rPr>
                <w:rFonts w:hint="eastAsia" w:ascii="宋体" w:hAnsi="宋体" w:cs="宋体"/>
                <w:color w:val="auto"/>
                <w:szCs w:val="21"/>
                <w:highlight w:val="none"/>
              </w:rPr>
            </w:pPr>
            <w:bookmarkStart w:id="81" w:name="_28.3"/>
            <w:bookmarkEnd w:id="81"/>
            <w:r>
              <w:rPr>
                <w:rFonts w:hint="eastAsia" w:ascii="宋体" w:hAnsi="宋体" w:cs="宋体"/>
                <w:color w:val="auto"/>
                <w:szCs w:val="21"/>
                <w:highlight w:val="none"/>
              </w:rPr>
              <w:t>29.1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6C5954C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评标方法：</w:t>
            </w:r>
          </w:p>
          <w:p w14:paraId="299EE20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☑综合评分法</w:t>
            </w:r>
          </w:p>
        </w:tc>
      </w:tr>
      <w:tr w14:paraId="173EEE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01451A6D">
            <w:pPr>
              <w:spacing w:line="360" w:lineRule="auto"/>
              <w:jc w:val="center"/>
              <w:rPr>
                <w:rFonts w:hint="eastAsia" w:ascii="宋体" w:hAnsi="宋体" w:cs="宋体"/>
                <w:color w:val="auto"/>
                <w:szCs w:val="21"/>
                <w:highlight w:val="none"/>
              </w:rPr>
            </w:pPr>
            <w:bookmarkStart w:id="82" w:name="_29.2.2（2）"/>
            <w:bookmarkEnd w:id="82"/>
            <w:r>
              <w:rPr>
                <w:rFonts w:hint="eastAsia" w:ascii="宋体" w:hAnsi="宋体" w:cs="宋体"/>
                <w:color w:val="auto"/>
                <w:szCs w:val="21"/>
                <w:highlight w:val="none"/>
              </w:rPr>
              <w:t>29.2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1979E383">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26C2872E">
            <w:pPr>
              <w:spacing w:line="360" w:lineRule="auto"/>
              <w:ind w:firstLine="422"/>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5</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027152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4720EC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29.3</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7808A91">
            <w:pPr>
              <w:spacing w:line="360" w:lineRule="auto"/>
              <w:ind w:firstLine="420"/>
              <w:rPr>
                <w:rFonts w:hint="eastAsia" w:ascii="宋体" w:hAnsi="宋体" w:cs="宋体"/>
                <w:color w:val="auto"/>
                <w:highlight w:val="none"/>
              </w:rPr>
            </w:pPr>
            <w:r>
              <w:rPr>
                <w:rFonts w:hint="eastAsia" w:ascii="宋体" w:hAnsi="宋体" w:cs="宋体"/>
                <w:color w:val="auto"/>
                <w:highlight w:val="none"/>
              </w:rPr>
              <w:t>中标候选人推荐数量：</w:t>
            </w:r>
          </w:p>
          <w:p w14:paraId="1FD46062">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w:t>
            </w:r>
            <w:r>
              <w:rPr>
                <w:rFonts w:hint="eastAsia" w:ascii="宋体" w:hAnsi="宋体" w:cs="宋体"/>
                <w:color w:val="auto"/>
                <w:highlight w:val="none"/>
                <w:u w:val="single"/>
              </w:rPr>
              <w:t xml:space="preserve"> 3 </w:t>
            </w:r>
            <w:r>
              <w:rPr>
                <w:rFonts w:hint="eastAsia" w:ascii="宋体" w:hAnsi="宋体" w:cs="宋体"/>
                <w:color w:val="auto"/>
                <w:highlight w:val="none"/>
              </w:rPr>
              <w:t>名</w:t>
            </w:r>
          </w:p>
        </w:tc>
      </w:tr>
      <w:tr w14:paraId="0EF52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4139657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30.1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5DB30D8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采用综合评分法的采购项目，采购人确定中标</w:t>
            </w:r>
            <w:r>
              <w:rPr>
                <w:rFonts w:hint="eastAsia" w:ascii="宋体" w:hAnsi="宋体" w:cs="宋体"/>
                <w:color w:val="auto"/>
                <w:szCs w:val="21"/>
                <w:highlight w:val="none"/>
                <w:lang w:eastAsia="zh-CN"/>
              </w:rPr>
              <w:t>人</w:t>
            </w:r>
            <w:r>
              <w:rPr>
                <w:rFonts w:hint="eastAsia" w:ascii="宋体" w:hAnsi="宋体" w:cs="宋体"/>
                <w:color w:val="auto"/>
                <w:szCs w:val="21"/>
                <w:highlight w:val="none"/>
              </w:rPr>
              <w:t>时，出现中标候选人并列的情形，采购人按以下方式确定中标人：</w:t>
            </w:r>
          </w:p>
          <w:p w14:paraId="312CC12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☑依次按投标报价低的优先、政策分得分高的优先、技术评分高的优先、商务评分高的优先、质保期长优先、交货期短优先、故障响应时间短优先的顺序确定；</w:t>
            </w:r>
          </w:p>
        </w:tc>
      </w:tr>
      <w:tr w14:paraId="66C51F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21020CB3">
            <w:pPr>
              <w:spacing w:line="360" w:lineRule="auto"/>
              <w:jc w:val="center"/>
              <w:rPr>
                <w:rFonts w:hint="eastAsia" w:ascii="宋体" w:hAnsi="宋体" w:cs="宋体"/>
                <w:color w:val="auto"/>
                <w:szCs w:val="21"/>
                <w:highlight w:val="none"/>
              </w:rPr>
            </w:pPr>
            <w:bookmarkStart w:id="83" w:name="_39.1"/>
            <w:bookmarkEnd w:id="83"/>
            <w:r>
              <w:rPr>
                <w:rFonts w:hint="eastAsia" w:ascii="宋体" w:hAnsi="宋体" w:cs="宋体"/>
                <w:color w:val="auto"/>
                <w:szCs w:val="21"/>
                <w:highlight w:val="none"/>
              </w:rPr>
              <w:t>35.1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4E7DA4E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377C05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B7F2D78">
            <w:pPr>
              <w:spacing w:line="360" w:lineRule="auto"/>
              <w:jc w:val="center"/>
              <w:rPr>
                <w:rFonts w:hint="eastAsia" w:ascii="宋体" w:hAnsi="宋体" w:cs="宋体"/>
                <w:color w:val="auto"/>
                <w:szCs w:val="21"/>
                <w:highlight w:val="none"/>
              </w:rPr>
            </w:pPr>
            <w:bookmarkStart w:id="84" w:name="_40.1"/>
            <w:bookmarkEnd w:id="84"/>
            <w:r>
              <w:rPr>
                <w:rFonts w:hint="eastAsia" w:ascii="宋体" w:hAnsi="宋体" w:cs="宋体"/>
                <w:color w:val="auto"/>
                <w:szCs w:val="21"/>
                <w:highlight w:val="none"/>
              </w:rPr>
              <w:t>36.1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D598B6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5F574B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69AE05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2AC4B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5B5B11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38.2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00C1B82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5BF9C93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质疑联系部门及联系方式：云之龙咨询集团有限公司招标部，联系电话：0775-4565100、4569690，通讯地址：广西贵港市港北区荷城路1132号华泰官邸1栋6楼。</w:t>
            </w:r>
          </w:p>
          <w:p w14:paraId="7539C899">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业务时间：工作日每天上午8时00分到12时00分，下午3时00分到6时00分。</w:t>
            </w:r>
          </w:p>
        </w:tc>
      </w:tr>
      <w:tr w14:paraId="060E42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CCDC9E8">
            <w:pPr>
              <w:spacing w:line="360" w:lineRule="auto"/>
              <w:jc w:val="center"/>
              <w:rPr>
                <w:rFonts w:hint="eastAsia" w:ascii="宋体" w:hAnsi="宋体" w:cs="宋体"/>
                <w:color w:val="auto"/>
                <w:szCs w:val="21"/>
                <w:highlight w:val="none"/>
              </w:rPr>
            </w:pPr>
            <w:bookmarkStart w:id="85" w:name="_42"/>
            <w:bookmarkEnd w:id="85"/>
            <w:bookmarkStart w:id="86" w:name="_41"/>
            <w:bookmarkEnd w:id="86"/>
            <w:bookmarkStart w:id="87" w:name="_Hlt17709148"/>
            <w:r>
              <w:rPr>
                <w:rFonts w:hint="eastAsia" w:ascii="宋体" w:hAnsi="宋体" w:cs="宋体"/>
                <w:color w:val="auto"/>
                <w:szCs w:val="21"/>
                <w:highlight w:val="none"/>
              </w:rPr>
              <w:t>3</w:t>
            </w:r>
            <w:bookmarkEnd w:id="87"/>
            <w:r>
              <w:rPr>
                <w:rFonts w:hint="eastAsia" w:ascii="宋体" w:hAnsi="宋体" w:cs="宋体"/>
                <w:color w:val="auto"/>
                <w:szCs w:val="21"/>
                <w:highlight w:val="none"/>
              </w:rPr>
              <w:t>9.1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CC195BA">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7B2F2A9C">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☑本项目代理服务费由中标人一次性向采购代理机构支付。</w:t>
            </w:r>
          </w:p>
          <w:p w14:paraId="231074C9">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64788023">
            <w:pPr>
              <w:pStyle w:val="231"/>
              <w:spacing w:line="360" w:lineRule="auto"/>
              <w:ind w:firstLine="420"/>
              <w:rPr>
                <w:rFonts w:hint="eastAsia" w:hAnsi="宋体" w:eastAsia="宋体" w:cs="宋体"/>
                <w:color w:val="auto"/>
                <w:sz w:val="21"/>
                <w:highlight w:val="none"/>
                <w:u w:val="single"/>
                <w:lang w:val="en-US" w:eastAsia="zh-CN"/>
              </w:rPr>
            </w:pPr>
            <w:r>
              <w:rPr>
                <w:rFonts w:hint="eastAsia" w:hAnsi="宋体" w:cs="宋体"/>
                <w:color w:val="auto"/>
                <w:sz w:val="21"/>
                <w:highlight w:val="none"/>
                <w:lang w:val="en-US" w:eastAsia="zh-CN"/>
              </w:rPr>
              <w:t>☑固定采购代理收费：</w:t>
            </w:r>
            <w:r>
              <w:rPr>
                <w:rFonts w:hint="eastAsia" w:hAnsi="宋体" w:cs="宋体"/>
                <w:color w:val="auto"/>
                <w:sz w:val="21"/>
                <w:highlight w:val="none"/>
                <w:u w:val="single"/>
              </w:rPr>
              <w:t>代理服务费为人民币</w:t>
            </w:r>
            <w:r>
              <w:rPr>
                <w:rFonts w:hint="eastAsia" w:hAnsi="宋体" w:cs="宋体"/>
                <w:color w:val="auto"/>
                <w:sz w:val="21"/>
                <w:highlight w:val="none"/>
                <w:u w:val="single"/>
                <w:lang w:eastAsia="zh-CN"/>
              </w:rPr>
              <w:t>伍万捌仟贰佰捌拾壹</w:t>
            </w:r>
            <w:r>
              <w:rPr>
                <w:rFonts w:hint="eastAsia" w:hAnsi="宋体" w:cs="宋体"/>
                <w:color w:val="auto"/>
                <w:sz w:val="21"/>
                <w:highlight w:val="none"/>
                <w:u w:val="single"/>
              </w:rPr>
              <w:t>元整（¥</w:t>
            </w:r>
            <w:r>
              <w:rPr>
                <w:rFonts w:hint="eastAsia" w:hAnsi="宋体" w:cs="宋体"/>
                <w:color w:val="auto"/>
                <w:sz w:val="21"/>
                <w:highlight w:val="none"/>
                <w:u w:val="single"/>
                <w:lang w:val="en-US" w:eastAsia="zh-CN"/>
              </w:rPr>
              <w:t>58281</w:t>
            </w:r>
            <w:r>
              <w:rPr>
                <w:rFonts w:hint="eastAsia" w:hAnsi="宋体" w:cs="宋体"/>
                <w:color w:val="auto"/>
                <w:sz w:val="21"/>
                <w:highlight w:val="none"/>
                <w:u w:val="single"/>
              </w:rPr>
              <w:t>.00）；由中标人向招标代理机构支付。</w:t>
            </w:r>
            <w:r>
              <w:rPr>
                <w:rFonts w:hint="eastAsia" w:hAnsi="宋体" w:cs="宋体"/>
                <w:color w:val="auto"/>
                <w:sz w:val="21"/>
                <w:highlight w:val="none"/>
                <w:u w:val="single"/>
                <w:lang w:val="en-US" w:eastAsia="zh-CN"/>
              </w:rPr>
              <w:t xml:space="preserve"> </w:t>
            </w:r>
          </w:p>
          <w:p w14:paraId="652EDA98">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 xml:space="preserve">3.账户名称： </w:t>
            </w:r>
          </w:p>
          <w:p w14:paraId="1F31F24A">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 xml:space="preserve">账户名称：云之龙咨询集团有限公司贵港分公司  </w:t>
            </w:r>
          </w:p>
          <w:p w14:paraId="74CE2C55">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3755512E">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开户行行号：302611029137</w:t>
            </w:r>
          </w:p>
          <w:p w14:paraId="3718433D">
            <w:pPr>
              <w:pStyle w:val="231"/>
              <w:spacing w:line="360" w:lineRule="auto"/>
              <w:ind w:firstLine="420"/>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tc>
      </w:tr>
      <w:tr w14:paraId="70CA98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93C397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40.1</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3E045D1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54DD7B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5A2AF6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40.2</w:t>
            </w:r>
          </w:p>
        </w:tc>
        <w:tc>
          <w:tcPr>
            <w:tcW w:w="8670" w:type="dxa"/>
            <w:tcBorders>
              <w:top w:val="single" w:color="auto" w:sz="4" w:space="0"/>
              <w:left w:val="single" w:color="auto" w:sz="4" w:space="0"/>
              <w:bottom w:val="single" w:color="auto" w:sz="4" w:space="0"/>
              <w:right w:val="single" w:color="auto" w:sz="4" w:space="0"/>
            </w:tcBorders>
            <w:noWrap w:val="0"/>
            <w:vAlign w:val="center"/>
          </w:tcPr>
          <w:p w14:paraId="2D5A0C27">
            <w:pPr>
              <w:pStyle w:val="231"/>
              <w:spacing w:line="360" w:lineRule="auto"/>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4D9C9DDB">
            <w:pPr>
              <w:pStyle w:val="231"/>
              <w:spacing w:line="360" w:lineRule="auto"/>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2.本招标文件所称的“</w:t>
            </w:r>
            <w:r>
              <w:rPr>
                <w:rFonts w:hint="eastAsia" w:hAnsi="宋体" w:cs="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s="宋体"/>
                <w:color w:val="auto"/>
                <w:sz w:val="21"/>
                <w:highlight w:val="none"/>
                <w:lang w:val="en-US" w:eastAsia="zh-CN"/>
              </w:rPr>
              <w:t>，是指经广西政府采购云平台认可的CA认证的电子签名数据为表现形式的印章，可用于签署电子投标文件，电子印章与实物印章具有同等法律效力，不因其采用电子化表现形式而否定其法律效力。</w:t>
            </w:r>
          </w:p>
          <w:p w14:paraId="488ABE95">
            <w:pPr>
              <w:pStyle w:val="231"/>
              <w:spacing w:line="360" w:lineRule="auto"/>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4FF6AE01">
            <w:pPr>
              <w:pStyle w:val="231"/>
              <w:spacing w:line="360" w:lineRule="auto"/>
              <w:ind w:firstLine="420"/>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4.本招标文件中描述投标人的“签字”是指投标人的法定代表人或者委托代理人亲自在文件规定签字处亲笔写上个人的名字的行为，私章、签字章、印鉴、影印等其他形式均不能代替亲笔签字。</w:t>
            </w:r>
          </w:p>
          <w:p w14:paraId="26BCB0CD">
            <w:pPr>
              <w:pStyle w:val="231"/>
              <w:spacing w:line="360" w:lineRule="auto"/>
              <w:ind w:firstLine="420"/>
              <w:rPr>
                <w:rFonts w:hint="eastAsia" w:hAnsi="宋体" w:cs="宋体"/>
                <w:color w:val="auto"/>
                <w:sz w:val="21"/>
                <w:highlight w:val="none"/>
                <w:lang w:val="en-US" w:eastAsia="zh-CN"/>
              </w:rPr>
            </w:pPr>
            <w:r>
              <w:rPr>
                <w:rFonts w:hint="eastAsia" w:hAnsi="宋体" w:cs="宋体"/>
                <w:bCs/>
                <w:color w:val="auto"/>
                <w:sz w:val="21"/>
                <w:highlight w:val="none"/>
                <w:lang w:val="en-US" w:eastAsia="zh-CN"/>
              </w:rPr>
              <w:t>5.本招标文件所称的“以上”“以下”“以内”“届满”，包括本数；所称的“不满”“超过”“以外”，不包括本数。</w:t>
            </w:r>
          </w:p>
        </w:tc>
      </w:tr>
    </w:tbl>
    <w:p w14:paraId="5C4C639F">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br w:type="page" w:clear="all"/>
      </w:r>
      <w:r>
        <w:rPr>
          <w:rFonts w:hint="eastAsia" w:ascii="宋体" w:hAnsi="宋体" w:cs="宋体"/>
          <w:color w:val="auto"/>
          <w:highlight w:val="none"/>
        </w:rPr>
        <w:t>投标人须知正文</w:t>
      </w:r>
    </w:p>
    <w:p w14:paraId="1B3B29C6">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t>一、总  则</w:t>
      </w:r>
    </w:p>
    <w:p w14:paraId="0DA3EA5A">
      <w:pPr>
        <w:pStyle w:val="196"/>
        <w:keepNext w:val="0"/>
        <w:keepLines w:val="0"/>
        <w:spacing w:before="0" w:after="0" w:line="360" w:lineRule="auto"/>
        <w:ind w:left="420" w:firstLine="482"/>
        <w:rPr>
          <w:rFonts w:hint="eastAsia" w:ascii="宋体" w:hAnsi="宋体" w:cs="宋体"/>
          <w:color w:val="auto"/>
          <w:sz w:val="24"/>
          <w:highlight w:val="none"/>
        </w:rPr>
      </w:pPr>
      <w:bookmarkStart w:id="88" w:name="_Toc254970668"/>
      <w:bookmarkStart w:id="89" w:name="_Toc254970527"/>
      <w:r>
        <w:rPr>
          <w:rFonts w:hint="eastAsia" w:ascii="宋体" w:hAnsi="宋体" w:cs="宋体"/>
          <w:color w:val="auto"/>
          <w:sz w:val="24"/>
          <w:highlight w:val="none"/>
        </w:rPr>
        <w:t>1.适用范围</w:t>
      </w:r>
      <w:bookmarkEnd w:id="88"/>
      <w:bookmarkEnd w:id="89"/>
    </w:p>
    <w:p w14:paraId="1171647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9CC866D">
      <w:pPr>
        <w:spacing w:line="360" w:lineRule="auto"/>
        <w:ind w:firstLine="420"/>
        <w:jc w:val="left"/>
        <w:rPr>
          <w:rFonts w:hint="eastAsia" w:ascii="宋体" w:hAnsi="宋体" w:cs="宋体"/>
          <w:color w:val="auto"/>
          <w:spacing w:val="-6"/>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739F832C">
      <w:pPr>
        <w:pStyle w:val="196"/>
        <w:keepNext w:val="0"/>
        <w:keepLines w:val="0"/>
        <w:spacing w:before="0" w:after="0" w:line="360" w:lineRule="auto"/>
        <w:ind w:left="420" w:firstLine="482"/>
        <w:rPr>
          <w:rFonts w:hint="eastAsia" w:ascii="宋体" w:hAnsi="宋体" w:cs="宋体"/>
          <w:color w:val="auto"/>
          <w:sz w:val="24"/>
          <w:highlight w:val="none"/>
        </w:rPr>
      </w:pPr>
      <w:bookmarkStart w:id="90" w:name="_Toc254970669"/>
      <w:bookmarkStart w:id="91" w:name="_Toc254970528"/>
      <w:r>
        <w:rPr>
          <w:rFonts w:hint="eastAsia" w:ascii="宋体" w:hAnsi="宋体" w:cs="宋体"/>
          <w:color w:val="auto"/>
          <w:sz w:val="24"/>
          <w:highlight w:val="none"/>
        </w:rPr>
        <w:t>2.定义</w:t>
      </w:r>
      <w:bookmarkEnd w:id="90"/>
      <w:bookmarkEnd w:id="91"/>
    </w:p>
    <w:p w14:paraId="2B3830B9">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2.1“采购人”是指依法进行政府采购的国家机关、事业单位、团体组织。</w:t>
      </w:r>
    </w:p>
    <w:p w14:paraId="52A113F4">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2.2“采购代理机构”是指政府采购集中采购机构和集中采购机构以外的采购代理机构。</w:t>
      </w:r>
    </w:p>
    <w:p w14:paraId="63B2E0A9">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2.3“供应商”是指向采购人提供货物、工程或者服务的法人、其他组织或者自然人。</w:t>
      </w:r>
    </w:p>
    <w:p w14:paraId="2B2C0AC9">
      <w:pPr>
        <w:pStyle w:val="197"/>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7F02058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2.5“货物”是指各种形态和种类的物品，包括原材料、燃料、设备、产品等。</w:t>
      </w:r>
    </w:p>
    <w:p w14:paraId="52EAC458">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2.6“售后服务” 是指商品出售以后所提供的各种服务，包含但不限于投标人须承担的备品备件、包装、运输、装卸、保险、货到就位以及安装、调试、培训、质保以及其他各种服务。</w:t>
      </w:r>
    </w:p>
    <w:p w14:paraId="27333DF3">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2.7“书面形式”是指合同书、信件和数据电文（包括电报、电传、传真、电子数据交换和电子邮件）等可以有形地表现所载内容的形式。</w:t>
      </w:r>
    </w:p>
    <w:p w14:paraId="024175C4">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2.8“实质性要求”是指招标文件中已经指明不满足则投标无效的条款，或者不能负偏离的条款，或者采购需求中带“▲”的条款。</w:t>
      </w:r>
    </w:p>
    <w:p w14:paraId="2C4625A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2.9 “正偏离”，是指投标文件对招标文件“采购需求”中有关条款作出的响应优于条款要求并有利于采购人的情形。</w:t>
      </w:r>
    </w:p>
    <w:p w14:paraId="38C12E00">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2.10“负偏离”，是指投标文件对招标文件“采购需求”中有关条款作出的响应不满足条款要求，导致采购人要求不能得到满足的情形。</w:t>
      </w:r>
    </w:p>
    <w:p w14:paraId="6FC1D99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bookmarkStart w:id="92" w:name="_Toc254970529"/>
      <w:bookmarkStart w:id="93" w:name="_Toc254970670"/>
    </w:p>
    <w:p w14:paraId="1B7B2CE1">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w:t>
      </w:r>
      <w:bookmarkEnd w:id="92"/>
      <w:bookmarkEnd w:id="93"/>
      <w:r>
        <w:rPr>
          <w:rFonts w:hint="eastAsia" w:ascii="宋体" w:hAnsi="宋体" w:cs="宋体"/>
          <w:color w:val="auto"/>
          <w:sz w:val="24"/>
          <w:highlight w:val="none"/>
        </w:rPr>
        <w:t>投标人的资格要求</w:t>
      </w:r>
    </w:p>
    <w:p w14:paraId="319EAEA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437CB22C">
      <w:pPr>
        <w:pStyle w:val="196"/>
        <w:keepNext w:val="0"/>
        <w:keepLines w:val="0"/>
        <w:spacing w:before="0" w:after="0" w:line="360" w:lineRule="auto"/>
        <w:ind w:left="420" w:firstLine="482"/>
        <w:rPr>
          <w:rFonts w:hint="eastAsia" w:ascii="宋体" w:hAnsi="宋体" w:cs="宋体"/>
          <w:color w:val="auto"/>
          <w:sz w:val="24"/>
          <w:highlight w:val="none"/>
        </w:rPr>
      </w:pPr>
      <w:bookmarkStart w:id="94" w:name="_Toc254970671"/>
      <w:bookmarkStart w:id="95" w:name="_Toc254970530"/>
      <w:r>
        <w:rPr>
          <w:rFonts w:hint="eastAsia" w:ascii="宋体" w:hAnsi="宋体" w:cs="宋体"/>
          <w:color w:val="auto"/>
          <w:sz w:val="24"/>
          <w:highlight w:val="none"/>
        </w:rPr>
        <w:t>4.投标委托</w:t>
      </w:r>
      <w:bookmarkEnd w:id="94"/>
      <w:bookmarkEnd w:id="95"/>
    </w:p>
    <w:p w14:paraId="61D4798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5DA11456">
      <w:pPr>
        <w:pStyle w:val="196"/>
        <w:keepNext w:val="0"/>
        <w:keepLines w:val="0"/>
        <w:spacing w:before="0" w:after="0" w:line="360" w:lineRule="auto"/>
        <w:ind w:left="420" w:firstLine="482"/>
        <w:rPr>
          <w:rFonts w:hint="eastAsia" w:ascii="宋体" w:hAnsi="宋体" w:cs="宋体"/>
          <w:color w:val="auto"/>
          <w:sz w:val="24"/>
          <w:highlight w:val="none"/>
        </w:rPr>
      </w:pPr>
      <w:bookmarkStart w:id="96" w:name="_5.投标费用"/>
      <w:bookmarkEnd w:id="96"/>
      <w:bookmarkStart w:id="97" w:name="_Toc254970672"/>
      <w:bookmarkStart w:id="98" w:name="_Toc254970531"/>
      <w:r>
        <w:rPr>
          <w:rFonts w:hint="eastAsia" w:ascii="宋体" w:hAnsi="宋体" w:cs="宋体"/>
          <w:color w:val="auto"/>
          <w:sz w:val="24"/>
          <w:highlight w:val="none"/>
        </w:rPr>
        <w:t>5.投标费用</w:t>
      </w:r>
      <w:bookmarkEnd w:id="97"/>
      <w:bookmarkEnd w:id="98"/>
    </w:p>
    <w:p w14:paraId="546EDFDC">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17B611B5">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6.联合体投标</w:t>
      </w:r>
    </w:p>
    <w:p w14:paraId="7836524E">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1E67BF58">
      <w:pPr>
        <w:spacing w:line="360" w:lineRule="auto"/>
        <w:ind w:firstLine="420"/>
        <w:jc w:val="left"/>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4C07319D">
      <w:pPr>
        <w:pStyle w:val="196"/>
        <w:keepNext w:val="0"/>
        <w:keepLines w:val="0"/>
        <w:spacing w:before="0" w:after="0" w:line="360" w:lineRule="auto"/>
        <w:ind w:firstLine="420"/>
        <w:rPr>
          <w:rFonts w:hint="eastAsia" w:ascii="宋体" w:hAnsi="宋体" w:cs="宋体"/>
          <w:color w:val="auto"/>
          <w:sz w:val="24"/>
          <w:highlight w:val="none"/>
        </w:rPr>
      </w:pPr>
      <w:r>
        <w:rPr>
          <w:rFonts w:hint="eastAsia" w:ascii="宋体" w:hAnsi="宋体" w:cs="宋体"/>
          <w:b w:val="0"/>
          <w:bCs/>
          <w:color w:val="auto"/>
          <w:sz w:val="21"/>
          <w:szCs w:val="21"/>
          <w:highlight w:val="none"/>
        </w:rPr>
        <w:t>6.3</w:t>
      </w:r>
      <w:r>
        <w:rPr>
          <w:rFonts w:hint="eastAsia" w:ascii="宋体" w:hAnsi="宋体" w:cs="宋体"/>
          <w:b w:val="0"/>
          <w:bCs/>
          <w:color w:val="auto"/>
          <w:sz w:val="21"/>
          <w:szCs w:val="21"/>
          <w:highlight w:val="none"/>
          <w:lang w:val="en-US"/>
        </w:rPr>
        <w:t>根据《政府采购促进中小企业发展管理办法》（财库〔2020〕46号）及《广西壮族自治区财政厅关于贯彻落实政府采购支持中小企业发展政策的通知》（桂财采〔2022〕31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0E363CE8">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 xml:space="preserve">7.转包与分包             </w:t>
      </w:r>
    </w:p>
    <w:p w14:paraId="3025B58E">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7.1本项目不允许转包。</w:t>
      </w:r>
    </w:p>
    <w:p w14:paraId="0989521E">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A8745CB">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34B1905C">
      <w:pPr>
        <w:pStyle w:val="196"/>
        <w:keepNext w:val="0"/>
        <w:keepLines w:val="0"/>
        <w:spacing w:before="0" w:after="0" w:line="360" w:lineRule="auto"/>
        <w:ind w:left="420" w:firstLine="482"/>
        <w:rPr>
          <w:rFonts w:hint="eastAsia" w:ascii="宋体" w:hAnsi="宋体" w:cs="宋体"/>
          <w:color w:val="auto"/>
          <w:sz w:val="24"/>
          <w:highlight w:val="none"/>
        </w:rPr>
      </w:pPr>
      <w:bookmarkStart w:id="99" w:name="_Toc254970532"/>
      <w:bookmarkStart w:id="100" w:name="_Toc254970673"/>
      <w:r>
        <w:rPr>
          <w:rFonts w:hint="eastAsia" w:ascii="宋体" w:hAnsi="宋体" w:cs="宋体"/>
          <w:color w:val="auto"/>
          <w:sz w:val="24"/>
          <w:highlight w:val="none"/>
        </w:rPr>
        <w:t>8.特别说明</w:t>
      </w:r>
      <w:bookmarkEnd w:id="99"/>
      <w:bookmarkEnd w:id="100"/>
    </w:p>
    <w:p w14:paraId="7CA665A3">
      <w:pPr>
        <w:pStyle w:val="196"/>
        <w:keepNext w:val="0"/>
        <w:keepLines w:val="0"/>
        <w:spacing w:before="0" w:after="0" w:line="360" w:lineRule="auto"/>
        <w:ind w:firstLine="420"/>
        <w:rPr>
          <w:rFonts w:hint="eastAsia" w:ascii="宋体" w:hAnsi="宋体" w:cs="宋体"/>
          <w:b w:val="0"/>
          <w:color w:val="auto"/>
          <w:sz w:val="21"/>
          <w:szCs w:val="21"/>
          <w:highlight w:val="none"/>
        </w:rPr>
      </w:pPr>
      <w:bookmarkStart w:id="101" w:name="_8.1提供相同品牌产品且通过资格审查、符合性审查的不同投标人参加同一合"/>
      <w:bookmarkEnd w:id="101"/>
      <w:r>
        <w:rPr>
          <w:rFonts w:hint="eastAsia" w:ascii="宋体" w:hAnsi="宋体" w:cs="宋体"/>
          <w:b w:val="0"/>
          <w:color w:val="auto"/>
          <w:sz w:val="21"/>
          <w:szCs w:val="21"/>
          <w:highlight w:val="none"/>
        </w:rPr>
        <w:fldChar w:fldCharType="begin"/>
      </w:r>
      <w:r>
        <w:rPr>
          <w:rFonts w:hint="eastAsia" w:ascii="宋体" w:hAnsi="宋体" w:cs="宋体"/>
          <w:b w:val="0"/>
          <w:color w:val="auto"/>
          <w:sz w:val="21"/>
          <w:szCs w:val="21"/>
          <w:highlight w:val="none"/>
        </w:rPr>
        <w:instrText xml:space="preserve"> HYPERLINK  \l "_8.1" </w:instrText>
      </w:r>
      <w:r>
        <w:rPr>
          <w:rFonts w:hint="eastAsia" w:ascii="宋体" w:hAnsi="宋体" w:cs="宋体"/>
          <w:b w:val="0"/>
          <w:color w:val="auto"/>
          <w:sz w:val="21"/>
          <w:szCs w:val="21"/>
          <w:highlight w:val="none"/>
        </w:rPr>
        <w:fldChar w:fldCharType="separate"/>
      </w:r>
      <w:r>
        <w:rPr>
          <w:rFonts w:hint="eastAsia" w:ascii="宋体" w:hAnsi="宋体" w:cs="宋体"/>
          <w:b w:val="0"/>
          <w:color w:val="auto"/>
          <w:sz w:val="21"/>
          <w:szCs w:val="21"/>
          <w:highlight w:val="none"/>
        </w:rPr>
        <w:t>8.1</w:t>
      </w:r>
      <w:r>
        <w:rPr>
          <w:rFonts w:hint="eastAsia" w:ascii="宋体" w:hAnsi="宋体" w:cs="宋体"/>
          <w:b w:val="0"/>
          <w:color w:val="auto"/>
          <w:sz w:val="21"/>
          <w:szCs w:val="21"/>
          <w:highlight w:val="none"/>
        </w:rPr>
        <w:fldChar w:fldCharType="end"/>
      </w:r>
      <w:r>
        <w:rPr>
          <w:rFonts w:hint="eastAsia" w:ascii="宋体" w:hAnsi="宋体" w:cs="宋体"/>
          <w:b w:val="0"/>
          <w:color w:val="auto"/>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s="宋体"/>
          <w:color w:val="auto"/>
          <w:sz w:val="22"/>
          <w:szCs w:val="22"/>
          <w:highlight w:val="none"/>
        </w:rPr>
        <w:t>其他投标无效。</w:t>
      </w:r>
    </w:p>
    <w:p w14:paraId="71B8C88C">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3CD72249">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非单一产品采购项目，多家投标人提供的核心产品品牌相同的，</w:t>
      </w:r>
      <w:r>
        <w:rPr>
          <w:rFonts w:hint="eastAsia" w:hAnsi="宋体" w:cs="宋体"/>
          <w:color w:val="auto"/>
          <w:sz w:val="22"/>
          <w:szCs w:val="22"/>
          <w:highlight w:val="none"/>
        </w:rPr>
        <w:t>按前两款规定处理</w:t>
      </w:r>
      <w:r>
        <w:rPr>
          <w:rFonts w:hint="eastAsia" w:hAnsi="宋体" w:cs="宋体"/>
          <w:color w:val="auto"/>
          <w:sz w:val="21"/>
          <w:highlight w:val="none"/>
        </w:rPr>
        <w:t>。</w:t>
      </w:r>
    </w:p>
    <w:p w14:paraId="35BE7696">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8.2如果本招标文件要求提供投标人或制造商的资格、信誉、荣誉、业绩与企业认证等材料的，资格、信誉、荣誉、业绩与企业认证等必须为投标人或者制造商所拥有或自身获得 。</w:t>
      </w:r>
    </w:p>
    <w:p w14:paraId="3D2FE5BC">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8.3投标人应仔细阅读招标文件的所有内容，按照招标文件的要求提交投标文件，并对所提供的全部资料的真实性承担法律责任。</w:t>
      </w:r>
    </w:p>
    <w:p w14:paraId="506B8AD3">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8.4投标人在投标活动中提供任何虚假材料，将报监管部门查处；中标后发现的，中标人须依照《中华人民共和国消费者权益保护法》</w:t>
      </w:r>
      <w:r>
        <w:rPr>
          <w:rFonts w:hint="eastAsia" w:ascii="宋体" w:hAnsi="宋体" w:cs="宋体"/>
          <w:b w:val="0"/>
          <w:color w:val="auto"/>
          <w:sz w:val="21"/>
          <w:szCs w:val="21"/>
          <w:highlight w:val="none"/>
          <w:lang w:eastAsia="zh-CN"/>
        </w:rPr>
        <w:t>《</w:t>
      </w:r>
      <w:r>
        <w:rPr>
          <w:rFonts w:hint="eastAsia" w:ascii="宋体" w:hAnsi="宋体" w:cs="宋体"/>
          <w:b w:val="0"/>
          <w:color w:val="auto"/>
          <w:sz w:val="21"/>
          <w:szCs w:val="21"/>
          <w:highlight w:val="none"/>
        </w:rPr>
        <w:t>中华人民共和国</w:t>
      </w:r>
      <w:r>
        <w:rPr>
          <w:rFonts w:hint="eastAsia" w:ascii="宋体" w:hAnsi="宋体" w:cs="宋体"/>
          <w:b w:val="0"/>
          <w:color w:val="auto"/>
          <w:sz w:val="21"/>
          <w:szCs w:val="21"/>
          <w:highlight w:val="none"/>
          <w:lang w:val="en-US" w:eastAsia="zh-CN"/>
        </w:rPr>
        <w:t>政府采购</w:t>
      </w:r>
      <w:r>
        <w:rPr>
          <w:rFonts w:hint="eastAsia" w:ascii="宋体" w:hAnsi="宋体" w:cs="宋体"/>
          <w:b w:val="0"/>
          <w:color w:val="auto"/>
          <w:sz w:val="21"/>
          <w:szCs w:val="21"/>
          <w:highlight w:val="none"/>
        </w:rPr>
        <w:t>法</w:t>
      </w:r>
      <w:r>
        <w:rPr>
          <w:rFonts w:hint="eastAsia" w:ascii="宋体" w:hAnsi="宋体" w:cs="宋体"/>
          <w:b w:val="0"/>
          <w:color w:val="auto"/>
          <w:sz w:val="21"/>
          <w:szCs w:val="21"/>
          <w:highlight w:val="none"/>
          <w:lang w:eastAsia="zh-CN"/>
        </w:rPr>
        <w:t>》</w:t>
      </w:r>
      <w:r>
        <w:rPr>
          <w:rFonts w:hint="eastAsia" w:ascii="宋体" w:hAnsi="宋体" w:cs="宋体"/>
          <w:b w:val="0"/>
          <w:color w:val="auto"/>
          <w:sz w:val="21"/>
          <w:szCs w:val="21"/>
          <w:highlight w:val="none"/>
          <w:lang w:val="en-US" w:eastAsia="zh-CN"/>
        </w:rPr>
        <w:t>等法律</w:t>
      </w:r>
      <w:r>
        <w:rPr>
          <w:rFonts w:hint="eastAsia" w:ascii="宋体" w:hAnsi="宋体" w:cs="宋体"/>
          <w:b w:val="0"/>
          <w:color w:val="auto"/>
          <w:sz w:val="21"/>
          <w:szCs w:val="21"/>
          <w:highlight w:val="none"/>
        </w:rPr>
        <w:t>规定赔偿采购人，且民事赔偿并不免除违法投标人的行政与刑事责任。</w:t>
      </w:r>
    </w:p>
    <w:p w14:paraId="73DD19D7">
      <w:pPr>
        <w:pStyle w:val="197"/>
        <w:spacing w:line="360" w:lineRule="auto"/>
        <w:rPr>
          <w:color w:val="auto"/>
          <w:highlight w:val="none"/>
        </w:rPr>
      </w:pPr>
      <w:r>
        <w:rPr>
          <w:rFonts w:hint="eastAsia" w:ascii="宋体" w:hAnsi="宋体" w:eastAsia="宋体" w:cs="宋体"/>
          <w:color w:val="auto"/>
          <w:highlight w:val="none"/>
        </w:rPr>
        <w:t>8.5根据《</w:t>
      </w:r>
      <w:r>
        <w:rPr>
          <w:rFonts w:hint="eastAsia"/>
          <w:color w:val="auto"/>
          <w:highlight w:val="none"/>
        </w:rPr>
        <w:t>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42D2723">
      <w:pPr>
        <w:pStyle w:val="197"/>
        <w:spacing w:line="360" w:lineRule="auto"/>
        <w:rPr>
          <w:color w:val="auto"/>
          <w:highlight w:val="none"/>
        </w:rPr>
      </w:pPr>
      <w:r>
        <w:rPr>
          <w:rFonts w:hint="eastAsia"/>
          <w:color w:val="auto"/>
          <w:highlight w:val="none"/>
        </w:rPr>
        <w:t>产品在中国境内生产的组件成本占比应当达到规定比例，计算公式为：</w:t>
      </w:r>
    </w:p>
    <w:p w14:paraId="24BC6F66">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0" b="0"/>
            <wp:docPr id="4" name="_x0000_i2058"/>
            <wp:cNvGraphicFramePr/>
            <a:graphic xmlns:a="http://schemas.openxmlformats.org/drawingml/2006/main">
              <a:graphicData uri="http://schemas.openxmlformats.org/drawingml/2006/picture">
                <pic:pic xmlns:pic="http://schemas.openxmlformats.org/drawingml/2006/picture">
                  <pic:nvPicPr>
                    <pic:cNvPr id="4" name="_x0000_i2058"/>
                    <pic:cNvPicPr/>
                  </pic:nvPicPr>
                  <pic:blipFill>
                    <a:blip r:embed="rId13"/>
                    <a:stretch>
                      <a:fillRect/>
                    </a:stretch>
                  </pic:blipFill>
                  <pic:spPr>
                    <a:xfrm>
                      <a:off x="0" y="0"/>
                      <a:ext cx="4827905" cy="762762"/>
                    </a:xfrm>
                    <a:prstGeom prst="rect">
                      <a:avLst/>
                    </a:prstGeom>
                    <a:noFill/>
                  </pic:spPr>
                </pic:pic>
              </a:graphicData>
            </a:graphic>
          </wp:inline>
        </w:drawing>
      </w:r>
      <w:r>
        <w:rPr>
          <w:rFonts w:ascii="宋体" w:hAnsi="宋体" w:cs="宋体"/>
          <w:color w:val="auto"/>
          <w:sz w:val="24"/>
          <w:highlight w:val="none"/>
        </w:rPr>
        <w:fldChar w:fldCharType="end"/>
      </w:r>
    </w:p>
    <w:p w14:paraId="2C49C698">
      <w:pPr>
        <w:pStyle w:val="197"/>
        <w:spacing w:line="360" w:lineRule="auto"/>
        <w:rPr>
          <w:rFonts w:hint="eastAsia"/>
          <w:color w:val="auto"/>
          <w:highlight w:val="none"/>
        </w:rPr>
      </w:pPr>
      <w:r>
        <w:rPr>
          <w:rFonts w:hint="eastAsia"/>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260CB33">
      <w:pPr>
        <w:pStyle w:val="197"/>
        <w:spacing w:line="360" w:lineRule="auto"/>
        <w:rPr>
          <w:color w:val="auto"/>
          <w:highlight w:val="none"/>
        </w:rPr>
      </w:pPr>
      <w:r>
        <w:rPr>
          <w:rFonts w:hint="eastAsia"/>
          <w:color w:val="auto"/>
          <w:highlight w:val="none"/>
        </w:rPr>
        <w:t>政府采购活动中既有本国产品又有非本国产品参与竞争的，依法对本国产品给予价格评审优惠，对本国产品的报价给予20%的价格扣除，用扣除后的价格参与评审。</w:t>
      </w:r>
    </w:p>
    <w:p w14:paraId="3F9C55F7">
      <w:pPr>
        <w:pStyle w:val="197"/>
        <w:spacing w:line="360" w:lineRule="auto"/>
        <w:rPr>
          <w:color w:val="auto"/>
          <w:highlight w:val="none"/>
        </w:rPr>
      </w:pPr>
      <w:r>
        <w:rPr>
          <w:rFonts w:hint="eastAsia"/>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2792F73">
      <w:pPr>
        <w:pStyle w:val="197"/>
        <w:spacing w:line="360" w:lineRule="auto"/>
        <w:rPr>
          <w:rFonts w:hint="eastAsia"/>
          <w:color w:val="auto"/>
          <w:highlight w:val="none"/>
        </w:rPr>
      </w:pPr>
      <w:r>
        <w:rPr>
          <w:rFonts w:hint="eastAsia"/>
          <w:color w:val="auto"/>
          <w:highlight w:val="none"/>
        </w:rPr>
        <w:t>8</w:t>
      </w:r>
      <w:r>
        <w:rPr>
          <w:color w:val="auto"/>
          <w:highlight w:val="none"/>
        </w:rPr>
        <w:t>.6</w:t>
      </w:r>
      <w:r>
        <w:rPr>
          <w:rFonts w:hint="eastAsia"/>
          <w:color w:val="auto"/>
          <w:highlight w:val="none"/>
        </w:rPr>
        <w:t>本项目是否涉及非本国产品参与竞争，详见“投标人须知前附表”。</w:t>
      </w:r>
    </w:p>
    <w:p w14:paraId="64B44B93">
      <w:pPr>
        <w:pStyle w:val="197"/>
        <w:rPr>
          <w:rFonts w:hint="eastAsia"/>
          <w:color w:val="auto"/>
          <w:highlight w:val="none"/>
        </w:rPr>
      </w:pPr>
    </w:p>
    <w:p w14:paraId="5E13C885">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9.回避与串通投标</w:t>
      </w:r>
    </w:p>
    <w:p w14:paraId="020247DC">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9.1在政府采购活动中，采购人员及相关人员与供应商有下列利害关系之一的，应当回避：</w:t>
      </w:r>
    </w:p>
    <w:p w14:paraId="1B9A9A35">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（1）参加采购活动前3年内与供应商存在劳动关系；</w:t>
      </w:r>
    </w:p>
    <w:p w14:paraId="0CA9637C">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（2）参加采购活动前3年内担任供应商的董事、监事；</w:t>
      </w:r>
    </w:p>
    <w:p w14:paraId="47446D0B">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（3）参加采购活动前3年内是供应商的控股股东或者实际控制人；</w:t>
      </w:r>
    </w:p>
    <w:p w14:paraId="334965B6">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（4）与供应商的法定代表人或者负责人有夫妻、直系血亲、三代以内旁系血亲或者近姻亲关系；</w:t>
      </w:r>
    </w:p>
    <w:p w14:paraId="062DC430">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（5）与供应商有其他可能影响政府采购活动公平、公正进行的关系。</w:t>
      </w:r>
    </w:p>
    <w:p w14:paraId="3C14857A">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30388BB">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9.2有下列情形之一的视为投标人相互串通投标，投标文件将被视为无效：</w:t>
      </w:r>
    </w:p>
    <w:p w14:paraId="611AEF23">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（1）不同投标人的投标文件由同一单位或者个人编制；</w:t>
      </w:r>
      <w:r>
        <w:rPr>
          <w:rFonts w:hint="eastAsia" w:hAnsi="宋体"/>
          <w:b/>
          <w:color w:val="auto"/>
          <w:sz w:val="21"/>
          <w:highlight w:val="none"/>
        </w:rPr>
        <w:t>或不同投标人报名的IP地址一致的；</w:t>
      </w:r>
      <w:r>
        <w:rPr>
          <w:rFonts w:hint="eastAsia" w:hAnsi="宋体" w:cs="宋体"/>
          <w:b/>
          <w:color w:val="auto"/>
          <w:sz w:val="21"/>
          <w:highlight w:val="none"/>
        </w:rPr>
        <w:t xml:space="preserve"> </w:t>
      </w:r>
    </w:p>
    <w:p w14:paraId="104E111F">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（2）不同投标人委托同一单位或者个人办理投标事宜；</w:t>
      </w:r>
    </w:p>
    <w:p w14:paraId="2CFB94C6">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（3）不同的投标人的投标文件载明的项目管理员为同一个人；</w:t>
      </w:r>
    </w:p>
    <w:p w14:paraId="7F23F4A6">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（4）不同投标人的投标文件异常一致或者投标报价呈规律性差异；</w:t>
      </w:r>
    </w:p>
    <w:p w14:paraId="5B17FAA6">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（5）不同投标人的投标文件相互混装；</w:t>
      </w:r>
    </w:p>
    <w:p w14:paraId="4C780CC3">
      <w:pPr>
        <w:pStyle w:val="231"/>
        <w:spacing w:line="360" w:lineRule="auto"/>
        <w:ind w:left="2" w:firstLine="422"/>
        <w:rPr>
          <w:rFonts w:hint="eastAsia" w:hAnsi="宋体" w:cs="宋体"/>
          <w:b/>
          <w:color w:val="auto"/>
          <w:sz w:val="21"/>
          <w:highlight w:val="none"/>
        </w:rPr>
      </w:pPr>
      <w:r>
        <w:rPr>
          <w:rFonts w:hint="eastAsia" w:hAnsi="宋体" w:cs="宋体"/>
          <w:b/>
          <w:color w:val="auto"/>
          <w:sz w:val="21"/>
          <w:highlight w:val="none"/>
        </w:rPr>
        <w:t>（6）不同投标人的投标保证金从同一单位或者个人账户转出。</w:t>
      </w:r>
    </w:p>
    <w:p w14:paraId="70E1AEDE">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9.3供应商有下列情形之一的，属于恶意串通行为，将报同级监督管理部门：</w:t>
      </w:r>
    </w:p>
    <w:p w14:paraId="54403CF2">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（1）供应商直接或者间接从采购人或者采购代理机构处获得其他供应商的相关信息并修改其投标文件或者</w:t>
      </w:r>
      <w:r>
        <w:rPr>
          <w:rFonts w:hint="eastAsia" w:hAnsi="宋体" w:cs="宋体"/>
          <w:color w:val="auto"/>
          <w:sz w:val="21"/>
          <w:highlight w:val="none"/>
          <w:lang w:eastAsia="zh-CN"/>
        </w:rPr>
        <w:t>投标文件</w:t>
      </w:r>
      <w:r>
        <w:rPr>
          <w:rFonts w:hint="eastAsia" w:hAnsi="宋体" w:cs="宋体"/>
          <w:color w:val="auto"/>
          <w:sz w:val="21"/>
          <w:highlight w:val="none"/>
        </w:rPr>
        <w:t>；</w:t>
      </w:r>
    </w:p>
    <w:p w14:paraId="75686B91">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（2）供应商按照采购人或者采购代理机构的授意撤换、修改投标文件或者</w:t>
      </w:r>
      <w:r>
        <w:rPr>
          <w:rFonts w:hint="eastAsia" w:hAnsi="宋体" w:cs="宋体"/>
          <w:color w:val="auto"/>
          <w:sz w:val="21"/>
          <w:highlight w:val="none"/>
          <w:lang w:eastAsia="zh-CN"/>
        </w:rPr>
        <w:t>投标文件</w:t>
      </w:r>
      <w:r>
        <w:rPr>
          <w:rFonts w:hint="eastAsia" w:hAnsi="宋体" w:cs="宋体"/>
          <w:color w:val="auto"/>
          <w:sz w:val="21"/>
          <w:highlight w:val="none"/>
        </w:rPr>
        <w:t>；</w:t>
      </w:r>
    </w:p>
    <w:p w14:paraId="0B030E9D">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（3）供应商之间协商报价、技术方案等投标文件或者</w:t>
      </w:r>
      <w:r>
        <w:rPr>
          <w:rFonts w:hint="eastAsia" w:hAnsi="宋体" w:cs="宋体"/>
          <w:color w:val="auto"/>
          <w:sz w:val="21"/>
          <w:highlight w:val="none"/>
          <w:lang w:eastAsia="zh-CN"/>
        </w:rPr>
        <w:t>投标文件</w:t>
      </w:r>
      <w:r>
        <w:rPr>
          <w:rFonts w:hint="eastAsia" w:hAnsi="宋体" w:cs="宋体"/>
          <w:color w:val="auto"/>
          <w:sz w:val="21"/>
          <w:highlight w:val="none"/>
        </w:rPr>
        <w:t>的实质性内容；</w:t>
      </w:r>
    </w:p>
    <w:p w14:paraId="666A18EC">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（4）属于同一集团、协会、商会等组织成员的供应商按照该组织要求协同参加政府采购活动；</w:t>
      </w:r>
    </w:p>
    <w:p w14:paraId="3CC40753">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（5）供应商之间事先约定一致抬高或者压低投标报价，或者在招标项目中事先约定轮流以高价位或者低价位中标，或者事先约定由某一特定供应商中标，然后再参加投标；</w:t>
      </w:r>
    </w:p>
    <w:p w14:paraId="7BB3F94F">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（6）供应商之间商定部分供应商放弃参加政府采购活动或者放弃中标；</w:t>
      </w:r>
    </w:p>
    <w:p w14:paraId="65DE179E">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（7）供应商与采购人或者采购代理机构之间、供应商相互之间，为谋求特定供应商中标或者排斥其他供应商的其他串通行为。</w:t>
      </w:r>
    </w:p>
    <w:p w14:paraId="605A7E1F">
      <w:pPr>
        <w:pStyle w:val="194"/>
        <w:keepNext w:val="0"/>
        <w:keepLines w:val="0"/>
        <w:ind w:firstLine="643"/>
        <w:jc w:val="center"/>
        <w:rPr>
          <w:rFonts w:hint="eastAsia" w:ascii="宋体" w:hAnsi="宋体" w:cs="宋体"/>
          <w:color w:val="auto"/>
          <w:highlight w:val="none"/>
        </w:rPr>
      </w:pPr>
      <w:bookmarkStart w:id="102" w:name="_Toc254970534"/>
      <w:bookmarkStart w:id="103" w:name="_Toc254970675"/>
      <w:r>
        <w:rPr>
          <w:rFonts w:hint="eastAsia" w:ascii="宋体" w:hAnsi="宋体" w:cs="宋体"/>
          <w:color w:val="auto"/>
          <w:highlight w:val="none"/>
        </w:rPr>
        <w:t>二、招标文件</w:t>
      </w:r>
      <w:bookmarkEnd w:id="102"/>
      <w:bookmarkEnd w:id="103"/>
    </w:p>
    <w:p w14:paraId="1307F1DD">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10.招标文件的组成</w:t>
      </w:r>
    </w:p>
    <w:p w14:paraId="0D306E2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（1）招标公告；</w:t>
      </w:r>
    </w:p>
    <w:p w14:paraId="201FC430">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（2）采购需求； </w:t>
      </w:r>
    </w:p>
    <w:p w14:paraId="10F15574">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（3）投标人须知；</w:t>
      </w:r>
    </w:p>
    <w:p w14:paraId="4175044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（4）评标方法及评标标准；</w:t>
      </w:r>
    </w:p>
    <w:p w14:paraId="5C62D1AA">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2340855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71ED8F3E">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11.招标文件的澄清、修改 、现场考察和答疑会</w:t>
      </w:r>
    </w:p>
    <w:p w14:paraId="51A8925D">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B40E02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0A4842CE">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11.2</w:t>
      </w:r>
      <w:bookmarkStart w:id="104" w:name="_Hlk53134511"/>
      <w:r>
        <w:rPr>
          <w:rFonts w:hint="eastAsia" w:hAnsi="宋体" w:cs="宋体"/>
          <w:color w:val="auto"/>
          <w:sz w:val="21"/>
          <w:highlight w:val="none"/>
        </w:rPr>
        <w:t>采购人或者采购代理机构可以在招标文件提供期限截止后，组织已获取招标文件的潜在投标人现场考察或者召开开标前答疑会，具体详见“投标人须知前附表”。</w:t>
      </w:r>
      <w:bookmarkEnd w:id="104"/>
    </w:p>
    <w:p w14:paraId="5236B3C9">
      <w:pPr>
        <w:pStyle w:val="194"/>
        <w:keepNext w:val="0"/>
        <w:keepLines w:val="0"/>
        <w:ind w:firstLine="643"/>
        <w:jc w:val="center"/>
        <w:rPr>
          <w:rFonts w:hint="eastAsia" w:ascii="宋体" w:hAnsi="宋体" w:cs="宋体"/>
          <w:color w:val="auto"/>
          <w:highlight w:val="none"/>
        </w:rPr>
      </w:pPr>
      <w:bookmarkStart w:id="105" w:name="_Toc254970676"/>
      <w:bookmarkStart w:id="106" w:name="_Toc254970535"/>
      <w:r>
        <w:rPr>
          <w:rFonts w:hint="eastAsia" w:ascii="宋体" w:hAnsi="宋体" w:cs="宋体"/>
          <w:color w:val="auto"/>
          <w:highlight w:val="none"/>
        </w:rPr>
        <w:t>三、投标文件的编制</w:t>
      </w:r>
      <w:bookmarkEnd w:id="105"/>
      <w:bookmarkEnd w:id="106"/>
    </w:p>
    <w:p w14:paraId="1B184246">
      <w:pPr>
        <w:pStyle w:val="196"/>
        <w:keepNext w:val="0"/>
        <w:keepLines w:val="0"/>
        <w:spacing w:before="0" w:after="0" w:line="360" w:lineRule="auto"/>
        <w:ind w:left="420" w:firstLine="482"/>
        <w:rPr>
          <w:rFonts w:hint="eastAsia" w:ascii="宋体" w:hAnsi="宋体" w:cs="宋体"/>
          <w:color w:val="auto"/>
          <w:sz w:val="24"/>
          <w:highlight w:val="none"/>
        </w:rPr>
      </w:pPr>
      <w:bookmarkStart w:id="107" w:name="_Toc254970536"/>
      <w:bookmarkStart w:id="108" w:name="_Toc254970677"/>
      <w:r>
        <w:rPr>
          <w:rFonts w:hint="eastAsia" w:ascii="宋体" w:hAnsi="宋体" w:cs="宋体"/>
          <w:color w:val="auto"/>
          <w:sz w:val="24"/>
          <w:highlight w:val="none"/>
        </w:rPr>
        <w:t>12.投标文件的编制原则</w:t>
      </w:r>
    </w:p>
    <w:p w14:paraId="260D8124">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76C1C3B5">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13.投标文件的组成</w:t>
      </w:r>
      <w:bookmarkEnd w:id="107"/>
      <w:bookmarkEnd w:id="108"/>
    </w:p>
    <w:p w14:paraId="791B003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投标文件由报价文件、资格证明文件、商务及技术文件三部分组成。</w:t>
      </w:r>
    </w:p>
    <w:p w14:paraId="6CCBD268">
      <w:pPr>
        <w:pStyle w:val="196"/>
        <w:keepNext w:val="0"/>
        <w:keepLines w:val="0"/>
        <w:spacing w:before="0" w:after="0" w:line="360" w:lineRule="auto"/>
        <w:ind w:left="420" w:firstLine="420"/>
        <w:rPr>
          <w:rFonts w:hint="eastAsia" w:ascii="宋体" w:hAnsi="宋体" w:cs="宋体"/>
          <w:b w:val="0"/>
          <w:color w:val="auto"/>
          <w:sz w:val="21"/>
          <w:szCs w:val="21"/>
          <w:highlight w:val="none"/>
        </w:rPr>
      </w:pPr>
      <w:bookmarkStart w:id="109" w:name="_13.1报价文件:_具体材料见“投标人须知前附表”。"/>
      <w:bookmarkEnd w:id="109"/>
      <w:r>
        <w:rPr>
          <w:rFonts w:hint="eastAsia" w:ascii="宋体" w:hAnsi="宋体" w:cs="宋体"/>
          <w:b w:val="0"/>
          <w:color w:val="auto"/>
          <w:sz w:val="21"/>
          <w:szCs w:val="21"/>
          <w:highlight w:val="none"/>
        </w:rPr>
        <w:t>（1）报价文件：具体材料见“投标人须知前附表”。</w:t>
      </w:r>
    </w:p>
    <w:p w14:paraId="577F927F">
      <w:pPr>
        <w:pStyle w:val="196"/>
        <w:keepNext w:val="0"/>
        <w:keepLines w:val="0"/>
        <w:spacing w:before="0" w:after="0" w:line="360" w:lineRule="auto"/>
        <w:ind w:left="420" w:firstLine="420"/>
        <w:rPr>
          <w:rFonts w:hint="eastAsia" w:ascii="宋体" w:hAnsi="宋体" w:cs="宋体"/>
          <w:b w:val="0"/>
          <w:color w:val="auto"/>
          <w:sz w:val="21"/>
          <w:szCs w:val="21"/>
          <w:highlight w:val="none"/>
        </w:rPr>
      </w:pPr>
      <w:bookmarkStart w:id="110" w:name="_13.2资格证明文件：具体材料见“投标人须知前附表”。"/>
      <w:bookmarkEnd w:id="110"/>
      <w:r>
        <w:rPr>
          <w:rFonts w:hint="eastAsia" w:ascii="宋体" w:hAnsi="宋体" w:cs="宋体"/>
          <w:b w:val="0"/>
          <w:color w:val="auto"/>
          <w:sz w:val="21"/>
          <w:szCs w:val="21"/>
          <w:highlight w:val="none"/>
        </w:rPr>
        <w:t>（2）资格证明文件：具体材料见“投标人须知前附表”。</w:t>
      </w:r>
    </w:p>
    <w:p w14:paraId="2473741E">
      <w:pPr>
        <w:pStyle w:val="196"/>
        <w:keepNext w:val="0"/>
        <w:keepLines w:val="0"/>
        <w:spacing w:before="0" w:after="0" w:line="360" w:lineRule="auto"/>
        <w:ind w:left="420" w:firstLine="420"/>
        <w:rPr>
          <w:rFonts w:hint="eastAsia" w:ascii="宋体" w:hAnsi="宋体" w:cs="宋体"/>
          <w:b w:val="0"/>
          <w:color w:val="auto"/>
          <w:sz w:val="21"/>
          <w:szCs w:val="21"/>
          <w:highlight w:val="none"/>
        </w:rPr>
      </w:pPr>
      <w:bookmarkStart w:id="111" w:name="_13.3商务文件:_具体材料见“投标人须知前附表”。"/>
      <w:bookmarkEnd w:id="111"/>
      <w:r>
        <w:rPr>
          <w:rFonts w:hint="eastAsia" w:ascii="宋体" w:hAnsi="宋体" w:cs="宋体"/>
          <w:b w:val="0"/>
          <w:color w:val="auto"/>
          <w:sz w:val="21"/>
          <w:szCs w:val="21"/>
          <w:highlight w:val="none"/>
        </w:rPr>
        <w:t>（3）商务及技术文件：具体材料见“投标人须知前附表”。</w:t>
      </w:r>
    </w:p>
    <w:p w14:paraId="1965D654">
      <w:pPr>
        <w:pStyle w:val="196"/>
        <w:keepNext w:val="0"/>
        <w:keepLines w:val="0"/>
        <w:spacing w:before="0" w:after="0" w:line="360" w:lineRule="auto"/>
        <w:ind w:left="420" w:firstLine="482"/>
        <w:rPr>
          <w:rFonts w:hint="eastAsia" w:ascii="宋体" w:hAnsi="宋体" w:cs="宋体"/>
          <w:color w:val="auto"/>
          <w:sz w:val="24"/>
          <w:highlight w:val="none"/>
        </w:rPr>
      </w:pPr>
      <w:bookmarkStart w:id="112" w:name="_13.5投标文件电子版：具体材料见“投标人须知前附表”。"/>
      <w:bookmarkEnd w:id="112"/>
      <w:bookmarkStart w:id="113" w:name="_13.4技术文件：具体材料见“投标人须知前附表”。"/>
      <w:bookmarkEnd w:id="113"/>
      <w:bookmarkStart w:id="114" w:name="_Toc254970537"/>
      <w:bookmarkStart w:id="115" w:name="_Toc254970678"/>
      <w:r>
        <w:rPr>
          <w:rFonts w:hint="eastAsia" w:ascii="宋体" w:hAnsi="宋体" w:cs="宋体"/>
          <w:color w:val="auto"/>
          <w:sz w:val="24"/>
          <w:highlight w:val="none"/>
        </w:rPr>
        <w:t>14.投标文件的语言及计量</w:t>
      </w:r>
      <w:bookmarkEnd w:id="114"/>
      <w:bookmarkEnd w:id="115"/>
    </w:p>
    <w:p w14:paraId="3C1D15A2">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14.1语言文字</w:t>
      </w:r>
    </w:p>
    <w:p w14:paraId="6DF48DEA">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E357355">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14.2投标计量单位</w:t>
      </w:r>
    </w:p>
    <w:p w14:paraId="1A661385">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color w:val="auto"/>
          <w:sz w:val="21"/>
          <w:szCs w:val="21"/>
          <w:highlight w:val="none"/>
        </w:rPr>
        <w:t>否则视同未响应。</w:t>
      </w:r>
    </w:p>
    <w:p w14:paraId="118E4E47">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15.投标的风险</w:t>
      </w:r>
    </w:p>
    <w:p w14:paraId="6256A3FA">
      <w:pPr>
        <w:pStyle w:val="231"/>
        <w:spacing w:line="360" w:lineRule="auto"/>
        <w:ind w:firstLine="420"/>
        <w:jc w:val="left"/>
        <w:rPr>
          <w:rFonts w:hint="eastAsia" w:hAnsi="宋体" w:cs="宋体"/>
          <w:color w:val="auto"/>
          <w:sz w:val="21"/>
          <w:highlight w:val="none"/>
        </w:rPr>
      </w:pPr>
      <w:r>
        <w:rPr>
          <w:rFonts w:hint="eastAsia" w:hAnsi="宋体" w:cs="宋体"/>
          <w:color w:val="auto"/>
          <w:sz w:val="21"/>
          <w:highlight w:val="none"/>
        </w:rPr>
        <w:t>投标人没有按照招标文件要求提供全部资料，或者投标人没有对招标文件作出实质性响应是投标人的风险，并可能导致其投标被拒绝。</w:t>
      </w:r>
    </w:p>
    <w:p w14:paraId="7EC07DBE">
      <w:pPr>
        <w:pStyle w:val="196"/>
        <w:keepNext w:val="0"/>
        <w:keepLines w:val="0"/>
        <w:spacing w:before="0" w:after="0" w:line="360" w:lineRule="auto"/>
        <w:ind w:left="420" w:firstLine="482"/>
        <w:rPr>
          <w:rFonts w:hint="eastAsia" w:ascii="宋体" w:hAnsi="宋体" w:cs="宋体"/>
          <w:color w:val="auto"/>
          <w:sz w:val="24"/>
          <w:highlight w:val="none"/>
        </w:rPr>
      </w:pPr>
      <w:bookmarkStart w:id="116" w:name="_Toc254970679"/>
      <w:bookmarkStart w:id="117" w:name="_Toc254970538"/>
      <w:r>
        <w:rPr>
          <w:rFonts w:hint="eastAsia" w:ascii="宋体" w:hAnsi="宋体" w:cs="宋体"/>
          <w:color w:val="auto"/>
          <w:sz w:val="24"/>
          <w:highlight w:val="none"/>
        </w:rPr>
        <w:t>16.投标报价</w:t>
      </w:r>
      <w:bookmarkEnd w:id="116"/>
      <w:bookmarkEnd w:id="117"/>
    </w:p>
    <w:p w14:paraId="65213375">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16.1投标报价应按“第六章　投标文件格式”中“开标一览表”格式填写。</w:t>
      </w:r>
    </w:p>
    <w:p w14:paraId="40B46635">
      <w:pPr>
        <w:pStyle w:val="196"/>
        <w:keepNext w:val="0"/>
        <w:keepLines w:val="0"/>
        <w:spacing w:before="0" w:after="0" w:line="360" w:lineRule="auto"/>
        <w:ind w:left="420" w:firstLine="420"/>
        <w:rPr>
          <w:rFonts w:hint="eastAsia" w:ascii="宋体" w:hAnsi="宋体" w:cs="宋体"/>
          <w:b w:val="0"/>
          <w:color w:val="auto"/>
          <w:sz w:val="21"/>
          <w:szCs w:val="21"/>
          <w:highlight w:val="none"/>
        </w:rPr>
      </w:pPr>
      <w:bookmarkStart w:id="118" w:name="_16.2投标报价具体定义见投标人须知前附表。"/>
      <w:bookmarkEnd w:id="118"/>
      <w:r>
        <w:rPr>
          <w:rFonts w:hint="eastAsia" w:ascii="宋体" w:hAnsi="宋体" w:cs="宋体"/>
          <w:b w:val="0"/>
          <w:color w:val="auto"/>
          <w:sz w:val="21"/>
          <w:szCs w:val="21"/>
          <w:highlight w:val="none"/>
        </w:rPr>
        <w:t>16.2投标报价具体包括内容详见“投标人须知前附表”。</w:t>
      </w:r>
    </w:p>
    <w:p w14:paraId="336FC4A0">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16.3投标人必须就所投</w:t>
      </w:r>
      <w:r>
        <w:rPr>
          <w:rFonts w:hint="eastAsia" w:ascii="宋体" w:hAnsi="宋体" w:cs="宋体"/>
          <w:b w:val="0"/>
          <w:color w:val="auto"/>
          <w:sz w:val="21"/>
          <w:szCs w:val="21"/>
          <w:highlight w:val="none"/>
          <w:lang w:eastAsia="zh-CN"/>
        </w:rPr>
        <w:t>项目</w:t>
      </w:r>
      <w:r>
        <w:rPr>
          <w:rFonts w:hint="eastAsia" w:ascii="宋体" w:hAnsi="宋体" w:cs="宋体"/>
          <w:b w:val="0"/>
          <w:color w:val="auto"/>
          <w:sz w:val="21"/>
          <w:szCs w:val="21"/>
          <w:highlight w:val="none"/>
        </w:rPr>
        <w:t>的全部内容分别作完整唯一总价报价，不得存在漏项报价；投标人必须就所投</w:t>
      </w:r>
      <w:r>
        <w:rPr>
          <w:rFonts w:hint="eastAsia" w:ascii="宋体" w:hAnsi="宋体" w:cs="宋体"/>
          <w:b w:val="0"/>
          <w:color w:val="auto"/>
          <w:sz w:val="21"/>
          <w:szCs w:val="21"/>
          <w:highlight w:val="none"/>
          <w:lang w:eastAsia="zh-CN"/>
        </w:rPr>
        <w:t>项目</w:t>
      </w:r>
      <w:r>
        <w:rPr>
          <w:rFonts w:hint="eastAsia" w:ascii="宋体" w:hAnsi="宋体" w:cs="宋体"/>
          <w:b w:val="0"/>
          <w:color w:val="auto"/>
          <w:sz w:val="21"/>
          <w:szCs w:val="21"/>
          <w:highlight w:val="none"/>
        </w:rPr>
        <w:t>的单项内容作唯一报价。</w:t>
      </w:r>
    </w:p>
    <w:p w14:paraId="2BB6F29F">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17.投标有效期</w:t>
      </w:r>
    </w:p>
    <w:p w14:paraId="3D248098">
      <w:pPr>
        <w:pStyle w:val="196"/>
        <w:keepNext w:val="0"/>
        <w:keepLines w:val="0"/>
        <w:spacing w:before="0" w:after="0" w:line="360" w:lineRule="auto"/>
        <w:ind w:firstLine="420"/>
        <w:rPr>
          <w:rFonts w:hint="eastAsia" w:ascii="宋体" w:hAnsi="宋体" w:cs="宋体"/>
          <w:b w:val="0"/>
          <w:color w:val="auto"/>
          <w:sz w:val="21"/>
          <w:szCs w:val="21"/>
          <w:highlight w:val="none"/>
        </w:rPr>
      </w:pPr>
      <w:bookmarkStart w:id="119" w:name="_17.1投标有效期应按“投标人须知中的前附表”规定的期限。"/>
      <w:bookmarkEnd w:id="119"/>
      <w:r>
        <w:rPr>
          <w:rFonts w:hint="eastAsia" w:ascii="宋体" w:hAnsi="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5EBB1843">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17.2</w:t>
      </w:r>
      <w:bookmarkStart w:id="120" w:name="_Toc254970681"/>
      <w:bookmarkStart w:id="121" w:name="_Toc254970540"/>
      <w:r>
        <w:rPr>
          <w:rFonts w:hint="eastAsia" w:ascii="宋体" w:hAnsi="宋体" w:cs="宋体"/>
          <w:b w:val="0"/>
          <w:color w:val="auto"/>
          <w:sz w:val="21"/>
          <w:szCs w:val="21"/>
          <w:highlight w:val="none"/>
        </w:rPr>
        <w:t xml:space="preserve"> 投标有效期应按</w:t>
      </w:r>
      <w:r>
        <w:rPr>
          <w:rFonts w:hint="eastAsia" w:ascii="宋体" w:hAnsi="宋体" w:cs="宋体"/>
          <w:b w:val="0"/>
          <w:color w:val="auto"/>
          <w:sz w:val="21"/>
          <w:szCs w:val="21"/>
          <w:highlight w:val="none"/>
          <w:lang w:eastAsia="zh-CN"/>
        </w:rPr>
        <w:t>招标文件</w:t>
      </w:r>
      <w:r>
        <w:rPr>
          <w:rFonts w:hint="eastAsia" w:ascii="宋体" w:hAnsi="宋体" w:cs="宋体"/>
          <w:b w:val="0"/>
          <w:color w:val="auto"/>
          <w:sz w:val="21"/>
          <w:szCs w:val="21"/>
          <w:highlight w:val="none"/>
        </w:rPr>
        <w:t>规定的期限作出承诺，具体详见“投标人须知前附表”。</w:t>
      </w:r>
      <w:r>
        <w:rPr>
          <w:rFonts w:hint="eastAsia" w:ascii="宋体" w:hAnsi="宋体" w:cs="宋体"/>
          <w:color w:val="auto"/>
          <w:sz w:val="21"/>
          <w:szCs w:val="21"/>
          <w:highlight w:val="none"/>
        </w:rPr>
        <w:t>承诺</w:t>
      </w:r>
      <w:r>
        <w:rPr>
          <w:rFonts w:hint="eastAsia" w:ascii="宋体" w:hAnsi="宋体" w:cs="宋体"/>
          <w:color w:val="auto"/>
          <w:sz w:val="21"/>
          <w:szCs w:val="21"/>
          <w:highlight w:val="none"/>
          <w:lang w:eastAsia="zh-CN"/>
        </w:rPr>
        <w:t>的</w:t>
      </w:r>
      <w:r>
        <w:rPr>
          <w:rFonts w:hint="eastAsia" w:ascii="宋体" w:hAnsi="宋体" w:cs="宋体"/>
          <w:color w:val="auto"/>
          <w:sz w:val="21"/>
          <w:szCs w:val="21"/>
          <w:highlight w:val="none"/>
        </w:rPr>
        <w:t>投标有效期</w:t>
      </w:r>
      <w:r>
        <w:rPr>
          <w:rFonts w:hint="eastAsia" w:ascii="宋体" w:hAnsi="宋体" w:cs="宋体"/>
          <w:color w:val="auto"/>
          <w:sz w:val="21"/>
          <w:szCs w:val="21"/>
          <w:highlight w:val="none"/>
          <w:lang w:eastAsia="zh-CN"/>
        </w:rPr>
        <w:t>低于招标文件</w:t>
      </w:r>
      <w:r>
        <w:rPr>
          <w:rFonts w:hint="eastAsia" w:ascii="宋体" w:hAnsi="宋体" w:cs="宋体"/>
          <w:color w:val="auto"/>
          <w:sz w:val="21"/>
          <w:szCs w:val="21"/>
          <w:highlight w:val="none"/>
        </w:rPr>
        <w:t>规定期限</w:t>
      </w:r>
      <w:r>
        <w:rPr>
          <w:rFonts w:hint="eastAsia" w:ascii="宋体" w:hAnsi="宋体" w:cs="宋体"/>
          <w:color w:val="auto"/>
          <w:sz w:val="21"/>
          <w:szCs w:val="21"/>
          <w:highlight w:val="none"/>
          <w:lang w:eastAsia="zh-CN"/>
        </w:rPr>
        <w:t>的，按无效投标处理</w:t>
      </w:r>
      <w:r>
        <w:rPr>
          <w:rFonts w:hint="eastAsia" w:ascii="宋体" w:hAnsi="宋体" w:cs="宋体"/>
          <w:b w:val="0"/>
          <w:color w:val="auto"/>
          <w:sz w:val="21"/>
          <w:szCs w:val="21"/>
          <w:highlight w:val="none"/>
          <w:lang w:eastAsia="zh-CN"/>
        </w:rPr>
        <w:t>。</w:t>
      </w:r>
    </w:p>
    <w:p w14:paraId="3050BEE1">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17.3投标人的投标文件在投标有效期内均保持有效。</w:t>
      </w:r>
      <w:bookmarkEnd w:id="120"/>
      <w:bookmarkEnd w:id="121"/>
    </w:p>
    <w:p w14:paraId="67C77A10">
      <w:pPr>
        <w:pStyle w:val="196"/>
        <w:keepNext w:val="0"/>
        <w:keepLines w:val="0"/>
        <w:spacing w:before="0" w:after="0" w:line="360" w:lineRule="auto"/>
        <w:ind w:left="420" w:firstLine="482"/>
        <w:rPr>
          <w:rFonts w:hint="eastAsia" w:ascii="宋体" w:hAnsi="宋体" w:cs="宋体"/>
          <w:color w:val="auto"/>
          <w:sz w:val="24"/>
          <w:highlight w:val="none"/>
        </w:rPr>
      </w:pPr>
      <w:bookmarkStart w:id="122" w:name="_18.投标保证金"/>
      <w:bookmarkEnd w:id="122"/>
      <w:bookmarkStart w:id="123" w:name="_Toc254970682"/>
      <w:bookmarkStart w:id="124" w:name="_Toc254970541"/>
      <w:r>
        <w:rPr>
          <w:rFonts w:hint="eastAsia" w:ascii="宋体" w:hAnsi="宋体" w:cs="宋体"/>
          <w:color w:val="auto"/>
          <w:sz w:val="24"/>
          <w:highlight w:val="none"/>
        </w:rPr>
        <w:t>18.投标保证金</w:t>
      </w:r>
      <w:bookmarkEnd w:id="123"/>
      <w:bookmarkEnd w:id="124"/>
    </w:p>
    <w:p w14:paraId="77DA909A">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18.1投标人须按“投标人须知前附表” 的规定提交投标保证金。</w:t>
      </w:r>
    </w:p>
    <w:p w14:paraId="696BFAD8">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18.2投标保证金的退还</w:t>
      </w:r>
    </w:p>
    <w:p w14:paraId="44058675">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未中标人的投标保证金自中标通知书发出之日起</w:t>
      </w:r>
      <w:r>
        <w:rPr>
          <w:rFonts w:hint="eastAsia" w:ascii="宋体" w:hAnsi="宋体" w:cs="宋体"/>
          <w:b w:val="0"/>
          <w:color w:val="auto"/>
          <w:sz w:val="21"/>
          <w:szCs w:val="21"/>
          <w:highlight w:val="none"/>
          <w:lang w:eastAsia="zh-CN"/>
        </w:rPr>
        <w:t>4</w:t>
      </w:r>
      <w:r>
        <w:rPr>
          <w:rFonts w:hint="eastAsia" w:ascii="宋体" w:hAnsi="宋体" w:cs="宋体"/>
          <w:b w:val="0"/>
          <w:color w:val="auto"/>
          <w:sz w:val="21"/>
          <w:szCs w:val="21"/>
          <w:highlight w:val="none"/>
        </w:rPr>
        <w:t>个工作日内退还；中标人的投标保证金自政府采购合同签订之日起</w:t>
      </w:r>
      <w:r>
        <w:rPr>
          <w:rFonts w:hint="eastAsia" w:ascii="宋体" w:hAnsi="宋体" w:cs="宋体"/>
          <w:b w:val="0"/>
          <w:color w:val="auto"/>
          <w:sz w:val="21"/>
          <w:szCs w:val="21"/>
          <w:highlight w:val="none"/>
          <w:lang w:eastAsia="zh-CN"/>
        </w:rPr>
        <w:t>4</w:t>
      </w:r>
      <w:r>
        <w:rPr>
          <w:rFonts w:hint="eastAsia" w:ascii="宋体" w:hAnsi="宋体" w:cs="宋体"/>
          <w:b w:val="0"/>
          <w:color w:val="auto"/>
          <w:sz w:val="21"/>
          <w:szCs w:val="21"/>
          <w:highlight w:val="none"/>
        </w:rPr>
        <w:t xml:space="preserve">个工作日内退还。 </w:t>
      </w:r>
    </w:p>
    <w:p w14:paraId="43B83127">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18.3除逾期退还投标保证金和终止招标的情形以外，投标保证金不计息。</w:t>
      </w:r>
    </w:p>
    <w:p w14:paraId="69C2BE54">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18.4投标人有下列情形之一的，投标保证金将不予退还： </w:t>
      </w:r>
    </w:p>
    <w:p w14:paraId="5730BA0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23549E8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22E72974">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3DFC5AC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5B5159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（5）投标人出现本章第9.2、9.3情形的；</w:t>
      </w:r>
    </w:p>
    <w:p w14:paraId="1B310EC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6770DA86">
      <w:pPr>
        <w:pStyle w:val="196"/>
        <w:keepNext w:val="0"/>
        <w:keepLines w:val="0"/>
        <w:spacing w:before="0" w:after="0" w:line="360" w:lineRule="auto"/>
        <w:ind w:left="420" w:firstLine="482"/>
        <w:rPr>
          <w:rFonts w:hint="eastAsia" w:ascii="宋体" w:hAnsi="宋体" w:cs="宋体"/>
          <w:color w:val="auto"/>
          <w:sz w:val="24"/>
          <w:highlight w:val="none"/>
        </w:rPr>
      </w:pPr>
      <w:bookmarkStart w:id="125" w:name="_Toc254970542"/>
      <w:bookmarkStart w:id="126" w:name="_Toc254970683"/>
      <w:r>
        <w:rPr>
          <w:rFonts w:hint="eastAsia" w:ascii="宋体" w:hAnsi="宋体" w:cs="宋体"/>
          <w:color w:val="auto"/>
          <w:sz w:val="24"/>
          <w:highlight w:val="none"/>
        </w:rPr>
        <w:t>19.投标文件的</w:t>
      </w:r>
      <w:bookmarkEnd w:id="125"/>
      <w:bookmarkEnd w:id="126"/>
      <w:r>
        <w:rPr>
          <w:rFonts w:hint="eastAsia" w:ascii="宋体" w:hAnsi="宋体" w:cs="宋体"/>
          <w:color w:val="auto"/>
          <w:sz w:val="24"/>
          <w:highlight w:val="none"/>
        </w:rPr>
        <w:t>编制</w:t>
      </w:r>
    </w:p>
    <w:p w14:paraId="505B68C6">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19.1投标人应先安装“</w:t>
      </w:r>
      <w:r>
        <w:rPr>
          <w:rFonts w:hint="eastAsia" w:ascii="宋体" w:hAnsi="宋体" w:cs="宋体"/>
          <w:b w:val="0"/>
          <w:color w:val="auto"/>
          <w:sz w:val="21"/>
          <w:szCs w:val="21"/>
          <w:highlight w:val="none"/>
          <w:lang w:eastAsia="zh-CN"/>
        </w:rPr>
        <w:t>广西政府采购云</w:t>
      </w:r>
      <w:r>
        <w:rPr>
          <w:rFonts w:hint="eastAsia" w:ascii="宋体" w:hAnsi="宋体" w:cs="宋体"/>
          <w:b w:val="0"/>
          <w:color w:val="auto"/>
          <w:sz w:val="21"/>
          <w:szCs w:val="21"/>
          <w:highlight w:val="none"/>
        </w:rPr>
        <w:t>电子投标客户端”（请自行前往</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进行下载），并按照本项目招标文件规定的格式和顺序和</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的要求编制并加密。投标文件内容不完整、编排混乱导致投标文件被误读、漏读或者查找不到相关内容的，由此引发的后果由投标人承担。</w:t>
      </w:r>
    </w:p>
    <w:p w14:paraId="659E3B5D">
      <w:pPr>
        <w:pStyle w:val="196"/>
        <w:keepNext w:val="0"/>
        <w:keepLines w:val="0"/>
        <w:spacing w:before="0" w:after="0" w:line="360" w:lineRule="auto"/>
        <w:ind w:firstLine="420"/>
        <w:rPr>
          <w:rFonts w:hint="eastAsia" w:ascii="宋体" w:hAnsi="宋体" w:cs="宋体"/>
          <w:b w:val="0"/>
          <w:color w:val="auto"/>
          <w:sz w:val="21"/>
          <w:szCs w:val="21"/>
          <w:highlight w:val="none"/>
        </w:rPr>
      </w:pPr>
      <w:bookmarkStart w:id="127" w:name="_19.2投标文件应按报价文件、资格证明文件、商务文件、技术文件分别编制"/>
      <w:bookmarkEnd w:id="127"/>
      <w:r>
        <w:rPr>
          <w:rFonts w:hint="eastAsia" w:ascii="宋体" w:hAnsi="宋体" w:cs="宋体"/>
          <w:b w:val="0"/>
          <w:color w:val="auto"/>
          <w:sz w:val="21"/>
          <w:szCs w:val="21"/>
          <w:highlight w:val="none"/>
        </w:rPr>
        <w:t>19.2为确保网上操作合法、有效和安全，投标人应当在投标截止时间前完成在</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的身份认证，确保在电子投标过程中能够对相关数据电文进行加密和使用电子签章。</w:t>
      </w:r>
    </w:p>
    <w:p w14:paraId="4D093B3D">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19.3投标文件须由投标人在规定位置签字（或者电子签名）、盖章（具体以投标人须知前附表或投标文件格式规定为准），</w:t>
      </w:r>
      <w:r>
        <w:rPr>
          <w:rFonts w:hint="eastAsia" w:ascii="宋体" w:hAnsi="宋体" w:cs="宋体"/>
          <w:bCs/>
          <w:color w:val="auto"/>
          <w:sz w:val="21"/>
          <w:szCs w:val="21"/>
          <w:highlight w:val="none"/>
        </w:rPr>
        <w:t>否则按无效投标处理</w:t>
      </w:r>
      <w:r>
        <w:rPr>
          <w:rFonts w:hint="eastAsia" w:ascii="宋体" w:hAnsi="宋体" w:cs="宋体"/>
          <w:b w:val="0"/>
          <w:color w:val="auto"/>
          <w:sz w:val="21"/>
          <w:szCs w:val="21"/>
          <w:highlight w:val="none"/>
        </w:rPr>
        <w:t>。</w:t>
      </w:r>
    </w:p>
    <w:p w14:paraId="494E051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19.4投标文件中标注的投标人名称应与主体资格证明（如营业执照或者事业单位法人证书或者执业许可证或者登记证书等）及公章一致，并与“</w:t>
      </w:r>
      <w:r>
        <w:rPr>
          <w:rFonts w:hint="eastAsia" w:ascii="宋体" w:hAnsi="宋体" w:cs="宋体"/>
          <w:b w:val="0"/>
          <w:color w:val="auto"/>
          <w:sz w:val="21"/>
          <w:szCs w:val="21"/>
          <w:highlight w:val="none"/>
          <w:lang w:eastAsia="zh-CN"/>
        </w:rPr>
        <w:t>广西政府采购云</w:t>
      </w:r>
      <w:r>
        <w:rPr>
          <w:rFonts w:hint="eastAsia" w:ascii="宋体" w:hAnsi="宋体" w:cs="宋体"/>
          <w:b w:val="0"/>
          <w:color w:val="auto"/>
          <w:sz w:val="21"/>
          <w:szCs w:val="21"/>
          <w:highlight w:val="none"/>
        </w:rPr>
        <w:t>”中获取招标文件的投标人名称一致，投标人为自然人的，标注的投标人名称应与身份证姓名及</w:t>
      </w:r>
      <w:r>
        <w:rPr>
          <w:rFonts w:hint="eastAsia" w:ascii="宋体" w:hAnsi="宋体" w:cs="宋体"/>
          <w:b w:val="0"/>
          <w:color w:val="auto"/>
          <w:sz w:val="21"/>
          <w:szCs w:val="21"/>
          <w:highlight w:val="none"/>
          <w:lang w:eastAsia="zh-CN"/>
        </w:rPr>
        <w:t>签字</w:t>
      </w:r>
      <w:r>
        <w:rPr>
          <w:rFonts w:hint="eastAsia" w:ascii="宋体" w:hAnsi="宋体" w:cs="宋体"/>
          <w:b w:val="0"/>
          <w:color w:val="auto"/>
          <w:sz w:val="21"/>
          <w:szCs w:val="21"/>
          <w:highlight w:val="none"/>
        </w:rPr>
        <w:t>一致，</w:t>
      </w:r>
      <w:r>
        <w:rPr>
          <w:rFonts w:hint="eastAsia" w:ascii="宋体" w:hAnsi="宋体" w:cs="宋体"/>
          <w:color w:val="auto"/>
          <w:sz w:val="21"/>
          <w:szCs w:val="21"/>
          <w:highlight w:val="none"/>
        </w:rPr>
        <w:t>否则按无效投标处理</w:t>
      </w:r>
      <w:r>
        <w:rPr>
          <w:rFonts w:hint="eastAsia" w:ascii="宋体" w:hAnsi="宋体" w:cs="宋体"/>
          <w:b w:val="0"/>
          <w:color w:val="auto"/>
          <w:sz w:val="21"/>
          <w:szCs w:val="21"/>
          <w:highlight w:val="none"/>
        </w:rPr>
        <w:t>。</w:t>
      </w:r>
    </w:p>
    <w:p w14:paraId="1A7D44FD">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70BB86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20.电子备份投标文件</w:t>
      </w:r>
    </w:p>
    <w:p w14:paraId="730C638C">
      <w:pPr>
        <w:spacing w:line="360" w:lineRule="auto"/>
        <w:ind w:firstLine="420"/>
        <w:rPr>
          <w:rFonts w:hint="eastAsia" w:ascii="宋体" w:hAnsi="宋体" w:cs="宋体"/>
          <w:color w:val="auto"/>
          <w:sz w:val="24"/>
          <w:highlight w:val="none"/>
        </w:rPr>
      </w:pPr>
      <w:r>
        <w:rPr>
          <w:rFonts w:hint="eastAsia" w:ascii="宋体" w:hAnsi="宋体" w:cs="宋体"/>
          <w:color w:val="auto"/>
          <w:highlight w:val="none"/>
        </w:rPr>
        <w:t>电子备份投标文件是指通过“广西政府采购云电子投标客户端”在线编制生成且后缀名为“bfbs”的文件，是否接受电子备份投标文件</w:t>
      </w:r>
      <w:r>
        <w:rPr>
          <w:rFonts w:hint="eastAsia" w:ascii="宋体" w:hAnsi="宋体" w:cs="宋体"/>
          <w:bCs/>
          <w:color w:val="auto"/>
          <w:szCs w:val="21"/>
          <w:highlight w:val="none"/>
        </w:rPr>
        <w:t>详见“投标人须知前附表”。</w:t>
      </w:r>
    </w:p>
    <w:p w14:paraId="14D8FCF6">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21.投标文件的提交</w:t>
      </w:r>
    </w:p>
    <w:p w14:paraId="78207700">
      <w:pPr>
        <w:spacing w:line="360" w:lineRule="auto"/>
        <w:ind w:firstLine="420"/>
        <w:rPr>
          <w:rFonts w:hint="eastAsia" w:ascii="宋体" w:hAnsi="宋体" w:cs="宋体"/>
          <w:b/>
          <w:color w:val="auto"/>
          <w:highlight w:val="none"/>
        </w:rPr>
      </w:pPr>
      <w:bookmarkStart w:id="128" w:name="_21.1投标人必须在“投标人须知中的前附表”规定的投标文件接收时间和投"/>
      <w:bookmarkEnd w:id="128"/>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提交投标文件截止时间前将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7F8C30D5">
      <w:pPr>
        <w:spacing w:line="360" w:lineRule="auto"/>
        <w:ind w:firstLine="422"/>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71548A68">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22. 投标文件的补充、修改、撤回与退回</w:t>
      </w:r>
    </w:p>
    <w:p w14:paraId="6CEDEB19">
      <w:pPr>
        <w:spacing w:line="360" w:lineRule="auto"/>
        <w:ind w:firstLine="420"/>
        <w:jc w:val="left"/>
        <w:rPr>
          <w:rFonts w:hint="eastAsia" w:ascii="宋体" w:hAnsi="宋体" w:cs="宋体"/>
          <w:color w:val="auto"/>
          <w:szCs w:val="21"/>
          <w:highlight w:val="none"/>
        </w:rPr>
      </w:pPr>
      <w:bookmarkStart w:id="129" w:name="_Toc254970684"/>
      <w:bookmarkStart w:id="130" w:name="_Toc254970543"/>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（补充、修改或者撤回方式可登录广西政府采购云平台，进入“服务中心”中查看 “电子投标文件制作与投送教程”）</w:t>
      </w:r>
      <w:bookmarkEnd w:id="129"/>
      <w:bookmarkEnd w:id="130"/>
    </w:p>
    <w:p w14:paraId="72FACD33">
      <w:pPr>
        <w:pStyle w:val="307"/>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收到投标文件后向供应商发出确认回执通知。在投标截止时间前，除供应商补充、修改或者撤回投标文件外，任何单位和个人不得解密或提取投标文件。</w:t>
      </w:r>
    </w:p>
    <w:p w14:paraId="366619B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106C15C0">
      <w:pPr>
        <w:pStyle w:val="194"/>
        <w:keepNext w:val="0"/>
        <w:keepLines w:val="0"/>
        <w:ind w:firstLine="643"/>
        <w:jc w:val="center"/>
        <w:rPr>
          <w:rFonts w:hint="eastAsia" w:ascii="宋体" w:hAnsi="宋体" w:cs="宋体"/>
          <w:color w:val="auto"/>
          <w:highlight w:val="none"/>
        </w:rPr>
      </w:pPr>
      <w:bookmarkStart w:id="131" w:name="_Toc254970544"/>
      <w:bookmarkStart w:id="132" w:name="_Toc254970685"/>
      <w:r>
        <w:rPr>
          <w:rFonts w:hint="eastAsia" w:ascii="宋体" w:hAnsi="宋体" w:cs="宋体"/>
          <w:color w:val="auto"/>
          <w:highlight w:val="none"/>
        </w:rPr>
        <w:t>四、开    标</w:t>
      </w:r>
      <w:bookmarkEnd w:id="131"/>
      <w:bookmarkEnd w:id="132"/>
    </w:p>
    <w:p w14:paraId="620AA7FA">
      <w:pPr>
        <w:pStyle w:val="196"/>
        <w:keepNext w:val="0"/>
        <w:keepLines w:val="0"/>
        <w:spacing w:before="0" w:after="0" w:line="360" w:lineRule="auto"/>
        <w:ind w:left="420" w:firstLine="482"/>
        <w:rPr>
          <w:rFonts w:hint="eastAsia" w:ascii="宋体" w:hAnsi="宋体" w:cs="宋体"/>
          <w:color w:val="auto"/>
          <w:sz w:val="24"/>
          <w:highlight w:val="none"/>
        </w:rPr>
      </w:pPr>
      <w:bookmarkStart w:id="133" w:name="_23.开标时间和地点"/>
      <w:bookmarkEnd w:id="133"/>
      <w:r>
        <w:rPr>
          <w:rFonts w:hint="eastAsia" w:ascii="宋体" w:hAnsi="宋体" w:cs="宋体"/>
          <w:color w:val="auto"/>
          <w:sz w:val="24"/>
          <w:highlight w:val="none"/>
        </w:rPr>
        <w:t>23.开标时间和地点</w:t>
      </w:r>
    </w:p>
    <w:p w14:paraId="63C0BDB2">
      <w:pPr>
        <w:spacing w:line="360" w:lineRule="auto"/>
        <w:ind w:firstLine="420"/>
        <w:rPr>
          <w:rFonts w:hint="eastAsia" w:ascii="宋体" w:hAnsi="宋体" w:cs="宋体"/>
          <w:bCs/>
          <w:color w:val="auto"/>
          <w:highlight w:val="none"/>
        </w:rPr>
      </w:pPr>
      <w:r>
        <w:rPr>
          <w:rFonts w:hint="eastAsia" w:ascii="宋体" w:hAnsi="宋体" w:cs="宋体"/>
          <w:bCs/>
          <w:color w:val="auto"/>
          <w:highlight w:val="none"/>
        </w:rPr>
        <w:t>开标时间及地点详见“投标人须知前附表”</w:t>
      </w:r>
    </w:p>
    <w:p w14:paraId="390C7738">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24.开标程序</w:t>
      </w:r>
    </w:p>
    <w:p w14:paraId="10A4FC98">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1033846B">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44702D7B">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24.3开标程序</w:t>
      </w:r>
    </w:p>
    <w:p w14:paraId="7840DC8C">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p>
    <w:p w14:paraId="2DB398C0">
      <w:pPr>
        <w:pStyle w:val="197"/>
        <w:spacing w:line="360" w:lineRule="auto"/>
        <w:ind w:firstLine="420"/>
        <w:rPr>
          <w:rFonts w:hint="eastAsia" w:ascii="宋体" w:hAnsi="宋体" w:cs="宋体"/>
          <w:color w:val="auto"/>
          <w:highlight w:val="none"/>
        </w:rPr>
      </w:pPr>
      <w:r>
        <w:rPr>
          <w:rFonts w:hint="eastAsia" w:ascii="宋体" w:hAnsi="宋体" w:cs="宋体"/>
          <w:color w:val="auto"/>
          <w:highlight w:val="none"/>
        </w:rPr>
        <w:t>（2）电子唱标。投标文件解密结束，宣布的内容均在广西政府采购云平台远程开标大厅展示，具体详见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6194A462">
      <w:pPr>
        <w:pStyle w:val="197"/>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w:t>
      </w:r>
      <w:r>
        <w:rPr>
          <w:rFonts w:hint="eastAsia" w:ascii="宋体" w:hAnsi="宋体" w:cs="宋体"/>
          <w:color w:val="auto"/>
          <w:szCs w:val="21"/>
          <w:highlight w:val="none"/>
        </w:rPr>
        <w:t>场校核及勘误，并线上确认是否有异议，未确认的视同认可开标结果。</w:t>
      </w:r>
    </w:p>
    <w:p w14:paraId="205DB9CE">
      <w:pPr>
        <w:pStyle w:val="197"/>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0836AD77">
      <w:pPr>
        <w:pStyle w:val="197"/>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（5）开标结束。</w:t>
      </w:r>
    </w:p>
    <w:p w14:paraId="11A7CE01">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特别说明：如遇</w:t>
      </w:r>
      <w:r>
        <w:rPr>
          <w:rFonts w:hint="eastAsia" w:hAnsi="宋体" w:cs="宋体"/>
          <w:color w:val="auto"/>
          <w:sz w:val="21"/>
          <w:highlight w:val="none"/>
          <w:lang w:eastAsia="zh-CN"/>
        </w:rPr>
        <w:t>广西政府采购云平台</w:t>
      </w:r>
      <w:r>
        <w:rPr>
          <w:rFonts w:hint="eastAsia" w:hAnsi="宋体" w:cs="宋体"/>
          <w:color w:val="auto"/>
          <w:sz w:val="21"/>
          <w:highlight w:val="none"/>
        </w:rPr>
        <w:t>电子化开标或评审程序调整的，按调整后执行。</w:t>
      </w:r>
    </w:p>
    <w:p w14:paraId="29E0477C">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t>五、资格审查</w:t>
      </w:r>
    </w:p>
    <w:p w14:paraId="329C07CF">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25.资格审查</w:t>
      </w:r>
    </w:p>
    <w:p w14:paraId="3B9462D3">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25.1开标结束后，采购人或者采购代理机构通过电子开评标系统依据招标文件对电子投标文件进行线上资格审查。</w:t>
      </w:r>
    </w:p>
    <w:p w14:paraId="731A50F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25.2资格审查标准为本招标文件中载明对投标人资格要求的条件。本项目资格审查采用合格制，凡符合招标文件规定的投标人资格要求的投标人均通过资格审查。</w:t>
      </w:r>
    </w:p>
    <w:p w14:paraId="79813849">
      <w:pPr>
        <w:pStyle w:val="196"/>
        <w:keepNext w:val="0"/>
        <w:keepLines w:val="0"/>
        <w:numPr>
          <w:ilvl w:val="0"/>
          <w:numId w:val="0"/>
        </w:numPr>
        <w:spacing w:before="0" w:after="0" w:line="360" w:lineRule="auto"/>
        <w:ind w:firstLine="422"/>
        <w:rPr>
          <w:rFonts w:hint="eastAsia" w:ascii="宋体" w:hAnsi="宋体" w:cs="宋体"/>
          <w:color w:val="auto"/>
          <w:sz w:val="21"/>
          <w:szCs w:val="21"/>
          <w:highlight w:val="none"/>
        </w:rPr>
      </w:pPr>
      <w:bookmarkStart w:id="134" w:name="_25.3_投标人有下列情形之一的，资格审查不通过而导致其投标无效："/>
      <w:bookmarkEnd w:id="134"/>
      <w:r>
        <w:rPr>
          <w:rFonts w:hint="eastAsia" w:ascii="宋体" w:hAnsi="宋体" w:cs="宋体"/>
          <w:color w:val="auto"/>
          <w:sz w:val="21"/>
          <w:szCs w:val="21"/>
          <w:highlight w:val="none"/>
        </w:rPr>
        <w:t>25.3 投标人有下列情形之一的，资格审查不通过，作无效投标处理：</w:t>
      </w:r>
    </w:p>
    <w:p w14:paraId="6E1EEB9E">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（1）不具备招标文件中规定的资格要求的；</w:t>
      </w:r>
    </w:p>
    <w:p w14:paraId="50CB5A70">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r>
        <w:rPr>
          <w:rFonts w:hint="eastAsia" w:hAnsi="宋体" w:cs="宋体"/>
          <w:b/>
          <w:color w:val="auto"/>
          <w:sz w:val="21"/>
          <w:highlight w:val="none"/>
          <w:lang w:eastAsia="zh-CN"/>
        </w:rPr>
        <w:t>广西政府采购云平台</w:t>
      </w:r>
      <w:r>
        <w:rPr>
          <w:rFonts w:hint="eastAsia" w:hAnsi="宋体" w:cs="宋体"/>
          <w:b/>
          <w:color w:val="auto"/>
          <w:sz w:val="21"/>
          <w:highlight w:val="none"/>
        </w:rPr>
        <w:t>已与“信用中国”网站、中国政府采购网实现数据对接，可直接在线查询）</w:t>
      </w:r>
    </w:p>
    <w:p w14:paraId="333B5868">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4D535705">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（4）投标文件中的资格证明文件缺少任一项“投标人须知前附表”资格证明文件规定“必须提供”的文件资料的；</w:t>
      </w:r>
    </w:p>
    <w:p w14:paraId="149B57C6">
      <w:pPr>
        <w:pStyle w:val="231"/>
        <w:spacing w:line="360" w:lineRule="auto"/>
        <w:ind w:firstLine="422"/>
        <w:rPr>
          <w:rFonts w:hint="eastAsia" w:hAnsi="宋体" w:cs="宋体"/>
          <w:b/>
          <w:color w:val="auto"/>
          <w:sz w:val="21"/>
          <w:highlight w:val="none"/>
        </w:rPr>
      </w:pPr>
      <w:r>
        <w:rPr>
          <w:rFonts w:hint="eastAsia" w:hAnsi="宋体" w:cs="宋体"/>
          <w:b/>
          <w:color w:val="auto"/>
          <w:sz w:val="21"/>
          <w:highlight w:val="none"/>
        </w:rPr>
        <w:t>（5）投标文件中的资格证明文件出现任一项不符合“投标人须知前附表”资格证明文件规定“必须提供”的文件资料要求或者无效的。</w:t>
      </w:r>
    </w:p>
    <w:p w14:paraId="2C9A93E3">
      <w:pPr>
        <w:pStyle w:val="196"/>
        <w:keepNext w:val="0"/>
        <w:keepLines w:val="0"/>
        <w:spacing w:before="0" w:after="0" w:line="360" w:lineRule="auto"/>
        <w:ind w:left="420" w:firstLine="422"/>
        <w:rPr>
          <w:rFonts w:hint="eastAsia" w:ascii="宋体" w:hAnsi="宋体" w:cs="宋体"/>
          <w:b w:val="0"/>
          <w:color w:val="auto"/>
          <w:sz w:val="21"/>
          <w:szCs w:val="21"/>
          <w:highlight w:val="none"/>
        </w:rPr>
      </w:pPr>
      <w:r>
        <w:rPr>
          <w:rFonts w:hint="eastAsia" w:ascii="宋体" w:hAnsi="宋体" w:cs="宋体"/>
          <w:color w:val="auto"/>
          <w:sz w:val="21"/>
          <w:szCs w:val="21"/>
          <w:highlight w:val="none"/>
        </w:rPr>
        <w:t>25.4合格投标人不足3家的，不得评标。</w:t>
      </w:r>
    </w:p>
    <w:p w14:paraId="4998DB36">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t>六、评   标</w:t>
      </w:r>
    </w:p>
    <w:p w14:paraId="562D5D70">
      <w:pPr>
        <w:pStyle w:val="196"/>
        <w:keepNext w:val="0"/>
        <w:keepLines w:val="0"/>
        <w:spacing w:before="0" w:after="0" w:line="360" w:lineRule="auto"/>
        <w:ind w:left="420" w:firstLine="482"/>
        <w:rPr>
          <w:rFonts w:hint="eastAsia" w:ascii="宋体" w:hAnsi="宋体" w:cs="宋体"/>
          <w:color w:val="auto"/>
          <w:sz w:val="24"/>
          <w:highlight w:val="none"/>
        </w:rPr>
      </w:pPr>
      <w:bookmarkStart w:id="135" w:name="_26.组建评标委员会"/>
      <w:bookmarkEnd w:id="135"/>
      <w:r>
        <w:rPr>
          <w:rFonts w:hint="eastAsia" w:ascii="宋体" w:hAnsi="宋体" w:cs="宋体"/>
          <w:color w:val="auto"/>
          <w:sz w:val="24"/>
          <w:highlight w:val="none"/>
        </w:rPr>
        <w:t>26.组建评标委员会</w:t>
      </w:r>
    </w:p>
    <w:p w14:paraId="7C53811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26.1评标委员会由采购人代表和评审专家组成，具体人数详见“投标人须知前附表”，其中评审专家不得少于成员总数的三分之二。</w:t>
      </w:r>
    </w:p>
    <w:p w14:paraId="431A3FF6">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26.2参加过采购项目前期咨询论证的专家，不得参加该采购项目的评审活动。</w:t>
      </w:r>
    </w:p>
    <w:p w14:paraId="4192449B">
      <w:pPr>
        <w:pStyle w:val="231"/>
        <w:spacing w:line="360" w:lineRule="auto"/>
        <w:ind w:left="2" w:firstLine="420"/>
        <w:rPr>
          <w:rFonts w:hint="eastAsia" w:hAnsi="宋体" w:cs="宋体"/>
          <w:color w:val="auto"/>
          <w:sz w:val="21"/>
          <w:highlight w:val="none"/>
        </w:rPr>
      </w:pPr>
      <w:r>
        <w:rPr>
          <w:rFonts w:hint="eastAsia" w:hAnsi="宋体" w:cs="宋体"/>
          <w:color w:val="auto"/>
          <w:sz w:val="21"/>
          <w:highlight w:val="none"/>
        </w:rPr>
        <w:t>26.3</w:t>
      </w:r>
      <w:r>
        <w:rPr>
          <w:rFonts w:hint="eastAsia" w:hAnsi="宋体" w:cs="宋体"/>
          <w:bCs/>
          <w:color w:val="auto"/>
          <w:sz w:val="21"/>
          <w:highlight w:val="none"/>
        </w:rPr>
        <w:t>采购代理机构应当基于</w:t>
      </w:r>
      <w:r>
        <w:rPr>
          <w:rFonts w:hint="eastAsia" w:hAnsi="宋体" w:cs="宋体"/>
          <w:bCs/>
          <w:color w:val="auto"/>
          <w:sz w:val="21"/>
          <w:highlight w:val="none"/>
          <w:lang w:eastAsia="zh-CN"/>
        </w:rPr>
        <w:t>广西政府采购云平台抽（选）取</w:t>
      </w:r>
      <w:r>
        <w:rPr>
          <w:rFonts w:hint="eastAsia" w:hAnsi="宋体" w:cs="宋体"/>
          <w:bCs/>
          <w:color w:val="auto"/>
          <w:sz w:val="21"/>
          <w:highlight w:val="none"/>
        </w:rPr>
        <w:t>评审专家。</w:t>
      </w:r>
    </w:p>
    <w:p w14:paraId="0C018A8F">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27.评标的依据</w:t>
      </w:r>
    </w:p>
    <w:p w14:paraId="41D5874A">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评标委员会以“第四章 评标方法和评标标准”为依据对投标文件进行评审，没有规定的方法、评审因素和标准，不作为评审标准。</w:t>
      </w:r>
    </w:p>
    <w:p w14:paraId="4B11A5BD">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28.评标原则</w:t>
      </w:r>
    </w:p>
    <w:p w14:paraId="42E1A968">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A9FCF7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28.2</w:t>
      </w:r>
      <w:bookmarkStart w:id="136" w:name="_28.3评标方法。本项目将按须知前附表规定的评标办法进行评标，具体评标"/>
      <w:bookmarkEnd w:id="136"/>
      <w:r>
        <w:rPr>
          <w:rFonts w:hint="eastAsia" w:hAnsi="宋体" w:cs="宋体"/>
          <w:color w:val="auto"/>
          <w:sz w:val="21"/>
          <w:highlight w:val="none"/>
        </w:rPr>
        <w:t>评委表决。评标委员会成员对需要共同认定的事项存在争议的，应当按照少数服从多数的原则作出结论。</w:t>
      </w:r>
    </w:p>
    <w:p w14:paraId="105F82AA">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1C92470">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28.4评标过程的监控。本项目电子评标过程实行网上留痕、全程录音、录像监控，</w:t>
      </w:r>
      <w:r>
        <w:rPr>
          <w:rFonts w:hint="eastAsia" w:hAnsi="宋体" w:cs="宋体"/>
          <w:b/>
          <w:color w:val="auto"/>
          <w:sz w:val="21"/>
          <w:highlight w:val="none"/>
        </w:rPr>
        <w:t>投标人在评标过程中所进行的试图影响评标结果的不公正活动，可能导致其投标按无效处理。</w:t>
      </w:r>
    </w:p>
    <w:p w14:paraId="172911F4">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29.评标方法及中标候选人推荐</w:t>
      </w:r>
    </w:p>
    <w:p w14:paraId="2607CFA8">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29.1本项目的评标方法详见“投标人须知前附表”。</w:t>
      </w:r>
    </w:p>
    <w:p w14:paraId="15BEE97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29.2 商务/技术要求允许负偏离的条款数详见“投标人须知前附表”。</w:t>
      </w:r>
    </w:p>
    <w:p w14:paraId="345CA34E">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29.3 中标候选人推荐数量详见“投标人须知前附表”。</w:t>
      </w:r>
    </w:p>
    <w:p w14:paraId="5227805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29.4 电子交易活动的中止。采购过程中出现以下情形，导致电子交易平台无法正常运行，或者无法保证电子交易的公平、公正和安全时，采购代理机构可以中止电子交易活动：</w:t>
      </w:r>
    </w:p>
    <w:p w14:paraId="5A35983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（1）电子交易平台发生故障而无法登录访问的； </w:t>
      </w:r>
    </w:p>
    <w:p w14:paraId="23C333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14:paraId="4029B9D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14:paraId="220CBC0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（4）病毒发作导致不能进行正常操作的； </w:t>
      </w:r>
    </w:p>
    <w:p w14:paraId="3B8BFA8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（5）其他无法保证电子交易的公平、公正和安全的情况。</w:t>
      </w:r>
    </w:p>
    <w:p w14:paraId="4195BE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6977AFF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29.5出现下列情形之一的，应予废标：</w:t>
      </w:r>
    </w:p>
    <w:p w14:paraId="609E491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（1）符合专业条件的供应商或者对招标文件作实质响应的供应商不足三家的；</w:t>
      </w:r>
    </w:p>
    <w:p w14:paraId="2534595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622849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（3）投标人的报价均超过了采购预算，采购人不能支付的；</w:t>
      </w:r>
    </w:p>
    <w:p w14:paraId="05D688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（4）因重大变故，采购任务取消的。</w:t>
      </w:r>
    </w:p>
    <w:p w14:paraId="6F33704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废标后，采购人应当将废标理由通知所有投标人。</w:t>
      </w:r>
    </w:p>
    <w:p w14:paraId="16EC35D3">
      <w:pPr>
        <w:pStyle w:val="194"/>
        <w:keepNext w:val="0"/>
        <w:keepLines w:val="0"/>
        <w:ind w:firstLine="643"/>
        <w:jc w:val="center"/>
        <w:rPr>
          <w:rFonts w:hint="eastAsia" w:ascii="宋体" w:hAnsi="宋体" w:cs="宋体"/>
          <w:color w:val="auto"/>
          <w:highlight w:val="none"/>
        </w:rPr>
      </w:pPr>
      <w:bookmarkStart w:id="137" w:name="_Toc254970546"/>
      <w:bookmarkStart w:id="138" w:name="_Toc254970687"/>
      <w:r>
        <w:rPr>
          <w:rFonts w:hint="eastAsia" w:ascii="宋体" w:hAnsi="宋体" w:cs="宋体"/>
          <w:color w:val="auto"/>
          <w:highlight w:val="none"/>
        </w:rPr>
        <w:t>七、</w:t>
      </w:r>
      <w:bookmarkEnd w:id="137"/>
      <w:bookmarkEnd w:id="138"/>
      <w:r>
        <w:rPr>
          <w:rFonts w:hint="eastAsia" w:ascii="宋体" w:hAnsi="宋体" w:cs="宋体"/>
          <w:color w:val="auto"/>
          <w:highlight w:val="none"/>
        </w:rPr>
        <w:t>中标和合同</w:t>
      </w:r>
    </w:p>
    <w:p w14:paraId="668D019F">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 xml:space="preserve">30 </w:t>
      </w:r>
      <w:r>
        <w:rPr>
          <w:rFonts w:hint="eastAsia" w:ascii="宋体" w:hAnsi="宋体" w:cs="宋体"/>
          <w:color w:val="auto"/>
          <w:sz w:val="24"/>
          <w:highlight w:val="none"/>
          <w:lang w:eastAsia="zh-CN"/>
        </w:rPr>
        <w:t>.</w:t>
      </w:r>
      <w:r>
        <w:rPr>
          <w:rFonts w:hint="eastAsia" w:ascii="宋体" w:hAnsi="宋体" w:cs="宋体"/>
          <w:color w:val="auto"/>
          <w:sz w:val="24"/>
          <w:highlight w:val="none"/>
        </w:rPr>
        <w:t>确定中标人</w:t>
      </w:r>
    </w:p>
    <w:p w14:paraId="627C196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30.1采购代理机构在评标结束之日起2个工作日内将评标报告送采购人，采购人在收到评标报告之日起</w:t>
      </w:r>
      <w:r>
        <w:rPr>
          <w:rFonts w:hint="eastAsia" w:ascii="宋体" w:hAnsi="宋体" w:cs="宋体"/>
          <w:b w:val="0"/>
          <w:color w:val="auto"/>
          <w:sz w:val="21"/>
          <w:szCs w:val="21"/>
          <w:highlight w:val="none"/>
          <w:lang w:val="en-US" w:eastAsia="zh-CN"/>
        </w:rPr>
        <w:t>2</w:t>
      </w:r>
      <w:r>
        <w:rPr>
          <w:rFonts w:hint="eastAsia" w:ascii="宋体" w:hAnsi="宋体" w:cs="宋体"/>
          <w:b w:val="0"/>
          <w:color w:val="auto"/>
          <w:sz w:val="21"/>
          <w:szCs w:val="21"/>
          <w:highlight w:val="none"/>
        </w:rPr>
        <w:t>个工作日内，在评标报告确定的中标候选人名单中按顺序确定中标人。中标候选人并列的，按照“投标人须知前附表”规定的方式确定中标人。采购人也可以事先授权评标委员会直接确定中标人。</w:t>
      </w:r>
    </w:p>
    <w:p w14:paraId="3B0B7D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30.2采购人在收到评标报告2个工作日内未按评标报告推荐的中标候选人顺序确定中标人，又不能说明合法理由的，视同按评标报告推荐的顺序确定排名第一的中标候选人为中标人。</w:t>
      </w:r>
    </w:p>
    <w:p w14:paraId="6B13E784">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31. 结果公告</w:t>
      </w:r>
    </w:p>
    <w:p w14:paraId="3C6E7F58">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03206F2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以上信息查询记录及相关证据与招标文件一并保存。</w:t>
      </w:r>
    </w:p>
    <w:p w14:paraId="42EC2686">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24DA44A3">
      <w:pPr>
        <w:pStyle w:val="196"/>
        <w:keepNext w:val="0"/>
        <w:keepLines w:val="0"/>
        <w:spacing w:before="0" w:after="0" w:line="360" w:lineRule="auto"/>
        <w:ind w:firstLine="420"/>
        <w:rPr>
          <w:rFonts w:hint="eastAsia"/>
          <w:color w:val="auto"/>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1.3</w:t>
      </w:r>
      <w:r>
        <w:rPr>
          <w:rFonts w:hint="eastAsia" w:ascii="宋体" w:hAnsi="宋体"/>
          <w:b w:val="0"/>
          <w:color w:val="auto"/>
          <w:sz w:val="21"/>
          <w:szCs w:val="21"/>
          <w:highlight w:val="none"/>
        </w:rPr>
        <w:t>采购人、采购代理机构应当随中标结果公开中标供应商的《关于符合本国产品标准的声明函》或有关证明文件。</w:t>
      </w:r>
    </w:p>
    <w:p w14:paraId="36024251">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32.发出中标通知书</w:t>
      </w:r>
    </w:p>
    <w:p w14:paraId="5D03D542">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在发布中标公告的同时，采购代理机构向中标人通过</w:t>
      </w:r>
      <w:r>
        <w:rPr>
          <w:rFonts w:hint="eastAsia" w:ascii="宋体" w:hAnsi="宋体" w:cs="宋体"/>
          <w:b w:val="0"/>
          <w:color w:val="auto"/>
          <w:sz w:val="21"/>
          <w:szCs w:val="21"/>
          <w:highlight w:val="none"/>
          <w:lang w:eastAsia="zh-CN"/>
        </w:rPr>
        <w:t>广西政府采购云平台</w:t>
      </w:r>
      <w:r>
        <w:rPr>
          <w:rFonts w:hint="eastAsia" w:ascii="宋体" w:hAnsi="宋体" w:cs="宋体"/>
          <w:b w:val="0"/>
          <w:color w:val="auto"/>
          <w:sz w:val="21"/>
          <w:szCs w:val="21"/>
          <w:highlight w:val="none"/>
        </w:rPr>
        <w:t>发出电子中标通知书。对未通过资格审查的投标人，应当告知其未通过的原因；采用综合评分办法评审的，还应当告知未中标人本人的评审得分与排序。</w:t>
      </w:r>
    </w:p>
    <w:p w14:paraId="55576F1A">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33. 无义务解释未中标原因</w:t>
      </w:r>
    </w:p>
    <w:p w14:paraId="01B164F3">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采购代理机构无义务向未中标的投标人解释未中标原因。</w:t>
      </w:r>
    </w:p>
    <w:p w14:paraId="7BC7850A">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34.合同授予标准</w:t>
      </w:r>
    </w:p>
    <w:p w14:paraId="210614F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3670A586">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35.履约保证金</w:t>
      </w:r>
    </w:p>
    <w:p w14:paraId="4C0FB8AD">
      <w:pPr>
        <w:pStyle w:val="196"/>
        <w:keepNext w:val="0"/>
        <w:keepLines w:val="0"/>
        <w:spacing w:before="0" w:after="0" w:line="360" w:lineRule="auto"/>
        <w:ind w:firstLine="420"/>
        <w:rPr>
          <w:rFonts w:hint="eastAsia" w:ascii="宋体" w:hAnsi="宋体" w:cs="宋体"/>
          <w:b w:val="0"/>
          <w:color w:val="auto"/>
          <w:sz w:val="21"/>
          <w:szCs w:val="21"/>
          <w:highlight w:val="none"/>
        </w:rPr>
      </w:pPr>
      <w:bookmarkStart w:id="139" w:name="_39.1中标人须于签订合同前按本须知前附表规定的金额转账或电汇到指定账"/>
      <w:bookmarkEnd w:id="139"/>
      <w:r>
        <w:rPr>
          <w:rFonts w:hint="eastAsia" w:ascii="宋体" w:hAnsi="宋体" w:cs="宋体"/>
          <w:b w:val="0"/>
          <w:color w:val="auto"/>
          <w:sz w:val="21"/>
          <w:szCs w:val="21"/>
          <w:highlight w:val="none"/>
        </w:rPr>
        <w:t>35.1 履约保证金的金额、提交方式、退付的时间和条件详见 “投标人须知前附表”。中标人未按规定提交履约保证金的，视为拒绝与采购人签订合同。</w:t>
      </w:r>
    </w:p>
    <w:p w14:paraId="15868A8A">
      <w:pPr>
        <w:pStyle w:val="196"/>
        <w:keepNext w:val="0"/>
        <w:keepLines w:val="0"/>
        <w:spacing w:before="0" w:after="0" w:line="360" w:lineRule="auto"/>
        <w:ind w:firstLine="420"/>
        <w:rPr>
          <w:rFonts w:hint="eastAsia" w:ascii="宋体" w:hAnsi="宋体" w:cs="宋体"/>
          <w:color w:val="auto"/>
          <w:sz w:val="21"/>
          <w:szCs w:val="21"/>
          <w:highlight w:val="none"/>
        </w:rPr>
      </w:pPr>
      <w:r>
        <w:rPr>
          <w:rFonts w:hint="eastAsia" w:ascii="宋体" w:hAnsi="宋体" w:cs="宋体"/>
          <w:b w:val="0"/>
          <w:bCs/>
          <w:color w:val="auto"/>
          <w:sz w:val="21"/>
          <w:szCs w:val="21"/>
          <w:highlight w:val="none"/>
        </w:rPr>
        <w:t>35.2在履约保证金退还日期前，若中标人的开户名称、开户银行、账号有变动的，请以书面形式通知履约保证金收取单位，否则由此产生的后果由中标人自行承担。</w:t>
      </w:r>
    </w:p>
    <w:p w14:paraId="0F1F9BE4">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36.签订合同</w:t>
      </w:r>
    </w:p>
    <w:p w14:paraId="2A75C41A">
      <w:pPr>
        <w:pStyle w:val="196"/>
        <w:keepNext w:val="0"/>
        <w:keepLines w:val="0"/>
        <w:spacing w:before="0" w:after="0" w:line="360" w:lineRule="auto"/>
        <w:ind w:firstLine="422"/>
        <w:rPr>
          <w:rFonts w:hint="eastAsia" w:ascii="宋体" w:hAnsi="宋体" w:cs="宋体"/>
          <w:b w:val="0"/>
          <w:color w:val="auto"/>
          <w:sz w:val="21"/>
          <w:szCs w:val="21"/>
          <w:highlight w:val="none"/>
        </w:rPr>
      </w:pPr>
      <w:bookmarkStart w:id="140" w:name="_40.1投标人接到中标通知书后，按须知前附表规定向采购人出示相关资格证"/>
      <w:bookmarkEnd w:id="140"/>
      <w:r>
        <w:rPr>
          <w:rFonts w:hint="eastAsia" w:ascii="宋体" w:hAnsi="宋体" w:cs="宋体"/>
          <w:color w:val="auto"/>
          <w:sz w:val="21"/>
          <w:szCs w:val="21"/>
          <w:highlight w:val="none"/>
        </w:rPr>
        <w:t>36.1签订电子采购合同：中标人领取电子中标通知书后，在</w:t>
      </w:r>
      <w:r>
        <w:rPr>
          <w:rFonts w:hint="eastAsia" w:ascii="宋体" w:hAnsi="宋体" w:cs="宋体"/>
          <w:color w:val="auto"/>
          <w:sz w:val="21"/>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61324030">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线下签订纸质合同：投标人领取中标通知书后，按“投标人须知前附表”规定向采购人出示相关证明材料，经采购人核验合格后方可签订合同。</w:t>
      </w:r>
    </w:p>
    <w:p w14:paraId="010BB0B6">
      <w:pPr>
        <w:pStyle w:val="196"/>
        <w:keepNext w:val="0"/>
        <w:keepLines w:val="0"/>
        <w:numPr>
          <w:ilvl w:val="0"/>
          <w:numId w:val="0"/>
        </w:numPr>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36.2签订合同时间：按中标通知书规定的时间与采购人签订合同。</w:t>
      </w:r>
    </w:p>
    <w:p w14:paraId="0B547847">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2E0E9A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4B1519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696A2EC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36.6如签订合同并生效后，供应商无故拒绝或延期，除按照合同条款处理外，将承担相应的法律责任。</w:t>
      </w:r>
    </w:p>
    <w:p w14:paraId="7A05A71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48A3B0A1">
      <w:pPr>
        <w:pStyle w:val="196"/>
        <w:keepNext w:val="0"/>
        <w:keepLines w:val="0"/>
        <w:spacing w:before="0" w:after="0" w:line="360" w:lineRule="auto"/>
        <w:ind w:left="420" w:firstLine="482"/>
        <w:rPr>
          <w:rFonts w:hint="eastAsia" w:ascii="宋体" w:hAnsi="宋体" w:cs="宋体"/>
          <w:color w:val="auto"/>
          <w:sz w:val="24"/>
          <w:highlight w:val="none"/>
        </w:rPr>
      </w:pPr>
      <w:bookmarkStart w:id="141" w:name="_41.政府采购合同公告"/>
      <w:bookmarkEnd w:id="141"/>
      <w:r>
        <w:rPr>
          <w:rFonts w:hint="eastAsia" w:ascii="宋体" w:hAnsi="宋体" w:cs="宋体"/>
          <w:color w:val="auto"/>
          <w:sz w:val="24"/>
          <w:highlight w:val="none"/>
        </w:rPr>
        <w:t>37.政府采购合同公告</w:t>
      </w:r>
    </w:p>
    <w:p w14:paraId="008EAD0B">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0029DE05">
      <w:pPr>
        <w:pStyle w:val="196"/>
        <w:keepNext w:val="0"/>
        <w:keepLines w:val="0"/>
        <w:spacing w:before="0" w:after="0" w:line="360" w:lineRule="auto"/>
        <w:ind w:left="420" w:firstLine="482"/>
        <w:rPr>
          <w:rFonts w:hint="eastAsia" w:ascii="宋体" w:hAnsi="宋体" w:cs="宋体"/>
          <w:color w:val="auto"/>
          <w:sz w:val="24"/>
          <w:highlight w:val="none"/>
        </w:rPr>
      </w:pPr>
      <w:r>
        <w:rPr>
          <w:rFonts w:hint="eastAsia" w:ascii="宋体" w:hAnsi="宋体" w:cs="宋体"/>
          <w:color w:val="auto"/>
          <w:sz w:val="24"/>
          <w:highlight w:val="none"/>
        </w:rPr>
        <w:t>38. 询问、质疑和投诉</w:t>
      </w:r>
    </w:p>
    <w:p w14:paraId="618610C8">
      <w:pPr>
        <w:pStyle w:val="197"/>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6AD29B75">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3F90F495">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（1）对可以质疑的招标文件提出质疑的，为收到招标文件之日或者招标文件公告期限届满之日；</w:t>
      </w:r>
    </w:p>
    <w:p w14:paraId="3295188D">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（2）对采购过程提出质疑的，为各采购程序环节结束之日；</w:t>
      </w:r>
    </w:p>
    <w:p w14:paraId="2CF1AF47">
      <w:pPr>
        <w:pStyle w:val="231"/>
        <w:spacing w:line="360" w:lineRule="auto"/>
        <w:ind w:firstLine="420"/>
        <w:rPr>
          <w:rFonts w:hint="eastAsia" w:hAnsi="宋体" w:cs="宋体"/>
          <w:bCs/>
          <w:color w:val="auto"/>
          <w:sz w:val="21"/>
          <w:highlight w:val="none"/>
        </w:rPr>
      </w:pPr>
      <w:r>
        <w:rPr>
          <w:rFonts w:hint="eastAsia" w:hAnsi="宋体" w:cs="宋体"/>
          <w:color w:val="auto"/>
          <w:sz w:val="21"/>
          <w:highlight w:val="none"/>
        </w:rPr>
        <w:t>（3）对中标结果提出质疑的，为中标结果公告期限届满之日。</w:t>
      </w:r>
    </w:p>
    <w:p w14:paraId="4F1F3F50">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38.3 </w:t>
      </w:r>
      <w:r>
        <w:rPr>
          <w:rFonts w:hint="eastAsia" w:ascii="宋体" w:hAnsi="宋体" w:cs="宋体"/>
          <w:b w:val="0"/>
          <w:bCs/>
          <w:color w:val="auto"/>
          <w:sz w:val="21"/>
          <w:highlight w:val="none"/>
        </w:rPr>
        <w:t>供应商提出质疑应当提交质疑函和必要的证明材料，针对同一采购程序环节的质疑必须在法定质疑期内一次性提出。质疑函应当包括下列内容（质疑函格式后附）：</w:t>
      </w:r>
    </w:p>
    <w:p w14:paraId="56609786">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（1）供应商的姓名或者名称、地址、邮编、联系人及联系电话；</w:t>
      </w:r>
    </w:p>
    <w:p w14:paraId="6A598224">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（2）质疑项目的名称、编号；</w:t>
      </w:r>
    </w:p>
    <w:p w14:paraId="4CED110E">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（3）具体、明确的质疑事项和与质疑事项相关的请求；</w:t>
      </w:r>
    </w:p>
    <w:p w14:paraId="1BD476DD">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（4）事实依据；</w:t>
      </w:r>
    </w:p>
    <w:p w14:paraId="23CB2883">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（5）必要的法律依据；</w:t>
      </w:r>
    </w:p>
    <w:p w14:paraId="4701D897">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（6）提出质疑的日期。</w:t>
      </w:r>
    </w:p>
    <w:p w14:paraId="1FC03808">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供应商为自然人的，应当由本人签字；供应商为法人或者其他组织的，应当由法定代表人、主要负责人，或者其委托代理人签字或者盖章，并加盖公章。</w:t>
      </w:r>
    </w:p>
    <w:p w14:paraId="743A4812">
      <w:pPr>
        <w:pStyle w:val="196"/>
        <w:keepNext w:val="0"/>
        <w:keepLines w:val="0"/>
        <w:spacing w:before="0" w:after="0" w:line="360" w:lineRule="auto"/>
        <w:ind w:firstLine="420"/>
        <w:rPr>
          <w:rFonts w:hint="eastAsia" w:ascii="宋体" w:hAnsi="宋体" w:cs="宋体"/>
          <w:b w:val="0"/>
          <w:bCs/>
          <w:color w:val="auto"/>
          <w:sz w:val="21"/>
          <w:szCs w:val="21"/>
          <w:highlight w:val="none"/>
        </w:rPr>
      </w:pPr>
      <w:r>
        <w:rPr>
          <w:rFonts w:hint="eastAsia" w:ascii="宋体" w:hAnsi="宋体" w:cs="宋体"/>
          <w:b w:val="0"/>
          <w:color w:val="auto"/>
          <w:sz w:val="21"/>
          <w:szCs w:val="21"/>
          <w:highlight w:val="none"/>
        </w:rPr>
        <w:t>3</w:t>
      </w:r>
      <w:r>
        <w:rPr>
          <w:rFonts w:hint="eastAsia" w:ascii="宋体" w:hAnsi="宋体" w:cs="宋体"/>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2E9E8BDB">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（一）对招标文件提出的质疑，依法通过澄清或者修改可以继续开展采购活动的，澄清或者修改招标文件后继续开展采购活动；否则应当修改招标文件后重新开展采购活动。</w:t>
      </w:r>
    </w:p>
    <w:p w14:paraId="28C6AA44">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（二）对采购过程、中标结果提出的质疑，合格供应商符合法定数量时，可以从合格的中标候选人中另行确定中标供应商的，应当依法另行确定中标供应商；否则应当重新开展采购活动。</w:t>
      </w:r>
    </w:p>
    <w:p w14:paraId="11A07C45">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质疑答复导致中标结果改变的，采购人或者采购代理机构应当将有关情况书面报告本级财政部门。</w:t>
      </w:r>
    </w:p>
    <w:p w14:paraId="3505E4B7">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2C0B96F">
      <w:pPr>
        <w:pStyle w:val="194"/>
        <w:keepNext w:val="0"/>
        <w:keepLines w:val="0"/>
        <w:ind w:firstLine="643"/>
        <w:jc w:val="center"/>
        <w:rPr>
          <w:rFonts w:hint="eastAsia" w:ascii="宋体" w:hAnsi="宋体" w:cs="宋体"/>
          <w:color w:val="auto"/>
          <w:highlight w:val="none"/>
        </w:rPr>
      </w:pPr>
      <w:r>
        <w:rPr>
          <w:rFonts w:hint="eastAsia" w:ascii="宋体" w:hAnsi="宋体" w:cs="宋体"/>
          <w:color w:val="auto"/>
          <w:highlight w:val="none"/>
        </w:rPr>
        <w:t>八、其他事项</w:t>
      </w:r>
    </w:p>
    <w:p w14:paraId="757DAF25">
      <w:pPr>
        <w:pStyle w:val="196"/>
        <w:keepNext w:val="0"/>
        <w:keepLines w:val="0"/>
        <w:numPr>
          <w:ilvl w:val="0"/>
          <w:numId w:val="0"/>
        </w:numPr>
        <w:spacing w:before="0" w:after="0" w:line="360" w:lineRule="auto"/>
        <w:ind w:firstLine="482"/>
        <w:rPr>
          <w:rFonts w:hint="eastAsia" w:ascii="宋体" w:hAnsi="宋体" w:cs="宋体"/>
          <w:color w:val="auto"/>
          <w:sz w:val="24"/>
          <w:highlight w:val="none"/>
        </w:rPr>
      </w:pPr>
      <w:bookmarkStart w:id="142" w:name="_42.代理服务费"/>
      <w:bookmarkEnd w:id="142"/>
      <w:r>
        <w:rPr>
          <w:rFonts w:hint="eastAsia" w:ascii="宋体" w:hAnsi="宋体" w:cs="宋体"/>
          <w:color w:val="auto"/>
          <w:sz w:val="24"/>
          <w:highlight w:val="none"/>
        </w:rPr>
        <w:t>39.代理服务费</w:t>
      </w:r>
    </w:p>
    <w:p w14:paraId="54787CF6">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代理服务</w:t>
      </w:r>
      <w:r>
        <w:rPr>
          <w:rFonts w:hint="eastAsia" w:ascii="宋体" w:hAnsi="宋体" w:cs="宋体"/>
          <w:b w:val="0"/>
          <w:color w:val="auto"/>
          <w:sz w:val="21"/>
          <w:szCs w:val="21"/>
          <w:highlight w:val="none"/>
          <w:lang w:eastAsia="zh-CN"/>
        </w:rPr>
        <w:t>费</w:t>
      </w:r>
      <w:r>
        <w:rPr>
          <w:rFonts w:hint="eastAsia" w:ascii="宋体" w:hAnsi="宋体" w:cs="宋体"/>
          <w:b w:val="0"/>
          <w:color w:val="auto"/>
          <w:sz w:val="21"/>
          <w:szCs w:val="21"/>
          <w:highlight w:val="none"/>
        </w:rPr>
        <w:t>收取标准及缴费账户详见“投标人须知前附表”，投标人为联合体的，可以由联合体中的一方或者多方共同</w:t>
      </w:r>
      <w:r>
        <w:rPr>
          <w:rFonts w:hint="eastAsia" w:ascii="宋体" w:hAnsi="宋体" w:cs="宋体"/>
          <w:b w:val="0"/>
          <w:color w:val="auto"/>
          <w:sz w:val="21"/>
          <w:szCs w:val="21"/>
          <w:highlight w:val="none"/>
          <w:lang w:eastAsia="zh-CN"/>
        </w:rPr>
        <w:t>缴纳</w:t>
      </w:r>
      <w:r>
        <w:rPr>
          <w:rFonts w:hint="eastAsia" w:ascii="宋体" w:hAnsi="宋体" w:cs="宋体"/>
          <w:b w:val="0"/>
          <w:color w:val="auto"/>
          <w:sz w:val="21"/>
          <w:szCs w:val="21"/>
          <w:highlight w:val="none"/>
        </w:rPr>
        <w:t>代理服务费。</w:t>
      </w:r>
    </w:p>
    <w:p w14:paraId="42E2CDCC">
      <w:pPr>
        <w:pStyle w:val="196"/>
        <w:keepNext w:val="0"/>
        <w:keepLines w:val="0"/>
        <w:spacing w:before="0" w:after="0" w:line="360" w:lineRule="auto"/>
        <w:ind w:firstLine="482"/>
        <w:rPr>
          <w:rFonts w:hint="eastAsia" w:ascii="宋体" w:hAnsi="宋体" w:cs="宋体"/>
          <w:color w:val="auto"/>
          <w:sz w:val="24"/>
          <w:highlight w:val="none"/>
        </w:rPr>
      </w:pPr>
      <w:r>
        <w:rPr>
          <w:rFonts w:hint="eastAsia" w:ascii="宋体" w:hAnsi="宋体" w:cs="宋体"/>
          <w:color w:val="auto"/>
          <w:sz w:val="24"/>
          <w:highlight w:val="none"/>
        </w:rPr>
        <w:t>40. 需要补充的其他内容</w:t>
      </w:r>
    </w:p>
    <w:p w14:paraId="1142853E">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40.1本招标文件解释规则详见“投标人须知前附表”。</w:t>
      </w:r>
    </w:p>
    <w:p w14:paraId="1A7FE8B2">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40.2 其他事项详见“投标人须知前附表”。</w:t>
      </w:r>
    </w:p>
    <w:p w14:paraId="26D10C9C">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40.3</w:t>
      </w:r>
      <w:bookmarkStart w:id="143" w:name="_Hlk65857140"/>
      <w:r>
        <w:rPr>
          <w:rFonts w:hint="eastAsia" w:hAnsi="宋体" w:cs="宋体"/>
          <w:color w:val="auto"/>
          <w:sz w:val="21"/>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2DDCB94C">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79A6B9C4">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0423BE19">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92CF634">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03F56833">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bookmarkEnd w:id="143"/>
    </w:p>
    <w:p w14:paraId="4F79052D">
      <w:pPr>
        <w:pStyle w:val="192"/>
        <w:ind w:firstLine="422"/>
        <w:jc w:val="center"/>
        <w:rPr>
          <w:rFonts w:hint="eastAsia" w:ascii="宋体" w:hAnsi="宋体" w:cs="宋体"/>
          <w:color w:val="auto"/>
          <w:highlight w:val="none"/>
        </w:rPr>
      </w:pPr>
      <w:r>
        <w:rPr>
          <w:rFonts w:hint="eastAsia" w:hAnsi="宋体" w:cs="宋体"/>
          <w:color w:val="auto"/>
          <w:sz w:val="21"/>
          <w:highlight w:val="none"/>
        </w:rPr>
        <w:br w:type="page" w:clear="all"/>
      </w:r>
      <w:bookmarkStart w:id="144" w:name="_Toc25822"/>
      <w:bookmarkStart w:id="145" w:name="_Toc14670"/>
      <w:bookmarkStart w:id="146" w:name="_Toc74320803"/>
      <w:bookmarkStart w:id="147" w:name="_Toc254970548"/>
      <w:bookmarkStart w:id="148" w:name="_Toc6843"/>
      <w:bookmarkStart w:id="149" w:name="_Toc330456896"/>
      <w:bookmarkStart w:id="150" w:name="_Toc30886"/>
      <w:bookmarkStart w:id="151" w:name="_Toc254970689"/>
      <w:bookmarkStart w:id="152" w:name="_Toc9261"/>
      <w:r>
        <w:rPr>
          <w:rFonts w:hint="eastAsia" w:ascii="宋体" w:hAnsi="宋体" w:cs="宋体"/>
          <w:color w:val="auto"/>
          <w:highlight w:val="none"/>
        </w:rPr>
        <w:t>第四章  评标方法及评标标准</w:t>
      </w:r>
      <w:bookmarkEnd w:id="144"/>
      <w:bookmarkEnd w:id="145"/>
      <w:bookmarkEnd w:id="146"/>
      <w:bookmarkEnd w:id="147"/>
      <w:bookmarkEnd w:id="148"/>
      <w:bookmarkEnd w:id="149"/>
      <w:bookmarkEnd w:id="150"/>
      <w:bookmarkEnd w:id="151"/>
      <w:bookmarkEnd w:id="152"/>
    </w:p>
    <w:p w14:paraId="64062332">
      <w:pPr>
        <w:pStyle w:val="194"/>
        <w:keepNext w:val="0"/>
        <w:keepLines w:val="0"/>
        <w:ind w:firstLine="602"/>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一、评标方法</w:t>
      </w:r>
    </w:p>
    <w:p w14:paraId="7B899954">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综合评分法，是指投标文件满足招标文件全部实质性要求，且按照评审因素的量化指标评审得分最高的投标人为中标候选人的评标方法。</w:t>
      </w:r>
    </w:p>
    <w:p w14:paraId="1C202A3C">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最低评标价法，是指投标文件满足招标文件全部实质性要求，且投标报价最低的投标人为中标候选人的评标方法。</w:t>
      </w:r>
    </w:p>
    <w:p w14:paraId="47D0474D">
      <w:pPr>
        <w:pStyle w:val="194"/>
        <w:keepNext w:val="0"/>
        <w:keepLines w:val="0"/>
        <w:ind w:firstLine="602"/>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二、评标程序</w:t>
      </w:r>
    </w:p>
    <w:p w14:paraId="3EF4F733">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1.符合性审查</w:t>
      </w:r>
    </w:p>
    <w:p w14:paraId="1455E864">
      <w:pPr>
        <w:pStyle w:val="231"/>
        <w:spacing w:line="360" w:lineRule="auto"/>
        <w:ind w:left="1" w:firstLine="422"/>
        <w:rPr>
          <w:rFonts w:hint="eastAsia" w:hAnsi="宋体" w:cs="宋体"/>
          <w:b/>
          <w:color w:val="auto"/>
          <w:sz w:val="21"/>
          <w:highlight w:val="none"/>
        </w:rPr>
      </w:pPr>
      <w:r>
        <w:rPr>
          <w:rFonts w:hint="eastAsia" w:hAnsi="宋体" w:cs="宋体"/>
          <w:b/>
          <w:color w:val="auto"/>
          <w:sz w:val="21"/>
          <w:highlight w:val="none"/>
        </w:rPr>
        <w:t>评标委员会应当对符合资格的投标人的投标文件进行投标报价、商务、技术等实质性内容符合性审查，以确定其是否满足招标文件的实质性要求。</w:t>
      </w:r>
    </w:p>
    <w:p w14:paraId="79BB1CDA">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2.符合性审查不通过而导致投标无效的情形</w:t>
      </w:r>
    </w:p>
    <w:p w14:paraId="47500874">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0FDFB6E0">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2.1在报价评审时，如发现下列情形之一的，将被视为投标无效：</w:t>
      </w:r>
    </w:p>
    <w:p w14:paraId="2CE8C401">
      <w:pPr>
        <w:pStyle w:val="197"/>
        <w:numPr>
          <w:ilvl w:val="0"/>
          <w:numId w:val="4"/>
        </w:numPr>
        <w:spacing w:line="360" w:lineRule="auto"/>
        <w:ind w:firstLine="398"/>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未提供“投标人须知前附表”第13条“报价文件”规定中“必须提供”的文件资料的；</w:t>
      </w:r>
    </w:p>
    <w:p w14:paraId="5C635EC3">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57652213">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各分标报价超出招标文件相应分标规定最高限价，或者超出相应分标采购预算金额的；</w:t>
      </w:r>
    </w:p>
    <w:p w14:paraId="24411DF0">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5F511520">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169535D8">
      <w:pPr>
        <w:pStyle w:val="197"/>
        <w:numPr>
          <w:ilvl w:val="0"/>
          <w:numId w:val="4"/>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投标人属于本章第5.1条（2）或者第5.2条（2）项情形的；</w:t>
      </w:r>
    </w:p>
    <w:p w14:paraId="69662855">
      <w:pPr>
        <w:pStyle w:val="197"/>
        <w:numPr>
          <w:ilvl w:val="0"/>
          <w:numId w:val="4"/>
        </w:numPr>
        <w:spacing w:line="360" w:lineRule="auto"/>
        <w:ind w:firstLine="398"/>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4359DC0F">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2.2在商务</w:t>
      </w:r>
      <w:r>
        <w:rPr>
          <w:rFonts w:hint="eastAsia" w:ascii="宋体" w:hAnsi="宋体" w:cs="宋体"/>
          <w:color w:val="auto"/>
          <w:sz w:val="21"/>
          <w:szCs w:val="21"/>
          <w:highlight w:val="none"/>
          <w:lang w:eastAsia="zh-CN"/>
        </w:rPr>
        <w:t>及技术</w:t>
      </w:r>
      <w:r>
        <w:rPr>
          <w:rFonts w:hint="eastAsia" w:ascii="宋体" w:hAnsi="宋体" w:cs="宋体"/>
          <w:color w:val="auto"/>
          <w:sz w:val="21"/>
          <w:szCs w:val="21"/>
          <w:highlight w:val="none"/>
        </w:rPr>
        <w:t>评审时，如发现下列情形之一的，将被视为投标无效：</w:t>
      </w:r>
    </w:p>
    <w:p w14:paraId="50B06AD2">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5C0F5BC8">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委托代理人未能出具有效身份证或者出具的身份证与授权委托书中的信息不符的；</w:t>
      </w:r>
    </w:p>
    <w:p w14:paraId="42E3E17E">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1898EA2D">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投标文件未提供“投标人须知前附表”第13条“商务及技术文件”规定中“必须提供”或者“委托时必须提供”的文件资料的；</w:t>
      </w:r>
    </w:p>
    <w:p w14:paraId="1FABA3F7">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允许负偏离的条款数超过“投标人须知前附表”规定项数的；</w:t>
      </w:r>
    </w:p>
    <w:p w14:paraId="532180D1">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1D026E0A">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6D045F95">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61260D28">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60509BD6">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14:paraId="343CA6BA">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投标文件中承诺的投标有效期低于招标文件要求的期限的；</w:t>
      </w:r>
    </w:p>
    <w:p w14:paraId="27A94E79">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14:paraId="179C7362">
      <w:pPr>
        <w:pStyle w:val="225"/>
        <w:numPr>
          <w:ilvl w:val="0"/>
          <w:numId w:val="5"/>
        </w:numPr>
        <w:spacing w:line="36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虚假投标，或者出现其他情形而导致被评标委员会认定无效的；</w:t>
      </w:r>
    </w:p>
    <w:p w14:paraId="71AE5903">
      <w:pPr>
        <w:pStyle w:val="225"/>
        <w:numPr>
          <w:ilvl w:val="0"/>
          <w:numId w:val="5"/>
        </w:numPr>
        <w:spacing w:line="36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招标文件未载明允许提供备选（替代）投标方案或明确不允许提供备选（替代）投标方案时，投标人提供了备选（替代）投标方案的；</w:t>
      </w:r>
    </w:p>
    <w:p w14:paraId="060889C2">
      <w:pPr>
        <w:pStyle w:val="225"/>
        <w:numPr>
          <w:ilvl w:val="0"/>
          <w:numId w:val="5"/>
        </w:numPr>
        <w:spacing w:line="36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未响应招标文件实质性要求的。</w:t>
      </w:r>
    </w:p>
    <w:p w14:paraId="2CBAD055">
      <w:pPr>
        <w:numPr>
          <w:ilvl w:val="0"/>
          <w:numId w:val="5"/>
        </w:num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法律、法规和招标文件规定的其他无效情形。</w:t>
      </w:r>
    </w:p>
    <w:p w14:paraId="75795EC4">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3.澄清补正</w:t>
      </w:r>
    </w:p>
    <w:p w14:paraId="1440D1C6">
      <w:pPr>
        <w:spacing w:line="360" w:lineRule="auto"/>
        <w:ind w:firstLine="420"/>
        <w:rPr>
          <w:rFonts w:hint="eastAsia"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2855078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6BBED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0D936C58">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4.投标文件修正</w:t>
      </w:r>
    </w:p>
    <w:p w14:paraId="621269FA">
      <w:pPr>
        <w:pStyle w:val="196"/>
        <w:keepNext w:val="0"/>
        <w:keepLines w:val="0"/>
        <w:spacing w:before="0" w:after="0" w:line="360" w:lineRule="auto"/>
        <w:ind w:left="420"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4.1投标文件报价出现前后不一致的，按照下列规定修正： </w:t>
      </w:r>
    </w:p>
    <w:p w14:paraId="52E3012E">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（1）投标文件中开标一览表（报价表）内容与投标文件中相应内容不一致的，以开标一览表（报价表）为准；</w:t>
      </w:r>
    </w:p>
    <w:p w14:paraId="578D29B5">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（2）大写金额和小写金额不一致的，以大写金额为准；</w:t>
      </w:r>
    </w:p>
    <w:p w14:paraId="248A93CC">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（3）单价金额小数点或者百分比有明显错位的，以开标一览表的总价为准，并修改单价；</w:t>
      </w:r>
    </w:p>
    <w:p w14:paraId="4499B778">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（4）总价金额与按单价汇总金额不一致的，以单价金额计算结果为准。</w:t>
      </w:r>
    </w:p>
    <w:p w14:paraId="165E300F">
      <w:pPr>
        <w:pStyle w:val="231"/>
        <w:spacing w:line="360" w:lineRule="auto"/>
        <w:ind w:firstLine="420"/>
        <w:rPr>
          <w:rFonts w:hint="eastAsia" w:hAnsi="宋体" w:cs="宋体"/>
          <w:color w:val="auto"/>
          <w:sz w:val="21"/>
          <w:highlight w:val="none"/>
        </w:rPr>
      </w:pPr>
      <w:r>
        <w:rPr>
          <w:rFonts w:hint="eastAsia" w:hAnsi="宋体" w:cs="宋体"/>
          <w:color w:val="auto"/>
          <w:sz w:val="21"/>
          <w:highlight w:val="none"/>
        </w:rPr>
        <w:t>同时出现两种以上不一致的，按照以上（1）-（4）规定的顺序修正。修正后的报价经投标人确认后产生约束力，投标人不确认的，</w:t>
      </w:r>
      <w:r>
        <w:rPr>
          <w:rFonts w:hint="eastAsia" w:hAnsi="宋体" w:cs="宋体"/>
          <w:b/>
          <w:color w:val="auto"/>
          <w:sz w:val="21"/>
          <w:highlight w:val="none"/>
        </w:rPr>
        <w:t>其投标无效</w:t>
      </w:r>
      <w:r>
        <w:rPr>
          <w:rFonts w:hint="eastAsia" w:hAnsi="宋体" w:cs="宋体"/>
          <w:color w:val="auto"/>
          <w:sz w:val="21"/>
          <w:highlight w:val="none"/>
        </w:rPr>
        <w:t>。</w:t>
      </w:r>
    </w:p>
    <w:p w14:paraId="59657F5F">
      <w:pPr>
        <w:pStyle w:val="196"/>
        <w:keepNext w:val="0"/>
        <w:keepLines w:val="0"/>
        <w:spacing w:before="0" w:after="0" w:line="360" w:lineRule="auto"/>
        <w:ind w:firstLine="42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4.2经投标人确认修正后的报价若超过采购预算金额或者最高限价，</w:t>
      </w:r>
      <w:r>
        <w:rPr>
          <w:rFonts w:hint="eastAsia" w:ascii="宋体" w:hAnsi="宋体" w:cs="宋体"/>
          <w:color w:val="auto"/>
          <w:sz w:val="21"/>
          <w:szCs w:val="21"/>
          <w:highlight w:val="none"/>
        </w:rPr>
        <w:t>投标人的投标文件作无效投标处理</w:t>
      </w:r>
      <w:r>
        <w:rPr>
          <w:rFonts w:hint="eastAsia" w:ascii="宋体" w:hAnsi="宋体" w:cs="宋体"/>
          <w:b w:val="0"/>
          <w:color w:val="auto"/>
          <w:sz w:val="21"/>
          <w:szCs w:val="21"/>
          <w:highlight w:val="none"/>
        </w:rPr>
        <w:t>。</w:t>
      </w:r>
    </w:p>
    <w:p w14:paraId="65C98C5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1C787136">
      <w:pPr>
        <w:pStyle w:val="196"/>
        <w:keepNext w:val="0"/>
        <w:keepLines w:val="0"/>
        <w:spacing w:before="0" w:after="0" w:line="360" w:lineRule="auto"/>
        <w:ind w:left="420" w:firstLine="422"/>
        <w:rPr>
          <w:rFonts w:hint="eastAsia" w:ascii="宋体" w:hAnsi="宋体" w:cs="宋体"/>
          <w:color w:val="auto"/>
          <w:sz w:val="21"/>
          <w:szCs w:val="21"/>
          <w:highlight w:val="none"/>
        </w:rPr>
      </w:pPr>
      <w:r>
        <w:rPr>
          <w:rFonts w:hint="eastAsia" w:ascii="宋体" w:hAnsi="宋体" w:cs="宋体"/>
          <w:color w:val="auto"/>
          <w:sz w:val="21"/>
          <w:szCs w:val="21"/>
          <w:highlight w:val="none"/>
        </w:rPr>
        <w:t>5.比较与评价</w:t>
      </w:r>
    </w:p>
    <w:p w14:paraId="5B30708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5.1采用综合评分法的</w:t>
      </w:r>
    </w:p>
    <w:p w14:paraId="353EFF2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131FA4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771439BB">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477FF55C">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142158B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44E8D80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③投标报价低于采购项目最高限价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70F90B2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70626734">
      <w:pPr>
        <w:spacing w:line="360" w:lineRule="auto"/>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13454A0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235D5C7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4CBE18A">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573AA74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（3）评标委员会按照招标文件中规定的评标方法和标准计算各投标人的报价得分。在计算过程中，不得去掉最高报价或者最低报价。</w:t>
      </w:r>
    </w:p>
    <w:p w14:paraId="1210566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（4）各投标人的得分为所有评委的有效评分的算术平均数。</w:t>
      </w:r>
    </w:p>
    <w:p w14:paraId="6D32615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346203E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E2FB12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5.2采用</w:t>
      </w:r>
      <w:r>
        <w:rPr>
          <w:rFonts w:hint="eastAsia" w:ascii="宋体" w:hAnsi="宋体" w:cs="宋体"/>
          <w:color w:val="auto"/>
          <w:highlight w:val="none"/>
        </w:rPr>
        <w:t>最低评标价法</w:t>
      </w:r>
      <w:r>
        <w:rPr>
          <w:rFonts w:hint="eastAsia" w:ascii="宋体" w:hAnsi="宋体" w:cs="宋体"/>
          <w:color w:val="auto"/>
          <w:szCs w:val="21"/>
          <w:highlight w:val="none"/>
        </w:rPr>
        <w:t>的</w:t>
      </w:r>
    </w:p>
    <w:p w14:paraId="25AA247D">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（1）评标委员会按照招标文件中规定的评标方法及评标标准，对符合性审查合格的投标文件报价进行比较。</w:t>
      </w:r>
    </w:p>
    <w:p w14:paraId="5FCB9C64">
      <w:pPr>
        <w:spacing w:line="360" w:lineRule="auto"/>
        <w:ind w:firstLine="399"/>
        <w:jc w:val="left"/>
        <w:rPr>
          <w:rFonts w:hint="eastAsia" w:ascii="宋体" w:hAnsi="宋体"/>
          <w:color w:val="auto"/>
          <w:spacing w:val="-6"/>
          <w:szCs w:val="21"/>
          <w:highlight w:val="none"/>
        </w:rPr>
      </w:pPr>
      <w:r>
        <w:rPr>
          <w:rFonts w:hint="eastAsia" w:ascii="宋体" w:hAnsi="宋体"/>
          <w:color w:val="auto"/>
          <w:spacing w:val="-6"/>
          <w:szCs w:val="21"/>
          <w:highlight w:val="none"/>
        </w:rPr>
        <w:t>（2）</w:t>
      </w:r>
      <w:r>
        <w:rPr>
          <w:rFonts w:hint="eastAsia" w:ascii="宋体" w:hAnsi="宋体"/>
          <w:color w:val="auto"/>
          <w:szCs w:val="21"/>
          <w:highlight w:val="none"/>
        </w:rPr>
        <w:t>异常低价投标审查</w:t>
      </w:r>
    </w:p>
    <w:p w14:paraId="64EA1D3F">
      <w:pPr>
        <w:spacing w:line="360" w:lineRule="auto"/>
        <w:ind w:firstLine="420"/>
        <w:rPr>
          <w:rFonts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178815A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的，即投标报价＜全部通过符合性审查供应商投标报价平均值×</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6A262F3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的，即投标报价＜通过符合性审查的次低报价供应商投标报价×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2A3CBA7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③投标报价低于采购项目最高限价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的，即投标报价＜采购项目最高限价×</w:t>
      </w:r>
      <w:r>
        <w:rPr>
          <w:rFonts w:hint="eastAsia" w:ascii="宋体" w:hAnsi="宋体"/>
          <w:color w:val="auto"/>
          <w:szCs w:val="21"/>
          <w:highlight w:val="none"/>
          <w:u w:val="single"/>
          <w:lang w:val="en-US" w:eastAsia="zh-CN"/>
        </w:rPr>
        <w:t>65%</w:t>
      </w:r>
      <w:r>
        <w:rPr>
          <w:rFonts w:hint="eastAsia" w:ascii="宋体" w:hAnsi="宋体"/>
          <w:color w:val="auto"/>
          <w:szCs w:val="21"/>
          <w:highlight w:val="none"/>
        </w:rPr>
        <w:t>；</w:t>
      </w:r>
    </w:p>
    <w:p w14:paraId="47A2D91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4320B0D2">
      <w:pPr>
        <w:spacing w:line="360" w:lineRule="auto"/>
        <w:ind w:firstLine="42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35549F9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5794164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47F6F3A">
      <w:pPr>
        <w:spacing w:line="360" w:lineRule="auto"/>
        <w:ind w:firstLine="424"/>
        <w:jc w:val="left"/>
        <w:rPr>
          <w:rFonts w:hint="eastAsia" w:ascii="宋体" w:hAnsi="宋体" w:cs="宋体"/>
          <w:color w:val="auto"/>
          <w:spacing w:val="-6"/>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2147989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（3）评标委员会按照招标文件中的规定推荐中标候选人。</w:t>
      </w:r>
    </w:p>
    <w:p w14:paraId="0BD504F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6208F933">
      <w:pPr>
        <w:spacing w:line="360" w:lineRule="auto"/>
        <w:ind w:firstLine="420"/>
        <w:jc w:val="left"/>
        <w:rPr>
          <w:rFonts w:hint="eastAsia" w:ascii="宋体" w:hAnsi="宋体" w:cs="宋体"/>
          <w:color w:val="auto"/>
          <w:szCs w:val="21"/>
          <w:highlight w:val="none"/>
        </w:rPr>
      </w:pPr>
    </w:p>
    <w:p w14:paraId="363357BA">
      <w:pPr>
        <w:spacing w:line="360" w:lineRule="auto"/>
        <w:ind w:firstLine="420"/>
        <w:jc w:val="center"/>
        <w:rPr>
          <w:rFonts w:hint="eastAsia" w:ascii="宋体" w:hAnsi="宋体" w:cs="宋体"/>
          <w:color w:val="auto"/>
          <w:highlight w:val="none"/>
        </w:rPr>
      </w:pPr>
      <w:r>
        <w:rPr>
          <w:rFonts w:hint="eastAsia" w:ascii="宋体" w:hAnsi="宋体" w:cs="宋体"/>
          <w:color w:val="auto"/>
          <w:highlight w:val="none"/>
        </w:rPr>
        <w:br w:type="page" w:clear="all"/>
      </w:r>
      <w:r>
        <w:rPr>
          <w:rFonts w:hint="eastAsia" w:ascii="宋体" w:hAnsi="宋体" w:cs="宋体"/>
          <w:b/>
          <w:bCs/>
          <w:color w:val="auto"/>
          <w:sz w:val="32"/>
          <w:szCs w:val="32"/>
          <w:highlight w:val="none"/>
        </w:rPr>
        <w:t>三、评标标准</w:t>
      </w:r>
    </w:p>
    <w:p w14:paraId="3B784C72">
      <w:pPr>
        <w:pStyle w:val="194"/>
        <w:keepNext w:val="0"/>
        <w:keepLines w:val="0"/>
        <w:ind w:firstLine="643"/>
        <w:jc w:val="center"/>
        <w:rPr>
          <w:rFonts w:hint="eastAsia" w:ascii="宋体" w:hAnsi="宋体" w:eastAsia="宋体" w:cs="宋体"/>
          <w:color w:val="auto"/>
          <w:highlight w:val="none"/>
          <w:lang w:eastAsia="zh-CN"/>
        </w:rPr>
      </w:pPr>
      <w:r>
        <w:rPr>
          <w:rFonts w:hint="eastAsia" w:ascii="宋体" w:hAnsi="宋体" w:cs="宋体"/>
          <w:color w:val="auto"/>
          <w:highlight w:val="none"/>
        </w:rPr>
        <w:t>综合评分法</w:t>
      </w:r>
    </w:p>
    <w:tbl>
      <w:tblPr>
        <w:tblStyle w:val="30"/>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073"/>
        <w:gridCol w:w="1401"/>
        <w:gridCol w:w="1035"/>
        <w:gridCol w:w="5416"/>
      </w:tblGrid>
      <w:tr w14:paraId="3454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gridSpan w:val="2"/>
            <w:tcBorders>
              <w:top w:val="single" w:color="auto" w:sz="4" w:space="0"/>
              <w:left w:val="single" w:color="auto" w:sz="4" w:space="0"/>
              <w:bottom w:val="single" w:color="auto" w:sz="4" w:space="0"/>
              <w:right w:val="single" w:color="auto" w:sz="4" w:space="0"/>
            </w:tcBorders>
            <w:noWrap w:val="0"/>
            <w:vAlign w:val="center"/>
          </w:tcPr>
          <w:p w14:paraId="5488E950">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401" w:type="dxa"/>
            <w:tcBorders>
              <w:top w:val="single" w:color="auto" w:sz="4" w:space="0"/>
              <w:left w:val="single" w:color="auto" w:sz="4" w:space="0"/>
              <w:bottom w:val="single" w:color="auto" w:sz="4" w:space="0"/>
              <w:right w:val="single" w:color="auto" w:sz="4" w:space="0"/>
            </w:tcBorders>
            <w:noWrap w:val="0"/>
            <w:vAlign w:val="center"/>
          </w:tcPr>
          <w:p w14:paraId="7FB2649D">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评审因素</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3B7503E0">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评标标准</w:t>
            </w:r>
          </w:p>
        </w:tc>
      </w:tr>
      <w:tr w14:paraId="5EB5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46514549">
            <w:pPr>
              <w:spacing w:line="360" w:lineRule="auto"/>
              <w:jc w:val="center"/>
              <w:rPr>
                <w:rFonts w:hint="eastAsia"/>
                <w:b/>
                <w:bCs/>
                <w:color w:val="auto"/>
                <w:highlight w:val="none"/>
              </w:rPr>
            </w:pPr>
            <w:r>
              <w:rPr>
                <w:rFonts w:hint="eastAsia"/>
                <w:b/>
                <w:bCs/>
                <w:color w:val="auto"/>
                <w:highlight w:val="none"/>
              </w:rPr>
              <w:t>1</w:t>
            </w:r>
          </w:p>
        </w:tc>
        <w:tc>
          <w:tcPr>
            <w:tcW w:w="1073" w:type="dxa"/>
            <w:tcBorders>
              <w:top w:val="single" w:color="auto" w:sz="4" w:space="0"/>
              <w:left w:val="single" w:color="auto" w:sz="4" w:space="0"/>
              <w:bottom w:val="single" w:color="auto" w:sz="4" w:space="0"/>
              <w:right w:val="single" w:color="auto" w:sz="4" w:space="0"/>
            </w:tcBorders>
            <w:noWrap w:val="0"/>
            <w:vAlign w:val="center"/>
          </w:tcPr>
          <w:p w14:paraId="1A828873">
            <w:pPr>
              <w:spacing w:line="360" w:lineRule="auto"/>
              <w:jc w:val="center"/>
              <w:rPr>
                <w:rFonts w:hint="eastAsia"/>
                <w:b/>
                <w:bCs/>
                <w:color w:val="auto"/>
                <w:highlight w:val="none"/>
              </w:rPr>
            </w:pPr>
            <w:r>
              <w:rPr>
                <w:rFonts w:hint="eastAsia"/>
                <w:b/>
                <w:bCs/>
                <w:color w:val="auto"/>
                <w:highlight w:val="none"/>
              </w:rPr>
              <w:t>价格分</w:t>
            </w:r>
          </w:p>
          <w:p w14:paraId="28CBA4B3">
            <w:pPr>
              <w:spacing w:line="360" w:lineRule="auto"/>
              <w:jc w:val="center"/>
              <w:rPr>
                <w:rFonts w:hint="eastAsia"/>
                <w:b/>
                <w:bCs/>
                <w:color w:val="auto"/>
                <w:highlight w:val="none"/>
              </w:rPr>
            </w:pPr>
            <w:r>
              <w:rPr>
                <w:rFonts w:hint="eastAsia"/>
                <w:b/>
                <w:bCs/>
                <w:color w:val="auto"/>
                <w:highlight w:val="none"/>
              </w:rPr>
              <w:t>（满分40分）</w:t>
            </w:r>
          </w:p>
        </w:tc>
        <w:tc>
          <w:tcPr>
            <w:tcW w:w="1401" w:type="dxa"/>
            <w:tcBorders>
              <w:top w:val="single" w:color="auto" w:sz="4" w:space="0"/>
              <w:left w:val="single" w:color="auto" w:sz="4" w:space="0"/>
              <w:bottom w:val="single" w:color="auto" w:sz="4" w:space="0"/>
              <w:right w:val="single" w:color="auto" w:sz="4" w:space="0"/>
            </w:tcBorders>
            <w:noWrap w:val="0"/>
            <w:vAlign w:val="center"/>
          </w:tcPr>
          <w:p w14:paraId="2FCEA9A0">
            <w:pPr>
              <w:spacing w:line="360" w:lineRule="auto"/>
              <w:jc w:val="center"/>
              <w:rPr>
                <w:rFonts w:hint="eastAsia"/>
                <w:b/>
                <w:bCs/>
                <w:color w:val="auto"/>
                <w:highlight w:val="none"/>
              </w:rPr>
            </w:pPr>
            <w:r>
              <w:rPr>
                <w:rFonts w:hint="eastAsia"/>
                <w:b/>
                <w:bCs/>
                <w:color w:val="auto"/>
                <w:highlight w:val="none"/>
              </w:rPr>
              <w:t>投标报价</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3AD7F5A5">
            <w:pPr>
              <w:pStyle w:val="231"/>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（1）评标报价为投标人的投标报价进行政策性扣除后的价格，评标报价只是作为评标时使用。最终中标人的中标金额等于投标报价。</w:t>
            </w:r>
          </w:p>
          <w:p w14:paraId="7E594DD5">
            <w:pPr>
              <w:pStyle w:val="231"/>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w:t>
            </w:r>
            <w:r>
              <w:rPr>
                <w:rFonts w:hAnsi="宋体"/>
                <w:bCs/>
                <w:color w:val="auto"/>
                <w:sz w:val="21"/>
                <w:highlight w:val="none"/>
                <w:lang w:val="en-US" w:eastAsia="zh-CN"/>
              </w:rPr>
              <w:t>2</w:t>
            </w:r>
            <w:r>
              <w:rPr>
                <w:rFonts w:hint="eastAsia" w:hAnsi="宋体"/>
                <w:bCs/>
                <w:color w:val="auto"/>
                <w:sz w:val="21"/>
                <w:highlight w:val="none"/>
                <w:lang w:val="en-US" w:eastAsia="zh-CN"/>
              </w:rPr>
              <w:t>）政策性扣除计算方法。</w:t>
            </w:r>
          </w:p>
          <w:p w14:paraId="2B678A52">
            <w:pPr>
              <w:pStyle w:val="231"/>
              <w:spacing w:line="360" w:lineRule="auto"/>
              <w:ind w:firstLine="420"/>
              <w:rPr>
                <w:rFonts w:hAnsi="宋体"/>
                <w:color w:val="auto"/>
                <w:sz w:val="21"/>
                <w:highlight w:val="none"/>
                <w:lang w:val="en-US" w:eastAsia="zh-CN"/>
              </w:rPr>
            </w:pPr>
            <w:r>
              <w:rPr>
                <w:rFonts w:hint="eastAsia" w:hAnsi="宋体"/>
                <w:bCs/>
                <w:color w:val="auto"/>
                <w:sz w:val="21"/>
                <w:highlight w:val="none"/>
                <w:lang w:val="en-US" w:eastAsia="zh-CN"/>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hAnsi="宋体"/>
                <w:bCs/>
                <w:color w:val="auto"/>
                <w:sz w:val="21"/>
                <w:highlight w:val="none"/>
                <w:u w:val="single"/>
                <w:lang w:val="en-US" w:eastAsia="zh-CN"/>
              </w:rPr>
              <w:t xml:space="preserve"> 10%  </w:t>
            </w:r>
            <w:r>
              <w:rPr>
                <w:rFonts w:hint="eastAsia" w:hAnsi="宋体"/>
                <w:bCs/>
                <w:color w:val="auto"/>
                <w:sz w:val="21"/>
                <w:highlight w:val="none"/>
                <w:lang w:val="en-US" w:eastAsia="zh-CN"/>
              </w:rPr>
              <w:t>的扣除，扣除后的价格为评标报价，即评标报价=投标报价×（1-</w:t>
            </w:r>
            <w:r>
              <w:rPr>
                <w:rFonts w:hint="eastAsia" w:hAnsi="宋体"/>
                <w:bCs/>
                <w:color w:val="auto"/>
                <w:sz w:val="21"/>
                <w:highlight w:val="none"/>
                <w:u w:val="single"/>
                <w:lang w:val="en-US" w:eastAsia="zh-CN"/>
              </w:rPr>
              <w:t xml:space="preserve"> 10 </w:t>
            </w:r>
            <w:r>
              <w:rPr>
                <w:rFonts w:hint="eastAsia" w:hAnsi="宋体"/>
                <w:bCs/>
                <w:color w:val="auto"/>
                <w:sz w:val="21"/>
                <w:highlight w:val="none"/>
                <w:lang w:val="en-US" w:eastAsia="zh-CN"/>
              </w:rPr>
              <w:t>%）。除上述情况外，评标报价=投标报价。</w:t>
            </w:r>
          </w:p>
          <w:p w14:paraId="7B1FEB26">
            <w:pPr>
              <w:pStyle w:val="231"/>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hAnsi="宋体"/>
                <w:color w:val="auto"/>
                <w:sz w:val="21"/>
                <w:highlight w:val="none"/>
                <w:lang w:val="en-US" w:eastAsia="zh-CN"/>
              </w:rPr>
              <w:t>监狱企业参加政府采购活动时，应当提供由省级以上监狱管理局、戒毒管理局（含新疆生产建设兵团）出具的属于监狱企业的证明文件。</w:t>
            </w:r>
            <w:r>
              <w:rPr>
                <w:rFonts w:hint="eastAsia" w:hAnsi="宋体"/>
                <w:bCs/>
                <w:color w:val="auto"/>
                <w:sz w:val="21"/>
                <w:highlight w:val="none"/>
                <w:lang w:val="en-US" w:eastAsia="zh-CN"/>
              </w:rPr>
              <w:t>监狱企业属于小型、微型企业的，不重复享受政策。</w:t>
            </w:r>
          </w:p>
          <w:p w14:paraId="2E70AA52">
            <w:pPr>
              <w:pStyle w:val="231"/>
              <w:spacing w:line="360" w:lineRule="auto"/>
              <w:ind w:firstLine="420"/>
              <w:rPr>
                <w:rFonts w:hint="eastAsia" w:hAnsi="宋体"/>
                <w:bCs/>
                <w:color w:val="auto"/>
                <w:sz w:val="21"/>
                <w:highlight w:val="none"/>
                <w:lang w:val="en-US" w:eastAsia="zh-CN"/>
              </w:rPr>
            </w:pPr>
            <w:r>
              <w:rPr>
                <w:rFonts w:hint="eastAsia" w:hAnsi="宋体"/>
                <w:color w:val="auto"/>
                <w:sz w:val="21"/>
                <w:highlight w:val="none"/>
                <w:lang w:val="en-US" w:eastAsia="zh-CN"/>
              </w:rPr>
              <w:t>（4）按照</w:t>
            </w:r>
            <w:r>
              <w:rPr>
                <w:rFonts w:hint="eastAsia" w:hAnsi="宋体"/>
                <w:bCs/>
                <w:color w:val="auto"/>
                <w:sz w:val="21"/>
                <w:highlight w:val="none"/>
                <w:lang w:val="en-US" w:eastAsia="zh-CN"/>
              </w:rPr>
              <w:t>《关于促进残疾人就业政府采购政策的通知》（财库〔2017〕141号）的规定，残疾人福利性单位视同小型、微型企业，享受预留份额、评审中价格扣除等促进中小企业发展的政府采购政策。</w:t>
            </w:r>
            <w:r>
              <w:rPr>
                <w:rFonts w:hint="eastAsia" w:hAnsi="宋体"/>
                <w:color w:val="auto"/>
                <w:sz w:val="21"/>
                <w:highlight w:val="none"/>
                <w:lang w:val="en-US" w:eastAsia="zh-CN"/>
              </w:rPr>
              <w:t>残疾人福利性单位参加政府采购活动时，应当提供该通知规定的《残疾人福利性单位声明函》，并对声明的真实性负责。</w:t>
            </w:r>
            <w:r>
              <w:rPr>
                <w:rFonts w:hint="eastAsia" w:hAnsi="宋体"/>
                <w:bCs/>
                <w:color w:val="auto"/>
                <w:sz w:val="21"/>
                <w:highlight w:val="none"/>
                <w:lang w:val="en-US" w:eastAsia="zh-CN"/>
              </w:rPr>
              <w:t>残疾人福利性单位属于小型、微型企业的，不重复享受政策。</w:t>
            </w:r>
          </w:p>
          <w:p w14:paraId="7285E05F">
            <w:pPr>
              <w:pStyle w:val="231"/>
              <w:spacing w:line="360" w:lineRule="auto"/>
              <w:ind w:firstLine="420"/>
              <w:rPr>
                <w:rFonts w:hAnsi="宋体"/>
                <w:color w:val="auto"/>
                <w:sz w:val="21"/>
                <w:highlight w:val="none"/>
                <w:lang w:val="en-US" w:eastAsia="zh-CN"/>
              </w:rPr>
            </w:pPr>
            <w:r>
              <w:rPr>
                <w:rFonts w:hint="eastAsia" w:hAnsi="宋体"/>
                <w:color w:val="auto"/>
                <w:sz w:val="21"/>
                <w:highlight w:val="none"/>
                <w:lang w:val="en-US" w:eastAsia="zh-CN"/>
              </w:rPr>
              <w:t>（</w:t>
            </w:r>
            <w:r>
              <w:rPr>
                <w:rFonts w:hAnsi="宋体"/>
                <w:color w:val="auto"/>
                <w:sz w:val="21"/>
                <w:highlight w:val="none"/>
                <w:lang w:val="en-US" w:eastAsia="zh-CN"/>
              </w:rPr>
              <w:t>5</w:t>
            </w:r>
            <w:r>
              <w:rPr>
                <w:rFonts w:hint="eastAsia" w:hAnsi="宋体"/>
                <w:color w:val="auto"/>
                <w:sz w:val="21"/>
                <w:highlight w:val="none"/>
                <w:lang w:val="en-US" w:eastAsia="zh-CN"/>
              </w:rPr>
              <w:t>）本国产品政策性扣除计算方法。</w:t>
            </w:r>
          </w:p>
          <w:p w14:paraId="36ABBA2A">
            <w:pPr>
              <w:pStyle w:val="231"/>
              <w:spacing w:line="360" w:lineRule="auto"/>
              <w:ind w:firstLine="420"/>
              <w:rPr>
                <w:rFonts w:hint="eastAsia" w:hAnsi="宋体"/>
                <w:color w:val="auto"/>
                <w:sz w:val="21"/>
                <w:highlight w:val="none"/>
                <w:lang w:val="en-US" w:eastAsia="zh-CN"/>
              </w:rPr>
            </w:pPr>
            <w:r>
              <w:rPr>
                <w:rFonts w:hint="eastAsia" w:hAnsi="宋体"/>
                <w:color w:val="auto"/>
                <w:sz w:val="21"/>
                <w:highlight w:val="none"/>
                <w:lang w:val="en-US" w:eastAsia="zh-CN"/>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E802FFE">
            <w:pPr>
              <w:pStyle w:val="231"/>
              <w:spacing w:line="360" w:lineRule="auto"/>
              <w:ind w:firstLine="420"/>
              <w:rPr>
                <w:rFonts w:hAnsi="宋体"/>
                <w:color w:val="auto"/>
                <w:sz w:val="21"/>
                <w:highlight w:val="none"/>
                <w:lang w:val="en-US" w:eastAsia="zh-CN"/>
              </w:rPr>
            </w:pPr>
            <w:r>
              <w:rPr>
                <w:rFonts w:hint="eastAsia" w:hAnsi="宋体"/>
                <w:color w:val="auto"/>
                <w:sz w:val="21"/>
                <w:highlight w:val="none"/>
                <w:lang w:val="en-US" w:eastAsia="zh-CN"/>
              </w:rPr>
              <w:t>当采购项目或者采购包中含有多种产品，</w:t>
            </w:r>
            <w:r>
              <w:rPr>
                <w:rFonts w:hint="eastAsia" w:hAnsi="宋体"/>
                <w:b/>
                <w:bCs/>
                <w:color w:val="auto"/>
                <w:sz w:val="21"/>
                <w:highlight w:val="none"/>
                <w:lang w:val="en-US" w:eastAsia="zh-CN"/>
              </w:rPr>
              <w:t>供应商为该采购项目或者采购包提供的符合本国产品标准的产品成本之和占该供应商提供的全部产品成本之和的比例达到</w:t>
            </w:r>
            <w:r>
              <w:rPr>
                <w:rFonts w:hint="eastAsia" w:hAnsi="宋体"/>
                <w:b/>
                <w:bCs/>
                <w:color w:val="auto"/>
                <w:sz w:val="21"/>
                <w:highlight w:val="none"/>
                <w:u w:val="single"/>
                <w:lang w:val="en-US" w:eastAsia="zh-CN"/>
              </w:rPr>
              <w:t>80%以上时</w:t>
            </w:r>
            <w:r>
              <w:rPr>
                <w:rFonts w:hint="eastAsia" w:hAnsi="宋体"/>
                <w:b/>
                <w:bCs/>
                <w:color w:val="auto"/>
                <w:sz w:val="21"/>
                <w:highlight w:val="none"/>
                <w:lang w:val="en-US" w:eastAsia="zh-CN"/>
              </w:rPr>
              <w:t>，依法对该供应商提供的全部产品给予价格评审优惠，</w:t>
            </w:r>
            <w:r>
              <w:rPr>
                <w:rFonts w:hint="eastAsia" w:hAnsi="宋体"/>
                <w:color w:val="auto"/>
                <w:sz w:val="21"/>
                <w:highlight w:val="none"/>
                <w:lang w:val="en-US" w:eastAsia="zh-CN"/>
              </w:rPr>
              <w:t>即对该供应商提供的全部产品的总报价给予20%的价格扣除，用扣除后的价格参与评审。未达到80%，不享受价格评审优惠。</w:t>
            </w:r>
          </w:p>
          <w:p w14:paraId="3DFABE2F">
            <w:pPr>
              <w:pStyle w:val="231"/>
              <w:spacing w:line="360" w:lineRule="auto"/>
              <w:ind w:firstLine="420"/>
              <w:rPr>
                <w:rFonts w:hAnsi="宋体"/>
                <w:color w:val="auto"/>
                <w:sz w:val="21"/>
                <w:highlight w:val="none"/>
                <w:lang w:val="en-US" w:eastAsia="zh-CN"/>
              </w:rPr>
            </w:pPr>
            <w:r>
              <w:rPr>
                <w:rFonts w:hint="eastAsia" w:hAnsi="宋体"/>
                <w:color w:val="auto"/>
                <w:sz w:val="21"/>
                <w:highlight w:val="none"/>
                <w:lang w:val="en-US" w:eastAsia="zh-CN"/>
              </w:rPr>
              <w:t>供应商在其投标文件中提供《关于符合本国产品标准的声明函》或财政部会同有关部门规定的有关证明文件，出具符合要求的《声明函》或有关证明文件的，该产品视为本国产品。</w:t>
            </w:r>
          </w:p>
          <w:p w14:paraId="766DE732">
            <w:pPr>
              <w:pStyle w:val="231"/>
              <w:spacing w:line="360" w:lineRule="auto"/>
              <w:ind w:firstLine="420"/>
              <w:rPr>
                <w:rFonts w:hint="eastAsia" w:hAnsi="宋体"/>
                <w:color w:val="auto"/>
                <w:sz w:val="21"/>
                <w:highlight w:val="none"/>
                <w:lang w:val="en-US" w:eastAsia="zh-CN"/>
              </w:rPr>
            </w:pPr>
            <w:r>
              <w:rPr>
                <w:rFonts w:hint="eastAsia" w:hAnsi="宋体"/>
                <w:color w:val="auto"/>
                <w:sz w:val="21"/>
                <w:highlight w:val="none"/>
                <w:lang w:val="en-US" w:eastAsia="zh-CN"/>
              </w:rPr>
              <w:t>如果所有参与竞争的供应商均可享受本国产品价格评审优惠，则统一不进行价格扣除。</w:t>
            </w:r>
          </w:p>
          <w:p w14:paraId="2EF3031B">
            <w:pPr>
              <w:pStyle w:val="231"/>
              <w:spacing w:line="360" w:lineRule="auto"/>
              <w:ind w:firstLine="420"/>
              <w:rPr>
                <w:rFonts w:hint="eastAsia" w:ascii="宋体" w:hAnsi="宋体" w:eastAsia="宋体" w:cs="Times New Roman"/>
                <w:color w:val="auto"/>
                <w:sz w:val="21"/>
                <w:highlight w:val="none"/>
                <w:lang w:val="en-US" w:eastAsia="zh-CN"/>
              </w:rPr>
            </w:pPr>
            <w:r>
              <w:rPr>
                <w:rFonts w:hint="eastAsia" w:hAnsi="宋体"/>
                <w:color w:val="auto"/>
                <w:sz w:val="21"/>
                <w:highlight w:val="none"/>
                <w:lang w:val="en-US" w:eastAsia="zh-CN"/>
              </w:rPr>
              <w:t>（6）中小企业折扣与本国产品折扣进行叠加计算，用扣除后的价格参加评审。即评标报价=投标报价-中小企业折扣-本国产品折扣，除上述情况外，评标报价=投标报价</w:t>
            </w:r>
            <w:r>
              <w:rPr>
                <w:rFonts w:hint="eastAsia" w:ascii="宋体" w:hAnsi="宋体" w:eastAsia="宋体" w:cs="Times New Roman"/>
                <w:color w:val="auto"/>
                <w:sz w:val="21"/>
                <w:highlight w:val="none"/>
                <w:lang w:val="en-US" w:eastAsia="zh-CN"/>
              </w:rPr>
              <w:t>。</w:t>
            </w:r>
          </w:p>
          <w:p w14:paraId="778E1EF5">
            <w:pPr>
              <w:pStyle w:val="231"/>
              <w:spacing w:line="360" w:lineRule="auto"/>
              <w:ind w:firstLine="420"/>
              <w:rPr>
                <w:rFonts w:hint="eastAsia" w:ascii="宋体" w:hAnsi="宋体" w:eastAsia="宋体" w:cs="Times New Roman"/>
                <w:color w:val="auto"/>
                <w:sz w:val="21"/>
                <w:highlight w:val="none"/>
                <w:lang w:val="en-US" w:eastAsia="zh-CN"/>
              </w:rPr>
            </w:pPr>
            <w:r>
              <w:rPr>
                <w:rFonts w:hint="eastAsia" w:ascii="宋体" w:hAnsi="宋体" w:eastAsia="宋体" w:cs="Times New Roman"/>
                <w:color w:val="auto"/>
                <w:sz w:val="21"/>
                <w:highlight w:val="none"/>
                <w:lang w:val="en-US" w:eastAsia="zh-CN"/>
              </w:rPr>
              <w:t>（7）满足招标文件要求且评标报价最低的评标报价为评标基准价，其价格分为满分。</w:t>
            </w:r>
          </w:p>
          <w:p w14:paraId="7DF9F9D2">
            <w:pPr>
              <w:pStyle w:val="231"/>
              <w:spacing w:line="360" w:lineRule="auto"/>
              <w:ind w:firstLine="420"/>
              <w:rPr>
                <w:rFonts w:hint="eastAsia" w:ascii="宋体" w:hAnsi="宋体" w:eastAsia="宋体" w:cs="Times New Roman"/>
                <w:color w:val="auto"/>
                <w:sz w:val="21"/>
                <w:highlight w:val="none"/>
                <w:lang w:val="en-US" w:eastAsia="zh-CN"/>
              </w:rPr>
            </w:pPr>
            <w:r>
              <w:rPr>
                <w:rFonts w:hint="eastAsia" w:ascii="宋体" w:hAnsi="宋体" w:eastAsia="宋体" w:cs="Times New Roman"/>
                <w:color w:val="auto"/>
                <w:sz w:val="21"/>
                <w:highlight w:val="none"/>
                <w:lang w:val="en-US" w:eastAsia="zh-CN"/>
              </w:rPr>
              <w:t xml:space="preserve">（8）价格分计算公式：        </w:t>
            </w:r>
          </w:p>
          <w:p w14:paraId="47793783">
            <w:pPr>
              <w:pStyle w:val="231"/>
              <w:spacing w:line="360" w:lineRule="auto"/>
              <w:ind w:firstLine="420"/>
              <w:rPr>
                <w:rFonts w:hint="eastAsia" w:ascii="宋体" w:hAnsi="宋体" w:cs="宋体"/>
                <w:bCs/>
                <w:color w:val="auto"/>
                <w:sz w:val="21"/>
                <w:szCs w:val="21"/>
                <w:highlight w:val="none"/>
                <w:lang w:val="en-US" w:eastAsia="zh-CN" w:bidi="ar-SA"/>
              </w:rPr>
            </w:pPr>
            <w:r>
              <w:rPr>
                <w:rFonts w:hint="eastAsia" w:ascii="宋体" w:hAnsi="宋体" w:eastAsia="宋体" w:cs="Times New Roman"/>
                <w:color w:val="auto"/>
                <w:sz w:val="21"/>
                <w:highlight w:val="none"/>
                <w:lang w:val="en-US" w:eastAsia="zh-CN"/>
              </w:rPr>
              <w:t>价格分=（评标基准价／评标报价）× 40 分</w:t>
            </w:r>
          </w:p>
        </w:tc>
      </w:tr>
      <w:tr w14:paraId="5FE7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3" w:hRule="atLeast"/>
          <w:jc w:val="center"/>
        </w:trPr>
        <w:tc>
          <w:tcPr>
            <w:tcW w:w="525" w:type="dxa"/>
            <w:vMerge w:val="restart"/>
            <w:tcBorders>
              <w:top w:val="single" w:color="auto" w:sz="4" w:space="0"/>
              <w:left w:val="single" w:color="auto" w:sz="4" w:space="0"/>
              <w:bottom w:val="single" w:color="auto" w:sz="4" w:space="0"/>
              <w:right w:val="single" w:color="auto" w:sz="4" w:space="0"/>
            </w:tcBorders>
            <w:noWrap w:val="0"/>
            <w:vAlign w:val="center"/>
          </w:tcPr>
          <w:p w14:paraId="4E738365">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1073" w:type="dxa"/>
            <w:vMerge w:val="restart"/>
            <w:tcBorders>
              <w:top w:val="single" w:color="auto" w:sz="4" w:space="0"/>
              <w:left w:val="single" w:color="auto" w:sz="4" w:space="0"/>
              <w:bottom w:val="single" w:color="auto" w:sz="4" w:space="0"/>
              <w:right w:val="single" w:color="auto" w:sz="4" w:space="0"/>
            </w:tcBorders>
            <w:noWrap w:val="0"/>
            <w:vAlign w:val="center"/>
          </w:tcPr>
          <w:p w14:paraId="503ADDB7">
            <w:pPr>
              <w:spacing w:line="360" w:lineRule="auto"/>
              <w:ind w:left="-105" w:right="-105"/>
              <w:jc w:val="center"/>
              <w:rPr>
                <w:rFonts w:hint="eastAsia" w:ascii="宋体" w:hAnsi="宋体" w:cs="宋体"/>
                <w:b/>
                <w:color w:val="auto"/>
                <w:szCs w:val="21"/>
                <w:highlight w:val="none"/>
              </w:rPr>
            </w:pPr>
            <w:r>
              <w:rPr>
                <w:rFonts w:hint="eastAsia" w:ascii="宋体" w:hAnsi="宋体" w:cs="宋体"/>
                <w:b/>
                <w:color w:val="auto"/>
                <w:szCs w:val="21"/>
                <w:highlight w:val="none"/>
              </w:rPr>
              <w:t>技术方案（</w:t>
            </w:r>
            <w:r>
              <w:rPr>
                <w:rFonts w:hint="eastAsia" w:ascii="宋体" w:hAnsi="宋体" w:cs="宋体"/>
                <w:b/>
                <w:color w:val="auto"/>
                <w:szCs w:val="21"/>
                <w:highlight w:val="none"/>
                <w:lang w:val="en-US" w:eastAsia="zh-CN"/>
              </w:rPr>
              <w:t>42</w:t>
            </w:r>
            <w:r>
              <w:rPr>
                <w:rFonts w:hint="eastAsia" w:ascii="宋体" w:hAnsi="宋体" w:cs="宋体"/>
                <w:b/>
                <w:color w:val="auto"/>
                <w:szCs w:val="21"/>
                <w:highlight w:val="none"/>
              </w:rPr>
              <w:t>分）</w:t>
            </w:r>
          </w:p>
        </w:tc>
        <w:tc>
          <w:tcPr>
            <w:tcW w:w="1401" w:type="dxa"/>
            <w:tcBorders>
              <w:top w:val="single" w:color="auto" w:sz="4" w:space="0"/>
              <w:left w:val="single" w:color="auto" w:sz="4" w:space="0"/>
              <w:right w:val="single" w:color="auto" w:sz="4" w:space="0"/>
            </w:tcBorders>
            <w:noWrap w:val="0"/>
            <w:vAlign w:val="center"/>
          </w:tcPr>
          <w:p w14:paraId="394CDC42">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实施方案分（满分27分）</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1C34D6F2">
            <w:pPr>
              <w:widowControl/>
              <w:spacing w:line="360" w:lineRule="auto"/>
              <w:ind w:firstLine="422"/>
              <w:jc w:val="left"/>
              <w:rPr>
                <w:rFonts w:hint="eastAsia" w:ascii="宋体" w:hAnsi="宋体" w:cs="宋体"/>
                <w:b/>
                <w:bCs/>
                <w:color w:val="auto"/>
                <w:szCs w:val="21"/>
                <w:highlight w:val="none"/>
              </w:rPr>
            </w:pPr>
            <w:r>
              <w:rPr>
                <w:rFonts w:hint="eastAsia" w:ascii="宋体" w:hAnsi="宋体" w:cs="宋体"/>
                <w:b/>
                <w:bCs/>
                <w:color w:val="auto"/>
                <w:szCs w:val="21"/>
                <w:highlight w:val="none"/>
              </w:rPr>
              <w:t>（1）项目执行方案（满分9分）</w:t>
            </w:r>
          </w:p>
          <w:p w14:paraId="307C7C22">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①项目执行关键节点技术问题理解：提供有具体关键节点技术问题理解的得1分；提供有结合医院实际情况的项目理解、采购实施计划的关键节点技术问题理解得3分。提供有结合医院实际情况的项目理解、采购实施计划及保障、组织保证措施的关键节点技术问题理解得5分。</w:t>
            </w:r>
          </w:p>
          <w:p w14:paraId="4A75C6C1">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②项目组织机构及人员配备：提供有具体组织机构建立、人员配备计划方案，且投入项目人员不少于2人（含）的得1分；提供包含组织机构建立、岗位职责说明、人员配备计划方案的具体项目组织机构及人员配备方案，且投入项目人员不少于4人（含）得2分。</w:t>
            </w:r>
          </w:p>
          <w:p w14:paraId="1EC00F08">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③项目总体进度方案：提供有具体进度计划安排方案得1分；提供结合医院交货期要求且包含进度计划控制原则、进度计划安排方案的具体进度计划安排方案得2分。</w:t>
            </w:r>
          </w:p>
          <w:p w14:paraId="0F72ED2C">
            <w:pPr>
              <w:widowControl/>
              <w:spacing w:line="360" w:lineRule="auto"/>
              <w:ind w:firstLine="422"/>
              <w:jc w:val="left"/>
              <w:rPr>
                <w:rFonts w:hint="eastAsia" w:ascii="宋体" w:hAnsi="宋体" w:cs="宋体"/>
                <w:b/>
                <w:bCs/>
                <w:color w:val="auto"/>
                <w:szCs w:val="21"/>
                <w:highlight w:val="none"/>
              </w:rPr>
            </w:pPr>
            <w:r>
              <w:rPr>
                <w:rFonts w:hint="eastAsia" w:ascii="宋体" w:hAnsi="宋体" w:cs="宋体"/>
                <w:b/>
                <w:bCs/>
                <w:color w:val="auto"/>
                <w:szCs w:val="21"/>
                <w:highlight w:val="none"/>
              </w:rPr>
              <w:t>（2）项目组织管理措施（满分</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分）</w:t>
            </w:r>
          </w:p>
          <w:p w14:paraId="6BA6CE8C">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①设备包装及运输方案：提供有具体的设备包装及运输方案得1分；提供包含设备运输、装卸方案且符合医院采购设备规模的具体设备包装及运输方案，且投入运输车辆不少于1辆（含）得3分；提供包含设备包装、保管、运输、装卸方案且符合医院采购设备规模的具体设备包装及运输方案，且投入运输车辆不少于1辆（含）得5分。</w:t>
            </w:r>
          </w:p>
          <w:p w14:paraId="36DAC909">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lang w:eastAsia="zh-CN"/>
              </w:rPr>
              <w:t>②</w:t>
            </w:r>
            <w:r>
              <w:rPr>
                <w:rFonts w:hint="eastAsia" w:ascii="宋体" w:hAnsi="宋体" w:cs="宋体"/>
                <w:color w:val="auto"/>
                <w:szCs w:val="21"/>
                <w:highlight w:val="none"/>
              </w:rPr>
              <w:t>项目处理应急事件的措施及方案：提供有具体的生产及运输突发意外、保证及时供货应急预案的得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分；提供结合采购标的类别性质的且包含生产过程、运输过程自然灾害、人为、交通其他突发意外及保证应急预案的生产及运输突发意外及时供货应急预案，具备大件设备紧急搬运重组需求的应对能力得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p w14:paraId="521371D0">
            <w:pPr>
              <w:widowControl/>
              <w:spacing w:line="360" w:lineRule="auto"/>
              <w:ind w:firstLine="422"/>
              <w:jc w:val="left"/>
              <w:rPr>
                <w:rFonts w:hint="eastAsia" w:ascii="宋体" w:hAnsi="宋体" w:cs="宋体"/>
                <w:b/>
                <w:bCs/>
                <w:color w:val="auto"/>
                <w:szCs w:val="21"/>
                <w:highlight w:val="none"/>
              </w:rPr>
            </w:pPr>
            <w:r>
              <w:rPr>
                <w:rFonts w:hint="eastAsia" w:ascii="宋体" w:hAnsi="宋体" w:cs="宋体"/>
                <w:b/>
                <w:bCs/>
                <w:color w:val="auto"/>
                <w:szCs w:val="21"/>
                <w:highlight w:val="none"/>
              </w:rPr>
              <w:t>（3）安装方案分（满分9分）</w:t>
            </w:r>
          </w:p>
          <w:p w14:paraId="1C8563FA">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①整体施工方案及实施流程：提供有施工方案及实施流程的得1分；提供的施工方案包含有设备保管、安装、施工实施流程的得3分。提供的施工方案包含有设备装卸、保管、安装、施工实施流程、进度计划符合医院要求的得5分。</w:t>
            </w:r>
          </w:p>
          <w:p w14:paraId="7EC4C198">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②保证安装质量的技术力量及技术措施：提供有具体的保证安装质量的技术力量及技术措施，投入项目安装人员不少于2人（含）的得1分；提供有具体的保证安装质量的技术力量，投入项目安装人员不少于3人（含），技术措施能结合医院实际实施要求的得2分。</w:t>
            </w:r>
          </w:p>
          <w:p w14:paraId="68995F45">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③保证工期的施工组织方案：提供有保证工期的施工组织方案的得1分；提供包含设备安装、工期计划、标准及程序的保证工期的施工组织方案得2分。</w:t>
            </w:r>
          </w:p>
        </w:tc>
      </w:tr>
      <w:tr w14:paraId="1EC7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continue"/>
            <w:tcBorders>
              <w:top w:val="single" w:color="auto" w:sz="4" w:space="0"/>
              <w:left w:val="single" w:color="auto" w:sz="4" w:space="0"/>
              <w:bottom w:val="single" w:color="auto" w:sz="4" w:space="0"/>
              <w:right w:val="single" w:color="auto" w:sz="4" w:space="0"/>
            </w:tcBorders>
            <w:noWrap w:val="0"/>
            <w:vAlign w:val="center"/>
          </w:tcPr>
          <w:p w14:paraId="2390DD19">
            <w:pPr>
              <w:spacing w:line="360" w:lineRule="auto"/>
              <w:jc w:val="center"/>
              <w:rPr>
                <w:rFonts w:hint="eastAsia" w:ascii="宋体" w:hAnsi="宋体" w:cs="宋体"/>
                <w:b/>
                <w:color w:val="auto"/>
                <w:szCs w:val="21"/>
                <w:highlight w:val="none"/>
              </w:rPr>
            </w:pPr>
          </w:p>
        </w:tc>
        <w:tc>
          <w:tcPr>
            <w:tcW w:w="1073" w:type="dxa"/>
            <w:vMerge w:val="continue"/>
            <w:tcBorders>
              <w:top w:val="single" w:color="auto" w:sz="4" w:space="0"/>
              <w:left w:val="single" w:color="auto" w:sz="4" w:space="0"/>
              <w:bottom w:val="single" w:color="auto" w:sz="4" w:space="0"/>
              <w:right w:val="single" w:color="auto" w:sz="4" w:space="0"/>
            </w:tcBorders>
            <w:noWrap w:val="0"/>
            <w:vAlign w:val="center"/>
          </w:tcPr>
          <w:p w14:paraId="0046CB97">
            <w:pPr>
              <w:spacing w:line="360" w:lineRule="auto"/>
              <w:ind w:left="-105" w:right="-105"/>
              <w:jc w:val="center"/>
              <w:rPr>
                <w:rFonts w:hint="eastAsia" w:ascii="宋体" w:hAnsi="宋体" w:cs="宋体"/>
                <w:b/>
                <w:color w:val="auto"/>
                <w:szCs w:val="21"/>
                <w:highlight w:val="none"/>
              </w:rPr>
            </w:pPr>
          </w:p>
        </w:tc>
        <w:tc>
          <w:tcPr>
            <w:tcW w:w="1401" w:type="dxa"/>
            <w:tcBorders>
              <w:top w:val="single" w:color="auto" w:sz="4" w:space="0"/>
              <w:left w:val="single" w:color="auto" w:sz="4" w:space="0"/>
              <w:bottom w:val="single" w:color="auto" w:sz="4" w:space="0"/>
              <w:right w:val="single" w:color="auto" w:sz="4" w:space="0"/>
            </w:tcBorders>
            <w:noWrap w:val="0"/>
            <w:vAlign w:val="center"/>
          </w:tcPr>
          <w:p w14:paraId="033777FC">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培训方案（满分15分）</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698A9792">
            <w:pPr>
              <w:widowControl/>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①培训内容方案：提供培训方案有具体培训内容的得1分；计划培训内容具体且结合供货设备特性和医院项目要求得3分；计划培训内容包含设备讲解、设备实操且结合供货设备特性和医院项目要求得5分。</w:t>
            </w:r>
          </w:p>
          <w:p w14:paraId="244239EA">
            <w:pPr>
              <w:widowControl/>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②培训时间、地点、人员计划：提供具体的培训时间、地点、人员计划要求得1分；提供的培训时间、地点、人员计划具体且符合项目实际及采购人要求的得3分；提供的培训时间、地点、人员计划具体且符合项目实际及采购人要求，培训时间能保证培训质量的得5分。</w:t>
            </w:r>
          </w:p>
          <w:p w14:paraId="581E33BD">
            <w:pPr>
              <w:widowControl/>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③培训人数及课时方案：提供具体的培训人数及课时方案得1分；提供的培训人数及课时方案具体且符合项目实际及采购人要求的得3分；提供的培训人数及课时方案具体且符合项目实际及采购人要求的，课时计划能保证采购人掌握设备操作、保养得5分。</w:t>
            </w:r>
          </w:p>
        </w:tc>
      </w:tr>
      <w:tr w14:paraId="2EFA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25" w:type="dxa"/>
            <w:vMerge w:val="restart"/>
            <w:tcBorders>
              <w:top w:val="single" w:color="auto" w:sz="4" w:space="0"/>
              <w:left w:val="single" w:color="auto" w:sz="4" w:space="0"/>
              <w:bottom w:val="single" w:color="auto" w:sz="4" w:space="0"/>
              <w:right w:val="single" w:color="auto" w:sz="4" w:space="0"/>
            </w:tcBorders>
            <w:noWrap w:val="0"/>
            <w:vAlign w:val="center"/>
          </w:tcPr>
          <w:p w14:paraId="4C230492">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3</w:t>
            </w:r>
          </w:p>
        </w:tc>
        <w:tc>
          <w:tcPr>
            <w:tcW w:w="1073" w:type="dxa"/>
            <w:vMerge w:val="restart"/>
            <w:tcBorders>
              <w:top w:val="single" w:color="auto" w:sz="4" w:space="0"/>
              <w:left w:val="single" w:color="auto" w:sz="4" w:space="0"/>
              <w:bottom w:val="single" w:color="auto" w:sz="4" w:space="0"/>
              <w:right w:val="single" w:color="auto" w:sz="4" w:space="0"/>
            </w:tcBorders>
            <w:noWrap w:val="0"/>
            <w:vAlign w:val="center"/>
          </w:tcPr>
          <w:p w14:paraId="2FCA24EA">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商务分（满分</w:t>
            </w: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分）</w:t>
            </w:r>
          </w:p>
        </w:tc>
        <w:tc>
          <w:tcPr>
            <w:tcW w:w="1401"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646E272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售后服务分（满分</w:t>
            </w:r>
            <w:r>
              <w:rPr>
                <w:rFonts w:hint="eastAsia" w:ascii="宋体" w:hAnsi="宋体" w:cs="宋体"/>
                <w:b/>
                <w:color w:val="auto"/>
                <w:szCs w:val="21"/>
                <w:highlight w:val="none"/>
                <w:u w:val="single"/>
                <w:lang w:val="en-US" w:eastAsia="zh-CN"/>
              </w:rPr>
              <w:t>15</w:t>
            </w:r>
            <w:r>
              <w:rPr>
                <w:rFonts w:hint="eastAsia" w:ascii="宋体" w:hAnsi="宋体" w:cs="宋体"/>
                <w:b/>
                <w:color w:val="auto"/>
                <w:szCs w:val="21"/>
                <w:highlight w:val="none"/>
              </w:rPr>
              <w:t>分）</w:t>
            </w:r>
          </w:p>
        </w:tc>
        <w:tc>
          <w:tcPr>
            <w:tcW w:w="6451" w:type="dxa"/>
            <w:gridSpan w:val="2"/>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15677127">
            <w:pPr>
              <w:widowControl/>
              <w:spacing w:line="360" w:lineRule="auto"/>
              <w:ind w:firstLine="420"/>
              <w:jc w:val="left"/>
              <w:rPr>
                <w:rFonts w:hint="eastAsia" w:ascii="宋体" w:hAnsi="宋体" w:cs="宋体"/>
                <w:color w:val="auto"/>
                <w:szCs w:val="21"/>
                <w:highlight w:val="none"/>
                <w:lang w:eastAsia="zh-CN"/>
              </w:rPr>
            </w:pPr>
            <w:r>
              <w:rPr>
                <w:rFonts w:hint="eastAsia" w:ascii="宋体" w:hAnsi="宋体" w:cs="宋体"/>
                <w:color w:val="auto"/>
                <w:szCs w:val="21"/>
                <w:highlight w:val="none"/>
              </w:rPr>
              <w:t>接采购人故障通知应及时作出响应并承诺：在接到电话通知后，2小时内做出响应</w:t>
            </w:r>
            <w:r>
              <w:rPr>
                <w:rFonts w:hint="eastAsia" w:ascii="宋体" w:hAnsi="宋体" w:cs="宋体"/>
                <w:color w:val="auto"/>
                <w:szCs w:val="21"/>
                <w:highlight w:val="none"/>
                <w:lang w:eastAsia="zh-CN"/>
              </w:rPr>
              <w:t>，2小时内做出响应，24小时内到达维修现场。一般问题应在24小时内解决，重大问题或其他无法迅速解决的问题应在</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个工作日内解决。</w:t>
            </w:r>
          </w:p>
          <w:p w14:paraId="418417F7">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分）：结合医院实际情况提供满足招标文件售后服务要求的。</w:t>
            </w:r>
          </w:p>
          <w:p w14:paraId="42FC7FD5">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分）：结合医院实际情况提供满足招标文件售后服务要求；一般问题应在8小时内到达现场，在18小时内解决，重大问题或其他无法迅速解决的问题应在3个工作日内解决。</w:t>
            </w:r>
          </w:p>
          <w:p w14:paraId="3EE62163">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分）：结合医院实际情况提供满足招标文件售后服务要求；一般问题应在6小时内到达现场，在12小时内解决，重大问题或其他无法迅速解决的问题应在3个工作日内解决。</w:t>
            </w:r>
          </w:p>
          <w:p w14:paraId="416377A8">
            <w:pPr>
              <w:widowControl/>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分）：结合医院实际情况提供满足招标文件售后服务要求，售后服务方案有服务响应体系，定期维护；一般问题应在6小时内到达现场，在12小时内解决，重大问题或其他无法迅速解决的问题应在3个工作日内解决；质保期后，有偿维护方式、服务范围及费用等方案有描述的。</w:t>
            </w:r>
          </w:p>
          <w:p w14:paraId="6D6917A7">
            <w:pPr>
              <w:widowControl/>
              <w:spacing w:line="360" w:lineRule="auto"/>
              <w:ind w:firstLine="420"/>
              <w:jc w:val="left"/>
              <w:rPr>
                <w:rFonts w:hint="eastAsia" w:ascii="宋体" w:hAnsi="宋体" w:cs="宋体"/>
                <w:bCs/>
                <w:color w:val="auto"/>
                <w:szCs w:val="21"/>
                <w:highlight w:val="none"/>
              </w:rPr>
            </w:pPr>
            <w:r>
              <w:rPr>
                <w:rFonts w:hint="eastAsia" w:ascii="宋体" w:hAnsi="宋体" w:cs="宋体"/>
                <w:color w:val="auto"/>
                <w:szCs w:val="21"/>
                <w:highlight w:val="none"/>
              </w:rPr>
              <w:t>五档（</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结合医院实际情况提供满足招标文件售后服务要求，售后服务方案有服务响应体系，定期维护；一般问题应在4小时内到达现场，在8小时内解决，重大问题或其他无法迅速解决的问题应在3个工作日内解决；质保期内定期对设备进行保养和维护，</w:t>
            </w:r>
            <w:r>
              <w:rPr>
                <w:color w:val="auto"/>
                <w:highlight w:val="none"/>
              </w:rPr>
              <w:t>在设备生命周期内</w:t>
            </w:r>
            <w:r>
              <w:rPr>
                <w:rFonts w:hint="eastAsia" w:ascii="宋体" w:hAnsi="宋体" w:cs="宋体"/>
                <w:color w:val="auto"/>
                <w:szCs w:val="21"/>
                <w:highlight w:val="none"/>
              </w:rPr>
              <w:t>提供维护和保养服务，提供7×24小时技术援助电话和售后服务电话</w:t>
            </w:r>
            <w:r>
              <w:rPr>
                <w:rFonts w:hint="eastAsia"/>
                <w:color w:val="auto"/>
                <w:highlight w:val="none"/>
              </w:rPr>
              <w:t>。</w:t>
            </w:r>
            <w:r>
              <w:rPr>
                <w:rFonts w:hint="eastAsia" w:ascii="宋体" w:hAnsi="宋体" w:cs="宋体"/>
                <w:color w:val="auto"/>
                <w:szCs w:val="21"/>
                <w:highlight w:val="none"/>
              </w:rPr>
              <w:t>质保期后，备品备件及易耗品、耗材更换承诺给予的优惠折扣率，有偿维护方式、服务范围及费用等方案有描述的。</w:t>
            </w:r>
          </w:p>
        </w:tc>
      </w:tr>
      <w:tr w14:paraId="4D15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bottom w:val="single" w:color="auto" w:sz="4" w:space="0"/>
              <w:right w:val="single" w:color="auto" w:sz="4" w:space="0"/>
            </w:tcBorders>
            <w:noWrap w:val="0"/>
            <w:vAlign w:val="center"/>
          </w:tcPr>
          <w:p w14:paraId="5C0FC269">
            <w:pPr>
              <w:spacing w:line="360" w:lineRule="auto"/>
              <w:jc w:val="center"/>
              <w:rPr>
                <w:rFonts w:hint="eastAsia" w:ascii="宋体" w:hAnsi="宋体" w:cs="宋体"/>
                <w:b/>
                <w:color w:val="auto"/>
                <w:szCs w:val="21"/>
                <w:highlight w:val="none"/>
              </w:rPr>
            </w:pPr>
          </w:p>
        </w:tc>
        <w:tc>
          <w:tcPr>
            <w:tcW w:w="1073" w:type="dxa"/>
            <w:vMerge w:val="continue"/>
            <w:tcBorders>
              <w:top w:val="single" w:color="auto" w:sz="4" w:space="0"/>
              <w:left w:val="single" w:color="auto" w:sz="4" w:space="0"/>
              <w:bottom w:val="single" w:color="auto" w:sz="4" w:space="0"/>
              <w:right w:val="single" w:color="auto" w:sz="4" w:space="0"/>
            </w:tcBorders>
            <w:noWrap w:val="0"/>
            <w:vAlign w:val="center"/>
          </w:tcPr>
          <w:p w14:paraId="7FAA439B">
            <w:pPr>
              <w:spacing w:line="360" w:lineRule="auto"/>
              <w:jc w:val="center"/>
              <w:rPr>
                <w:rFonts w:hint="eastAsia" w:ascii="宋体" w:hAnsi="宋体" w:cs="宋体"/>
                <w:b/>
                <w:color w:val="auto"/>
                <w:szCs w:val="21"/>
                <w:highlight w:val="none"/>
              </w:rPr>
            </w:pPr>
          </w:p>
        </w:tc>
        <w:tc>
          <w:tcPr>
            <w:tcW w:w="1401" w:type="dxa"/>
            <w:tcBorders>
              <w:top w:val="single" w:color="auto" w:sz="4" w:space="0"/>
              <w:left w:val="single" w:color="auto" w:sz="4" w:space="0"/>
              <w:bottom w:val="single" w:color="auto" w:sz="4" w:space="0"/>
              <w:right w:val="single" w:color="auto" w:sz="4" w:space="0"/>
            </w:tcBorders>
            <w:noWrap w:val="0"/>
            <w:vAlign w:val="center"/>
          </w:tcPr>
          <w:p w14:paraId="5528D360">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业绩（满分1分）</w:t>
            </w:r>
          </w:p>
        </w:tc>
        <w:tc>
          <w:tcPr>
            <w:tcW w:w="6451" w:type="dxa"/>
            <w:gridSpan w:val="2"/>
            <w:tcBorders>
              <w:top w:val="single" w:color="auto" w:sz="4" w:space="0"/>
              <w:left w:val="single" w:color="auto" w:sz="4" w:space="0"/>
              <w:bottom w:val="single" w:color="auto" w:sz="4" w:space="0"/>
              <w:right w:val="single" w:color="auto" w:sz="4" w:space="0"/>
            </w:tcBorders>
            <w:noWrap w:val="0"/>
            <w:vAlign w:val="center"/>
          </w:tcPr>
          <w:p w14:paraId="3A396FD4">
            <w:pPr>
              <w:widowControl/>
              <w:spacing w:line="360" w:lineRule="auto"/>
              <w:jc w:val="left"/>
              <w:rPr>
                <w:rFonts w:hint="eastAsia" w:ascii="宋体" w:hAnsi="宋体" w:cs="宋体"/>
                <w:color w:val="auto"/>
                <w:szCs w:val="21"/>
                <w:highlight w:val="none"/>
              </w:rPr>
            </w:pPr>
            <w:r>
              <w:rPr>
                <w:rFonts w:hint="eastAsia" w:ascii="宋体" w:hAnsi="宋体" w:cs="宋体"/>
                <w:bCs/>
                <w:color w:val="auto"/>
                <w:szCs w:val="21"/>
                <w:highlight w:val="none"/>
              </w:rPr>
              <w:t>投标人自202</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年以来具有同类产品的销售业绩</w:t>
            </w:r>
            <w:r>
              <w:rPr>
                <w:rFonts w:hint="eastAsia" w:ascii="宋体" w:hAnsi="宋体" w:cs="宋体"/>
                <w:color w:val="auto"/>
                <w:szCs w:val="21"/>
                <w:highlight w:val="none"/>
              </w:rPr>
              <w:t>，每有 1 项得 1分，满分1分，投标文件中提供有效的合同复印件</w:t>
            </w:r>
            <w:r>
              <w:rPr>
                <w:rFonts w:hint="eastAsia" w:ascii="宋体" w:hAnsi="宋体" w:cs="宋体"/>
                <w:color w:val="auto"/>
                <w:szCs w:val="21"/>
                <w:highlight w:val="none"/>
                <w:lang w:val="en-US" w:eastAsia="zh-CN"/>
              </w:rPr>
              <w:t>/扫描件</w:t>
            </w:r>
            <w:r>
              <w:rPr>
                <w:rFonts w:hint="eastAsia" w:ascii="宋体" w:hAnsi="宋体" w:cs="宋体"/>
                <w:color w:val="auto"/>
                <w:szCs w:val="21"/>
                <w:highlight w:val="none"/>
              </w:rPr>
              <w:t>或中标（成交）通知书复印件</w:t>
            </w:r>
            <w:r>
              <w:rPr>
                <w:rFonts w:hint="eastAsia" w:ascii="宋体" w:hAnsi="宋体" w:cs="宋体"/>
                <w:color w:val="auto"/>
                <w:szCs w:val="21"/>
                <w:highlight w:val="none"/>
                <w:lang w:val="en-US" w:eastAsia="zh-CN"/>
              </w:rPr>
              <w:t>/扫描件</w:t>
            </w:r>
            <w:r>
              <w:rPr>
                <w:rFonts w:hint="eastAsia" w:ascii="宋体" w:hAnsi="宋体" w:cs="宋体"/>
                <w:color w:val="auto"/>
                <w:szCs w:val="21"/>
                <w:highlight w:val="none"/>
              </w:rPr>
              <w:t>。</w:t>
            </w:r>
          </w:p>
        </w:tc>
      </w:tr>
      <w:tr w14:paraId="6A59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bottom w:val="single" w:color="auto" w:sz="4" w:space="0"/>
              <w:right w:val="single" w:color="auto" w:sz="4" w:space="0"/>
            </w:tcBorders>
            <w:noWrap w:val="0"/>
            <w:vAlign w:val="center"/>
          </w:tcPr>
          <w:p w14:paraId="3AF71AE5">
            <w:pPr>
              <w:spacing w:line="360" w:lineRule="auto"/>
              <w:jc w:val="center"/>
              <w:rPr>
                <w:rFonts w:hint="eastAsia" w:ascii="宋体" w:hAnsi="宋体" w:cs="宋体"/>
                <w:b/>
                <w:color w:val="auto"/>
                <w:szCs w:val="21"/>
                <w:highlight w:val="none"/>
              </w:rPr>
            </w:pPr>
          </w:p>
        </w:tc>
        <w:tc>
          <w:tcPr>
            <w:tcW w:w="1073" w:type="dxa"/>
            <w:vMerge w:val="continue"/>
            <w:tcBorders>
              <w:top w:val="single" w:color="auto" w:sz="4" w:space="0"/>
              <w:left w:val="single" w:color="auto" w:sz="4" w:space="0"/>
              <w:bottom w:val="single" w:color="auto" w:sz="4" w:space="0"/>
              <w:right w:val="single" w:color="auto" w:sz="4" w:space="0"/>
            </w:tcBorders>
            <w:noWrap w:val="0"/>
            <w:vAlign w:val="center"/>
          </w:tcPr>
          <w:p w14:paraId="77B49540">
            <w:pPr>
              <w:spacing w:line="360" w:lineRule="auto"/>
              <w:jc w:val="center"/>
              <w:rPr>
                <w:rFonts w:hint="eastAsia" w:ascii="宋体" w:hAnsi="宋体" w:cs="宋体"/>
                <w:b/>
                <w:color w:val="auto"/>
                <w:szCs w:val="21"/>
                <w:highlight w:val="none"/>
              </w:rPr>
            </w:pPr>
          </w:p>
        </w:tc>
        <w:tc>
          <w:tcPr>
            <w:tcW w:w="1401" w:type="dxa"/>
            <w:tcBorders>
              <w:top w:val="single" w:color="auto" w:sz="4" w:space="0"/>
              <w:left w:val="single" w:color="auto" w:sz="4" w:space="0"/>
              <w:bottom w:val="single" w:color="auto" w:sz="4" w:space="0"/>
              <w:right w:val="single" w:color="auto" w:sz="4" w:space="0"/>
            </w:tcBorders>
            <w:noWrap w:val="0"/>
            <w:vAlign w:val="center"/>
          </w:tcPr>
          <w:p w14:paraId="193EFCD2">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政策分（满分</w:t>
            </w:r>
            <w:r>
              <w:rPr>
                <w:rFonts w:hint="eastAsia" w:ascii="宋体" w:hAnsi="宋体" w:cs="宋体"/>
                <w:b/>
                <w:color w:val="auto"/>
                <w:szCs w:val="21"/>
                <w:highlight w:val="none"/>
                <w:u w:val="single"/>
              </w:rPr>
              <w:t xml:space="preserve">2 </w:t>
            </w:r>
            <w:r>
              <w:rPr>
                <w:rFonts w:hint="eastAsia" w:ascii="宋体" w:hAnsi="宋体" w:cs="宋体"/>
                <w:b/>
                <w:color w:val="auto"/>
                <w:szCs w:val="21"/>
                <w:highlight w:val="none"/>
              </w:rPr>
              <w:t>分）</w:t>
            </w:r>
          </w:p>
        </w:tc>
        <w:tc>
          <w:tcPr>
            <w:tcW w:w="1035" w:type="dxa"/>
            <w:tcBorders>
              <w:top w:val="single" w:color="auto" w:sz="4" w:space="0"/>
              <w:left w:val="single" w:color="auto" w:sz="4" w:space="0"/>
              <w:bottom w:val="single" w:color="auto" w:sz="4" w:space="0"/>
              <w:right w:val="single" w:color="auto" w:sz="4" w:space="0"/>
            </w:tcBorders>
            <w:noWrap w:val="0"/>
            <w:vAlign w:val="top"/>
          </w:tcPr>
          <w:p w14:paraId="2AF71802">
            <w:pPr>
              <w:pStyle w:val="231"/>
              <w:spacing w:line="360" w:lineRule="auto"/>
              <w:rPr>
                <w:rFonts w:hint="eastAsia" w:hAnsi="宋体" w:cs="宋体"/>
                <w:bCs/>
                <w:color w:val="auto"/>
                <w:sz w:val="21"/>
                <w:highlight w:val="none"/>
              </w:rPr>
            </w:pPr>
            <w:r>
              <w:rPr>
                <w:rFonts w:hint="eastAsia" w:hAnsi="宋体" w:cs="宋体"/>
                <w:b/>
                <w:color w:val="auto"/>
                <w:sz w:val="21"/>
                <w:highlight w:val="none"/>
              </w:rPr>
              <w:t>节能、环境标志产品</w:t>
            </w:r>
          </w:p>
        </w:tc>
        <w:tc>
          <w:tcPr>
            <w:tcW w:w="5416" w:type="dxa"/>
            <w:tcBorders>
              <w:top w:val="single" w:color="auto" w:sz="4" w:space="0"/>
              <w:left w:val="single" w:color="auto" w:sz="4" w:space="0"/>
              <w:bottom w:val="single" w:color="auto" w:sz="4" w:space="0"/>
              <w:right w:val="single" w:color="auto" w:sz="4" w:space="0"/>
            </w:tcBorders>
            <w:noWrap w:val="0"/>
            <w:vAlign w:val="top"/>
          </w:tcPr>
          <w:p w14:paraId="499634AB">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1）属于财政部《节能产品政府采购品目清单》内优先采购（清单内未标注“★”的品目）的产品[投标文件中提供有效的认证证书复印件及品目清单（标注出投标产品在品目清单中所属的品目），并加盖投标人公章]，根据其所占项目（或者分标）预算金额比例得</w:t>
            </w:r>
            <w:r>
              <w:rPr>
                <w:rFonts w:hint="eastAsia" w:hAnsi="宋体" w:cs="宋体"/>
                <w:bCs/>
                <w:color w:val="auto"/>
                <w:sz w:val="21"/>
                <w:highlight w:val="none"/>
                <w:u w:val="single"/>
              </w:rPr>
              <w:t xml:space="preserve"> 0  </w:t>
            </w:r>
            <w:r>
              <w:rPr>
                <w:rFonts w:hint="eastAsia" w:hAnsi="宋体" w:cs="宋体"/>
                <w:bCs/>
                <w:color w:val="auto"/>
                <w:sz w:val="21"/>
                <w:highlight w:val="none"/>
              </w:rPr>
              <w:t>至</w:t>
            </w:r>
            <w:r>
              <w:rPr>
                <w:rFonts w:hint="eastAsia" w:hAnsi="宋体" w:cs="宋体"/>
                <w:bCs/>
                <w:color w:val="auto"/>
                <w:sz w:val="21"/>
                <w:highlight w:val="none"/>
                <w:u w:val="single"/>
              </w:rPr>
              <w:t xml:space="preserve">  1 </w:t>
            </w:r>
            <w:r>
              <w:rPr>
                <w:rFonts w:hint="eastAsia" w:hAnsi="宋体" w:cs="宋体"/>
                <w:bCs/>
                <w:color w:val="auto"/>
                <w:sz w:val="21"/>
                <w:highlight w:val="none"/>
              </w:rPr>
              <w:t>分，满分</w:t>
            </w:r>
            <w:r>
              <w:rPr>
                <w:rFonts w:hint="eastAsia" w:hAnsi="宋体" w:cs="宋体"/>
                <w:bCs/>
                <w:color w:val="auto"/>
                <w:sz w:val="21"/>
                <w:highlight w:val="none"/>
                <w:u w:val="single"/>
              </w:rPr>
              <w:t xml:space="preserve"> 1 </w:t>
            </w:r>
            <w:r>
              <w:rPr>
                <w:rFonts w:hint="eastAsia" w:hAnsi="宋体" w:cs="宋体"/>
                <w:bCs/>
                <w:color w:val="auto"/>
                <w:sz w:val="21"/>
                <w:highlight w:val="none"/>
              </w:rPr>
              <w:t>分。</w:t>
            </w:r>
          </w:p>
          <w:p w14:paraId="06CDB392">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2）属于财政部《环境标志产品政府采购品目清单》内的产品[投标文件中提供有效的认证证书复印件及品目清单（标注出投标产品在品目清单中所属的品目），并加盖投标人公章]，根据其所占项目（或者分标）预算金额比例得</w:t>
            </w:r>
            <w:r>
              <w:rPr>
                <w:rFonts w:hint="eastAsia" w:hAnsi="宋体" w:cs="宋体"/>
                <w:bCs/>
                <w:color w:val="auto"/>
                <w:sz w:val="21"/>
                <w:highlight w:val="none"/>
                <w:u w:val="single"/>
              </w:rPr>
              <w:t xml:space="preserve"> 0 </w:t>
            </w:r>
            <w:r>
              <w:rPr>
                <w:rFonts w:hint="eastAsia" w:hAnsi="宋体" w:cs="宋体"/>
                <w:bCs/>
                <w:color w:val="auto"/>
                <w:sz w:val="21"/>
                <w:highlight w:val="none"/>
              </w:rPr>
              <w:t>至</w:t>
            </w:r>
            <w:r>
              <w:rPr>
                <w:rFonts w:hint="eastAsia" w:hAnsi="宋体" w:cs="宋体"/>
                <w:bCs/>
                <w:color w:val="auto"/>
                <w:sz w:val="21"/>
                <w:highlight w:val="none"/>
                <w:u w:val="single"/>
              </w:rPr>
              <w:t xml:space="preserve"> 1 </w:t>
            </w:r>
            <w:r>
              <w:rPr>
                <w:rFonts w:hint="eastAsia" w:hAnsi="宋体" w:cs="宋体"/>
                <w:bCs/>
                <w:color w:val="auto"/>
                <w:sz w:val="21"/>
                <w:highlight w:val="none"/>
              </w:rPr>
              <w:t>分，满分</w:t>
            </w:r>
            <w:r>
              <w:rPr>
                <w:rFonts w:hint="eastAsia" w:hAnsi="宋体" w:cs="宋体"/>
                <w:bCs/>
                <w:color w:val="auto"/>
                <w:sz w:val="21"/>
                <w:highlight w:val="none"/>
                <w:u w:val="single"/>
              </w:rPr>
              <w:t xml:space="preserve"> 1 </w:t>
            </w:r>
            <w:r>
              <w:rPr>
                <w:rFonts w:hint="eastAsia" w:hAnsi="宋体" w:cs="宋体"/>
                <w:bCs/>
                <w:color w:val="auto"/>
                <w:sz w:val="21"/>
                <w:highlight w:val="none"/>
              </w:rPr>
              <w:t>分；</w:t>
            </w:r>
          </w:p>
          <w:p w14:paraId="7C3B16E3">
            <w:pPr>
              <w:pStyle w:val="231"/>
              <w:spacing w:line="360" w:lineRule="auto"/>
              <w:ind w:firstLine="420"/>
              <w:rPr>
                <w:rFonts w:hint="eastAsia" w:hAnsi="宋体" w:cs="宋体"/>
                <w:bCs/>
                <w:color w:val="auto"/>
                <w:sz w:val="21"/>
                <w:highlight w:val="none"/>
              </w:rPr>
            </w:pPr>
            <w:r>
              <w:rPr>
                <w:rFonts w:hint="eastAsia" w:hAnsi="宋体" w:cs="宋体"/>
                <w:bCs/>
                <w:color w:val="auto"/>
                <w:sz w:val="21"/>
                <w:highlight w:val="none"/>
              </w:rPr>
              <w:t>（3）非节能、环境标志产品的不得分。</w:t>
            </w:r>
          </w:p>
        </w:tc>
      </w:tr>
      <w:tr w14:paraId="2618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5"/>
            <w:tcBorders>
              <w:top w:val="single" w:color="auto" w:sz="4" w:space="0"/>
              <w:left w:val="single" w:color="auto" w:sz="4" w:space="0"/>
              <w:bottom w:val="single" w:color="auto" w:sz="4" w:space="0"/>
              <w:right w:val="single" w:color="auto" w:sz="4" w:space="0"/>
            </w:tcBorders>
            <w:noWrap w:val="0"/>
            <w:vAlign w:val="center"/>
          </w:tcPr>
          <w:p w14:paraId="6B833075">
            <w:pPr>
              <w:pStyle w:val="231"/>
              <w:spacing w:line="360" w:lineRule="auto"/>
              <w:ind w:firstLine="420"/>
              <w:rPr>
                <w:rFonts w:hint="eastAsia" w:hAnsi="宋体" w:cs="宋体"/>
                <w:bCs/>
                <w:color w:val="auto"/>
                <w:sz w:val="21"/>
                <w:highlight w:val="none"/>
              </w:rPr>
            </w:pPr>
            <w:r>
              <w:rPr>
                <w:rFonts w:hint="eastAsia" w:hAnsi="宋体" w:cs="宋体"/>
                <w:b/>
                <w:bCs/>
                <w:color w:val="auto"/>
                <w:sz w:val="21"/>
                <w:highlight w:val="none"/>
              </w:rPr>
              <w:t>总得分=1+2+3。</w:t>
            </w:r>
          </w:p>
        </w:tc>
      </w:tr>
    </w:tbl>
    <w:p w14:paraId="20F6117C">
      <w:pPr>
        <w:spacing w:line="360" w:lineRule="auto"/>
        <w:ind w:firstLine="420"/>
        <w:rPr>
          <w:rFonts w:hint="eastAsia" w:ascii="宋体" w:hAnsi="宋体" w:cs="宋体"/>
          <w:bCs/>
          <w:color w:val="auto"/>
          <w:highlight w:val="none"/>
        </w:rPr>
      </w:pPr>
    </w:p>
    <w:p w14:paraId="6E7C691B">
      <w:pPr>
        <w:spacing w:line="360" w:lineRule="auto"/>
        <w:ind w:firstLine="420"/>
        <w:rPr>
          <w:rFonts w:hint="eastAsia" w:ascii="宋体" w:hAnsi="宋体" w:cs="宋体"/>
          <w:bCs/>
          <w:color w:val="auto"/>
          <w:highlight w:val="none"/>
        </w:rPr>
      </w:pPr>
      <w:r>
        <w:rPr>
          <w:rFonts w:hint="eastAsia" w:ascii="宋体" w:hAnsi="宋体" w:cs="宋体"/>
          <w:bCs/>
          <w:color w:val="auto"/>
          <w:highlight w:val="none"/>
        </w:rPr>
        <w:t>注：计分方法按四舍五入取至百分位</w:t>
      </w:r>
    </w:p>
    <w:p w14:paraId="7693A3C3">
      <w:pPr>
        <w:pStyle w:val="271"/>
        <w:ind w:firstLine="520"/>
        <w:rPr>
          <w:rFonts w:hint="eastAsia" w:ascii="宋体" w:hAnsi="宋体" w:cs="宋体"/>
          <w:bCs w:val="0"/>
          <w:color w:val="auto"/>
          <w:highlight w:val="none"/>
        </w:rPr>
      </w:pPr>
      <w:r>
        <w:rPr>
          <w:rFonts w:hint="eastAsia" w:ascii="宋体" w:hAnsi="宋体" w:cs="宋体"/>
          <w:bCs w:val="0"/>
          <w:color w:val="auto"/>
          <w:highlight w:val="none"/>
        </w:rPr>
        <w:br w:type="page" w:clear="all"/>
      </w:r>
    </w:p>
    <w:p w14:paraId="1F02C7B6">
      <w:pPr>
        <w:pStyle w:val="194"/>
        <w:keepNext w:val="0"/>
        <w:keepLines w:val="0"/>
        <w:ind w:firstLine="602"/>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四、中标候选人推荐</w:t>
      </w:r>
    </w:p>
    <w:p w14:paraId="7705AA86">
      <w:pPr>
        <w:pStyle w:val="231"/>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综合评分法</w:t>
      </w:r>
    </w:p>
    <w:p w14:paraId="3AE21F2E">
      <w:pPr>
        <w:pStyle w:val="231"/>
        <w:spacing w:line="360" w:lineRule="auto"/>
        <w:ind w:firstLine="420"/>
        <w:contextualSpacing/>
        <w:rPr>
          <w:rFonts w:hint="eastAsia" w:hAnsi="宋体" w:cs="宋体"/>
          <w:color w:val="auto"/>
          <w:sz w:val="21"/>
          <w:highlight w:val="none"/>
        </w:rPr>
      </w:pPr>
      <w:r>
        <w:rPr>
          <w:rFonts w:hint="eastAsia" w:hAnsi="宋体" w:cs="宋体"/>
          <w:color w:val="auto"/>
          <w:sz w:val="21"/>
          <w:highlight w:val="none"/>
        </w:rPr>
        <w:t>1.评标委员会根据原始评标记录和评标结果编写评标报告，并通过电子交易平台向采购人、采购代理机构提交。</w:t>
      </w:r>
    </w:p>
    <w:p w14:paraId="07595969">
      <w:pPr>
        <w:pStyle w:val="231"/>
        <w:spacing w:line="360" w:lineRule="auto"/>
        <w:ind w:firstLine="420"/>
        <w:contextualSpacing/>
        <w:rPr>
          <w:rFonts w:hint="eastAsia" w:hAnsi="宋体" w:cs="宋体"/>
          <w:b/>
          <w:color w:val="auto"/>
          <w:sz w:val="24"/>
          <w:highlight w:val="none"/>
        </w:rPr>
      </w:pPr>
      <w:r>
        <w:rPr>
          <w:rFonts w:hint="eastAsia" w:hAnsi="宋体" w:cs="宋体"/>
          <w:color w:val="auto"/>
          <w:sz w:val="21"/>
          <w:highlight w:val="none"/>
        </w:rPr>
        <w:t>2.评标委员会将根据总得分由高到低排列次序并推荐中标候选人。得分相同的，</w:t>
      </w:r>
      <w:r>
        <w:rPr>
          <w:rFonts w:hint="eastAsia" w:hAnsi="宋体" w:cs="宋体"/>
          <w:color w:val="auto"/>
          <w:sz w:val="21"/>
          <w:highlight w:val="none"/>
          <w:lang w:eastAsia="zh-CN"/>
        </w:rPr>
        <w:t>按</w:t>
      </w:r>
      <w:r>
        <w:rPr>
          <w:rFonts w:hint="eastAsia" w:hAnsi="宋体" w:cs="宋体"/>
          <w:color w:val="auto"/>
          <w:sz w:val="21"/>
          <w:highlight w:val="none"/>
        </w:rPr>
        <w:t>投标报价由低到高顺序排列。得分相同且投标报价相同的并列</w:t>
      </w:r>
      <w:r>
        <w:rPr>
          <w:rFonts w:hint="eastAsia" w:hAnsi="宋体" w:cs="宋体"/>
          <w:color w:val="auto"/>
          <w:sz w:val="21"/>
          <w:highlight w:val="none"/>
          <w:lang w:eastAsia="zh-CN"/>
        </w:rPr>
        <w:t>。</w:t>
      </w:r>
      <w:r>
        <w:rPr>
          <w:rFonts w:hint="eastAsia" w:hAnsi="宋体" w:cs="宋体"/>
          <w:color w:val="auto"/>
          <w:sz w:val="21"/>
          <w:highlight w:val="none"/>
        </w:rPr>
        <w:t>投标文件满足招标文件全部实质性要求，且按照评审因素的量化指标评审得分最高的投标人为排名第一的中标候选人。</w:t>
      </w:r>
    </w:p>
    <w:p w14:paraId="42A85075">
      <w:pPr>
        <w:pStyle w:val="193"/>
        <w:keepNext w:val="0"/>
        <w:keepLines w:val="0"/>
        <w:ind w:firstLine="643"/>
        <w:jc w:val="center"/>
        <w:rPr>
          <w:rFonts w:hint="eastAsia" w:ascii="宋体" w:hAnsi="宋体" w:eastAsia="宋体" w:cs="宋体"/>
          <w:color w:val="auto"/>
          <w:highlight w:val="none"/>
        </w:rPr>
      </w:pPr>
      <w:r>
        <w:rPr>
          <w:rFonts w:hint="eastAsia" w:ascii="宋体" w:hAnsi="宋体" w:eastAsia="宋体" w:cs="宋体"/>
          <w:color w:val="auto"/>
          <w:highlight w:val="none"/>
        </w:rPr>
        <w:br w:type="page" w:clear="all"/>
      </w:r>
    </w:p>
    <w:p w14:paraId="78A2E18E">
      <w:pPr>
        <w:pStyle w:val="192"/>
        <w:ind w:firstLine="883"/>
        <w:jc w:val="center"/>
        <w:rPr>
          <w:rFonts w:hint="eastAsia" w:ascii="宋体" w:hAnsi="宋体" w:cs="宋体"/>
          <w:color w:val="auto"/>
          <w:highlight w:val="none"/>
        </w:rPr>
      </w:pPr>
      <w:bookmarkStart w:id="153" w:name="_Toc29511"/>
      <w:bookmarkStart w:id="154" w:name="_Toc24657"/>
      <w:bookmarkStart w:id="155" w:name="_Toc74320804"/>
      <w:bookmarkStart w:id="156" w:name="_Toc14979"/>
      <w:bookmarkStart w:id="157" w:name="_Toc435"/>
      <w:r>
        <w:rPr>
          <w:rFonts w:hint="eastAsia" w:ascii="宋体" w:hAnsi="宋体" w:cs="宋体"/>
          <w:color w:val="auto"/>
          <w:highlight w:val="none"/>
        </w:rPr>
        <w:t>第五章  拟签订的合同文本</w:t>
      </w:r>
      <w:bookmarkEnd w:id="153"/>
      <w:bookmarkEnd w:id="154"/>
      <w:bookmarkEnd w:id="155"/>
      <w:bookmarkEnd w:id="156"/>
      <w:bookmarkEnd w:id="157"/>
    </w:p>
    <w:p w14:paraId="02E157B4">
      <w:pPr>
        <w:pStyle w:val="221"/>
        <w:spacing w:line="360" w:lineRule="auto"/>
        <w:ind w:firstLine="884"/>
        <w:jc w:val="center"/>
        <w:rPr>
          <w:rFonts w:hint="eastAsia" w:ascii="宋体" w:hAnsi="宋体" w:cs="宋体"/>
          <w:b/>
          <w:bCs/>
          <w:color w:val="auto"/>
          <w:spacing w:val="-20"/>
          <w:sz w:val="48"/>
          <w:szCs w:val="48"/>
          <w:highlight w:val="none"/>
        </w:rPr>
      </w:pPr>
      <w:r>
        <w:rPr>
          <w:rFonts w:hint="eastAsia" w:ascii="宋体" w:hAnsi="宋体" w:cs="宋体"/>
          <w:b/>
          <w:bCs/>
          <w:color w:val="auto"/>
          <w:spacing w:val="-20"/>
          <w:sz w:val="48"/>
          <w:szCs w:val="48"/>
          <w:highlight w:val="none"/>
        </w:rPr>
        <w:t>政府采购货物买卖合同</w:t>
      </w:r>
    </w:p>
    <w:p w14:paraId="3FBE6211">
      <w:pPr>
        <w:pStyle w:val="221"/>
        <w:spacing w:line="360" w:lineRule="auto"/>
        <w:ind w:firstLine="563"/>
        <w:jc w:val="center"/>
        <w:rPr>
          <w:rFonts w:hint="eastAsia" w:ascii="宋体" w:hAnsi="宋体" w:cs="宋体"/>
          <w:b/>
          <w:bCs/>
          <w:color w:val="auto"/>
          <w:spacing w:val="-20"/>
          <w:sz w:val="44"/>
          <w:szCs w:val="44"/>
          <w:highlight w:val="none"/>
          <w:lang w:eastAsia="zh-CN"/>
        </w:rPr>
      </w:pPr>
      <w:r>
        <w:rPr>
          <w:rFonts w:hint="eastAsia" w:ascii="宋体" w:hAnsi="宋体" w:cs="宋体"/>
          <w:b/>
          <w:bCs/>
          <w:color w:val="auto"/>
          <w:spacing w:val="-20"/>
          <w:sz w:val="32"/>
          <w:szCs w:val="32"/>
          <w:highlight w:val="none"/>
          <w:lang w:eastAsia="zh-CN"/>
        </w:rPr>
        <w:t>（本合同格式仅作为参考格式，具体按实际签订合同为准）</w:t>
      </w:r>
    </w:p>
    <w:p w14:paraId="55C4A77F">
      <w:pPr>
        <w:spacing w:line="360" w:lineRule="auto"/>
        <w:ind w:left="420" w:firstLine="640"/>
        <w:rPr>
          <w:color w:val="auto"/>
          <w:sz w:val="32"/>
          <w:szCs w:val="32"/>
          <w:highlight w:val="none"/>
        </w:rPr>
      </w:pPr>
      <w:r>
        <w:rPr>
          <w:rFonts w:hint="eastAsia" w:ascii="宋体" w:hAnsi="宋体" w:cs="宋体"/>
          <w:color w:val="auto"/>
          <w:sz w:val="32"/>
          <w:szCs w:val="32"/>
          <w:highlight w:val="none"/>
        </w:rPr>
        <w:t>项目名称：</w:t>
      </w:r>
    </w:p>
    <w:p w14:paraId="0D6E047F">
      <w:pPr>
        <w:spacing w:line="360" w:lineRule="auto"/>
        <w:ind w:left="420" w:firstLine="640"/>
        <w:rPr>
          <w:rFonts w:hint="eastAsia"/>
          <w:color w:val="auto"/>
          <w:sz w:val="32"/>
          <w:szCs w:val="32"/>
          <w:highlight w:val="none"/>
        </w:rPr>
      </w:pPr>
      <w:r>
        <w:rPr>
          <w:rFonts w:hint="eastAsia"/>
          <w:color w:val="auto"/>
          <w:sz w:val="32"/>
          <w:szCs w:val="32"/>
          <w:highlight w:val="none"/>
        </w:rPr>
        <w:t>合同编号：</w:t>
      </w:r>
    </w:p>
    <w:p w14:paraId="1D4B22DA">
      <w:pPr>
        <w:spacing w:line="360" w:lineRule="auto"/>
        <w:ind w:left="420" w:firstLine="640"/>
        <w:rPr>
          <w:rFonts w:eastAsia="宋体"/>
          <w:color w:val="auto"/>
          <w:sz w:val="32"/>
          <w:szCs w:val="32"/>
          <w:highlight w:val="none"/>
          <w:lang w:val="en-US" w:eastAsia="zh-CN"/>
        </w:rPr>
      </w:pPr>
      <w:r>
        <w:rPr>
          <w:rFonts w:hint="eastAsia"/>
          <w:color w:val="auto"/>
          <w:sz w:val="32"/>
          <w:szCs w:val="32"/>
          <w:highlight w:val="none"/>
          <w:lang w:eastAsia="zh-CN"/>
        </w:rPr>
        <w:t>院内合同</w:t>
      </w:r>
      <w:r>
        <w:rPr>
          <w:rFonts w:hint="eastAsia"/>
          <w:color w:val="auto"/>
          <w:sz w:val="32"/>
          <w:szCs w:val="32"/>
          <w:highlight w:val="none"/>
          <w:lang w:val="en-US" w:eastAsia="zh-CN"/>
        </w:rPr>
        <w:t>编号：</w:t>
      </w:r>
    </w:p>
    <w:p w14:paraId="20724AAD">
      <w:pPr>
        <w:spacing w:line="360" w:lineRule="auto"/>
        <w:ind w:left="420" w:firstLine="640"/>
        <w:rPr>
          <w:color w:val="auto"/>
          <w:sz w:val="32"/>
          <w:szCs w:val="32"/>
          <w:highlight w:val="none"/>
        </w:rPr>
      </w:pPr>
      <w:r>
        <w:rPr>
          <w:rFonts w:hint="eastAsia"/>
          <w:color w:val="auto"/>
          <w:sz w:val="32"/>
          <w:szCs w:val="32"/>
          <w:highlight w:val="none"/>
        </w:rPr>
        <w:t>甲    方：</w:t>
      </w:r>
    </w:p>
    <w:p w14:paraId="6245C0DA">
      <w:pPr>
        <w:spacing w:line="360" w:lineRule="auto"/>
        <w:ind w:left="420" w:firstLine="640"/>
        <w:rPr>
          <w:color w:val="auto"/>
          <w:sz w:val="32"/>
          <w:szCs w:val="32"/>
          <w:highlight w:val="none"/>
          <w:u w:val="single"/>
        </w:rPr>
      </w:pPr>
      <w:r>
        <w:rPr>
          <w:rFonts w:hint="eastAsia"/>
          <w:color w:val="auto"/>
          <w:sz w:val="32"/>
          <w:szCs w:val="32"/>
          <w:highlight w:val="none"/>
        </w:rPr>
        <w:t>乙    方：</w:t>
      </w:r>
    </w:p>
    <w:p w14:paraId="609C413C">
      <w:pPr>
        <w:spacing w:line="360" w:lineRule="auto"/>
        <w:ind w:left="420" w:firstLine="640"/>
        <w:rPr>
          <w:color w:val="auto"/>
          <w:sz w:val="32"/>
          <w:szCs w:val="32"/>
          <w:highlight w:val="none"/>
        </w:rPr>
      </w:pPr>
      <w:r>
        <w:rPr>
          <w:rFonts w:hint="eastAsia"/>
          <w:color w:val="auto"/>
          <w:sz w:val="32"/>
          <w:szCs w:val="32"/>
          <w:highlight w:val="none"/>
        </w:rPr>
        <w:t>签订时间：</w:t>
      </w:r>
    </w:p>
    <w:p w14:paraId="6EDBAC7B">
      <w:pPr>
        <w:pStyle w:val="193"/>
        <w:spacing w:line="400" w:lineRule="exact"/>
        <w:ind w:firstLine="883"/>
        <w:jc w:val="center"/>
        <w:rPr>
          <w:rFonts w:ascii="黑体" w:hAnsi="华文中宋"/>
          <w:b w:val="0"/>
          <w:bCs w:val="0"/>
          <w:color w:val="auto"/>
          <w:sz w:val="28"/>
          <w:szCs w:val="28"/>
          <w:highlight w:val="none"/>
        </w:rPr>
      </w:pPr>
      <w:r>
        <w:rPr>
          <w:color w:val="auto"/>
          <w:sz w:val="44"/>
          <w:szCs w:val="44"/>
          <w:highlight w:val="none"/>
        </w:rPr>
        <w:br w:type="page" w:clear="all"/>
      </w:r>
      <w:bookmarkStart w:id="158" w:name="_Toc14693"/>
      <w:r>
        <w:rPr>
          <w:rFonts w:hint="eastAsia" w:ascii="黑体" w:hAnsi="黑体"/>
          <w:b w:val="0"/>
          <w:bCs w:val="0"/>
          <w:color w:val="auto"/>
          <w:sz w:val="28"/>
          <w:szCs w:val="28"/>
          <w:highlight w:val="none"/>
        </w:rPr>
        <w:t xml:space="preserve">第一节 </w:t>
      </w:r>
      <w:r>
        <w:rPr>
          <w:rFonts w:hint="eastAsia" w:ascii="黑体" w:hAnsi="华文中宋"/>
          <w:b w:val="0"/>
          <w:bCs w:val="0"/>
          <w:color w:val="auto"/>
          <w:sz w:val="28"/>
          <w:szCs w:val="28"/>
          <w:highlight w:val="none"/>
        </w:rPr>
        <w:t>政府采购合同协议书</w:t>
      </w:r>
      <w:bookmarkEnd w:id="158"/>
    </w:p>
    <w:p w14:paraId="54A3F2F3">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甲方（全称）：（采购人、受采购人委托签订合同的单位或采购文件约定的合同甲方）</w:t>
      </w:r>
    </w:p>
    <w:p w14:paraId="2F0D75E4">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乙方（全称）：（供应商）</w:t>
      </w:r>
    </w:p>
    <w:p w14:paraId="38334128">
      <w:pPr>
        <w:pStyle w:val="225"/>
        <w:spacing w:line="400" w:lineRule="exact"/>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依据《中华人民共和国民法典》、《中华人民共和国政府采购法》等有关的法律法规，以及本采购项目的采购文件、乙方的《</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》及《</w:t>
      </w:r>
      <w:r>
        <w:rPr>
          <w:rFonts w:hint="eastAsia" w:ascii="宋体" w:hAnsi="宋体" w:eastAsia="宋体" w:cs="宋体"/>
          <w:color w:val="auto"/>
          <w:sz w:val="21"/>
          <w:szCs w:val="21"/>
          <w:highlight w:val="none"/>
          <w:lang w:eastAsia="zh-CN"/>
        </w:rPr>
        <w:t>中标通知书</w:t>
      </w:r>
      <w:r>
        <w:rPr>
          <w:rFonts w:hint="eastAsia" w:ascii="宋体" w:hAnsi="宋体" w:eastAsia="宋体" w:cs="宋体"/>
          <w:color w:val="auto"/>
          <w:sz w:val="21"/>
          <w:szCs w:val="21"/>
          <w:highlight w:val="none"/>
        </w:rPr>
        <w:t xml:space="preserve">》，甲乙双方同意签订本合同。具体情况及要求如下：     </w:t>
      </w:r>
    </w:p>
    <w:p w14:paraId="179A6CC7">
      <w:pPr>
        <w:numPr>
          <w:ilvl w:val="0"/>
          <w:numId w:val="6"/>
        </w:numPr>
        <w:spacing w:line="400" w:lineRule="exact"/>
        <w:ind w:firstLine="422"/>
        <w:rPr>
          <w:rFonts w:ascii="宋体" w:hAnsi="宋体" w:cs="宋体"/>
          <w:b/>
          <w:color w:val="auto"/>
          <w:szCs w:val="21"/>
          <w:highlight w:val="none"/>
        </w:rPr>
      </w:pPr>
      <w:r>
        <w:rPr>
          <w:rFonts w:hint="eastAsia" w:ascii="宋体" w:hAnsi="宋体" w:cs="宋体"/>
          <w:b/>
          <w:color w:val="auto"/>
          <w:szCs w:val="21"/>
          <w:highlight w:val="none"/>
        </w:rPr>
        <w:t>项目信息</w:t>
      </w:r>
    </w:p>
    <w:p w14:paraId="6EBD92AF">
      <w:pPr>
        <w:pStyle w:val="225"/>
        <w:numPr>
          <w:ilvl w:val="0"/>
          <w:numId w:val="7"/>
        </w:numPr>
        <w:spacing w:line="400" w:lineRule="exact"/>
        <w:ind w:firstLine="42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采购项目名称：</w:t>
      </w:r>
    </w:p>
    <w:p w14:paraId="46C25DC3">
      <w:pPr>
        <w:pStyle w:val="225"/>
        <w:tabs>
          <w:tab w:val="left" w:pos="999"/>
        </w:tabs>
        <w:spacing w:line="400" w:lineRule="exact"/>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采购项目编号：</w:t>
      </w:r>
    </w:p>
    <w:p w14:paraId="3BCB2BB7">
      <w:pPr>
        <w:pStyle w:val="225"/>
        <w:spacing w:line="400" w:lineRule="exact"/>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（2）采购计划编号：</w:t>
      </w:r>
    </w:p>
    <w:p w14:paraId="6BD48E22">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（3）项目内容：</w:t>
      </w:r>
    </w:p>
    <w:tbl>
      <w:tblPr>
        <w:tblStyle w:val="263"/>
        <w:tblW w:w="94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373"/>
        <w:gridCol w:w="1263"/>
        <w:gridCol w:w="762"/>
        <w:gridCol w:w="763"/>
        <w:gridCol w:w="837"/>
        <w:gridCol w:w="913"/>
        <w:gridCol w:w="1000"/>
        <w:gridCol w:w="1887"/>
      </w:tblGrid>
      <w:tr w14:paraId="39D3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639" w:type="dxa"/>
            <w:tcBorders>
              <w:top w:val="single" w:color="auto" w:sz="4" w:space="0"/>
              <w:left w:val="single" w:color="auto" w:sz="4" w:space="0"/>
              <w:bottom w:val="single" w:color="auto" w:sz="4" w:space="0"/>
              <w:right w:val="single" w:color="auto" w:sz="4" w:space="0"/>
            </w:tcBorders>
            <w:noWrap w:val="0"/>
            <w:vAlign w:val="center"/>
          </w:tcPr>
          <w:p w14:paraId="5561EFF6">
            <w:pPr>
              <w:spacing w:line="400" w:lineRule="exact"/>
              <w:jc w:val="center"/>
              <w:rPr>
                <w:rFonts w:hint="eastAsia" w:ascii="宋体" w:hAnsi="宋体" w:eastAsia="宋体" w:cs="宋体"/>
                <w:color w:val="auto"/>
                <w:szCs w:val="21"/>
                <w:highlight w:val="none"/>
                <w:vertAlign w:val="baseline"/>
                <w:lang w:val="en-US" w:eastAsia="zh-CN"/>
              </w:rPr>
            </w:pPr>
            <w:r>
              <w:rPr>
                <w:rFonts w:hint="eastAsia" w:ascii="宋体" w:hAnsi="宋体" w:eastAsia="宋体" w:cs="宋体"/>
                <w:color w:val="auto"/>
                <w:szCs w:val="21"/>
                <w:highlight w:val="none"/>
                <w:vertAlign w:val="baseline"/>
                <w:lang w:val="en-US" w:eastAsia="zh-CN"/>
              </w:rPr>
              <w:t>序号</w:t>
            </w:r>
          </w:p>
        </w:tc>
        <w:tc>
          <w:tcPr>
            <w:tcW w:w="1373" w:type="dxa"/>
            <w:tcBorders>
              <w:top w:val="single" w:color="auto" w:sz="4" w:space="0"/>
              <w:left w:val="single" w:color="auto" w:sz="4" w:space="0"/>
              <w:bottom w:val="single" w:color="auto" w:sz="4" w:space="0"/>
              <w:right w:val="single" w:color="auto" w:sz="4" w:space="0"/>
            </w:tcBorders>
            <w:noWrap w:val="0"/>
            <w:vAlign w:val="center"/>
          </w:tcPr>
          <w:p w14:paraId="7B1BB8CE">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标的的名称</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4957EBCF">
            <w:pPr>
              <w:spacing w:before="50" w:after="50" w:line="360" w:lineRule="auto"/>
              <w:jc w:val="center"/>
              <w:rPr>
                <w:rFonts w:hint="eastAsia" w:ascii="宋体" w:hAnsi="宋体" w:eastAsia="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产品注册证名称</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8B6ADFF">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lang w:eastAsia="zh-CN"/>
              </w:rPr>
              <w:t>制造商</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7C425322">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品牌</w:t>
            </w:r>
          </w:p>
        </w:tc>
        <w:tc>
          <w:tcPr>
            <w:tcW w:w="837" w:type="dxa"/>
            <w:tcBorders>
              <w:top w:val="single" w:color="auto" w:sz="4" w:space="0"/>
              <w:left w:val="single" w:color="auto" w:sz="4" w:space="0"/>
              <w:bottom w:val="single" w:color="auto" w:sz="4" w:space="0"/>
              <w:right w:val="single" w:color="auto" w:sz="4" w:space="0"/>
            </w:tcBorders>
            <w:noWrap w:val="0"/>
            <w:vAlign w:val="center"/>
          </w:tcPr>
          <w:p w14:paraId="1FFC9553">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规格型号</w:t>
            </w:r>
          </w:p>
        </w:tc>
        <w:tc>
          <w:tcPr>
            <w:tcW w:w="913" w:type="dxa"/>
            <w:tcBorders>
              <w:top w:val="single" w:color="auto" w:sz="4" w:space="0"/>
              <w:left w:val="single" w:color="auto" w:sz="4" w:space="0"/>
              <w:bottom w:val="single" w:color="auto" w:sz="4" w:space="0"/>
              <w:right w:val="single" w:color="auto" w:sz="4" w:space="0"/>
            </w:tcBorders>
            <w:noWrap w:val="0"/>
            <w:vAlign w:val="center"/>
          </w:tcPr>
          <w:p w14:paraId="324CE1B2">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数量及单位①</w:t>
            </w:r>
          </w:p>
        </w:tc>
        <w:tc>
          <w:tcPr>
            <w:tcW w:w="1000" w:type="dxa"/>
            <w:tcBorders>
              <w:top w:val="single" w:color="auto" w:sz="4" w:space="0"/>
              <w:left w:val="single" w:color="auto" w:sz="4" w:space="0"/>
              <w:bottom w:val="single" w:color="auto" w:sz="4" w:space="0"/>
              <w:right w:val="single" w:color="auto" w:sz="4" w:space="0"/>
            </w:tcBorders>
            <w:noWrap w:val="0"/>
            <w:vAlign w:val="center"/>
          </w:tcPr>
          <w:p w14:paraId="57EC60AE">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单价</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元</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②</w:t>
            </w:r>
          </w:p>
        </w:tc>
        <w:tc>
          <w:tcPr>
            <w:tcW w:w="1887" w:type="dxa"/>
            <w:tcBorders>
              <w:top w:val="single" w:color="auto" w:sz="4" w:space="0"/>
              <w:left w:val="single" w:color="auto" w:sz="4" w:space="0"/>
              <w:bottom w:val="single" w:color="auto" w:sz="4" w:space="0"/>
              <w:right w:val="single" w:color="auto" w:sz="4" w:space="0"/>
            </w:tcBorders>
            <w:noWrap w:val="0"/>
            <w:vAlign w:val="center"/>
          </w:tcPr>
          <w:p w14:paraId="7417BB2F">
            <w:pPr>
              <w:spacing w:before="50" w:after="50" w:line="36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小计价格（</w:t>
            </w:r>
            <w:r>
              <w:rPr>
                <w:rFonts w:hint="eastAsia" w:ascii="宋体" w:hAnsi="宋体" w:eastAsia="宋体" w:cs="宋体"/>
                <w:b w:val="0"/>
                <w:bCs/>
                <w:color w:val="auto"/>
                <w:sz w:val="21"/>
                <w:szCs w:val="21"/>
                <w:highlight w:val="none"/>
                <w:lang w:val="en-US" w:eastAsia="zh-CN"/>
              </w:rPr>
              <w:t>元</w:t>
            </w:r>
            <w:r>
              <w:rPr>
                <w:rFonts w:hint="eastAsia" w:ascii="宋体" w:hAnsi="宋体" w:eastAsia="宋体" w:cs="宋体"/>
                <w:b w:val="0"/>
                <w:bCs/>
                <w:color w:val="auto"/>
                <w:sz w:val="21"/>
                <w:szCs w:val="21"/>
                <w:highlight w:val="none"/>
                <w:lang w:eastAsia="zh-CN"/>
              </w:rPr>
              <w:t>）</w:t>
            </w:r>
          </w:p>
          <w:p w14:paraId="73E79A8F">
            <w:pPr>
              <w:spacing w:before="50" w:after="50" w:line="360" w:lineRule="auto"/>
              <w:jc w:val="center"/>
              <w:rPr>
                <w:rFonts w:hint="eastAsia"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rPr>
              <w:t>③=①×②</w:t>
            </w:r>
          </w:p>
        </w:tc>
      </w:tr>
      <w:tr w14:paraId="6A88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left w:val="single" w:color="auto" w:sz="4" w:space="0"/>
              <w:bottom w:val="single" w:color="auto" w:sz="4" w:space="0"/>
              <w:right w:val="single" w:color="auto" w:sz="4" w:space="0"/>
            </w:tcBorders>
            <w:noWrap w:val="0"/>
            <w:vAlign w:val="top"/>
          </w:tcPr>
          <w:p w14:paraId="304A8071">
            <w:pPr>
              <w:spacing w:before="50" w:after="50" w:line="360" w:lineRule="auto"/>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373" w:type="dxa"/>
            <w:tcBorders>
              <w:top w:val="single" w:color="auto" w:sz="4" w:space="0"/>
              <w:left w:val="single" w:color="auto" w:sz="4" w:space="0"/>
              <w:bottom w:val="single" w:color="auto" w:sz="4" w:space="0"/>
              <w:right w:val="single" w:color="auto" w:sz="4" w:space="0"/>
            </w:tcBorders>
            <w:noWrap w:val="0"/>
            <w:vAlign w:val="top"/>
          </w:tcPr>
          <w:p w14:paraId="057DC411">
            <w:pPr>
              <w:spacing w:before="50" w:after="50" w:line="360" w:lineRule="auto"/>
              <w:jc w:val="center"/>
              <w:rPr>
                <w:rFonts w:hint="eastAsia" w:ascii="宋体" w:hAnsi="宋体" w:eastAsia="宋体" w:cs="宋体"/>
                <w:b w:val="0"/>
                <w:bCs/>
                <w:color w:val="auto"/>
                <w:sz w:val="21"/>
                <w:szCs w:val="21"/>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top"/>
          </w:tcPr>
          <w:p w14:paraId="1ECDB384">
            <w:pPr>
              <w:spacing w:before="50" w:after="50" w:line="360" w:lineRule="auto"/>
              <w:jc w:val="center"/>
              <w:rPr>
                <w:rFonts w:hint="eastAsia" w:ascii="宋体" w:hAnsi="宋体" w:eastAsia="宋体" w:cs="宋体"/>
                <w:b w:val="0"/>
                <w:bCs/>
                <w:color w:val="auto"/>
                <w:sz w:val="21"/>
                <w:szCs w:val="21"/>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1F9EFB88">
            <w:pPr>
              <w:spacing w:before="50" w:after="50" w:line="360" w:lineRule="auto"/>
              <w:jc w:val="center"/>
              <w:rPr>
                <w:rFonts w:hint="eastAsia" w:ascii="宋体" w:hAnsi="宋体" w:eastAsia="宋体" w:cs="宋体"/>
                <w:b w:val="0"/>
                <w:bCs/>
                <w:color w:val="auto"/>
                <w:sz w:val="21"/>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top"/>
          </w:tcPr>
          <w:p w14:paraId="66B0554C">
            <w:pPr>
              <w:spacing w:before="50" w:after="50" w:line="360" w:lineRule="auto"/>
              <w:jc w:val="center"/>
              <w:rPr>
                <w:rFonts w:hint="eastAsia" w:ascii="宋体" w:hAnsi="宋体" w:eastAsia="宋体" w:cs="宋体"/>
                <w:b w:val="0"/>
                <w:bCs/>
                <w:color w:val="auto"/>
                <w:sz w:val="21"/>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top"/>
          </w:tcPr>
          <w:p w14:paraId="47104819">
            <w:pPr>
              <w:spacing w:before="50" w:after="50" w:line="360" w:lineRule="auto"/>
              <w:jc w:val="center"/>
              <w:rPr>
                <w:rFonts w:hint="eastAsia" w:ascii="宋体" w:hAnsi="宋体" w:eastAsia="宋体" w:cs="宋体"/>
                <w:b w:val="0"/>
                <w:bCs/>
                <w:color w:val="auto"/>
                <w:sz w:val="21"/>
                <w:szCs w:val="21"/>
                <w:highlight w:val="none"/>
              </w:rPr>
            </w:pPr>
          </w:p>
        </w:tc>
        <w:tc>
          <w:tcPr>
            <w:tcW w:w="913" w:type="dxa"/>
            <w:tcBorders>
              <w:top w:val="single" w:color="auto" w:sz="4" w:space="0"/>
              <w:left w:val="single" w:color="auto" w:sz="4" w:space="0"/>
              <w:bottom w:val="single" w:color="auto" w:sz="4" w:space="0"/>
              <w:right w:val="single" w:color="auto" w:sz="4" w:space="0"/>
            </w:tcBorders>
            <w:noWrap w:val="0"/>
            <w:vAlign w:val="top"/>
          </w:tcPr>
          <w:p w14:paraId="4B21222A">
            <w:pPr>
              <w:spacing w:before="50" w:after="50" w:line="360" w:lineRule="auto"/>
              <w:jc w:val="center"/>
              <w:rPr>
                <w:rFonts w:hint="eastAsia" w:ascii="宋体" w:hAnsi="宋体" w:eastAsia="宋体" w:cs="宋体"/>
                <w:b w:val="0"/>
                <w:bCs/>
                <w:color w:val="auto"/>
                <w:sz w:val="21"/>
                <w:szCs w:val="21"/>
                <w:highlight w:val="none"/>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58E9B495">
            <w:pPr>
              <w:spacing w:before="50" w:after="50" w:line="360" w:lineRule="auto"/>
              <w:jc w:val="center"/>
              <w:rPr>
                <w:rFonts w:ascii="宋体" w:hAnsi="宋体" w:eastAsia="宋体" w:cs="宋体"/>
                <w:b w:val="0"/>
                <w:bCs/>
                <w:color w:val="auto"/>
                <w:sz w:val="21"/>
                <w:szCs w:val="21"/>
                <w:highlight w:val="none"/>
                <w:lang w:val="en-US" w:eastAsia="zh-CN"/>
              </w:rPr>
            </w:pPr>
          </w:p>
        </w:tc>
        <w:tc>
          <w:tcPr>
            <w:tcW w:w="1887" w:type="dxa"/>
            <w:tcBorders>
              <w:top w:val="single" w:color="auto" w:sz="4" w:space="0"/>
              <w:left w:val="single" w:color="auto" w:sz="4" w:space="0"/>
              <w:bottom w:val="single" w:color="auto" w:sz="4" w:space="0"/>
              <w:right w:val="single" w:color="auto" w:sz="4" w:space="0"/>
            </w:tcBorders>
            <w:noWrap w:val="0"/>
            <w:vAlign w:val="top"/>
          </w:tcPr>
          <w:p w14:paraId="5F16C0DF">
            <w:pPr>
              <w:spacing w:before="50" w:after="50" w:line="360" w:lineRule="auto"/>
              <w:jc w:val="center"/>
              <w:rPr>
                <w:rFonts w:hint="eastAsia" w:ascii="宋体" w:hAnsi="宋体" w:eastAsia="宋体" w:cs="宋体"/>
                <w:b w:val="0"/>
                <w:bCs/>
                <w:color w:val="auto"/>
                <w:sz w:val="21"/>
                <w:szCs w:val="21"/>
                <w:highlight w:val="none"/>
              </w:rPr>
            </w:pPr>
          </w:p>
        </w:tc>
      </w:tr>
      <w:tr w14:paraId="6336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left w:val="single" w:color="auto" w:sz="4" w:space="0"/>
              <w:bottom w:val="single" w:color="auto" w:sz="4" w:space="0"/>
              <w:right w:val="single" w:color="auto" w:sz="4" w:space="0"/>
            </w:tcBorders>
            <w:noWrap w:val="0"/>
            <w:vAlign w:val="top"/>
          </w:tcPr>
          <w:p w14:paraId="61762788">
            <w:pPr>
              <w:spacing w:before="50" w:after="50" w:line="360" w:lineRule="auto"/>
              <w:jc w:val="center"/>
              <w:rPr>
                <w:rFonts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1373" w:type="dxa"/>
            <w:tcBorders>
              <w:top w:val="single" w:color="auto" w:sz="4" w:space="0"/>
              <w:left w:val="single" w:color="auto" w:sz="4" w:space="0"/>
              <w:bottom w:val="single" w:color="auto" w:sz="4" w:space="0"/>
              <w:right w:val="single" w:color="auto" w:sz="4" w:space="0"/>
            </w:tcBorders>
            <w:noWrap w:val="0"/>
            <w:vAlign w:val="top"/>
          </w:tcPr>
          <w:p w14:paraId="30BA6415">
            <w:pPr>
              <w:spacing w:before="50" w:after="50" w:line="360" w:lineRule="auto"/>
              <w:jc w:val="center"/>
              <w:rPr>
                <w:rFonts w:hint="eastAsia" w:ascii="宋体" w:hAnsi="宋体" w:eastAsia="宋体" w:cs="宋体"/>
                <w:b w:val="0"/>
                <w:bCs/>
                <w:color w:val="auto"/>
                <w:sz w:val="21"/>
                <w:szCs w:val="21"/>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top"/>
          </w:tcPr>
          <w:p w14:paraId="02B864AC">
            <w:pPr>
              <w:spacing w:before="50" w:after="50" w:line="360" w:lineRule="auto"/>
              <w:jc w:val="center"/>
              <w:rPr>
                <w:rFonts w:hint="eastAsia" w:ascii="宋体" w:hAnsi="宋体" w:eastAsia="宋体" w:cs="宋体"/>
                <w:b w:val="0"/>
                <w:bCs/>
                <w:color w:val="auto"/>
                <w:sz w:val="21"/>
                <w:szCs w:val="21"/>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32E6285C">
            <w:pPr>
              <w:spacing w:before="50" w:after="50" w:line="360" w:lineRule="auto"/>
              <w:jc w:val="center"/>
              <w:rPr>
                <w:rFonts w:hint="eastAsia" w:ascii="宋体" w:hAnsi="宋体" w:eastAsia="宋体" w:cs="宋体"/>
                <w:b w:val="0"/>
                <w:bCs/>
                <w:color w:val="auto"/>
                <w:sz w:val="21"/>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top"/>
          </w:tcPr>
          <w:p w14:paraId="1E232B82">
            <w:pPr>
              <w:spacing w:before="50" w:after="50" w:line="360" w:lineRule="auto"/>
              <w:jc w:val="center"/>
              <w:rPr>
                <w:rFonts w:hint="eastAsia" w:ascii="宋体" w:hAnsi="宋体" w:eastAsia="宋体" w:cs="宋体"/>
                <w:b w:val="0"/>
                <w:bCs/>
                <w:color w:val="auto"/>
                <w:sz w:val="21"/>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top"/>
          </w:tcPr>
          <w:p w14:paraId="6B2B9E12">
            <w:pPr>
              <w:spacing w:before="50" w:after="50" w:line="360" w:lineRule="auto"/>
              <w:jc w:val="center"/>
              <w:rPr>
                <w:rFonts w:hint="eastAsia" w:ascii="宋体" w:hAnsi="宋体" w:eastAsia="宋体" w:cs="宋体"/>
                <w:b w:val="0"/>
                <w:bCs/>
                <w:color w:val="auto"/>
                <w:sz w:val="21"/>
                <w:szCs w:val="21"/>
                <w:highlight w:val="none"/>
              </w:rPr>
            </w:pPr>
          </w:p>
        </w:tc>
        <w:tc>
          <w:tcPr>
            <w:tcW w:w="913" w:type="dxa"/>
            <w:tcBorders>
              <w:top w:val="single" w:color="auto" w:sz="4" w:space="0"/>
              <w:left w:val="single" w:color="auto" w:sz="4" w:space="0"/>
              <w:bottom w:val="single" w:color="auto" w:sz="4" w:space="0"/>
              <w:right w:val="single" w:color="auto" w:sz="4" w:space="0"/>
            </w:tcBorders>
            <w:noWrap w:val="0"/>
            <w:vAlign w:val="top"/>
          </w:tcPr>
          <w:p w14:paraId="6BABAC45">
            <w:pPr>
              <w:spacing w:before="50" w:after="50" w:line="360" w:lineRule="auto"/>
              <w:jc w:val="center"/>
              <w:rPr>
                <w:rFonts w:hint="eastAsia" w:ascii="宋体" w:hAnsi="宋体" w:eastAsia="宋体" w:cs="宋体"/>
                <w:b w:val="0"/>
                <w:bCs/>
                <w:color w:val="auto"/>
                <w:sz w:val="21"/>
                <w:szCs w:val="21"/>
                <w:highlight w:val="none"/>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5F0AE6B8">
            <w:pPr>
              <w:spacing w:before="50" w:after="50" w:line="360" w:lineRule="auto"/>
              <w:jc w:val="center"/>
              <w:rPr>
                <w:rFonts w:ascii="宋体" w:hAnsi="宋体" w:eastAsia="宋体" w:cs="宋体"/>
                <w:b w:val="0"/>
                <w:bCs/>
                <w:color w:val="auto"/>
                <w:sz w:val="21"/>
                <w:szCs w:val="21"/>
                <w:highlight w:val="none"/>
                <w:lang w:val="en-US" w:eastAsia="zh-CN"/>
              </w:rPr>
            </w:pPr>
          </w:p>
        </w:tc>
        <w:tc>
          <w:tcPr>
            <w:tcW w:w="1887" w:type="dxa"/>
            <w:tcBorders>
              <w:top w:val="single" w:color="auto" w:sz="4" w:space="0"/>
              <w:left w:val="single" w:color="auto" w:sz="4" w:space="0"/>
              <w:bottom w:val="single" w:color="auto" w:sz="4" w:space="0"/>
              <w:right w:val="single" w:color="auto" w:sz="4" w:space="0"/>
            </w:tcBorders>
            <w:noWrap w:val="0"/>
            <w:vAlign w:val="top"/>
          </w:tcPr>
          <w:p w14:paraId="49ED4403">
            <w:pPr>
              <w:spacing w:before="50" w:after="50" w:line="360" w:lineRule="auto"/>
              <w:jc w:val="center"/>
              <w:rPr>
                <w:rFonts w:hint="eastAsia" w:ascii="宋体" w:hAnsi="宋体" w:eastAsia="宋体" w:cs="宋体"/>
                <w:b w:val="0"/>
                <w:bCs/>
                <w:color w:val="auto"/>
                <w:sz w:val="21"/>
                <w:szCs w:val="21"/>
                <w:highlight w:val="none"/>
              </w:rPr>
            </w:pPr>
          </w:p>
        </w:tc>
      </w:tr>
      <w:tr w14:paraId="7F2A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Borders>
              <w:top w:val="single" w:color="auto" w:sz="4" w:space="0"/>
              <w:left w:val="single" w:color="auto" w:sz="4" w:space="0"/>
              <w:bottom w:val="single" w:color="auto" w:sz="4" w:space="0"/>
              <w:right w:val="single" w:color="auto" w:sz="4" w:space="0"/>
            </w:tcBorders>
            <w:noWrap w:val="0"/>
            <w:vAlign w:val="top"/>
          </w:tcPr>
          <w:p w14:paraId="2BEB7E55">
            <w:pPr>
              <w:spacing w:before="50" w:after="50" w:line="360" w:lineRule="auto"/>
              <w:jc w:val="center"/>
              <w:rPr>
                <w:rFonts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p>
        </w:tc>
        <w:tc>
          <w:tcPr>
            <w:tcW w:w="1373" w:type="dxa"/>
            <w:tcBorders>
              <w:top w:val="single" w:color="auto" w:sz="4" w:space="0"/>
              <w:left w:val="single" w:color="auto" w:sz="4" w:space="0"/>
              <w:bottom w:val="single" w:color="auto" w:sz="4" w:space="0"/>
              <w:right w:val="single" w:color="auto" w:sz="4" w:space="0"/>
            </w:tcBorders>
            <w:noWrap w:val="0"/>
            <w:vAlign w:val="top"/>
          </w:tcPr>
          <w:p w14:paraId="649CDB7E">
            <w:pPr>
              <w:spacing w:before="50" w:after="50" w:line="360" w:lineRule="auto"/>
              <w:jc w:val="center"/>
              <w:rPr>
                <w:rFonts w:hint="eastAsia" w:ascii="宋体" w:hAnsi="宋体" w:eastAsia="宋体" w:cs="宋体"/>
                <w:b w:val="0"/>
                <w:bCs/>
                <w:color w:val="auto"/>
                <w:sz w:val="21"/>
                <w:szCs w:val="21"/>
                <w:highlight w:val="none"/>
              </w:rPr>
            </w:pPr>
          </w:p>
        </w:tc>
        <w:tc>
          <w:tcPr>
            <w:tcW w:w="1263" w:type="dxa"/>
            <w:tcBorders>
              <w:top w:val="single" w:color="auto" w:sz="4" w:space="0"/>
              <w:left w:val="single" w:color="auto" w:sz="4" w:space="0"/>
              <w:bottom w:val="single" w:color="auto" w:sz="4" w:space="0"/>
              <w:right w:val="single" w:color="auto" w:sz="4" w:space="0"/>
            </w:tcBorders>
            <w:noWrap w:val="0"/>
            <w:vAlign w:val="top"/>
          </w:tcPr>
          <w:p w14:paraId="158D8EA8">
            <w:pPr>
              <w:spacing w:before="50" w:after="50" w:line="360" w:lineRule="auto"/>
              <w:jc w:val="center"/>
              <w:rPr>
                <w:rFonts w:hint="eastAsia" w:ascii="宋体" w:hAnsi="宋体" w:eastAsia="宋体" w:cs="宋体"/>
                <w:b w:val="0"/>
                <w:bCs/>
                <w:color w:val="auto"/>
                <w:sz w:val="21"/>
                <w:szCs w:val="21"/>
                <w:highlight w:val="none"/>
              </w:rPr>
            </w:pPr>
          </w:p>
        </w:tc>
        <w:tc>
          <w:tcPr>
            <w:tcW w:w="762" w:type="dxa"/>
            <w:tcBorders>
              <w:top w:val="single" w:color="auto" w:sz="4" w:space="0"/>
              <w:left w:val="single" w:color="auto" w:sz="4" w:space="0"/>
              <w:bottom w:val="single" w:color="auto" w:sz="4" w:space="0"/>
              <w:right w:val="single" w:color="auto" w:sz="4" w:space="0"/>
            </w:tcBorders>
            <w:noWrap w:val="0"/>
            <w:vAlign w:val="top"/>
          </w:tcPr>
          <w:p w14:paraId="0048BC4B">
            <w:pPr>
              <w:spacing w:before="50" w:after="50" w:line="360" w:lineRule="auto"/>
              <w:jc w:val="center"/>
              <w:rPr>
                <w:rFonts w:hint="eastAsia" w:ascii="宋体" w:hAnsi="宋体" w:eastAsia="宋体" w:cs="宋体"/>
                <w:b w:val="0"/>
                <w:bCs/>
                <w:color w:val="auto"/>
                <w:sz w:val="21"/>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top"/>
          </w:tcPr>
          <w:p w14:paraId="5F7D63E9">
            <w:pPr>
              <w:spacing w:before="50" w:after="50" w:line="360" w:lineRule="auto"/>
              <w:jc w:val="center"/>
              <w:rPr>
                <w:rFonts w:hint="eastAsia" w:ascii="宋体" w:hAnsi="宋体" w:eastAsia="宋体" w:cs="宋体"/>
                <w:b w:val="0"/>
                <w:bCs/>
                <w:color w:val="auto"/>
                <w:sz w:val="21"/>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top"/>
          </w:tcPr>
          <w:p w14:paraId="4EBCD7EE">
            <w:pPr>
              <w:spacing w:before="50" w:after="50" w:line="360" w:lineRule="auto"/>
              <w:jc w:val="center"/>
              <w:rPr>
                <w:rFonts w:hint="eastAsia" w:ascii="宋体" w:hAnsi="宋体" w:eastAsia="宋体" w:cs="宋体"/>
                <w:b w:val="0"/>
                <w:bCs/>
                <w:color w:val="auto"/>
                <w:sz w:val="21"/>
                <w:szCs w:val="21"/>
                <w:highlight w:val="none"/>
              </w:rPr>
            </w:pPr>
          </w:p>
        </w:tc>
        <w:tc>
          <w:tcPr>
            <w:tcW w:w="913" w:type="dxa"/>
            <w:tcBorders>
              <w:top w:val="single" w:color="auto" w:sz="4" w:space="0"/>
              <w:left w:val="single" w:color="auto" w:sz="4" w:space="0"/>
              <w:bottom w:val="single" w:color="auto" w:sz="4" w:space="0"/>
              <w:right w:val="single" w:color="auto" w:sz="4" w:space="0"/>
            </w:tcBorders>
            <w:noWrap w:val="0"/>
            <w:vAlign w:val="top"/>
          </w:tcPr>
          <w:p w14:paraId="33C62AA4">
            <w:pPr>
              <w:spacing w:before="50" w:after="50" w:line="360" w:lineRule="auto"/>
              <w:jc w:val="center"/>
              <w:rPr>
                <w:rFonts w:hint="eastAsia" w:ascii="宋体" w:hAnsi="宋体" w:eastAsia="宋体" w:cs="宋体"/>
                <w:b w:val="0"/>
                <w:bCs/>
                <w:color w:val="auto"/>
                <w:sz w:val="21"/>
                <w:szCs w:val="21"/>
                <w:highlight w:val="none"/>
              </w:rPr>
            </w:pPr>
          </w:p>
        </w:tc>
        <w:tc>
          <w:tcPr>
            <w:tcW w:w="1000" w:type="dxa"/>
            <w:tcBorders>
              <w:top w:val="single" w:color="auto" w:sz="4" w:space="0"/>
              <w:left w:val="single" w:color="auto" w:sz="4" w:space="0"/>
              <w:bottom w:val="single" w:color="auto" w:sz="4" w:space="0"/>
              <w:right w:val="single" w:color="auto" w:sz="4" w:space="0"/>
            </w:tcBorders>
            <w:noWrap w:val="0"/>
            <w:vAlign w:val="top"/>
          </w:tcPr>
          <w:p w14:paraId="1F43E552">
            <w:pPr>
              <w:spacing w:before="50" w:after="50" w:line="360" w:lineRule="auto"/>
              <w:jc w:val="center"/>
              <w:rPr>
                <w:rFonts w:ascii="宋体" w:hAnsi="宋体" w:eastAsia="宋体" w:cs="宋体"/>
                <w:b w:val="0"/>
                <w:bCs/>
                <w:color w:val="auto"/>
                <w:sz w:val="21"/>
                <w:szCs w:val="21"/>
                <w:highlight w:val="none"/>
                <w:lang w:val="en-US" w:eastAsia="zh-CN"/>
              </w:rPr>
            </w:pPr>
          </w:p>
        </w:tc>
        <w:tc>
          <w:tcPr>
            <w:tcW w:w="1887" w:type="dxa"/>
            <w:tcBorders>
              <w:top w:val="single" w:color="auto" w:sz="4" w:space="0"/>
              <w:left w:val="single" w:color="auto" w:sz="4" w:space="0"/>
              <w:bottom w:val="single" w:color="auto" w:sz="4" w:space="0"/>
              <w:right w:val="single" w:color="auto" w:sz="4" w:space="0"/>
            </w:tcBorders>
            <w:noWrap w:val="0"/>
            <w:vAlign w:val="top"/>
          </w:tcPr>
          <w:p w14:paraId="25EE437E">
            <w:pPr>
              <w:spacing w:before="50" w:after="50" w:line="360" w:lineRule="auto"/>
              <w:jc w:val="center"/>
              <w:rPr>
                <w:rFonts w:hint="eastAsia" w:ascii="宋体" w:hAnsi="宋体" w:eastAsia="宋体" w:cs="宋体"/>
                <w:b w:val="0"/>
                <w:bCs/>
                <w:color w:val="auto"/>
                <w:sz w:val="21"/>
                <w:szCs w:val="21"/>
                <w:highlight w:val="none"/>
              </w:rPr>
            </w:pPr>
          </w:p>
        </w:tc>
      </w:tr>
      <w:tr w14:paraId="6837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7" w:type="dxa"/>
            <w:gridSpan w:val="9"/>
            <w:tcBorders>
              <w:top w:val="single" w:color="auto" w:sz="4" w:space="0"/>
              <w:left w:val="single" w:color="auto" w:sz="4" w:space="0"/>
              <w:bottom w:val="single" w:color="auto" w:sz="4" w:space="0"/>
              <w:right w:val="single" w:color="auto" w:sz="4" w:space="0"/>
            </w:tcBorders>
            <w:noWrap w:val="0"/>
            <w:vAlign w:val="top"/>
          </w:tcPr>
          <w:p w14:paraId="4F1EBAE3">
            <w:pPr>
              <w:spacing w:line="400" w:lineRule="exact"/>
              <w:rPr>
                <w:rFonts w:hint="eastAsia" w:ascii="宋体" w:hAnsi="宋体" w:eastAsia="宋体" w:cs="宋体"/>
                <w:color w:val="auto"/>
                <w:szCs w:val="21"/>
                <w:highlight w:val="none"/>
                <w:vertAlign w:val="baseline"/>
              </w:rPr>
            </w:pPr>
            <w:r>
              <w:rPr>
                <w:rFonts w:hint="eastAsia" w:ascii="宋体" w:hAnsi="宋体" w:eastAsia="宋体" w:cs="宋体"/>
                <w:b/>
                <w:bCs w:val="0"/>
                <w:color w:val="auto"/>
                <w:sz w:val="21"/>
                <w:szCs w:val="21"/>
                <w:highlight w:val="none"/>
              </w:rPr>
              <w:t>合计金额大写：</w:t>
            </w:r>
            <w:r>
              <w:rPr>
                <w:rFonts w:hint="eastAsia" w:ascii="宋体" w:hAnsi="宋体" w:eastAsia="宋体" w:cs="宋体"/>
                <w:b/>
                <w:bCs w:val="0"/>
                <w:color w:val="auto"/>
                <w:sz w:val="21"/>
                <w:szCs w:val="21"/>
                <w:highlight w:val="none"/>
                <w:u w:val="single"/>
                <w:lang w:val="en-US" w:eastAsia="zh-CN"/>
              </w:rPr>
              <w:t>人民币               （¥               ）</w:t>
            </w:r>
          </w:p>
        </w:tc>
      </w:tr>
      <w:tr w14:paraId="49CB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7" w:type="dxa"/>
            <w:gridSpan w:val="9"/>
            <w:tcBorders>
              <w:top w:val="single" w:color="auto" w:sz="4" w:space="0"/>
              <w:left w:val="single" w:color="auto" w:sz="4" w:space="0"/>
              <w:bottom w:val="single" w:color="auto" w:sz="4" w:space="0"/>
              <w:right w:val="single" w:color="auto" w:sz="4" w:space="0"/>
            </w:tcBorders>
            <w:noWrap w:val="0"/>
            <w:vAlign w:val="top"/>
          </w:tcPr>
          <w:p w14:paraId="42BA5673">
            <w:pPr>
              <w:spacing w:line="400" w:lineRule="exact"/>
              <w:rPr>
                <w:rFonts w:hint="eastAsia" w:ascii="宋体" w:hAnsi="宋体" w:eastAsia="宋体" w:cs="宋体"/>
                <w:b/>
                <w:bCs w:val="0"/>
                <w:color w:val="auto"/>
                <w:sz w:val="21"/>
                <w:szCs w:val="21"/>
                <w:highlight w:val="none"/>
                <w:lang w:eastAsia="zh-CN"/>
              </w:rPr>
            </w:pPr>
            <w:r>
              <w:rPr>
                <w:rFonts w:hint="eastAsia" w:ascii="宋体" w:hAnsi="宋体" w:eastAsia="宋体" w:cs="宋体"/>
                <w:b/>
                <w:bCs w:val="0"/>
                <w:color w:val="auto"/>
                <w:sz w:val="21"/>
                <w:szCs w:val="21"/>
                <w:highlight w:val="none"/>
                <w:lang w:eastAsia="zh-CN"/>
              </w:rPr>
              <w:t>采购标的明细具体见合同附件：配置清单、技术及商务要求偏离表。</w:t>
            </w:r>
          </w:p>
        </w:tc>
      </w:tr>
    </w:tbl>
    <w:p w14:paraId="5F0A4CF4">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w:t>
      </w:r>
      <w:r>
        <w:rPr>
          <w:rFonts w:ascii="宋体" w:hAnsi="宋体" w:eastAsia="宋体" w:cs="宋体"/>
          <w:color w:val="auto"/>
          <w:sz w:val="21"/>
          <w:highlight w:val="none"/>
        </w:rPr>
        <w:t>4</w:t>
      </w:r>
      <w:r>
        <w:rPr>
          <w:rFonts w:hint="eastAsia" w:ascii="宋体" w:hAnsi="宋体" w:eastAsia="宋体" w:cs="宋体"/>
          <w:color w:val="auto"/>
          <w:sz w:val="21"/>
          <w:highlight w:val="none"/>
        </w:rPr>
        <w:t>）政府采购组织形式：</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政府集中采购</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 xml:space="preserve">部门集中采购  </w:t>
      </w:r>
      <w:r>
        <w:rPr>
          <w:rFonts w:ascii="Wingdings" w:hAnsi="Wingdings" w:eastAsia="Wingdings" w:cs="Wingdings"/>
          <w:color w:val="auto"/>
          <w:sz w:val="21"/>
          <w:highlight w:val="none"/>
        </w:rPr>
        <w:t>þ</w:t>
      </w:r>
      <w:r>
        <w:rPr>
          <w:rFonts w:hint="eastAsia" w:ascii="宋体" w:hAnsi="宋体" w:eastAsia="宋体" w:cs="宋体"/>
          <w:color w:val="auto"/>
          <w:sz w:val="21"/>
          <w:highlight w:val="none"/>
        </w:rPr>
        <w:t>分散采购</w:t>
      </w:r>
    </w:p>
    <w:p w14:paraId="18C83292">
      <w:pPr>
        <w:pStyle w:val="273"/>
        <w:ind w:firstLine="420"/>
        <w:rPr>
          <w:rFonts w:ascii="宋体" w:hAnsi="宋体" w:eastAsia="宋体" w:cs="宋体"/>
          <w:color w:val="auto"/>
          <w:sz w:val="21"/>
          <w:highlight w:val="none"/>
          <w:u w:val="single"/>
        </w:rPr>
      </w:pPr>
      <w:r>
        <w:rPr>
          <w:rFonts w:hint="eastAsia" w:ascii="宋体" w:hAnsi="宋体" w:eastAsia="宋体" w:cs="宋体"/>
          <w:color w:val="auto"/>
          <w:sz w:val="21"/>
          <w:highlight w:val="none"/>
        </w:rPr>
        <w:t>（</w:t>
      </w:r>
      <w:r>
        <w:rPr>
          <w:rFonts w:ascii="宋体" w:hAnsi="宋体" w:eastAsia="宋体" w:cs="宋体"/>
          <w:color w:val="auto"/>
          <w:sz w:val="21"/>
          <w:highlight w:val="none"/>
        </w:rPr>
        <w:t>5</w:t>
      </w:r>
      <w:r>
        <w:rPr>
          <w:rFonts w:hint="eastAsia" w:ascii="宋体" w:hAnsi="宋体" w:eastAsia="宋体" w:cs="宋体"/>
          <w:color w:val="auto"/>
          <w:sz w:val="21"/>
          <w:highlight w:val="none"/>
        </w:rPr>
        <w:t>）政府采购</w:t>
      </w:r>
      <w:r>
        <w:rPr>
          <w:rFonts w:hint="eastAsia" w:ascii="宋体" w:hAnsi="宋体" w:eastAsia="宋体" w:cs="宋体"/>
          <w:color w:val="auto"/>
          <w:sz w:val="21"/>
          <w:highlight w:val="none"/>
          <w:lang w:eastAsia="zh-CN"/>
        </w:rPr>
        <w:t>方</w:t>
      </w:r>
      <w:r>
        <w:rPr>
          <w:rFonts w:hint="eastAsia" w:ascii="宋体" w:hAnsi="宋体" w:eastAsia="宋体" w:cs="宋体"/>
          <w:color w:val="auto"/>
          <w:sz w:val="21"/>
          <w:highlight w:val="none"/>
        </w:rPr>
        <w:t>式：</w:t>
      </w:r>
      <w:r>
        <w:rPr>
          <w:rFonts w:ascii="Wingdings" w:hAnsi="Wingdings" w:eastAsia="Wingdings" w:cs="Wingdings"/>
          <w:color w:val="auto"/>
          <w:sz w:val="21"/>
          <w:highlight w:val="none"/>
        </w:rPr>
        <w:t>þ</w:t>
      </w:r>
      <w:r>
        <w:rPr>
          <w:rFonts w:hint="eastAsia" w:ascii="宋体" w:hAnsi="宋体" w:eastAsia="宋体" w:cs="宋体"/>
          <w:color w:val="auto"/>
          <w:sz w:val="21"/>
          <w:highlight w:val="none"/>
        </w:rPr>
        <w:t>公开招标</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邀请招标</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竞争性谈判</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竞争性磋商</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询价</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单一来源</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框架协议</w:t>
      </w:r>
      <w:r>
        <w:rPr>
          <w:rFonts w:ascii="Wingdings" w:hAnsi="Wingdings" w:eastAsia="Wingdings" w:cs="Wingdings"/>
          <w:color w:val="auto"/>
          <w:sz w:val="21"/>
          <w:highlight w:val="none"/>
        </w:rPr>
        <w:t>¨</w:t>
      </w:r>
      <w:r>
        <w:rPr>
          <w:rFonts w:hint="eastAsia" w:ascii="宋体" w:hAnsi="宋体" w:eastAsia="宋体" w:cs="宋体"/>
          <w:color w:val="auto"/>
          <w:sz w:val="21"/>
          <w:highlight w:val="none"/>
        </w:rPr>
        <w:t>其他：</w:t>
      </w:r>
    </w:p>
    <w:p w14:paraId="044D3151">
      <w:pPr>
        <w:pStyle w:val="273"/>
        <w:ind w:firstLine="440"/>
        <w:rPr>
          <w:rFonts w:ascii="宋体" w:hAnsi="宋体" w:eastAsia="宋体" w:cs="Times New Roman"/>
          <w:color w:val="auto"/>
          <w:sz w:val="21"/>
          <w:highlight w:val="none"/>
        </w:rPr>
      </w:pPr>
      <w:r>
        <w:rPr>
          <w:rFonts w:hint="eastAsia" w:ascii="宋体" w:hAnsi="宋体"/>
          <w:color w:val="auto"/>
          <w:highlight w:val="none"/>
        </w:rPr>
        <w:t>（</w:t>
      </w:r>
      <w:r>
        <w:rPr>
          <w:rFonts w:ascii="宋体" w:hAnsi="宋体"/>
          <w:color w:val="auto"/>
          <w:highlight w:val="none"/>
        </w:rPr>
        <w:t>6</w:t>
      </w:r>
      <w:r>
        <w:rPr>
          <w:rFonts w:hint="eastAsia" w:ascii="宋体" w:hAnsi="宋体"/>
          <w:color w:val="auto"/>
          <w:highlight w:val="none"/>
        </w:rPr>
        <w:t>）</w:t>
      </w:r>
      <w:r>
        <w:rPr>
          <w:rFonts w:hint="eastAsia" w:ascii="宋体" w:hAnsi="宋体" w:eastAsia="宋体" w:cs="Times New Roman"/>
          <w:color w:val="auto"/>
          <w:sz w:val="21"/>
          <w:highlight w:val="none"/>
          <w:lang w:eastAsia="zh-CN"/>
        </w:rPr>
        <w:t>中标</w:t>
      </w:r>
      <w:r>
        <w:rPr>
          <w:rFonts w:hint="eastAsia" w:ascii="宋体" w:hAnsi="宋体" w:eastAsia="宋体" w:cs="Times New Roman"/>
          <w:color w:val="auto"/>
          <w:sz w:val="21"/>
          <w:highlight w:val="none"/>
        </w:rPr>
        <w:t>采购标的制造商是否为中小企业：</w:t>
      </w:r>
      <w:r>
        <w:rPr>
          <w:rFonts w:ascii="Wingdings" w:hAnsi="Wingdings" w:eastAsia="Wingdings" w:cs="Wingdings"/>
          <w:color w:val="auto"/>
          <w:sz w:val="21"/>
          <w:highlight w:val="none"/>
        </w:rPr>
        <w:t>¨</w:t>
      </w:r>
      <w:r>
        <w:rPr>
          <w:rFonts w:hint="eastAsia" w:ascii="宋体" w:hAnsi="宋体" w:eastAsia="宋体" w:cs="Times New Roman"/>
          <w:color w:val="auto"/>
          <w:sz w:val="21"/>
          <w:highlight w:val="none"/>
        </w:rPr>
        <w:t xml:space="preserve">是      </w:t>
      </w:r>
      <w:r>
        <w:rPr>
          <w:rFonts w:ascii="Wingdings" w:hAnsi="Wingdings" w:eastAsia="Wingdings" w:cs="Wingdings"/>
          <w:color w:val="auto"/>
          <w:sz w:val="21"/>
          <w:highlight w:val="none"/>
        </w:rPr>
        <w:t>¨</w:t>
      </w:r>
      <w:r>
        <w:rPr>
          <w:rFonts w:hint="eastAsia" w:ascii="宋体" w:hAnsi="宋体" w:eastAsia="宋体" w:cs="Times New Roman"/>
          <w:color w:val="auto"/>
          <w:sz w:val="21"/>
          <w:highlight w:val="none"/>
        </w:rPr>
        <w:t>否</w:t>
      </w:r>
    </w:p>
    <w:p w14:paraId="0F03B1A1">
      <w:pPr>
        <w:spacing w:line="400" w:lineRule="exact"/>
        <w:ind w:firstLine="420"/>
        <w:rPr>
          <w:rFonts w:ascii="宋体" w:hAnsi="宋体"/>
          <w:iCs/>
          <w:color w:val="auto"/>
          <w:szCs w:val="21"/>
          <w:highlight w:val="none"/>
        </w:rPr>
      </w:pPr>
      <w:r>
        <w:rPr>
          <w:rFonts w:hint="eastAsia" w:ascii="宋体" w:hAnsi="宋体"/>
          <w:color w:val="auto"/>
          <w:szCs w:val="21"/>
          <w:highlight w:val="none"/>
        </w:rPr>
        <w:t>本合同是否为专门面向中小企业的采购合同（中小企业预留合同）：</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iCs/>
          <w:color w:val="auto"/>
          <w:szCs w:val="21"/>
          <w:highlight w:val="none"/>
        </w:rPr>
        <w:t>否</w:t>
      </w:r>
    </w:p>
    <w:p w14:paraId="451BB712">
      <w:pPr>
        <w:spacing w:line="400" w:lineRule="exact"/>
        <w:ind w:firstLine="420"/>
        <w:rPr>
          <w:rFonts w:ascii="宋体" w:hAnsi="宋体"/>
          <w:iCs/>
          <w:color w:val="auto"/>
          <w:szCs w:val="21"/>
          <w:highlight w:val="none"/>
        </w:rPr>
      </w:pPr>
      <w:r>
        <w:rPr>
          <w:rFonts w:hint="eastAsia"/>
          <w:color w:val="auto"/>
          <w:highlight w:val="none"/>
        </w:rPr>
        <w:t>若本项目不专门面向中小企业采购，是否给予小微企业评审优惠：</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iCs/>
          <w:color w:val="auto"/>
          <w:szCs w:val="21"/>
          <w:highlight w:val="none"/>
        </w:rPr>
        <w:t>否</w:t>
      </w:r>
    </w:p>
    <w:p w14:paraId="5A969E70">
      <w:pPr>
        <w:spacing w:line="400" w:lineRule="exact"/>
        <w:ind w:firstLine="420"/>
        <w:rPr>
          <w:rFonts w:ascii="宋体" w:hAnsi="宋体"/>
          <w:iCs/>
          <w:color w:val="auto"/>
          <w:szCs w:val="21"/>
          <w:highlight w:val="none"/>
        </w:rPr>
      </w:pPr>
      <w:r>
        <w:rPr>
          <w:rFonts w:hint="eastAsia"/>
          <w:color w:val="auto"/>
          <w:highlight w:val="none"/>
          <w:lang w:eastAsia="zh-CN"/>
        </w:rPr>
        <w:t>中标</w:t>
      </w:r>
      <w:r>
        <w:rPr>
          <w:rFonts w:hint="eastAsia"/>
          <w:color w:val="auto"/>
          <w:highlight w:val="none"/>
        </w:rPr>
        <w:t>采购标的制造商是否为残疾人福利性单位：</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iCs/>
          <w:color w:val="auto"/>
          <w:szCs w:val="21"/>
          <w:highlight w:val="none"/>
        </w:rPr>
        <w:t>否</w:t>
      </w:r>
    </w:p>
    <w:p w14:paraId="44EB2C57">
      <w:pPr>
        <w:spacing w:line="400" w:lineRule="exact"/>
        <w:ind w:firstLine="420"/>
        <w:rPr>
          <w:color w:val="auto"/>
          <w:highlight w:val="none"/>
        </w:rPr>
      </w:pPr>
      <w:r>
        <w:rPr>
          <w:rFonts w:hint="eastAsia"/>
          <w:color w:val="auto"/>
          <w:highlight w:val="none"/>
          <w:lang w:eastAsia="zh-CN"/>
        </w:rPr>
        <w:t>中标</w:t>
      </w:r>
      <w:r>
        <w:rPr>
          <w:rFonts w:hint="eastAsia"/>
          <w:color w:val="auto"/>
          <w:highlight w:val="none"/>
        </w:rPr>
        <w:t>采购标的制造商是否为监狱企业：</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iCs/>
          <w:color w:val="auto"/>
          <w:szCs w:val="21"/>
          <w:highlight w:val="none"/>
        </w:rPr>
        <w:t>否</w:t>
      </w:r>
    </w:p>
    <w:p w14:paraId="5607FC78">
      <w:pPr>
        <w:spacing w:line="400" w:lineRule="exact"/>
        <w:ind w:firstLine="42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7</w:t>
      </w:r>
      <w:r>
        <w:rPr>
          <w:rFonts w:hint="eastAsia" w:ascii="宋体" w:hAnsi="宋体"/>
          <w:color w:val="auto"/>
          <w:szCs w:val="21"/>
          <w:highlight w:val="none"/>
        </w:rPr>
        <w:t>）合同是否分包：</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是       </w:t>
      </w:r>
      <w:r>
        <w:rPr>
          <w:rFonts w:ascii="Wingdings" w:hAnsi="Wingdings" w:eastAsia="Wingdings" w:cs="Wingdings"/>
          <w:iCs/>
          <w:color w:val="auto"/>
          <w:szCs w:val="21"/>
          <w:highlight w:val="none"/>
        </w:rPr>
        <w:t>þ</w:t>
      </w:r>
      <w:r>
        <w:rPr>
          <w:rFonts w:hint="eastAsia" w:ascii="宋体" w:hAnsi="宋体"/>
          <w:iCs/>
          <w:color w:val="auto"/>
          <w:szCs w:val="21"/>
          <w:highlight w:val="none"/>
        </w:rPr>
        <w:t>否</w:t>
      </w:r>
    </w:p>
    <w:p w14:paraId="4EC42EB6">
      <w:pPr>
        <w:spacing w:line="400" w:lineRule="exact"/>
        <w:ind w:firstLine="420"/>
        <w:rPr>
          <w:rFonts w:hint="eastAsia" w:ascii="宋体" w:hAnsi="宋体" w:eastAsia="宋体"/>
          <w:color w:val="auto"/>
          <w:szCs w:val="21"/>
          <w:highlight w:val="none"/>
          <w:u w:val="single"/>
          <w:lang w:val="en-US" w:eastAsia="zh-CN"/>
        </w:rPr>
      </w:pPr>
      <w:r>
        <w:rPr>
          <w:rFonts w:hint="eastAsia" w:ascii="宋体" w:hAnsi="宋体"/>
          <w:color w:val="auto"/>
          <w:szCs w:val="21"/>
          <w:highlight w:val="none"/>
        </w:rPr>
        <w:t>分包主要内容：</w:t>
      </w:r>
      <w:r>
        <w:rPr>
          <w:rFonts w:hint="eastAsia" w:ascii="宋体" w:hAnsi="宋体"/>
          <w:color w:val="auto"/>
          <w:szCs w:val="21"/>
          <w:highlight w:val="none"/>
          <w:lang w:eastAsia="zh-CN"/>
        </w:rPr>
        <w:t>无</w:t>
      </w:r>
    </w:p>
    <w:p w14:paraId="65F9B773">
      <w:pPr>
        <w:spacing w:line="400" w:lineRule="exact"/>
        <w:ind w:firstLine="420"/>
        <w:rPr>
          <w:rFonts w:ascii="宋体" w:hAnsi="宋体"/>
          <w:color w:val="auto"/>
          <w:szCs w:val="21"/>
          <w:highlight w:val="none"/>
          <w:u w:val="single"/>
        </w:rPr>
      </w:pPr>
      <w:r>
        <w:rPr>
          <w:rFonts w:hint="eastAsia" w:ascii="宋体" w:hAnsi="宋体"/>
          <w:color w:val="auto"/>
          <w:szCs w:val="21"/>
          <w:highlight w:val="none"/>
        </w:rPr>
        <w:t>分包供应商/制造商名称（如供应商和制造商不同，请分别填写）：</w:t>
      </w:r>
      <w:r>
        <w:rPr>
          <w:rFonts w:hint="eastAsia" w:ascii="宋体" w:hAnsi="宋体"/>
          <w:color w:val="auto"/>
          <w:szCs w:val="21"/>
          <w:highlight w:val="none"/>
          <w:lang w:eastAsia="zh-CN"/>
        </w:rPr>
        <w:t>无</w:t>
      </w:r>
    </w:p>
    <w:p w14:paraId="670E5205">
      <w:pPr>
        <w:spacing w:line="400" w:lineRule="exact"/>
        <w:ind w:firstLine="420"/>
        <w:rPr>
          <w:rFonts w:ascii="宋体" w:hAnsi="宋体"/>
          <w:color w:val="auto"/>
          <w:szCs w:val="21"/>
          <w:highlight w:val="none"/>
        </w:rPr>
      </w:pPr>
      <w:r>
        <w:rPr>
          <w:rFonts w:hint="eastAsia" w:ascii="宋体" w:hAnsi="宋体"/>
          <w:color w:val="auto"/>
          <w:szCs w:val="21"/>
          <w:highlight w:val="none"/>
        </w:rPr>
        <w:t>分包供应商/制造商类型（如果供应商和制造商不同，只填写制造商类型）：</w:t>
      </w:r>
      <w:r>
        <w:rPr>
          <w:rFonts w:hint="eastAsia" w:ascii="宋体" w:hAnsi="宋体"/>
          <w:color w:val="auto"/>
          <w:szCs w:val="21"/>
          <w:highlight w:val="none"/>
          <w:lang w:eastAsia="zh-CN"/>
        </w:rPr>
        <w:t>无</w:t>
      </w:r>
    </w:p>
    <w:p w14:paraId="22F7BE55">
      <w:pPr>
        <w:spacing w:line="400" w:lineRule="exact"/>
        <w:ind w:firstLine="420"/>
        <w:rPr>
          <w:rFonts w:ascii="宋体" w:hAnsi="宋体"/>
          <w:iCs/>
          <w:color w:val="auto"/>
          <w:szCs w:val="21"/>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大型企业  </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中型企业  </w:t>
      </w:r>
      <w:r>
        <w:rPr>
          <w:rFonts w:ascii="Wingdings" w:hAnsi="Wingdings" w:eastAsia="Wingdings" w:cs="Wingdings"/>
          <w:iCs/>
          <w:color w:val="auto"/>
          <w:szCs w:val="21"/>
          <w:highlight w:val="none"/>
        </w:rPr>
        <w:t>¨</w:t>
      </w:r>
      <w:r>
        <w:rPr>
          <w:rFonts w:hint="eastAsia" w:ascii="宋体" w:hAnsi="宋体"/>
          <w:iCs/>
          <w:color w:val="auto"/>
          <w:szCs w:val="21"/>
          <w:highlight w:val="none"/>
        </w:rPr>
        <w:t>小微型企业</w:t>
      </w:r>
    </w:p>
    <w:p w14:paraId="3160E95B">
      <w:pPr>
        <w:spacing w:line="400" w:lineRule="exact"/>
        <w:ind w:firstLine="420"/>
        <w:rPr>
          <w:rFonts w:eastAsia="华文楷体"/>
          <w:color w:val="auto"/>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残疾人福利性单位</w:t>
      </w:r>
      <w:r>
        <w:rPr>
          <w:rFonts w:ascii="Wingdings" w:hAnsi="Wingdings" w:eastAsia="Wingdings" w:cs="Wingdings"/>
          <w:iCs/>
          <w:color w:val="auto"/>
          <w:szCs w:val="21"/>
          <w:highlight w:val="none"/>
        </w:rPr>
        <w:t>¨</w:t>
      </w:r>
      <w:r>
        <w:rPr>
          <w:rFonts w:hint="eastAsia" w:ascii="宋体" w:hAnsi="宋体"/>
          <w:iCs/>
          <w:color w:val="auto"/>
          <w:szCs w:val="21"/>
          <w:highlight w:val="none"/>
        </w:rPr>
        <w:t>监狱企业</w:t>
      </w:r>
      <w:r>
        <w:rPr>
          <w:rFonts w:ascii="Wingdings" w:hAnsi="Wingdings" w:eastAsia="Wingdings" w:cs="Wingdings"/>
          <w:iCs/>
          <w:color w:val="auto"/>
          <w:szCs w:val="21"/>
          <w:highlight w:val="none"/>
        </w:rPr>
        <w:t>¨</w:t>
      </w:r>
      <w:r>
        <w:rPr>
          <w:rFonts w:hint="eastAsia" w:ascii="宋体" w:hAnsi="宋体"/>
          <w:iCs/>
          <w:color w:val="auto"/>
          <w:szCs w:val="21"/>
          <w:highlight w:val="none"/>
        </w:rPr>
        <w:t>其他</w:t>
      </w:r>
    </w:p>
    <w:p w14:paraId="4998B562">
      <w:pPr>
        <w:spacing w:line="400" w:lineRule="exact"/>
        <w:ind w:firstLine="420"/>
        <w:rPr>
          <w:rFonts w:ascii="宋体" w:hAnsi="宋体" w:cs="宋体"/>
          <w:iCs/>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8</w:t>
      </w:r>
      <w:r>
        <w:rPr>
          <w:rFonts w:hint="eastAsia" w:ascii="宋体" w:hAnsi="宋体" w:cs="宋体"/>
          <w:color w:val="auto"/>
          <w:szCs w:val="21"/>
          <w:highlight w:val="none"/>
        </w:rPr>
        <w:t>）中标（成交）供应商是否为外商投资企业：</w:t>
      </w:r>
      <w:r>
        <w:rPr>
          <w:rFonts w:ascii="Wingdings" w:hAnsi="Wingdings" w:eastAsia="Wingdings" w:cs="Wingdings"/>
          <w:iCs/>
          <w:color w:val="auto"/>
          <w:szCs w:val="21"/>
          <w:highlight w:val="none"/>
        </w:rPr>
        <w:t>¨</w:t>
      </w:r>
      <w:r>
        <w:rPr>
          <w:rFonts w:hint="eastAsia" w:ascii="宋体" w:hAnsi="宋体" w:cs="宋体"/>
          <w:iCs/>
          <w:color w:val="auto"/>
          <w:szCs w:val="21"/>
          <w:highlight w:val="none"/>
        </w:rPr>
        <w:t xml:space="preserve">是       </w:t>
      </w:r>
      <w:r>
        <w:rPr>
          <w:rFonts w:ascii="Wingdings" w:hAnsi="Wingdings" w:eastAsia="Wingdings" w:cs="Wingdings"/>
          <w:iCs/>
          <w:color w:val="auto"/>
          <w:szCs w:val="21"/>
          <w:highlight w:val="none"/>
        </w:rPr>
        <w:t>¨</w:t>
      </w:r>
      <w:r>
        <w:rPr>
          <w:rFonts w:hint="eastAsia" w:ascii="宋体" w:hAnsi="宋体" w:cs="宋体"/>
          <w:iCs/>
          <w:color w:val="auto"/>
          <w:szCs w:val="21"/>
          <w:highlight w:val="none"/>
        </w:rPr>
        <w:t>否</w:t>
      </w:r>
    </w:p>
    <w:p w14:paraId="013B5706">
      <w:pPr>
        <w:pStyle w:val="273"/>
        <w:tabs>
          <w:tab w:val="left" w:pos="1340"/>
        </w:tabs>
        <w:ind w:firstLine="420"/>
        <w:rPr>
          <w:rFonts w:ascii="宋体" w:hAnsi="宋体" w:eastAsia="宋体" w:cs="宋体"/>
          <w:color w:val="auto"/>
          <w:sz w:val="21"/>
          <w:highlight w:val="none"/>
          <w:u w:val="single"/>
        </w:rPr>
      </w:pPr>
      <w:r>
        <w:rPr>
          <w:rFonts w:hint="eastAsia" w:ascii="宋体" w:hAnsi="宋体" w:eastAsia="宋体" w:cs="宋体"/>
          <w:color w:val="auto"/>
          <w:sz w:val="21"/>
          <w:highlight w:val="none"/>
        </w:rPr>
        <w:t>外商投资企业类型：</w:t>
      </w:r>
      <w:r>
        <w:rPr>
          <w:rFonts w:ascii="Wingdings" w:hAnsi="Wingdings" w:eastAsia="Wingdings" w:cs="Wingdings"/>
          <w:iCs/>
          <w:color w:val="auto"/>
          <w:sz w:val="21"/>
          <w:highlight w:val="none"/>
        </w:rPr>
        <w:t>¨</w:t>
      </w:r>
      <w:r>
        <w:rPr>
          <w:rFonts w:hint="eastAsia" w:ascii="宋体" w:hAnsi="宋体" w:eastAsia="宋体" w:cs="宋体"/>
          <w:color w:val="auto"/>
          <w:sz w:val="21"/>
          <w:highlight w:val="none"/>
        </w:rPr>
        <w:t xml:space="preserve">全部由外国投资者投资  </w:t>
      </w:r>
      <w:r>
        <w:rPr>
          <w:rFonts w:ascii="Wingdings" w:hAnsi="Wingdings" w:eastAsia="Wingdings" w:cs="Wingdings"/>
          <w:iCs/>
          <w:color w:val="auto"/>
          <w:sz w:val="21"/>
          <w:highlight w:val="none"/>
        </w:rPr>
        <w:t>¨</w:t>
      </w:r>
      <w:r>
        <w:rPr>
          <w:rFonts w:hint="eastAsia" w:ascii="宋体" w:hAnsi="宋体" w:eastAsia="宋体" w:cs="宋体"/>
          <w:iCs/>
          <w:color w:val="auto"/>
          <w:sz w:val="21"/>
          <w:highlight w:val="none"/>
        </w:rPr>
        <w:t>部分由外国投资者投资</w:t>
      </w:r>
    </w:p>
    <w:p w14:paraId="47651D86">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9</w:t>
      </w:r>
      <w:r>
        <w:rPr>
          <w:rFonts w:hint="eastAsia" w:ascii="宋体" w:hAnsi="宋体" w:cs="宋体"/>
          <w:color w:val="auto"/>
          <w:szCs w:val="21"/>
          <w:highlight w:val="none"/>
        </w:rPr>
        <w:t>）是否涉及进口产品：</w:t>
      </w:r>
    </w:p>
    <w:p w14:paraId="3E64AF83">
      <w:pPr>
        <w:spacing w:line="400" w:lineRule="exact"/>
        <w:ind w:firstLine="420"/>
        <w:rPr>
          <w:rFonts w:ascii="宋体" w:hAnsi="宋体" w:cs="宋体"/>
          <w:color w:val="auto"/>
          <w:szCs w:val="21"/>
          <w:highlight w:val="none"/>
          <w:u w:val="single"/>
        </w:rPr>
      </w:pPr>
      <w:r>
        <w:rPr>
          <w:rFonts w:ascii="Wingdings" w:hAnsi="Wingdings" w:eastAsia="Wingdings" w:cs="Wingdings"/>
          <w:color w:val="auto"/>
          <w:szCs w:val="21"/>
          <w:highlight w:val="none"/>
        </w:rPr>
        <w:t>¨</w:t>
      </w:r>
      <w:r>
        <w:rPr>
          <w:rFonts w:hint="eastAsia" w:ascii="宋体" w:hAnsi="宋体" w:cs="宋体"/>
          <w:color w:val="auto"/>
          <w:szCs w:val="21"/>
          <w:highlight w:val="none"/>
        </w:rPr>
        <w:t>是，《政府采购品目分类目录》底级品目名称：金额：</w:t>
      </w:r>
    </w:p>
    <w:p w14:paraId="018F612E">
      <w:pPr>
        <w:spacing w:line="400" w:lineRule="exact"/>
        <w:ind w:firstLine="420"/>
        <w:rPr>
          <w:rFonts w:ascii="宋体" w:hAnsi="宋体"/>
          <w:color w:val="auto"/>
          <w:szCs w:val="21"/>
          <w:highlight w:val="none"/>
        </w:rPr>
      </w:pPr>
      <w:r>
        <w:rPr>
          <w:rFonts w:hint="eastAsia" w:ascii="宋体" w:hAnsi="宋体" w:cs="宋体"/>
          <w:color w:val="auto"/>
          <w:szCs w:val="21"/>
          <w:highlight w:val="none"/>
        </w:rPr>
        <w:t>国别：品牌： 规格型号：</w:t>
      </w:r>
    </w:p>
    <w:p w14:paraId="2DD2D74A">
      <w:pPr>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þ</w:t>
      </w:r>
      <w:r>
        <w:rPr>
          <w:rFonts w:hint="eastAsia" w:ascii="宋体" w:hAnsi="宋体"/>
          <w:color w:val="auto"/>
          <w:szCs w:val="21"/>
          <w:highlight w:val="none"/>
        </w:rPr>
        <w:t>否</w:t>
      </w:r>
    </w:p>
    <w:p w14:paraId="73994BDF">
      <w:pPr>
        <w:tabs>
          <w:tab w:val="left" w:pos="740"/>
        </w:tabs>
        <w:spacing w:line="400" w:lineRule="exact"/>
        <w:ind w:firstLine="42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）是否涉及节能产品：</w:t>
      </w:r>
    </w:p>
    <w:p w14:paraId="79B1B10F">
      <w:pPr>
        <w:tabs>
          <w:tab w:val="left" w:pos="740"/>
        </w:tabs>
        <w:spacing w:line="400" w:lineRule="exact"/>
        <w:ind w:firstLine="420"/>
        <w:rPr>
          <w:rFonts w:ascii="宋体" w:hAnsi="宋体"/>
          <w:iCs/>
          <w:color w:val="auto"/>
          <w:szCs w:val="21"/>
          <w:highlight w:val="none"/>
        </w:rPr>
      </w:pPr>
      <w:r>
        <w:rPr>
          <w:rFonts w:ascii="Wingdings" w:hAnsi="Wingdings" w:eastAsia="Wingdings" w:cs="Wingdings"/>
          <w:color w:val="auto"/>
          <w:szCs w:val="21"/>
          <w:highlight w:val="none"/>
        </w:rPr>
        <w:t>¨</w:t>
      </w:r>
      <w:r>
        <w:rPr>
          <w:rFonts w:hint="eastAsia" w:ascii="宋体" w:hAnsi="宋体"/>
          <w:color w:val="auto"/>
          <w:szCs w:val="21"/>
          <w:highlight w:val="none"/>
        </w:rPr>
        <w:t>是，《节能产品政府采购品目清单》的底级品目名称：</w:t>
      </w:r>
    </w:p>
    <w:p w14:paraId="6049F47B">
      <w:pPr>
        <w:tabs>
          <w:tab w:val="left" w:pos="740"/>
        </w:tabs>
        <w:spacing w:line="400" w:lineRule="exact"/>
        <w:ind w:firstLine="420"/>
        <w:rPr>
          <w:rFonts w:ascii="宋体" w:hAnsi="宋体"/>
          <w:iCs/>
          <w:color w:val="auto"/>
          <w:szCs w:val="21"/>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强制采购</w:t>
      </w:r>
      <w:r>
        <w:rPr>
          <w:rFonts w:ascii="Wingdings" w:hAnsi="Wingdings" w:eastAsia="Wingdings" w:cs="Wingdings"/>
          <w:iCs/>
          <w:color w:val="auto"/>
          <w:szCs w:val="21"/>
          <w:highlight w:val="none"/>
        </w:rPr>
        <w:t>¨</w:t>
      </w:r>
      <w:r>
        <w:rPr>
          <w:rFonts w:hint="eastAsia" w:ascii="宋体" w:hAnsi="宋体"/>
          <w:iCs/>
          <w:color w:val="auto"/>
          <w:szCs w:val="21"/>
          <w:highlight w:val="none"/>
        </w:rPr>
        <w:t>优先采购</w:t>
      </w:r>
    </w:p>
    <w:p w14:paraId="77167D44">
      <w:pPr>
        <w:tabs>
          <w:tab w:val="left" w:pos="740"/>
        </w:tabs>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þ</w:t>
      </w:r>
      <w:r>
        <w:rPr>
          <w:rFonts w:hint="eastAsia" w:ascii="宋体" w:hAnsi="宋体"/>
          <w:color w:val="auto"/>
          <w:szCs w:val="21"/>
          <w:highlight w:val="none"/>
        </w:rPr>
        <w:t>否</w:t>
      </w:r>
    </w:p>
    <w:p w14:paraId="24D27D62">
      <w:pPr>
        <w:tabs>
          <w:tab w:val="left" w:pos="740"/>
        </w:tabs>
        <w:spacing w:line="400" w:lineRule="exact"/>
        <w:ind w:firstLine="420"/>
        <w:rPr>
          <w:rFonts w:ascii="宋体" w:hAnsi="宋体"/>
          <w:color w:val="auto"/>
          <w:szCs w:val="21"/>
          <w:highlight w:val="none"/>
        </w:rPr>
      </w:pPr>
      <w:r>
        <w:rPr>
          <w:rFonts w:hint="eastAsia" w:ascii="宋体" w:hAnsi="宋体"/>
          <w:color w:val="auto"/>
          <w:szCs w:val="21"/>
          <w:highlight w:val="none"/>
        </w:rPr>
        <w:t>是否涉及环境标志产品：</w:t>
      </w:r>
    </w:p>
    <w:p w14:paraId="5E306117">
      <w:pPr>
        <w:tabs>
          <w:tab w:val="left" w:pos="740"/>
        </w:tabs>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w:t>
      </w:r>
      <w:r>
        <w:rPr>
          <w:rFonts w:hint="eastAsia" w:ascii="宋体" w:hAnsi="宋体"/>
          <w:color w:val="auto"/>
          <w:szCs w:val="21"/>
          <w:highlight w:val="none"/>
        </w:rPr>
        <w:t>是，《环境标志产品政府采购品目清单》的底级品目名称：</w:t>
      </w:r>
    </w:p>
    <w:p w14:paraId="5CA2DA99">
      <w:pPr>
        <w:tabs>
          <w:tab w:val="left" w:pos="740"/>
        </w:tabs>
        <w:spacing w:line="400" w:lineRule="exact"/>
        <w:ind w:firstLine="420"/>
        <w:rPr>
          <w:rFonts w:ascii="宋体" w:hAnsi="宋体"/>
          <w:iCs/>
          <w:color w:val="auto"/>
          <w:szCs w:val="21"/>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强制采购</w:t>
      </w:r>
      <w:r>
        <w:rPr>
          <w:rFonts w:ascii="Wingdings" w:hAnsi="Wingdings" w:eastAsia="Wingdings" w:cs="Wingdings"/>
          <w:iCs/>
          <w:color w:val="auto"/>
          <w:szCs w:val="21"/>
          <w:highlight w:val="none"/>
        </w:rPr>
        <w:t>¨</w:t>
      </w:r>
      <w:r>
        <w:rPr>
          <w:rFonts w:hint="eastAsia" w:ascii="宋体" w:hAnsi="宋体"/>
          <w:iCs/>
          <w:color w:val="auto"/>
          <w:szCs w:val="21"/>
          <w:highlight w:val="none"/>
        </w:rPr>
        <w:t>优先采购</w:t>
      </w:r>
    </w:p>
    <w:p w14:paraId="11576B57">
      <w:pPr>
        <w:tabs>
          <w:tab w:val="left" w:pos="740"/>
        </w:tabs>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þ</w:t>
      </w:r>
      <w:r>
        <w:rPr>
          <w:rFonts w:hint="eastAsia" w:ascii="宋体" w:hAnsi="宋体"/>
          <w:color w:val="auto"/>
          <w:szCs w:val="21"/>
          <w:highlight w:val="none"/>
        </w:rPr>
        <w:t>否</w:t>
      </w:r>
    </w:p>
    <w:p w14:paraId="3E1A5E17">
      <w:pPr>
        <w:pStyle w:val="273"/>
        <w:ind w:firstLine="420"/>
        <w:rPr>
          <w:rFonts w:ascii="宋体" w:hAnsi="宋体" w:eastAsia="宋体" w:cs="Times New Roman"/>
          <w:color w:val="auto"/>
          <w:sz w:val="21"/>
          <w:highlight w:val="none"/>
        </w:rPr>
      </w:pPr>
      <w:r>
        <w:rPr>
          <w:rFonts w:hint="eastAsia" w:ascii="宋体" w:hAnsi="宋体" w:eastAsia="宋体" w:cs="Times New Roman"/>
          <w:color w:val="auto"/>
          <w:sz w:val="21"/>
          <w:highlight w:val="none"/>
        </w:rPr>
        <w:t>是否涉及绿色产品：</w:t>
      </w:r>
    </w:p>
    <w:p w14:paraId="7D984AE7">
      <w:pPr>
        <w:pStyle w:val="273"/>
        <w:ind w:firstLine="420"/>
        <w:rPr>
          <w:rFonts w:ascii="宋体" w:hAnsi="宋体" w:eastAsia="宋体"/>
          <w:color w:val="auto"/>
          <w:highlight w:val="none"/>
          <w:u w:val="single"/>
        </w:rPr>
      </w:pPr>
      <w:r>
        <w:rPr>
          <w:rFonts w:ascii="Wingdings" w:hAnsi="Wingdings" w:eastAsia="Wingdings" w:cs="Wingdings"/>
          <w:color w:val="auto"/>
          <w:sz w:val="21"/>
          <w:highlight w:val="none"/>
        </w:rPr>
        <w:t>¨</w:t>
      </w:r>
      <w:r>
        <w:rPr>
          <w:rFonts w:hint="eastAsia" w:ascii="宋体" w:hAnsi="宋体" w:eastAsia="宋体" w:cs="Times New Roman"/>
          <w:color w:val="auto"/>
          <w:sz w:val="21"/>
          <w:highlight w:val="none"/>
        </w:rPr>
        <w:t>是，绿色产品政府采购相关政策确定的底级品目名称：</w:t>
      </w:r>
    </w:p>
    <w:p w14:paraId="760A7A0A">
      <w:pPr>
        <w:tabs>
          <w:tab w:val="left" w:pos="740"/>
        </w:tabs>
        <w:spacing w:line="400" w:lineRule="exact"/>
        <w:ind w:firstLine="420"/>
        <w:rPr>
          <w:rFonts w:ascii="宋体" w:hAnsi="宋体"/>
          <w:iCs/>
          <w:color w:val="auto"/>
          <w:szCs w:val="21"/>
          <w:highlight w:val="none"/>
        </w:rPr>
      </w:pPr>
      <w:r>
        <w:rPr>
          <w:rFonts w:ascii="Wingdings" w:hAnsi="Wingdings" w:eastAsia="Wingdings" w:cs="Wingdings"/>
          <w:iCs/>
          <w:color w:val="auto"/>
          <w:szCs w:val="21"/>
          <w:highlight w:val="none"/>
        </w:rPr>
        <w:t>¨</w:t>
      </w:r>
      <w:r>
        <w:rPr>
          <w:rFonts w:hint="eastAsia" w:ascii="宋体" w:hAnsi="宋体"/>
          <w:iCs/>
          <w:color w:val="auto"/>
          <w:szCs w:val="21"/>
          <w:highlight w:val="none"/>
        </w:rPr>
        <w:t>强制采购</w:t>
      </w:r>
      <w:r>
        <w:rPr>
          <w:rFonts w:ascii="Wingdings" w:hAnsi="Wingdings" w:eastAsia="Wingdings" w:cs="Wingdings"/>
          <w:iCs/>
          <w:color w:val="auto"/>
          <w:szCs w:val="21"/>
          <w:highlight w:val="none"/>
        </w:rPr>
        <w:t>¨</w:t>
      </w:r>
      <w:r>
        <w:rPr>
          <w:rFonts w:hint="eastAsia" w:ascii="宋体" w:hAnsi="宋体"/>
          <w:iCs/>
          <w:color w:val="auto"/>
          <w:szCs w:val="21"/>
          <w:highlight w:val="none"/>
        </w:rPr>
        <w:t>优先采购</w:t>
      </w:r>
    </w:p>
    <w:p w14:paraId="48FA0A59">
      <w:pPr>
        <w:pStyle w:val="273"/>
        <w:ind w:firstLine="420"/>
        <w:rPr>
          <w:rFonts w:ascii="宋体" w:hAnsi="宋体"/>
          <w:color w:val="auto"/>
          <w:sz w:val="21"/>
          <w:highlight w:val="none"/>
        </w:rPr>
      </w:pPr>
      <w:r>
        <w:rPr>
          <w:rFonts w:ascii="Wingdings" w:hAnsi="Wingdings" w:eastAsia="Wingdings" w:cs="Wingdings"/>
          <w:color w:val="auto"/>
          <w:sz w:val="21"/>
          <w:highlight w:val="none"/>
        </w:rPr>
        <w:t>þ</w:t>
      </w:r>
      <w:r>
        <w:rPr>
          <w:rFonts w:hint="eastAsia" w:ascii="宋体" w:hAnsi="宋体" w:eastAsia="宋体" w:cs="Times New Roman"/>
          <w:color w:val="auto"/>
          <w:sz w:val="21"/>
          <w:highlight w:val="none"/>
        </w:rPr>
        <w:t>否</w:t>
      </w:r>
    </w:p>
    <w:p w14:paraId="7AB75C87">
      <w:pPr>
        <w:spacing w:line="400" w:lineRule="exact"/>
        <w:ind w:firstLine="42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）涉及商品包装和快递包装的，是否参考《商品包装政府采购需求标准（试行）》《快递包装政府采购需求标准（试行）》明确产品及相关快递服务的具体包装要求：</w:t>
      </w:r>
    </w:p>
    <w:p w14:paraId="481FF7F9">
      <w:pPr>
        <w:spacing w:line="400" w:lineRule="exact"/>
        <w:ind w:firstLine="420"/>
        <w:rPr>
          <w:rFonts w:ascii="宋体" w:hAnsi="宋体"/>
          <w:color w:val="auto"/>
          <w:szCs w:val="21"/>
          <w:highlight w:val="none"/>
        </w:rPr>
      </w:pPr>
      <w:r>
        <w:rPr>
          <w:rFonts w:ascii="Wingdings" w:hAnsi="Wingdings" w:eastAsia="Wingdings" w:cs="Wingdings"/>
          <w:color w:val="auto"/>
          <w:szCs w:val="21"/>
          <w:highlight w:val="none"/>
        </w:rPr>
        <w:t>¨</w:t>
      </w:r>
      <w:r>
        <w:rPr>
          <w:rFonts w:hint="eastAsia" w:ascii="宋体" w:hAnsi="宋体"/>
          <w:color w:val="auto"/>
          <w:szCs w:val="21"/>
          <w:highlight w:val="none"/>
        </w:rPr>
        <w:t xml:space="preserve">是       </w:t>
      </w:r>
      <w:r>
        <w:rPr>
          <w:rFonts w:ascii="Wingdings" w:hAnsi="Wingdings" w:eastAsia="Wingdings" w:cs="Wingdings"/>
          <w:color w:val="auto"/>
          <w:szCs w:val="21"/>
          <w:highlight w:val="none"/>
        </w:rPr>
        <w:t>¨</w:t>
      </w:r>
      <w:r>
        <w:rPr>
          <w:rFonts w:hint="eastAsia" w:ascii="宋体" w:hAnsi="宋体"/>
          <w:color w:val="auto"/>
          <w:szCs w:val="21"/>
          <w:highlight w:val="none"/>
        </w:rPr>
        <w:t>否</w:t>
      </w:r>
      <w:r>
        <w:rPr>
          <w:rFonts w:hint="eastAsia" w:ascii="宋体" w:hAnsi="宋体"/>
          <w:color w:val="auto"/>
          <w:szCs w:val="21"/>
          <w:highlight w:val="none"/>
          <w:lang w:val="en-US" w:eastAsia="zh-CN"/>
        </w:rPr>
        <w:t xml:space="preserve">    </w:t>
      </w:r>
      <w:r>
        <w:rPr>
          <w:rFonts w:ascii="Wingdings" w:hAnsi="Wingdings" w:eastAsia="Wingdings" w:cs="Wingdings"/>
          <w:color w:val="auto"/>
          <w:szCs w:val="21"/>
          <w:highlight w:val="none"/>
        </w:rPr>
        <w:t>þ</w:t>
      </w:r>
      <w:r>
        <w:rPr>
          <w:rFonts w:hint="eastAsia" w:ascii="宋体" w:hAnsi="宋体"/>
          <w:color w:val="auto"/>
          <w:szCs w:val="21"/>
          <w:highlight w:val="none"/>
        </w:rPr>
        <w:t>不涉及</w:t>
      </w:r>
    </w:p>
    <w:p w14:paraId="5AEBFAB1">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合同金额</w:t>
      </w:r>
    </w:p>
    <w:p w14:paraId="5D761FE6">
      <w:pPr>
        <w:numPr>
          <w:ilvl w:val="0"/>
          <w:numId w:val="8"/>
        </w:numPr>
        <w:spacing w:line="400" w:lineRule="exact"/>
        <w:ind w:firstLine="420"/>
        <w:rPr>
          <w:rFonts w:hint="eastAsia" w:ascii="宋体" w:hAnsi="宋体"/>
          <w:color w:val="auto"/>
          <w:szCs w:val="21"/>
          <w:highlight w:val="none"/>
          <w:u w:val="single"/>
          <w:lang w:val="en-US" w:eastAsia="zh-CN"/>
        </w:rPr>
      </w:pPr>
      <w:r>
        <w:rPr>
          <w:rFonts w:hint="eastAsia" w:ascii="宋体" w:hAnsi="宋体"/>
          <w:color w:val="auto"/>
          <w:szCs w:val="21"/>
          <w:highlight w:val="none"/>
        </w:rPr>
        <w:t>合同金额小写：</w:t>
      </w:r>
      <w:r>
        <w:rPr>
          <w:rFonts w:hint="eastAsia" w:ascii="宋体" w:hAnsi="宋体"/>
          <w:color w:val="auto"/>
          <w:szCs w:val="21"/>
          <w:highlight w:val="none"/>
          <w:u w:val="single"/>
          <w:lang w:val="en-US" w:eastAsia="zh-CN"/>
        </w:rPr>
        <w:t xml:space="preserve">             </w:t>
      </w:r>
    </w:p>
    <w:p w14:paraId="5BEF9EB4">
      <w:pPr>
        <w:numPr>
          <w:ilvl w:val="0"/>
          <w:numId w:val="8"/>
        </w:numPr>
        <w:spacing w:line="400" w:lineRule="exact"/>
        <w:ind w:firstLine="420"/>
        <w:rPr>
          <w:rFonts w:ascii="宋体" w:hAnsi="宋体"/>
          <w:color w:val="auto"/>
          <w:szCs w:val="21"/>
          <w:highlight w:val="none"/>
          <w:u w:val="single"/>
        </w:rPr>
      </w:pPr>
      <w:r>
        <w:rPr>
          <w:rFonts w:hint="eastAsia" w:ascii="宋体" w:hAnsi="宋体"/>
          <w:color w:val="auto"/>
          <w:szCs w:val="21"/>
          <w:highlight w:val="none"/>
        </w:rPr>
        <w:t>大写：</w:t>
      </w:r>
      <w:r>
        <w:rPr>
          <w:rFonts w:hint="eastAsia" w:ascii="宋体" w:hAnsi="宋体"/>
          <w:color w:val="auto"/>
          <w:szCs w:val="21"/>
          <w:highlight w:val="none"/>
          <w:u w:val="single"/>
          <w:lang w:val="en-US" w:eastAsia="zh-CN"/>
        </w:rPr>
        <w:t xml:space="preserve">             </w:t>
      </w:r>
    </w:p>
    <w:p w14:paraId="5A7F976F">
      <w:pPr>
        <w:spacing w:line="400" w:lineRule="exact"/>
        <w:ind w:firstLine="420"/>
        <w:rPr>
          <w:rFonts w:hint="eastAsia" w:ascii="宋体" w:hAnsi="宋体"/>
          <w:color w:val="auto"/>
          <w:szCs w:val="21"/>
          <w:highlight w:val="none"/>
        </w:rPr>
      </w:pPr>
      <w:r>
        <w:rPr>
          <w:rFonts w:hint="eastAsia" w:ascii="宋体" w:hAnsi="宋体"/>
          <w:color w:val="auto"/>
          <w:szCs w:val="21"/>
          <w:highlight w:val="none"/>
        </w:rPr>
        <w:t>（注：固定单价合同应填写单价和最高限价）</w:t>
      </w:r>
    </w:p>
    <w:p w14:paraId="3E80F2D9">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合同价应该包括：</w:t>
      </w:r>
    </w:p>
    <w:p w14:paraId="425E12F7">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①货物采购成本、二次搬运、利润及标准附件、备品备件、专用工具的价格；</w:t>
      </w:r>
    </w:p>
    <w:p w14:paraId="10FAB894">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②运输、装卸、调试、技术支持、售后服务、招标代理服务费等费用；</w:t>
      </w:r>
    </w:p>
    <w:p w14:paraId="27AA9246">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③必要的保险费用和各项税费；</w:t>
      </w:r>
    </w:p>
    <w:p w14:paraId="49A87FF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④设备安装、培训费（含教材费、场地租用）；</w:t>
      </w:r>
    </w:p>
    <w:p w14:paraId="6BCEFFC3">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⑤履约验收的费用；</w:t>
      </w:r>
    </w:p>
    <w:p w14:paraId="54C77C51">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⑥如招标文件对其另有规定的，从其规定。</w:t>
      </w:r>
    </w:p>
    <w:p w14:paraId="206C5B55">
      <w:pPr>
        <w:spacing w:line="360" w:lineRule="auto"/>
        <w:ind w:firstLine="420"/>
        <w:rPr>
          <w:rFonts w:ascii="宋体" w:hAnsi="宋体"/>
          <w:color w:val="auto"/>
          <w:szCs w:val="21"/>
          <w:highlight w:val="none"/>
        </w:rPr>
      </w:pPr>
      <w:r>
        <w:rPr>
          <w:rFonts w:hint="eastAsia" w:ascii="宋体" w:hAnsi="宋体" w:cs="宋体"/>
          <w:bCs/>
          <w:color w:val="auto"/>
          <w:szCs w:val="21"/>
          <w:highlight w:val="none"/>
        </w:rPr>
        <w:t>（2）合同定价方式（采用组合定价方式的，可</w:t>
      </w:r>
      <w:r>
        <w:rPr>
          <w:rFonts w:hint="eastAsia" w:ascii="宋体" w:hAnsi="宋体"/>
          <w:color w:val="auto"/>
          <w:szCs w:val="21"/>
          <w:highlight w:val="none"/>
        </w:rPr>
        <w:t>以勾选多项）：</w:t>
      </w:r>
    </w:p>
    <w:p w14:paraId="1E092390">
      <w:pPr>
        <w:spacing w:line="400" w:lineRule="exact"/>
        <w:ind w:firstLine="420"/>
        <w:rPr>
          <w:rFonts w:ascii="宋体" w:hAnsi="宋体"/>
          <w:color w:val="auto"/>
          <w:szCs w:val="21"/>
          <w:highlight w:val="none"/>
        </w:rPr>
      </w:pPr>
      <w:r>
        <w:rPr>
          <w:rFonts w:ascii="Wingdings" w:hAnsi="Wingdings" w:eastAsia="Wingdings" w:cs="Wingdings"/>
          <w:iCs/>
          <w:color w:val="auto"/>
          <w:szCs w:val="21"/>
          <w:highlight w:val="none"/>
        </w:rPr>
        <w:t>þ</w:t>
      </w:r>
      <w:r>
        <w:rPr>
          <w:rFonts w:hint="eastAsia" w:ascii="宋体" w:hAnsi="宋体"/>
          <w:iCs/>
          <w:color w:val="auto"/>
          <w:szCs w:val="21"/>
          <w:highlight w:val="none"/>
        </w:rPr>
        <w:t xml:space="preserve">固定总价 </w:t>
      </w:r>
      <w:r>
        <w:rPr>
          <w:rFonts w:ascii="Wingdings" w:hAnsi="Wingdings" w:eastAsia="Wingdings" w:cs="Wingdings"/>
          <w:iCs/>
          <w:color w:val="auto"/>
          <w:szCs w:val="21"/>
          <w:highlight w:val="none"/>
        </w:rPr>
        <w:t>¨</w:t>
      </w:r>
      <w:r>
        <w:rPr>
          <w:rFonts w:hint="eastAsia" w:ascii="宋体" w:hAnsi="宋体"/>
          <w:iCs/>
          <w:color w:val="auto"/>
          <w:szCs w:val="21"/>
          <w:highlight w:val="none"/>
        </w:rPr>
        <w:t>固定单价</w:t>
      </w:r>
      <w:r>
        <w:rPr>
          <w:rFonts w:ascii="Wingdings" w:hAnsi="Wingdings" w:eastAsia="Wingdings" w:cs="Wingdings"/>
          <w:iCs/>
          <w:color w:val="auto"/>
          <w:szCs w:val="21"/>
          <w:highlight w:val="none"/>
        </w:rPr>
        <w:t>¨</w:t>
      </w:r>
      <w:r>
        <w:rPr>
          <w:rFonts w:hint="eastAsia" w:ascii="宋体" w:hAnsi="宋体"/>
          <w:iCs/>
          <w:color w:val="auto"/>
          <w:szCs w:val="21"/>
          <w:highlight w:val="none"/>
        </w:rPr>
        <w:t>固定费率</w:t>
      </w:r>
      <w:r>
        <w:rPr>
          <w:rFonts w:ascii="Wingdings" w:hAnsi="Wingdings" w:eastAsia="Wingdings" w:cs="Wingdings"/>
          <w:iCs/>
          <w:color w:val="auto"/>
          <w:szCs w:val="21"/>
          <w:highlight w:val="none"/>
        </w:rPr>
        <w:t>¨</w:t>
      </w:r>
      <w:r>
        <w:rPr>
          <w:rFonts w:hint="eastAsia" w:ascii="宋体" w:hAnsi="宋体"/>
          <w:iCs/>
          <w:color w:val="auto"/>
          <w:szCs w:val="21"/>
          <w:highlight w:val="none"/>
        </w:rPr>
        <w:t xml:space="preserve">成本补偿 </w:t>
      </w:r>
      <w:r>
        <w:rPr>
          <w:rFonts w:ascii="Wingdings" w:hAnsi="Wingdings" w:eastAsia="Wingdings" w:cs="Wingdings"/>
          <w:iCs/>
          <w:color w:val="auto"/>
          <w:szCs w:val="21"/>
          <w:highlight w:val="none"/>
        </w:rPr>
        <w:t>¨</w:t>
      </w:r>
      <w:r>
        <w:rPr>
          <w:rFonts w:hint="eastAsia" w:ascii="宋体" w:hAnsi="宋体"/>
          <w:iCs/>
          <w:color w:val="auto"/>
          <w:szCs w:val="21"/>
          <w:highlight w:val="none"/>
        </w:rPr>
        <w:t>绩效激励</w:t>
      </w:r>
      <w:r>
        <w:rPr>
          <w:rFonts w:ascii="Wingdings" w:hAnsi="Wingdings" w:eastAsia="Wingdings" w:cs="Wingdings"/>
          <w:iCs/>
          <w:color w:val="auto"/>
          <w:szCs w:val="21"/>
          <w:highlight w:val="none"/>
        </w:rPr>
        <w:t>¨</w:t>
      </w:r>
      <w:r>
        <w:rPr>
          <w:rFonts w:hint="eastAsia" w:ascii="宋体" w:hAnsi="宋体"/>
          <w:iCs/>
          <w:color w:val="auto"/>
          <w:szCs w:val="21"/>
          <w:highlight w:val="none"/>
        </w:rPr>
        <w:t>其他</w:t>
      </w:r>
    </w:p>
    <w:p w14:paraId="663918D7">
      <w:pPr>
        <w:pStyle w:val="316"/>
        <w:spacing w:line="400" w:lineRule="exact"/>
        <w:ind w:firstLine="420"/>
        <w:rPr>
          <w:rFonts w:ascii="宋体" w:hAnsi="宋体"/>
          <w:color w:val="auto"/>
          <w:szCs w:val="21"/>
          <w:highlight w:val="none"/>
        </w:rPr>
      </w:pPr>
      <w:r>
        <w:rPr>
          <w:rFonts w:hint="eastAsia" w:ascii="宋体" w:hAnsi="宋体"/>
          <w:color w:val="auto"/>
          <w:highlight w:val="none"/>
        </w:rPr>
        <w:t>（3）付款方式：</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 w:val="21"/>
          <w:szCs w:val="21"/>
          <w:highlight w:val="none"/>
          <w:lang w:bidi="ar"/>
        </w:rPr>
        <w:t>。</w:t>
      </w:r>
    </w:p>
    <w:p w14:paraId="56D06AF8">
      <w:pPr>
        <w:numPr>
          <w:ilvl w:val="0"/>
          <w:numId w:val="6"/>
        </w:numPr>
        <w:spacing w:line="400" w:lineRule="exact"/>
        <w:ind w:firstLine="422"/>
        <w:rPr>
          <w:rFonts w:ascii="宋体" w:hAnsi="宋体"/>
          <w:b/>
          <w:color w:val="auto"/>
          <w:szCs w:val="21"/>
          <w:highlight w:val="none"/>
          <w:u w:val="single"/>
        </w:rPr>
      </w:pPr>
      <w:r>
        <w:rPr>
          <w:rFonts w:hint="eastAsia" w:ascii="宋体" w:hAnsi="宋体"/>
          <w:b/>
          <w:color w:val="auto"/>
          <w:szCs w:val="21"/>
          <w:highlight w:val="none"/>
        </w:rPr>
        <w:t>合同履行</w:t>
      </w:r>
    </w:p>
    <w:p w14:paraId="2E2EFAB2">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（1）起始日期：</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日，完成日期：</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日。</w:t>
      </w:r>
    </w:p>
    <w:p w14:paraId="1E8C3BE2">
      <w:pPr>
        <w:spacing w:line="40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（2）履约地点</w:t>
      </w:r>
      <w:r>
        <w:rPr>
          <w:rFonts w:hint="eastAsia" w:ascii="宋体" w:hAnsi="宋体" w:cs="宋体"/>
          <w:bCs/>
          <w:color w:val="auto"/>
          <w:szCs w:val="21"/>
          <w:highlight w:val="none"/>
        </w:rPr>
        <w:t>：</w:t>
      </w:r>
      <w:r>
        <w:rPr>
          <w:rFonts w:hint="eastAsia" w:ascii="宋体" w:hAnsi="宋体" w:cs="宋体"/>
          <w:color w:val="auto"/>
          <w:szCs w:val="21"/>
          <w:highlight w:val="none"/>
          <w:u w:val="single"/>
          <w:lang w:val="en-US" w:eastAsia="zh-CN"/>
        </w:rPr>
        <w:t xml:space="preserve">                </w:t>
      </w:r>
    </w:p>
    <w:p w14:paraId="37CAFD01">
      <w:pPr>
        <w:spacing w:line="400" w:lineRule="exact"/>
        <w:ind w:firstLine="420"/>
        <w:rPr>
          <w:rFonts w:ascii="宋体" w:hAnsi="宋体" w:cs="宋体"/>
          <w:color w:val="auto"/>
          <w:szCs w:val="21"/>
          <w:highlight w:val="none"/>
        </w:rPr>
      </w:pPr>
      <w:r>
        <w:rPr>
          <w:rFonts w:hint="eastAsia" w:ascii="宋体" w:hAnsi="宋体" w:cs="宋体"/>
          <w:bCs/>
          <w:color w:val="auto"/>
          <w:szCs w:val="21"/>
          <w:highlight w:val="none"/>
        </w:rPr>
        <w:t>（3）履约担保：</w:t>
      </w:r>
      <w:r>
        <w:rPr>
          <w:rFonts w:hint="eastAsia" w:ascii="宋体" w:hAnsi="宋体" w:cs="宋体"/>
          <w:color w:val="auto"/>
          <w:highlight w:val="none"/>
        </w:rPr>
        <w:t>是否收取履约保证金：</w:t>
      </w:r>
      <w:r>
        <w:rPr>
          <w:rFonts w:ascii="Wingdings" w:hAnsi="Wingdings" w:eastAsia="Wingdings" w:cs="Wingdings"/>
          <w:color w:val="auto"/>
          <w:szCs w:val="21"/>
          <w:highlight w:val="none"/>
        </w:rPr>
        <w:t>¨</w:t>
      </w:r>
      <w:r>
        <w:rPr>
          <w:rFonts w:hint="eastAsia" w:ascii="宋体" w:hAnsi="宋体" w:cs="宋体"/>
          <w:color w:val="auto"/>
          <w:szCs w:val="21"/>
          <w:highlight w:val="none"/>
        </w:rPr>
        <w:t>是</w:t>
      </w:r>
      <w:r>
        <w:rPr>
          <w:rFonts w:ascii="Wingdings" w:hAnsi="Wingdings" w:eastAsia="Wingdings" w:cs="Wingdings"/>
          <w:color w:val="auto"/>
          <w:szCs w:val="21"/>
          <w:highlight w:val="none"/>
        </w:rPr>
        <w:t>þ</w:t>
      </w:r>
      <w:r>
        <w:rPr>
          <w:rFonts w:hint="eastAsia" w:ascii="宋体" w:hAnsi="宋体" w:cs="宋体"/>
          <w:color w:val="auto"/>
          <w:szCs w:val="21"/>
          <w:highlight w:val="none"/>
        </w:rPr>
        <w:t>否</w:t>
      </w:r>
    </w:p>
    <w:p w14:paraId="6E1772BB">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收取履约保证金形式：</w:t>
      </w:r>
      <w:r>
        <w:rPr>
          <w:rFonts w:hint="eastAsia" w:ascii="宋体" w:hAnsi="宋体" w:cs="宋体"/>
          <w:color w:val="auto"/>
          <w:szCs w:val="21"/>
          <w:highlight w:val="none"/>
          <w:u w:val="single"/>
          <w:lang w:val="en-US" w:eastAsia="zh-CN"/>
        </w:rPr>
        <w:t xml:space="preserve">  无  </w:t>
      </w:r>
    </w:p>
    <w:p w14:paraId="1C197A87">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收取履约保证金金额：</w:t>
      </w:r>
      <w:r>
        <w:rPr>
          <w:rFonts w:hint="eastAsia" w:ascii="宋体" w:hAnsi="宋体" w:cs="宋体"/>
          <w:color w:val="auto"/>
          <w:szCs w:val="21"/>
          <w:highlight w:val="none"/>
          <w:u w:val="single"/>
          <w:lang w:val="en-US" w:eastAsia="zh-CN"/>
        </w:rPr>
        <w:t xml:space="preserve">  无  </w:t>
      </w:r>
    </w:p>
    <w:p w14:paraId="7EB8F9CC">
      <w:pPr>
        <w:spacing w:line="400" w:lineRule="exact"/>
        <w:ind w:firstLine="420"/>
        <w:rPr>
          <w:rFonts w:ascii="宋体" w:hAnsi="宋体" w:cs="宋体"/>
          <w:color w:val="auto"/>
          <w:highlight w:val="none"/>
        </w:rPr>
      </w:pPr>
      <w:r>
        <w:rPr>
          <w:rFonts w:hint="eastAsia" w:ascii="宋体" w:hAnsi="宋体" w:cs="宋体"/>
          <w:bCs/>
          <w:color w:val="auto"/>
          <w:szCs w:val="21"/>
          <w:highlight w:val="none"/>
        </w:rPr>
        <w:t>履约担保期限：</w:t>
      </w:r>
      <w:r>
        <w:rPr>
          <w:rFonts w:hint="eastAsia" w:ascii="宋体" w:hAnsi="宋体" w:cs="宋体"/>
          <w:color w:val="auto"/>
          <w:szCs w:val="21"/>
          <w:highlight w:val="none"/>
          <w:u w:val="single"/>
          <w:lang w:val="en-US" w:eastAsia="zh-CN"/>
        </w:rPr>
        <w:t xml:space="preserve">  无  </w:t>
      </w:r>
    </w:p>
    <w:p w14:paraId="241260AE">
      <w:pPr>
        <w:spacing w:line="400" w:lineRule="exact"/>
        <w:ind w:firstLine="420"/>
        <w:rPr>
          <w:rFonts w:ascii="宋体" w:hAnsi="宋体" w:cs="宋体"/>
          <w:bCs/>
          <w:color w:val="auto"/>
          <w:szCs w:val="21"/>
          <w:highlight w:val="none"/>
        </w:rPr>
      </w:pPr>
      <w:r>
        <w:rPr>
          <w:rFonts w:hint="eastAsia" w:ascii="宋体" w:hAnsi="宋体" w:cs="宋体"/>
          <w:bCs/>
          <w:color w:val="auto"/>
          <w:szCs w:val="21"/>
          <w:highlight w:val="none"/>
        </w:rPr>
        <w:t>（4）分期履行要求：</w:t>
      </w:r>
      <w:r>
        <w:rPr>
          <w:rFonts w:hint="eastAsia" w:ascii="宋体" w:hAnsi="宋体" w:cs="宋体"/>
          <w:color w:val="auto"/>
          <w:szCs w:val="21"/>
          <w:highlight w:val="none"/>
          <w:u w:val="single"/>
          <w:lang w:val="en-US" w:eastAsia="zh-CN"/>
        </w:rPr>
        <w:t xml:space="preserve">  无  </w:t>
      </w:r>
    </w:p>
    <w:p w14:paraId="430678C8">
      <w:pPr>
        <w:spacing w:line="400" w:lineRule="exact"/>
        <w:ind w:firstLine="420"/>
        <w:rPr>
          <w:rFonts w:ascii="宋体" w:hAnsi="宋体" w:cs="宋体"/>
          <w:color w:val="auto"/>
          <w:szCs w:val="21"/>
          <w:highlight w:val="none"/>
          <w:u w:val="single"/>
        </w:rPr>
      </w:pPr>
      <w:r>
        <w:rPr>
          <w:rFonts w:hint="eastAsia" w:ascii="宋体" w:hAnsi="宋体" w:cs="宋体"/>
          <w:bCs/>
          <w:color w:val="auto"/>
          <w:szCs w:val="21"/>
          <w:highlight w:val="none"/>
        </w:rPr>
        <w:t>（5）风险处置措施和替代方案：</w:t>
      </w:r>
      <w:r>
        <w:rPr>
          <w:rFonts w:hint="eastAsia" w:ascii="宋体" w:hAnsi="宋体" w:cs="宋体"/>
          <w:color w:val="auto"/>
          <w:szCs w:val="21"/>
          <w:highlight w:val="none"/>
          <w:u w:val="single"/>
          <w:lang w:val="en-US" w:eastAsia="zh-CN"/>
        </w:rPr>
        <w:t xml:space="preserve">  无  </w:t>
      </w:r>
    </w:p>
    <w:p w14:paraId="7105CC3B">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合同验收</w:t>
      </w:r>
    </w:p>
    <w:p w14:paraId="30253768">
      <w:pPr>
        <w:numPr>
          <w:ilvl w:val="0"/>
          <w:numId w:val="9"/>
        </w:numPr>
        <w:spacing w:line="400" w:lineRule="exact"/>
        <w:ind w:firstLine="420"/>
        <w:rPr>
          <w:rFonts w:ascii="宋体" w:hAnsi="宋体"/>
          <w:bCs/>
          <w:color w:val="auto"/>
          <w:szCs w:val="21"/>
          <w:highlight w:val="none"/>
        </w:rPr>
      </w:pPr>
      <w:r>
        <w:rPr>
          <w:rFonts w:hint="eastAsia" w:ascii="宋体" w:hAnsi="宋体"/>
          <w:bCs/>
          <w:color w:val="auto"/>
          <w:szCs w:val="21"/>
          <w:highlight w:val="none"/>
        </w:rPr>
        <w:t>验收组织方式：</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自行组织 </w:t>
      </w:r>
      <w:r>
        <w:rPr>
          <w:rFonts w:ascii="Wingdings" w:hAnsi="Wingdings" w:eastAsia="Wingdings" w:cs="Wingdings"/>
          <w:color w:val="auto"/>
          <w:szCs w:val="21"/>
          <w:highlight w:val="none"/>
        </w:rPr>
        <w:t>þ</w:t>
      </w:r>
      <w:r>
        <w:rPr>
          <w:rFonts w:hint="eastAsia" w:ascii="宋体" w:hAnsi="宋体"/>
          <w:bCs/>
          <w:color w:val="auto"/>
          <w:szCs w:val="21"/>
          <w:highlight w:val="none"/>
        </w:rPr>
        <w:t>委托第三方组织</w:t>
      </w:r>
    </w:p>
    <w:p w14:paraId="30A14316">
      <w:pPr>
        <w:spacing w:line="400" w:lineRule="exact"/>
        <w:ind w:firstLine="420"/>
        <w:rPr>
          <w:rFonts w:ascii="宋体" w:hAnsi="宋体"/>
          <w:bCs/>
          <w:color w:val="auto"/>
          <w:szCs w:val="21"/>
          <w:highlight w:val="none"/>
        </w:rPr>
      </w:pPr>
      <w:r>
        <w:rPr>
          <w:rFonts w:hint="eastAsia" w:ascii="宋体" w:hAnsi="宋体"/>
          <w:bCs/>
          <w:color w:val="auto"/>
          <w:szCs w:val="21"/>
          <w:highlight w:val="none"/>
        </w:rPr>
        <w:t>验收主体：</w:t>
      </w:r>
    </w:p>
    <w:p w14:paraId="35D17E05">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是否邀请本项目的其他供应商参加验收：</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是  </w:t>
      </w: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1B281E1C">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是否邀请专家参加验收：</w:t>
      </w:r>
      <w:r>
        <w:rPr>
          <w:rFonts w:ascii="Wingdings" w:hAnsi="Wingdings" w:eastAsia="Wingdings" w:cs="Wingdings"/>
          <w:color w:val="auto"/>
          <w:szCs w:val="21"/>
          <w:highlight w:val="none"/>
        </w:rPr>
        <w:t>þ</w:t>
      </w:r>
      <w:r>
        <w:rPr>
          <w:rFonts w:hint="eastAsia" w:ascii="宋体" w:hAnsi="宋体"/>
          <w:bCs/>
          <w:color w:val="auto"/>
          <w:szCs w:val="21"/>
          <w:highlight w:val="none"/>
        </w:rPr>
        <w:t xml:space="preserve">是  </w:t>
      </w:r>
      <w:r>
        <w:rPr>
          <w:rFonts w:ascii="Wingdings" w:hAnsi="Wingdings" w:eastAsia="Wingdings" w:cs="Wingdings"/>
          <w:color w:val="auto"/>
          <w:szCs w:val="21"/>
          <w:highlight w:val="none"/>
        </w:rPr>
        <w:t>¨</w:t>
      </w:r>
      <w:r>
        <w:rPr>
          <w:rFonts w:hint="eastAsia" w:ascii="宋体" w:hAnsi="宋体"/>
          <w:bCs/>
          <w:color w:val="auto"/>
          <w:szCs w:val="21"/>
          <w:highlight w:val="none"/>
        </w:rPr>
        <w:t>否</w:t>
      </w:r>
    </w:p>
    <w:p w14:paraId="2B3B50B4">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是否邀请服务对象参加验收：</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是  </w:t>
      </w: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03FC0C43">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是否邀请第三方检测机构参加验收：</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是  </w:t>
      </w: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1D0CD697">
      <w:pPr>
        <w:spacing w:line="400" w:lineRule="exact"/>
        <w:ind w:firstLine="420"/>
        <w:rPr>
          <w:rFonts w:ascii="宋体" w:hAnsi="宋体"/>
          <w:bCs/>
          <w:color w:val="auto"/>
          <w:szCs w:val="21"/>
          <w:highlight w:val="none"/>
        </w:rPr>
      </w:pPr>
      <w:r>
        <w:rPr>
          <w:rFonts w:hint="eastAsia" w:ascii="宋体" w:hAnsi="宋体"/>
          <w:bCs/>
          <w:color w:val="auto"/>
          <w:szCs w:val="21"/>
          <w:highlight w:val="none"/>
        </w:rPr>
        <w:t>是否进行抽查检测：</w:t>
      </w:r>
      <w:r>
        <w:rPr>
          <w:rFonts w:ascii="Wingdings" w:hAnsi="Wingdings" w:eastAsia="Wingdings" w:cs="Wingdings"/>
          <w:color w:val="auto"/>
          <w:szCs w:val="21"/>
          <w:highlight w:val="none"/>
        </w:rPr>
        <w:t>¨</w:t>
      </w:r>
      <w:r>
        <w:rPr>
          <w:rFonts w:hint="eastAsia" w:ascii="宋体" w:hAnsi="宋体"/>
          <w:bCs/>
          <w:color w:val="auto"/>
          <w:szCs w:val="21"/>
          <w:highlight w:val="none"/>
        </w:rPr>
        <w:t>是，抽查比例：</w:t>
      </w: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305B170A">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是否存在破坏性检测：</w:t>
      </w:r>
      <w:r>
        <w:rPr>
          <w:rFonts w:ascii="Wingdings" w:hAnsi="Wingdings" w:eastAsia="Wingdings" w:cs="Wingdings"/>
          <w:color w:val="auto"/>
          <w:szCs w:val="21"/>
          <w:highlight w:val="none"/>
        </w:rPr>
        <w:t>¨</w:t>
      </w:r>
      <w:r>
        <w:rPr>
          <w:rFonts w:hint="eastAsia" w:ascii="宋体" w:hAnsi="宋体"/>
          <w:bCs/>
          <w:color w:val="auto"/>
          <w:szCs w:val="21"/>
          <w:highlight w:val="none"/>
        </w:rPr>
        <w:t>是，</w:t>
      </w:r>
      <w:r>
        <w:rPr>
          <w:rFonts w:hint="eastAsia" w:ascii="宋体" w:hAnsi="宋体"/>
          <w:bCs/>
          <w:color w:val="auto"/>
          <w:szCs w:val="21"/>
          <w:highlight w:val="none"/>
          <w:u w:val="single"/>
        </w:rPr>
        <w:t>（应明确对被破坏的检测产品的处理方式）</w:t>
      </w:r>
    </w:p>
    <w:p w14:paraId="6976269F">
      <w:pPr>
        <w:spacing w:line="400" w:lineRule="exact"/>
        <w:ind w:firstLine="420"/>
        <w:rPr>
          <w:rFonts w:ascii="宋体" w:hAnsi="宋体"/>
          <w:bCs/>
          <w:color w:val="auto"/>
          <w:szCs w:val="21"/>
          <w:highlight w:val="none"/>
        </w:rPr>
      </w:pPr>
      <w:r>
        <w:rPr>
          <w:rFonts w:ascii="Wingdings" w:hAnsi="Wingdings" w:eastAsia="Wingdings" w:cs="Wingdings"/>
          <w:color w:val="auto"/>
          <w:szCs w:val="21"/>
          <w:highlight w:val="none"/>
        </w:rPr>
        <w:t>þ</w:t>
      </w:r>
      <w:r>
        <w:rPr>
          <w:rFonts w:hint="eastAsia" w:ascii="宋体" w:hAnsi="宋体"/>
          <w:bCs/>
          <w:color w:val="auto"/>
          <w:szCs w:val="21"/>
          <w:highlight w:val="none"/>
        </w:rPr>
        <w:t>否</w:t>
      </w:r>
    </w:p>
    <w:p w14:paraId="7821C645">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验收组织的其他事项：</w:t>
      </w:r>
      <w:r>
        <w:rPr>
          <w:rFonts w:hint="eastAsia" w:ascii="宋体" w:hAnsi="宋体"/>
          <w:bCs/>
          <w:color w:val="auto"/>
          <w:szCs w:val="21"/>
          <w:highlight w:val="none"/>
          <w:u w:val="single"/>
        </w:rPr>
        <w:t>/</w:t>
      </w:r>
    </w:p>
    <w:p w14:paraId="0A992BE8">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（2）履约验收时间：</w:t>
      </w:r>
      <w:r>
        <w:rPr>
          <w:rFonts w:hint="eastAsia" w:ascii="宋体" w:hAnsi="宋体" w:cs="宋体"/>
          <w:color w:val="auto"/>
          <w:szCs w:val="21"/>
          <w:highlight w:val="none"/>
          <w:u w:val="single"/>
          <w:lang w:val="en-US" w:eastAsia="zh-CN"/>
        </w:rPr>
        <w:t xml:space="preserve"> 由甲乙双方协商 </w:t>
      </w:r>
    </w:p>
    <w:p w14:paraId="7F17B0C1">
      <w:pPr>
        <w:spacing w:line="400" w:lineRule="exact"/>
        <w:ind w:firstLine="420"/>
        <w:rPr>
          <w:rFonts w:ascii="宋体" w:hAnsi="宋体"/>
          <w:bCs/>
          <w:color w:val="auto"/>
          <w:szCs w:val="21"/>
          <w:highlight w:val="none"/>
        </w:rPr>
      </w:pPr>
      <w:r>
        <w:rPr>
          <w:rFonts w:hint="eastAsia" w:ascii="宋体" w:hAnsi="宋体"/>
          <w:bCs/>
          <w:color w:val="auto"/>
          <w:szCs w:val="21"/>
          <w:highlight w:val="none"/>
        </w:rPr>
        <w:t>（3）履约验收方式：</w:t>
      </w:r>
      <w:r>
        <w:rPr>
          <w:rFonts w:ascii="Wingdings" w:hAnsi="Wingdings" w:eastAsia="Wingdings" w:cs="Wingdings"/>
          <w:color w:val="auto"/>
          <w:szCs w:val="21"/>
          <w:highlight w:val="none"/>
        </w:rPr>
        <w:t>¨</w:t>
      </w:r>
      <w:r>
        <w:rPr>
          <w:rFonts w:hint="eastAsia" w:ascii="宋体" w:hAnsi="宋体"/>
          <w:bCs/>
          <w:color w:val="auto"/>
          <w:szCs w:val="21"/>
          <w:highlight w:val="none"/>
        </w:rPr>
        <w:t xml:space="preserve">一次性验收         </w:t>
      </w:r>
    </w:p>
    <w:p w14:paraId="4DB5B9BB">
      <w:pPr>
        <w:spacing w:line="400" w:lineRule="exact"/>
        <w:ind w:firstLine="420"/>
        <w:rPr>
          <w:rFonts w:ascii="宋体" w:hAnsi="宋体"/>
          <w:bCs/>
          <w:color w:val="auto"/>
          <w:szCs w:val="21"/>
          <w:highlight w:val="none"/>
        </w:rPr>
      </w:pPr>
      <w:r>
        <w:rPr>
          <w:rFonts w:ascii="Wingdings" w:hAnsi="Wingdings" w:eastAsia="Wingdings" w:cs="Wingdings"/>
          <w:color w:val="auto"/>
          <w:szCs w:val="21"/>
          <w:highlight w:val="none"/>
        </w:rPr>
        <w:t>¨</w:t>
      </w:r>
      <w:r>
        <w:rPr>
          <w:rFonts w:hint="eastAsia" w:ascii="宋体" w:hAnsi="宋体"/>
          <w:bCs/>
          <w:color w:val="auto"/>
          <w:szCs w:val="21"/>
          <w:highlight w:val="none"/>
        </w:rPr>
        <w:t>分期/分项验收：</w:t>
      </w:r>
      <w:r>
        <w:rPr>
          <w:rFonts w:hint="eastAsia" w:ascii="宋体" w:hAnsi="宋体"/>
          <w:bCs/>
          <w:color w:val="auto"/>
          <w:szCs w:val="21"/>
          <w:highlight w:val="none"/>
          <w:u w:val="single"/>
        </w:rPr>
        <w:t>（应明确分期</w:t>
      </w:r>
      <w:r>
        <w:rPr>
          <w:rFonts w:ascii="宋体" w:hAnsi="宋体"/>
          <w:bCs/>
          <w:color w:val="auto"/>
          <w:szCs w:val="21"/>
          <w:highlight w:val="none"/>
          <w:u w:val="single"/>
        </w:rPr>
        <w:t>/</w:t>
      </w:r>
      <w:r>
        <w:rPr>
          <w:rFonts w:hint="eastAsia" w:ascii="宋体" w:hAnsi="宋体"/>
          <w:bCs/>
          <w:color w:val="auto"/>
          <w:szCs w:val="21"/>
          <w:highlight w:val="none"/>
          <w:u w:val="single"/>
        </w:rPr>
        <w:t>分项验收的工作安排）</w:t>
      </w:r>
    </w:p>
    <w:p w14:paraId="666F0EA8">
      <w:pPr>
        <w:spacing w:line="400" w:lineRule="exact"/>
        <w:ind w:firstLine="420"/>
        <w:rPr>
          <w:rFonts w:ascii="宋体" w:hAnsi="宋体"/>
          <w:bCs/>
          <w:color w:val="auto"/>
          <w:szCs w:val="21"/>
          <w:highlight w:val="none"/>
        </w:rPr>
      </w:pPr>
      <w:r>
        <w:rPr>
          <w:rFonts w:hint="eastAsia" w:ascii="宋体" w:hAnsi="宋体"/>
          <w:bCs/>
          <w:color w:val="auto"/>
          <w:szCs w:val="21"/>
          <w:highlight w:val="none"/>
        </w:rPr>
        <w:t>（4）履约验收程序：</w:t>
      </w:r>
      <w:r>
        <w:rPr>
          <w:rFonts w:hint="eastAsia" w:ascii="宋体" w:hAnsi="宋体" w:cs="宋体"/>
          <w:color w:val="auto"/>
          <w:szCs w:val="21"/>
          <w:highlight w:val="none"/>
          <w:u w:val="single"/>
          <w:lang w:val="en-US" w:eastAsia="zh-CN"/>
        </w:rPr>
        <w:t xml:space="preserve">详见招标文件 </w:t>
      </w:r>
    </w:p>
    <w:p w14:paraId="6F21ED51">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（5）履约验收的内容：</w:t>
      </w:r>
      <w:r>
        <w:rPr>
          <w:rFonts w:hint="eastAsia" w:ascii="宋体" w:hAnsi="宋体" w:cs="宋体"/>
          <w:color w:val="auto"/>
          <w:szCs w:val="21"/>
          <w:highlight w:val="none"/>
          <w:u w:val="single"/>
          <w:lang w:val="en-US" w:eastAsia="zh-CN"/>
        </w:rPr>
        <w:t xml:space="preserve">详见招标文件 </w:t>
      </w:r>
    </w:p>
    <w:p w14:paraId="657899C5">
      <w:pPr>
        <w:spacing w:line="400" w:lineRule="exact"/>
        <w:ind w:firstLine="420"/>
        <w:rPr>
          <w:rFonts w:ascii="宋体" w:hAnsi="宋体"/>
          <w:bCs/>
          <w:color w:val="auto"/>
          <w:szCs w:val="21"/>
          <w:highlight w:val="none"/>
          <w:u w:val="single"/>
        </w:rPr>
      </w:pPr>
      <w:r>
        <w:rPr>
          <w:rFonts w:hint="eastAsia" w:ascii="宋体" w:hAnsi="宋体"/>
          <w:bCs/>
          <w:color w:val="auto"/>
          <w:szCs w:val="21"/>
          <w:highlight w:val="none"/>
        </w:rPr>
        <w:t>（6）履约验收标准：</w:t>
      </w:r>
      <w:r>
        <w:rPr>
          <w:rFonts w:hint="eastAsia" w:ascii="宋体" w:hAnsi="宋体" w:cs="宋体"/>
          <w:color w:val="auto"/>
          <w:szCs w:val="21"/>
          <w:highlight w:val="none"/>
          <w:u w:val="single"/>
          <w:lang w:val="en-US" w:eastAsia="zh-CN"/>
        </w:rPr>
        <w:t xml:space="preserve">详见招标文件 </w:t>
      </w:r>
    </w:p>
    <w:p w14:paraId="213FBE70">
      <w:pPr>
        <w:pStyle w:val="273"/>
        <w:ind w:firstLine="420"/>
        <w:rPr>
          <w:rFonts w:ascii="宋体" w:hAnsi="宋体" w:eastAsia="宋体" w:cs="宋体"/>
          <w:color w:val="auto"/>
          <w:sz w:val="21"/>
          <w:highlight w:val="none"/>
        </w:rPr>
      </w:pPr>
      <w:r>
        <w:rPr>
          <w:rFonts w:hint="eastAsia" w:ascii="宋体" w:hAnsi="宋体" w:eastAsia="宋体" w:cs="宋体"/>
          <w:bCs/>
          <w:color w:val="auto"/>
          <w:sz w:val="21"/>
          <w:highlight w:val="none"/>
        </w:rPr>
        <w:t>（7）是否以采购活动中供应商提供的样品作为参考：</w:t>
      </w:r>
      <w:r>
        <w:rPr>
          <w:rFonts w:ascii="Wingdings" w:hAnsi="Wingdings" w:eastAsia="Wingdings" w:cs="Wingdings"/>
          <w:color w:val="auto"/>
          <w:sz w:val="21"/>
          <w:highlight w:val="none"/>
        </w:rPr>
        <w:t>¨</w:t>
      </w:r>
      <w:r>
        <w:rPr>
          <w:rFonts w:hint="eastAsia" w:ascii="宋体" w:hAnsi="宋体" w:eastAsia="宋体" w:cs="宋体"/>
          <w:bCs/>
          <w:color w:val="auto"/>
          <w:sz w:val="21"/>
          <w:highlight w:val="none"/>
        </w:rPr>
        <w:t xml:space="preserve">是  </w:t>
      </w:r>
      <w:r>
        <w:rPr>
          <w:rFonts w:ascii="Wingdings" w:hAnsi="Wingdings" w:eastAsia="Wingdings" w:cs="Wingdings"/>
          <w:color w:val="auto"/>
          <w:sz w:val="21"/>
          <w:highlight w:val="none"/>
        </w:rPr>
        <w:t>¨</w:t>
      </w:r>
      <w:r>
        <w:rPr>
          <w:rFonts w:hint="eastAsia" w:ascii="宋体" w:hAnsi="宋体" w:eastAsia="宋体" w:cs="宋体"/>
          <w:bCs/>
          <w:color w:val="auto"/>
          <w:sz w:val="21"/>
          <w:highlight w:val="none"/>
        </w:rPr>
        <w:t>否</w:t>
      </w:r>
    </w:p>
    <w:p w14:paraId="2AD46C64">
      <w:pPr>
        <w:spacing w:line="400" w:lineRule="exact"/>
        <w:ind w:firstLine="420"/>
        <w:rPr>
          <w:rFonts w:ascii="宋体" w:hAnsi="宋体" w:cs="宋体"/>
          <w:bCs/>
          <w:color w:val="auto"/>
          <w:szCs w:val="21"/>
          <w:highlight w:val="none"/>
          <w:u w:val="single"/>
        </w:rPr>
      </w:pPr>
      <w:r>
        <w:rPr>
          <w:rFonts w:hint="eastAsia" w:ascii="宋体" w:hAnsi="宋体" w:cs="宋体"/>
          <w:bCs/>
          <w:color w:val="auto"/>
          <w:szCs w:val="21"/>
          <w:highlight w:val="none"/>
        </w:rPr>
        <w:t>（8）履约验收其他事项：</w:t>
      </w:r>
      <w:r>
        <w:rPr>
          <w:rFonts w:hint="eastAsia" w:ascii="宋体" w:hAnsi="宋体" w:cs="宋体"/>
          <w:color w:val="auto"/>
          <w:szCs w:val="21"/>
          <w:highlight w:val="none"/>
          <w:u w:val="single"/>
          <w:lang w:val="en-US" w:eastAsia="zh-CN"/>
        </w:rPr>
        <w:t xml:space="preserve">详见招标文件 </w:t>
      </w:r>
    </w:p>
    <w:p w14:paraId="17C20A26">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组成合同的文件</w:t>
      </w:r>
    </w:p>
    <w:p w14:paraId="7D68EC44">
      <w:pPr>
        <w:spacing w:line="400" w:lineRule="exact"/>
        <w:ind w:firstLine="420"/>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74ED7434">
      <w:pPr>
        <w:spacing w:line="400" w:lineRule="exact"/>
        <w:ind w:firstLine="420"/>
        <w:rPr>
          <w:rFonts w:ascii="宋体" w:hAnsi="宋体"/>
          <w:color w:val="auto"/>
          <w:szCs w:val="21"/>
          <w:highlight w:val="none"/>
        </w:rPr>
      </w:pPr>
      <w:r>
        <w:rPr>
          <w:rFonts w:hint="eastAsia" w:ascii="宋体" w:hAnsi="宋体"/>
          <w:color w:val="auto"/>
          <w:szCs w:val="21"/>
          <w:highlight w:val="none"/>
        </w:rPr>
        <w:t>（1）政府采购合同协议书及其变更、补充协议</w:t>
      </w:r>
    </w:p>
    <w:p w14:paraId="4A6E7648">
      <w:pPr>
        <w:spacing w:line="400" w:lineRule="exact"/>
        <w:ind w:firstLine="420"/>
        <w:rPr>
          <w:rFonts w:ascii="宋体" w:hAnsi="宋体"/>
          <w:color w:val="auto"/>
          <w:szCs w:val="21"/>
          <w:highlight w:val="none"/>
        </w:rPr>
      </w:pPr>
      <w:r>
        <w:rPr>
          <w:rFonts w:hint="eastAsia" w:ascii="宋体" w:hAnsi="宋体"/>
          <w:color w:val="auto"/>
          <w:szCs w:val="21"/>
          <w:highlight w:val="none"/>
        </w:rPr>
        <w:t>（2）政府采购合同专用条款</w:t>
      </w:r>
    </w:p>
    <w:p w14:paraId="47A0034C">
      <w:pPr>
        <w:spacing w:line="400" w:lineRule="exact"/>
        <w:ind w:firstLine="420"/>
        <w:rPr>
          <w:rFonts w:ascii="宋体" w:hAnsi="宋体"/>
          <w:color w:val="auto"/>
          <w:szCs w:val="21"/>
          <w:highlight w:val="none"/>
        </w:rPr>
      </w:pPr>
      <w:r>
        <w:rPr>
          <w:rFonts w:hint="eastAsia" w:ascii="宋体" w:hAnsi="宋体"/>
          <w:color w:val="auto"/>
          <w:szCs w:val="21"/>
          <w:highlight w:val="none"/>
        </w:rPr>
        <w:t>（3）政府采购合同通用条款</w:t>
      </w:r>
    </w:p>
    <w:p w14:paraId="7D80C606">
      <w:pPr>
        <w:spacing w:line="400" w:lineRule="exact"/>
        <w:ind w:firstLine="420"/>
        <w:rPr>
          <w:rFonts w:ascii="宋体" w:hAnsi="宋体"/>
          <w:color w:val="auto"/>
          <w:szCs w:val="21"/>
          <w:highlight w:val="none"/>
        </w:rPr>
      </w:pPr>
      <w:r>
        <w:rPr>
          <w:rFonts w:hint="eastAsia" w:ascii="宋体" w:hAnsi="宋体"/>
          <w:color w:val="auto"/>
          <w:szCs w:val="21"/>
          <w:highlight w:val="none"/>
        </w:rPr>
        <w:t>（4）中标（成交）通知书</w:t>
      </w:r>
    </w:p>
    <w:p w14:paraId="3270C99D">
      <w:pPr>
        <w:spacing w:line="400" w:lineRule="exact"/>
        <w:ind w:firstLine="420"/>
        <w:rPr>
          <w:rFonts w:ascii="宋体" w:hAnsi="宋体"/>
          <w:color w:val="auto"/>
          <w:szCs w:val="21"/>
          <w:highlight w:val="none"/>
        </w:rPr>
      </w:pPr>
      <w:r>
        <w:rPr>
          <w:rFonts w:hint="eastAsia" w:ascii="宋体" w:hAnsi="宋体"/>
          <w:color w:val="auto"/>
          <w:szCs w:val="21"/>
          <w:highlight w:val="none"/>
        </w:rPr>
        <w:t>（5）投标（响应）文件</w:t>
      </w:r>
    </w:p>
    <w:p w14:paraId="598759F1">
      <w:pPr>
        <w:spacing w:line="400" w:lineRule="exact"/>
        <w:ind w:firstLine="420"/>
        <w:rPr>
          <w:rFonts w:ascii="宋体" w:hAnsi="宋体"/>
          <w:color w:val="auto"/>
          <w:szCs w:val="21"/>
          <w:highlight w:val="none"/>
        </w:rPr>
      </w:pPr>
      <w:r>
        <w:rPr>
          <w:rFonts w:hint="eastAsia" w:ascii="宋体" w:hAnsi="宋体"/>
          <w:color w:val="auto"/>
          <w:szCs w:val="21"/>
          <w:highlight w:val="none"/>
        </w:rPr>
        <w:t>（6）招标文件</w:t>
      </w:r>
    </w:p>
    <w:p w14:paraId="5DB16135">
      <w:pPr>
        <w:spacing w:line="400" w:lineRule="exact"/>
        <w:ind w:firstLine="420"/>
        <w:rPr>
          <w:rFonts w:ascii="宋体" w:hAnsi="宋体"/>
          <w:color w:val="auto"/>
          <w:szCs w:val="21"/>
          <w:highlight w:val="none"/>
        </w:rPr>
      </w:pPr>
      <w:r>
        <w:rPr>
          <w:rFonts w:hint="eastAsia" w:ascii="宋体" w:hAnsi="宋体"/>
          <w:color w:val="auto"/>
          <w:szCs w:val="21"/>
          <w:highlight w:val="none"/>
        </w:rPr>
        <w:t>（7）有关技术文件，图纸</w:t>
      </w:r>
    </w:p>
    <w:p w14:paraId="4193EB05">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（8）国家法律、行政法规和规章制度规定或合同约定的作为合同组成部分的其他文件</w:t>
      </w:r>
    </w:p>
    <w:p w14:paraId="29A9D557">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合同生效</w:t>
      </w:r>
    </w:p>
    <w:p w14:paraId="4FCF33D6">
      <w:pPr>
        <w:numPr>
          <w:ilvl w:val="0"/>
          <w:numId w:val="0"/>
        </w:numPr>
        <w:spacing w:line="400" w:lineRule="exact"/>
        <w:ind w:firstLine="420"/>
        <w:rPr>
          <w:rFonts w:ascii="宋体" w:hAnsi="宋体"/>
          <w:b/>
          <w:color w:val="auto"/>
          <w:szCs w:val="21"/>
          <w:highlight w:val="none"/>
        </w:rPr>
      </w:pPr>
      <w:r>
        <w:rPr>
          <w:rFonts w:hint="eastAsia" w:ascii="宋体" w:hAnsi="宋体"/>
          <w:color w:val="auto"/>
          <w:szCs w:val="21"/>
          <w:highlight w:val="none"/>
        </w:rPr>
        <w:t>本合同自甲乙双方签字盖章</w:t>
      </w:r>
      <w:r>
        <w:rPr>
          <w:rFonts w:hint="eastAsia" w:ascii="宋体" w:hAnsi="宋体"/>
          <w:color w:val="auto"/>
          <w:szCs w:val="21"/>
          <w:highlight w:val="none"/>
          <w:lang w:val="en-US" w:eastAsia="zh-CN"/>
        </w:rPr>
        <w:t>之日起</w:t>
      </w:r>
      <w:r>
        <w:rPr>
          <w:rFonts w:hint="eastAsia" w:ascii="宋体" w:hAnsi="宋体"/>
          <w:color w:val="auto"/>
          <w:szCs w:val="21"/>
          <w:highlight w:val="none"/>
        </w:rPr>
        <w:t>生效。</w:t>
      </w:r>
    </w:p>
    <w:p w14:paraId="28878EBC">
      <w:pPr>
        <w:numPr>
          <w:ilvl w:val="0"/>
          <w:numId w:val="6"/>
        </w:numPr>
        <w:spacing w:line="400" w:lineRule="exact"/>
        <w:ind w:firstLine="422"/>
        <w:rPr>
          <w:rFonts w:ascii="宋体" w:hAnsi="宋体"/>
          <w:b/>
          <w:color w:val="auto"/>
          <w:szCs w:val="21"/>
          <w:highlight w:val="none"/>
        </w:rPr>
      </w:pPr>
      <w:r>
        <w:rPr>
          <w:rFonts w:hint="eastAsia" w:ascii="宋体" w:hAnsi="宋体"/>
          <w:b/>
          <w:color w:val="auto"/>
          <w:szCs w:val="21"/>
          <w:highlight w:val="none"/>
        </w:rPr>
        <w:t>合同份数</w:t>
      </w:r>
    </w:p>
    <w:p w14:paraId="634A937D">
      <w:pPr>
        <w:spacing w:line="400" w:lineRule="exact"/>
        <w:ind w:firstLine="420"/>
        <w:rPr>
          <w:rFonts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lang w:val="en-US" w:eastAsia="zh-CN"/>
        </w:rPr>
        <w:t>6</w:t>
      </w:r>
      <w:r>
        <w:rPr>
          <w:rFonts w:hint="eastAsia" w:ascii="宋体" w:hAnsi="宋体"/>
          <w:color w:val="auto"/>
          <w:szCs w:val="21"/>
          <w:highlight w:val="none"/>
        </w:rPr>
        <w:t>份，甲方执</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4 </w:t>
      </w:r>
      <w:r>
        <w:rPr>
          <w:rFonts w:hint="eastAsia" w:ascii="宋体" w:hAnsi="宋体"/>
          <w:color w:val="auto"/>
          <w:szCs w:val="21"/>
          <w:highlight w:val="none"/>
        </w:rPr>
        <w:t>份，乙方执</w:t>
      </w:r>
      <w:r>
        <w:rPr>
          <w:rFonts w:hint="eastAsia" w:ascii="宋体" w:hAnsi="宋体"/>
          <w:color w:val="auto"/>
          <w:szCs w:val="21"/>
          <w:highlight w:val="none"/>
          <w:u w:val="single"/>
        </w:rPr>
        <w:t xml:space="preserve">2 </w:t>
      </w:r>
      <w:r>
        <w:rPr>
          <w:rFonts w:hint="eastAsia" w:ascii="宋体" w:hAnsi="宋体"/>
          <w:color w:val="auto"/>
          <w:szCs w:val="21"/>
          <w:highlight w:val="none"/>
        </w:rPr>
        <w:t>份，均具有同等法律效力。</w:t>
      </w:r>
    </w:p>
    <w:p w14:paraId="72C02B5C">
      <w:pPr>
        <w:spacing w:line="400" w:lineRule="exact"/>
        <w:ind w:firstLine="420"/>
        <w:rPr>
          <w:rFonts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年</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日</w:t>
      </w:r>
    </w:p>
    <w:p w14:paraId="2B445109">
      <w:pPr>
        <w:spacing w:line="400" w:lineRule="exact"/>
        <w:ind w:firstLine="420"/>
        <w:rPr>
          <w:rFonts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lang w:val="en-US" w:eastAsia="zh-CN"/>
        </w:rPr>
        <w:t xml:space="preserve"> 贵港市中西医结合骨科医院 </w:t>
      </w:r>
    </w:p>
    <w:p w14:paraId="1EAFEA07">
      <w:pPr>
        <w:spacing w:line="400" w:lineRule="exact"/>
        <w:ind w:firstLine="420"/>
        <w:rPr>
          <w:color w:val="auto"/>
          <w:highlight w:val="none"/>
        </w:rPr>
      </w:pPr>
      <w:r>
        <w:rPr>
          <w:rFonts w:hint="eastAsia" w:ascii="宋体" w:hAnsi="宋体"/>
          <w:color w:val="auto"/>
          <w:szCs w:val="21"/>
          <w:highlight w:val="none"/>
        </w:rPr>
        <w:t>附件：具体标的及其技术要求和商务要求、联合协议、分包意向协议等。</w:t>
      </w:r>
    </w:p>
    <w:p w14:paraId="25634CF0">
      <w:pPr>
        <w:ind w:firstLine="420"/>
        <w:rPr>
          <w:color w:val="auto"/>
          <w:highlight w:val="none"/>
        </w:rPr>
      </w:pPr>
      <w:r>
        <w:rPr>
          <w:rFonts w:hint="eastAsia"/>
          <w:color w:val="auto"/>
          <w:highlight w:val="none"/>
        </w:rPr>
        <w:br w:type="page" w:clear="all"/>
      </w:r>
    </w:p>
    <w:tbl>
      <w:tblPr>
        <w:tblStyle w:val="30"/>
        <w:tblW w:w="5000" w:type="pct"/>
        <w:tblInd w:w="-108"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700"/>
        <w:gridCol w:w="1674"/>
        <w:gridCol w:w="2759"/>
        <w:gridCol w:w="1587"/>
      </w:tblGrid>
      <w:tr w14:paraId="145CFDD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08" w:type="pct"/>
            <w:gridSpan w:val="2"/>
            <w:tcBorders>
              <w:top w:val="single" w:color="auto" w:sz="4" w:space="0"/>
              <w:left w:val="single" w:color="auto" w:sz="4" w:space="0"/>
              <w:bottom w:val="single" w:color="auto" w:sz="4" w:space="0"/>
              <w:right w:val="single" w:color="auto" w:sz="4" w:space="0"/>
            </w:tcBorders>
            <w:noWrap/>
            <w:vAlign w:val="center"/>
          </w:tcPr>
          <w:p w14:paraId="3EF44799">
            <w:pPr>
              <w:spacing w:line="300" w:lineRule="exact"/>
              <w:jc w:val="center"/>
              <w:rPr>
                <w:color w:val="auto"/>
                <w:highlight w:val="none"/>
              </w:rPr>
            </w:pPr>
            <w:r>
              <w:rPr>
                <w:color w:val="auto"/>
                <w:szCs w:val="21"/>
                <w:highlight w:val="none"/>
              </w:rPr>
              <w:t>甲方</w:t>
            </w:r>
            <w:r>
              <w:rPr>
                <w:rFonts w:hint="eastAsia"/>
                <w:color w:val="auto"/>
                <w:szCs w:val="21"/>
                <w:highlight w:val="none"/>
              </w:rPr>
              <w:t>（采购人</w:t>
            </w:r>
            <w:r>
              <w:rPr>
                <w:rFonts w:hint="eastAsia" w:ascii="宋体" w:hAnsi="宋体"/>
                <w:color w:val="auto"/>
                <w:szCs w:val="21"/>
                <w:highlight w:val="none"/>
              </w:rPr>
              <w:t>、受采购人委托签订合同的单位或</w:t>
            </w:r>
            <w:r>
              <w:rPr>
                <w:rFonts w:hint="eastAsia"/>
                <w:color w:val="auto"/>
                <w:szCs w:val="21"/>
                <w:highlight w:val="none"/>
              </w:rPr>
              <w:t>采购文件约定的合同甲方）</w:t>
            </w:r>
          </w:p>
        </w:tc>
        <w:tc>
          <w:tcPr>
            <w:tcW w:w="2491" w:type="pct"/>
            <w:gridSpan w:val="2"/>
            <w:tcBorders>
              <w:top w:val="single" w:color="auto" w:sz="4" w:space="0"/>
              <w:left w:val="single" w:color="auto" w:sz="4" w:space="0"/>
              <w:bottom w:val="single" w:color="auto" w:sz="4" w:space="0"/>
              <w:right w:val="single" w:color="auto" w:sz="4" w:space="0"/>
            </w:tcBorders>
            <w:noWrap/>
            <w:vAlign w:val="center"/>
          </w:tcPr>
          <w:p w14:paraId="50AA95AA">
            <w:pPr>
              <w:spacing w:line="300" w:lineRule="exact"/>
              <w:jc w:val="center"/>
              <w:rPr>
                <w:color w:val="auto"/>
                <w:highlight w:val="none"/>
              </w:rPr>
            </w:pPr>
            <w:r>
              <w:rPr>
                <w:color w:val="auto"/>
                <w:szCs w:val="21"/>
                <w:highlight w:val="none"/>
              </w:rPr>
              <w:t>乙方</w:t>
            </w:r>
            <w:r>
              <w:rPr>
                <w:rFonts w:hint="eastAsia"/>
                <w:color w:val="auto"/>
                <w:szCs w:val="21"/>
                <w:highlight w:val="none"/>
              </w:rPr>
              <w:t>（供应商）</w:t>
            </w:r>
          </w:p>
        </w:tc>
      </w:tr>
      <w:tr w14:paraId="5CCC3B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5A984DA4">
            <w:pPr>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959" w:type="pct"/>
            <w:tcBorders>
              <w:top w:val="single" w:color="auto" w:sz="4" w:space="0"/>
              <w:left w:val="single" w:color="auto" w:sz="4" w:space="0"/>
              <w:bottom w:val="single" w:color="auto" w:sz="4" w:space="0"/>
              <w:right w:val="single" w:color="auto" w:sz="4" w:space="0"/>
            </w:tcBorders>
            <w:noWrap/>
            <w:vAlign w:val="center"/>
          </w:tcPr>
          <w:p w14:paraId="7C33D576">
            <w:pPr>
              <w:spacing w:line="300" w:lineRule="exact"/>
              <w:jc w:val="center"/>
              <w:rPr>
                <w:color w:val="auto"/>
                <w:szCs w:val="21"/>
                <w:highlight w:val="none"/>
              </w:rPr>
            </w:pPr>
            <w:r>
              <w:rPr>
                <w:rFonts w:hint="eastAsia"/>
                <w:color w:val="auto"/>
                <w:szCs w:val="21"/>
                <w:highlight w:val="none"/>
              </w:rPr>
              <w:t>贵港市中西医结合骨科医院</w:t>
            </w:r>
          </w:p>
        </w:tc>
        <w:tc>
          <w:tcPr>
            <w:tcW w:w="1582" w:type="pct"/>
            <w:tcBorders>
              <w:top w:val="single" w:color="auto" w:sz="4" w:space="0"/>
              <w:left w:val="single" w:color="auto" w:sz="4" w:space="0"/>
              <w:bottom w:val="single" w:color="auto" w:sz="4" w:space="0"/>
              <w:right w:val="single" w:color="auto" w:sz="4" w:space="0"/>
            </w:tcBorders>
            <w:noWrap/>
            <w:vAlign w:val="center"/>
          </w:tcPr>
          <w:p w14:paraId="667044CF">
            <w:pPr>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908" w:type="pct"/>
            <w:tcBorders>
              <w:top w:val="single" w:color="auto" w:sz="4" w:space="0"/>
              <w:left w:val="single" w:color="auto" w:sz="4" w:space="0"/>
              <w:bottom w:val="single" w:color="auto" w:sz="4" w:space="0"/>
              <w:right w:val="single" w:color="auto" w:sz="4" w:space="0"/>
            </w:tcBorders>
            <w:noWrap/>
            <w:vAlign w:val="center"/>
          </w:tcPr>
          <w:p w14:paraId="3B8E2A26">
            <w:pPr>
              <w:spacing w:line="300" w:lineRule="exact"/>
              <w:jc w:val="center"/>
              <w:rPr>
                <w:color w:val="auto"/>
                <w:spacing w:val="20"/>
                <w:szCs w:val="21"/>
                <w:highlight w:val="none"/>
              </w:rPr>
            </w:pPr>
          </w:p>
        </w:tc>
      </w:tr>
      <w:tr w14:paraId="741DFF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548" w:type="pct"/>
            <w:vMerge w:val="restart"/>
            <w:tcBorders>
              <w:top w:val="single" w:color="auto" w:sz="4" w:space="0"/>
              <w:left w:val="single" w:color="auto" w:sz="4" w:space="0"/>
              <w:bottom w:val="single" w:color="auto" w:sz="4" w:space="0"/>
              <w:right w:val="single" w:color="auto" w:sz="4" w:space="0"/>
            </w:tcBorders>
            <w:noWrap/>
            <w:vAlign w:val="center"/>
          </w:tcPr>
          <w:p w14:paraId="3EDE04D9">
            <w:pPr>
              <w:spacing w:line="300" w:lineRule="exact"/>
              <w:ind w:firstLine="420"/>
              <w:jc w:val="center"/>
              <w:rPr>
                <w:color w:val="auto"/>
                <w:szCs w:val="21"/>
                <w:highlight w:val="none"/>
              </w:rPr>
            </w:pPr>
            <w:r>
              <w:rPr>
                <w:color w:val="auto"/>
                <w:szCs w:val="21"/>
                <w:highlight w:val="none"/>
              </w:rPr>
              <w:t>法定代表人</w:t>
            </w:r>
          </w:p>
          <w:p w14:paraId="361E2197">
            <w:pPr>
              <w:spacing w:line="300" w:lineRule="exact"/>
              <w:ind w:firstLine="420"/>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959" w:type="pct"/>
            <w:vMerge w:val="restart"/>
            <w:tcBorders>
              <w:top w:val="single" w:color="auto" w:sz="4" w:space="0"/>
              <w:left w:val="single" w:color="auto" w:sz="4" w:space="0"/>
              <w:bottom w:val="single" w:color="auto" w:sz="4" w:space="0"/>
              <w:right w:val="single" w:color="auto" w:sz="4" w:space="0"/>
            </w:tcBorders>
            <w:noWrap/>
            <w:vAlign w:val="center"/>
          </w:tcPr>
          <w:p w14:paraId="0FB65C9E">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2C6D3D4E">
            <w:pPr>
              <w:spacing w:line="300" w:lineRule="exact"/>
              <w:ind w:firstLine="420"/>
              <w:jc w:val="center"/>
              <w:rPr>
                <w:color w:val="auto"/>
                <w:szCs w:val="21"/>
                <w:highlight w:val="none"/>
              </w:rPr>
            </w:pPr>
            <w:r>
              <w:rPr>
                <w:color w:val="auto"/>
                <w:szCs w:val="21"/>
                <w:highlight w:val="none"/>
              </w:rPr>
              <w:t>法定代表人</w:t>
            </w:r>
          </w:p>
          <w:p w14:paraId="595D48DD">
            <w:pPr>
              <w:spacing w:line="300" w:lineRule="exact"/>
              <w:ind w:firstLine="420"/>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908" w:type="pct"/>
            <w:tcBorders>
              <w:top w:val="single" w:color="auto" w:sz="4" w:space="0"/>
              <w:left w:val="single" w:color="auto" w:sz="4" w:space="0"/>
              <w:bottom w:val="single" w:color="auto" w:sz="4" w:space="0"/>
              <w:right w:val="single" w:color="auto" w:sz="4" w:space="0"/>
            </w:tcBorders>
            <w:noWrap/>
            <w:vAlign w:val="center"/>
          </w:tcPr>
          <w:p w14:paraId="74A5E64A">
            <w:pPr>
              <w:spacing w:line="300" w:lineRule="exact"/>
              <w:jc w:val="center"/>
              <w:rPr>
                <w:color w:val="auto"/>
                <w:szCs w:val="21"/>
                <w:highlight w:val="none"/>
              </w:rPr>
            </w:pPr>
          </w:p>
        </w:tc>
      </w:tr>
      <w:tr w14:paraId="3645914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vMerge w:val="continue"/>
            <w:tcBorders>
              <w:top w:val="single" w:color="auto" w:sz="4" w:space="0"/>
              <w:left w:val="single" w:color="auto" w:sz="4" w:space="0"/>
              <w:bottom w:val="single" w:color="auto" w:sz="4" w:space="0"/>
              <w:right w:val="single" w:color="auto" w:sz="4" w:space="0"/>
            </w:tcBorders>
            <w:noWrap/>
            <w:vAlign w:val="center"/>
          </w:tcPr>
          <w:p w14:paraId="2A30C0E7">
            <w:pPr>
              <w:spacing w:line="300" w:lineRule="exact"/>
              <w:jc w:val="center"/>
              <w:rPr>
                <w:color w:val="auto"/>
                <w:szCs w:val="21"/>
                <w:highlight w:val="none"/>
              </w:rPr>
            </w:pPr>
          </w:p>
        </w:tc>
        <w:tc>
          <w:tcPr>
            <w:tcW w:w="959" w:type="pct"/>
            <w:vMerge w:val="continue"/>
            <w:tcBorders>
              <w:top w:val="single" w:color="auto" w:sz="4" w:space="0"/>
              <w:left w:val="single" w:color="auto" w:sz="4" w:space="0"/>
              <w:bottom w:val="single" w:color="auto" w:sz="4" w:space="0"/>
              <w:right w:val="single" w:color="auto" w:sz="4" w:space="0"/>
            </w:tcBorders>
            <w:noWrap/>
            <w:vAlign w:val="center"/>
          </w:tcPr>
          <w:p w14:paraId="5DE29051">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48E907E7">
            <w:pPr>
              <w:spacing w:line="300" w:lineRule="exact"/>
              <w:jc w:val="center"/>
              <w:rPr>
                <w:color w:val="auto"/>
                <w:szCs w:val="21"/>
                <w:highlight w:val="none"/>
              </w:rPr>
            </w:pPr>
            <w:r>
              <w:rPr>
                <w:rFonts w:hint="eastAsia"/>
                <w:color w:val="auto"/>
                <w:szCs w:val="21"/>
                <w:highlight w:val="none"/>
              </w:rPr>
              <w:t>拥有者性别</w:t>
            </w:r>
          </w:p>
        </w:tc>
        <w:tc>
          <w:tcPr>
            <w:tcW w:w="908" w:type="pct"/>
            <w:tcBorders>
              <w:top w:val="single" w:color="auto" w:sz="4" w:space="0"/>
              <w:left w:val="single" w:color="auto" w:sz="4" w:space="0"/>
              <w:bottom w:val="single" w:color="auto" w:sz="4" w:space="0"/>
              <w:right w:val="single" w:color="auto" w:sz="4" w:space="0"/>
            </w:tcBorders>
            <w:noWrap/>
            <w:vAlign w:val="center"/>
          </w:tcPr>
          <w:p w14:paraId="05FA6C46">
            <w:pPr>
              <w:spacing w:line="300" w:lineRule="exact"/>
              <w:jc w:val="center"/>
              <w:rPr>
                <w:color w:val="auto"/>
                <w:spacing w:val="20"/>
                <w:szCs w:val="21"/>
                <w:highlight w:val="none"/>
              </w:rPr>
            </w:pPr>
          </w:p>
        </w:tc>
      </w:tr>
      <w:tr w14:paraId="4FB376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12FF27EF">
            <w:pPr>
              <w:spacing w:line="300" w:lineRule="exact"/>
              <w:jc w:val="center"/>
              <w:rPr>
                <w:color w:val="auto"/>
                <w:szCs w:val="21"/>
                <w:highlight w:val="none"/>
              </w:rPr>
            </w:pPr>
            <w:r>
              <w:rPr>
                <w:rFonts w:hint="eastAsia"/>
                <w:color w:val="auto"/>
                <w:szCs w:val="21"/>
                <w:highlight w:val="none"/>
              </w:rPr>
              <w:t>住所</w:t>
            </w:r>
          </w:p>
        </w:tc>
        <w:tc>
          <w:tcPr>
            <w:tcW w:w="959" w:type="pct"/>
            <w:tcBorders>
              <w:top w:val="single" w:color="auto" w:sz="4" w:space="0"/>
              <w:left w:val="single" w:color="auto" w:sz="4" w:space="0"/>
              <w:bottom w:val="single" w:color="auto" w:sz="4" w:space="0"/>
              <w:right w:val="single" w:color="auto" w:sz="4" w:space="0"/>
            </w:tcBorders>
            <w:noWrap/>
            <w:vAlign w:val="center"/>
          </w:tcPr>
          <w:p w14:paraId="752C78DD">
            <w:pPr>
              <w:spacing w:line="300" w:lineRule="exact"/>
              <w:jc w:val="center"/>
              <w:rPr>
                <w:color w:val="auto"/>
                <w:szCs w:val="21"/>
                <w:highlight w:val="none"/>
              </w:rPr>
            </w:pPr>
            <w:r>
              <w:rPr>
                <w:rFonts w:hint="eastAsia"/>
                <w:color w:val="auto"/>
                <w:szCs w:val="21"/>
                <w:highlight w:val="none"/>
              </w:rPr>
              <w:t>贵港市港北区建设路29号</w:t>
            </w:r>
          </w:p>
        </w:tc>
        <w:tc>
          <w:tcPr>
            <w:tcW w:w="1582" w:type="pct"/>
            <w:tcBorders>
              <w:top w:val="single" w:color="auto" w:sz="4" w:space="0"/>
              <w:left w:val="single" w:color="auto" w:sz="4" w:space="0"/>
              <w:bottom w:val="single" w:color="auto" w:sz="4" w:space="0"/>
              <w:right w:val="single" w:color="auto" w:sz="4" w:space="0"/>
            </w:tcBorders>
            <w:noWrap/>
            <w:vAlign w:val="center"/>
          </w:tcPr>
          <w:p w14:paraId="570A3D1B">
            <w:pPr>
              <w:spacing w:line="300" w:lineRule="exact"/>
              <w:jc w:val="center"/>
              <w:rPr>
                <w:color w:val="auto"/>
                <w:szCs w:val="21"/>
                <w:highlight w:val="none"/>
              </w:rPr>
            </w:pPr>
            <w:r>
              <w:rPr>
                <w:rFonts w:hint="eastAsia"/>
                <w:color w:val="auto"/>
                <w:szCs w:val="21"/>
                <w:highlight w:val="none"/>
              </w:rPr>
              <w:t>住所</w:t>
            </w:r>
          </w:p>
        </w:tc>
        <w:tc>
          <w:tcPr>
            <w:tcW w:w="908" w:type="pct"/>
            <w:tcBorders>
              <w:top w:val="single" w:color="auto" w:sz="4" w:space="0"/>
              <w:left w:val="single" w:color="auto" w:sz="4" w:space="0"/>
              <w:bottom w:val="single" w:color="auto" w:sz="4" w:space="0"/>
              <w:right w:val="single" w:color="auto" w:sz="4" w:space="0"/>
            </w:tcBorders>
            <w:noWrap/>
            <w:vAlign w:val="center"/>
          </w:tcPr>
          <w:p w14:paraId="1049A645">
            <w:pPr>
              <w:spacing w:line="300" w:lineRule="exact"/>
              <w:jc w:val="center"/>
              <w:rPr>
                <w:color w:val="auto"/>
                <w:spacing w:val="20"/>
                <w:szCs w:val="21"/>
                <w:highlight w:val="none"/>
              </w:rPr>
            </w:pPr>
          </w:p>
        </w:tc>
      </w:tr>
      <w:tr w14:paraId="52C310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2A90305E">
            <w:pPr>
              <w:spacing w:line="300" w:lineRule="exact"/>
              <w:jc w:val="center"/>
              <w:rPr>
                <w:color w:val="auto"/>
                <w:szCs w:val="21"/>
                <w:highlight w:val="none"/>
              </w:rPr>
            </w:pPr>
            <w:r>
              <w:rPr>
                <w:color w:val="auto"/>
                <w:szCs w:val="21"/>
                <w:highlight w:val="none"/>
              </w:rPr>
              <w:t>联 系 人</w:t>
            </w:r>
          </w:p>
        </w:tc>
        <w:tc>
          <w:tcPr>
            <w:tcW w:w="959" w:type="pct"/>
            <w:tcBorders>
              <w:top w:val="single" w:color="auto" w:sz="4" w:space="0"/>
              <w:left w:val="single" w:color="auto" w:sz="4" w:space="0"/>
              <w:bottom w:val="single" w:color="auto" w:sz="4" w:space="0"/>
              <w:right w:val="single" w:color="auto" w:sz="4" w:space="0"/>
            </w:tcBorders>
            <w:noWrap/>
            <w:vAlign w:val="center"/>
          </w:tcPr>
          <w:p w14:paraId="09669D96">
            <w:pPr>
              <w:spacing w:line="300" w:lineRule="exact"/>
              <w:jc w:val="center"/>
              <w:rPr>
                <w:color w:val="auto"/>
                <w:szCs w:val="21"/>
                <w:highlight w:val="none"/>
              </w:rPr>
            </w:pPr>
            <w:r>
              <w:rPr>
                <w:rFonts w:hint="eastAsia"/>
                <w:color w:val="auto"/>
                <w:szCs w:val="21"/>
                <w:highlight w:val="none"/>
              </w:rPr>
              <w:t>罗健</w:t>
            </w:r>
          </w:p>
        </w:tc>
        <w:tc>
          <w:tcPr>
            <w:tcW w:w="1582" w:type="pct"/>
            <w:tcBorders>
              <w:top w:val="single" w:color="auto" w:sz="4" w:space="0"/>
              <w:left w:val="single" w:color="auto" w:sz="4" w:space="0"/>
              <w:bottom w:val="single" w:color="auto" w:sz="4" w:space="0"/>
              <w:right w:val="single" w:color="auto" w:sz="4" w:space="0"/>
            </w:tcBorders>
            <w:noWrap/>
            <w:vAlign w:val="center"/>
          </w:tcPr>
          <w:p w14:paraId="23F8DABD">
            <w:pPr>
              <w:spacing w:line="300" w:lineRule="exact"/>
              <w:jc w:val="center"/>
              <w:rPr>
                <w:color w:val="auto"/>
                <w:szCs w:val="21"/>
                <w:highlight w:val="none"/>
              </w:rPr>
            </w:pPr>
            <w:r>
              <w:rPr>
                <w:color w:val="auto"/>
                <w:szCs w:val="21"/>
                <w:highlight w:val="none"/>
              </w:rPr>
              <w:t>联 系 人</w:t>
            </w:r>
          </w:p>
        </w:tc>
        <w:tc>
          <w:tcPr>
            <w:tcW w:w="908" w:type="pct"/>
            <w:tcBorders>
              <w:top w:val="single" w:color="auto" w:sz="4" w:space="0"/>
              <w:left w:val="single" w:color="auto" w:sz="4" w:space="0"/>
              <w:bottom w:val="single" w:color="auto" w:sz="4" w:space="0"/>
              <w:right w:val="single" w:color="auto" w:sz="4" w:space="0"/>
            </w:tcBorders>
            <w:noWrap/>
            <w:vAlign w:val="center"/>
          </w:tcPr>
          <w:p w14:paraId="69CCF681">
            <w:pPr>
              <w:spacing w:line="300" w:lineRule="exact"/>
              <w:jc w:val="center"/>
              <w:rPr>
                <w:color w:val="auto"/>
                <w:spacing w:val="20"/>
                <w:szCs w:val="21"/>
                <w:highlight w:val="none"/>
              </w:rPr>
            </w:pPr>
          </w:p>
        </w:tc>
      </w:tr>
      <w:tr w14:paraId="574B2A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B5EBFF6">
            <w:pPr>
              <w:spacing w:line="300" w:lineRule="exact"/>
              <w:jc w:val="center"/>
              <w:rPr>
                <w:color w:val="auto"/>
                <w:szCs w:val="21"/>
                <w:highlight w:val="none"/>
              </w:rPr>
            </w:pPr>
            <w:r>
              <w:rPr>
                <w:color w:val="auto"/>
                <w:szCs w:val="21"/>
                <w:highlight w:val="none"/>
              </w:rPr>
              <w:t>联系电话</w:t>
            </w:r>
          </w:p>
        </w:tc>
        <w:tc>
          <w:tcPr>
            <w:tcW w:w="959" w:type="pct"/>
            <w:tcBorders>
              <w:top w:val="single" w:color="auto" w:sz="4" w:space="0"/>
              <w:left w:val="single" w:color="auto" w:sz="4" w:space="0"/>
              <w:bottom w:val="single" w:color="auto" w:sz="4" w:space="0"/>
              <w:right w:val="single" w:color="auto" w:sz="4" w:space="0"/>
            </w:tcBorders>
            <w:noWrap/>
            <w:vAlign w:val="center"/>
          </w:tcPr>
          <w:p w14:paraId="1C19E354">
            <w:pPr>
              <w:spacing w:line="300" w:lineRule="exact"/>
              <w:jc w:val="center"/>
              <w:rPr>
                <w:color w:val="auto"/>
                <w:szCs w:val="21"/>
                <w:highlight w:val="none"/>
              </w:rPr>
            </w:pPr>
            <w:r>
              <w:rPr>
                <w:rFonts w:hint="eastAsia"/>
                <w:color w:val="auto"/>
                <w:szCs w:val="21"/>
                <w:highlight w:val="none"/>
              </w:rPr>
              <w:t>0775-4213112</w:t>
            </w:r>
          </w:p>
        </w:tc>
        <w:tc>
          <w:tcPr>
            <w:tcW w:w="1582" w:type="pct"/>
            <w:tcBorders>
              <w:top w:val="single" w:color="auto" w:sz="4" w:space="0"/>
              <w:left w:val="single" w:color="auto" w:sz="4" w:space="0"/>
              <w:bottom w:val="single" w:color="auto" w:sz="4" w:space="0"/>
              <w:right w:val="single" w:color="auto" w:sz="4" w:space="0"/>
            </w:tcBorders>
            <w:noWrap/>
            <w:vAlign w:val="center"/>
          </w:tcPr>
          <w:p w14:paraId="58F94D79">
            <w:pPr>
              <w:spacing w:line="300" w:lineRule="exact"/>
              <w:jc w:val="center"/>
              <w:rPr>
                <w:color w:val="auto"/>
                <w:szCs w:val="21"/>
                <w:highlight w:val="none"/>
              </w:rPr>
            </w:pPr>
            <w:r>
              <w:rPr>
                <w:color w:val="auto"/>
                <w:szCs w:val="21"/>
                <w:highlight w:val="none"/>
              </w:rPr>
              <w:t>联系电话</w:t>
            </w:r>
          </w:p>
        </w:tc>
        <w:tc>
          <w:tcPr>
            <w:tcW w:w="908" w:type="pct"/>
            <w:tcBorders>
              <w:top w:val="single" w:color="auto" w:sz="4" w:space="0"/>
              <w:left w:val="single" w:color="auto" w:sz="4" w:space="0"/>
              <w:bottom w:val="single" w:color="auto" w:sz="4" w:space="0"/>
              <w:right w:val="single" w:color="auto" w:sz="4" w:space="0"/>
            </w:tcBorders>
            <w:noWrap/>
            <w:vAlign w:val="center"/>
          </w:tcPr>
          <w:p w14:paraId="5E81CDE7">
            <w:pPr>
              <w:spacing w:line="300" w:lineRule="exact"/>
              <w:jc w:val="center"/>
              <w:rPr>
                <w:color w:val="auto"/>
                <w:spacing w:val="20"/>
                <w:szCs w:val="21"/>
                <w:highlight w:val="none"/>
              </w:rPr>
            </w:pPr>
          </w:p>
        </w:tc>
      </w:tr>
      <w:tr w14:paraId="79EBA79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79A091DC">
            <w:pPr>
              <w:spacing w:line="300" w:lineRule="exact"/>
              <w:jc w:val="center"/>
              <w:rPr>
                <w:color w:val="auto"/>
                <w:szCs w:val="21"/>
                <w:highlight w:val="none"/>
              </w:rPr>
            </w:pPr>
            <w:r>
              <w:rPr>
                <w:rFonts w:hint="eastAsia"/>
                <w:color w:val="auto"/>
                <w:szCs w:val="21"/>
                <w:highlight w:val="none"/>
              </w:rPr>
              <w:t>通信地址</w:t>
            </w:r>
          </w:p>
        </w:tc>
        <w:tc>
          <w:tcPr>
            <w:tcW w:w="959" w:type="pct"/>
            <w:tcBorders>
              <w:top w:val="single" w:color="auto" w:sz="4" w:space="0"/>
              <w:left w:val="single" w:color="auto" w:sz="4" w:space="0"/>
              <w:bottom w:val="single" w:color="auto" w:sz="4" w:space="0"/>
              <w:right w:val="single" w:color="auto" w:sz="4" w:space="0"/>
            </w:tcBorders>
            <w:noWrap/>
            <w:vAlign w:val="center"/>
          </w:tcPr>
          <w:p w14:paraId="7DAAAAA5">
            <w:pPr>
              <w:spacing w:line="300" w:lineRule="exact"/>
              <w:jc w:val="center"/>
              <w:rPr>
                <w:color w:val="auto"/>
                <w:szCs w:val="21"/>
                <w:highlight w:val="none"/>
              </w:rPr>
            </w:pPr>
            <w:r>
              <w:rPr>
                <w:rFonts w:hint="eastAsia"/>
                <w:color w:val="auto"/>
                <w:szCs w:val="21"/>
                <w:highlight w:val="none"/>
              </w:rPr>
              <w:t>贵港市港北区建设路29号</w:t>
            </w:r>
          </w:p>
        </w:tc>
        <w:tc>
          <w:tcPr>
            <w:tcW w:w="1582" w:type="pct"/>
            <w:tcBorders>
              <w:top w:val="single" w:color="auto" w:sz="4" w:space="0"/>
              <w:left w:val="single" w:color="auto" w:sz="4" w:space="0"/>
              <w:bottom w:val="single" w:color="auto" w:sz="4" w:space="0"/>
              <w:right w:val="single" w:color="auto" w:sz="4" w:space="0"/>
            </w:tcBorders>
            <w:noWrap/>
            <w:vAlign w:val="center"/>
          </w:tcPr>
          <w:p w14:paraId="753E4CCC">
            <w:pPr>
              <w:spacing w:line="300" w:lineRule="exact"/>
              <w:jc w:val="center"/>
              <w:rPr>
                <w:color w:val="auto"/>
                <w:szCs w:val="21"/>
                <w:highlight w:val="none"/>
              </w:rPr>
            </w:pPr>
            <w:r>
              <w:rPr>
                <w:rFonts w:hint="eastAsia"/>
                <w:color w:val="auto"/>
                <w:szCs w:val="21"/>
                <w:highlight w:val="none"/>
              </w:rPr>
              <w:t>通信地址</w:t>
            </w:r>
          </w:p>
        </w:tc>
        <w:tc>
          <w:tcPr>
            <w:tcW w:w="908" w:type="pct"/>
            <w:tcBorders>
              <w:top w:val="single" w:color="auto" w:sz="4" w:space="0"/>
              <w:left w:val="single" w:color="auto" w:sz="4" w:space="0"/>
              <w:bottom w:val="single" w:color="auto" w:sz="4" w:space="0"/>
              <w:right w:val="single" w:color="auto" w:sz="4" w:space="0"/>
            </w:tcBorders>
            <w:noWrap/>
            <w:vAlign w:val="center"/>
          </w:tcPr>
          <w:p w14:paraId="6A54DCCE">
            <w:pPr>
              <w:spacing w:line="300" w:lineRule="exact"/>
              <w:jc w:val="center"/>
              <w:rPr>
                <w:color w:val="auto"/>
                <w:spacing w:val="20"/>
                <w:szCs w:val="21"/>
                <w:highlight w:val="none"/>
              </w:rPr>
            </w:pPr>
          </w:p>
        </w:tc>
      </w:tr>
      <w:tr w14:paraId="57B737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3C10064">
            <w:pPr>
              <w:spacing w:line="300" w:lineRule="exact"/>
              <w:jc w:val="center"/>
              <w:rPr>
                <w:color w:val="auto"/>
                <w:szCs w:val="21"/>
                <w:highlight w:val="none"/>
              </w:rPr>
            </w:pPr>
            <w:r>
              <w:rPr>
                <w:color w:val="auto"/>
                <w:szCs w:val="21"/>
                <w:highlight w:val="none"/>
              </w:rPr>
              <w:t>邮政编码</w:t>
            </w:r>
          </w:p>
        </w:tc>
        <w:tc>
          <w:tcPr>
            <w:tcW w:w="959" w:type="pct"/>
            <w:tcBorders>
              <w:top w:val="single" w:color="auto" w:sz="4" w:space="0"/>
              <w:left w:val="single" w:color="auto" w:sz="4" w:space="0"/>
              <w:bottom w:val="single" w:color="auto" w:sz="4" w:space="0"/>
              <w:right w:val="single" w:color="auto" w:sz="4" w:space="0"/>
            </w:tcBorders>
            <w:noWrap/>
            <w:vAlign w:val="center"/>
          </w:tcPr>
          <w:p w14:paraId="66195F5A">
            <w:pPr>
              <w:spacing w:line="300" w:lineRule="exact"/>
              <w:jc w:val="center"/>
              <w:rPr>
                <w:color w:val="auto"/>
                <w:szCs w:val="21"/>
                <w:highlight w:val="none"/>
              </w:rPr>
            </w:pPr>
            <w:r>
              <w:rPr>
                <w:rFonts w:hint="eastAsia"/>
                <w:color w:val="auto"/>
                <w:szCs w:val="21"/>
                <w:highlight w:val="none"/>
                <w:lang w:val="en-US" w:eastAsia="zh-CN"/>
              </w:rPr>
              <w:t>537100</w:t>
            </w:r>
          </w:p>
        </w:tc>
        <w:tc>
          <w:tcPr>
            <w:tcW w:w="1582" w:type="pct"/>
            <w:tcBorders>
              <w:top w:val="single" w:color="auto" w:sz="4" w:space="0"/>
              <w:left w:val="single" w:color="auto" w:sz="4" w:space="0"/>
              <w:bottom w:val="single" w:color="auto" w:sz="4" w:space="0"/>
              <w:right w:val="single" w:color="auto" w:sz="4" w:space="0"/>
            </w:tcBorders>
            <w:noWrap/>
            <w:vAlign w:val="center"/>
          </w:tcPr>
          <w:p w14:paraId="53314FBD">
            <w:pPr>
              <w:spacing w:line="300" w:lineRule="exact"/>
              <w:jc w:val="center"/>
              <w:rPr>
                <w:color w:val="auto"/>
                <w:szCs w:val="21"/>
                <w:highlight w:val="none"/>
              </w:rPr>
            </w:pPr>
            <w:r>
              <w:rPr>
                <w:color w:val="auto"/>
                <w:szCs w:val="21"/>
                <w:highlight w:val="none"/>
              </w:rPr>
              <w:t>邮政编码</w:t>
            </w:r>
          </w:p>
        </w:tc>
        <w:tc>
          <w:tcPr>
            <w:tcW w:w="908" w:type="pct"/>
            <w:tcBorders>
              <w:top w:val="single" w:color="auto" w:sz="4" w:space="0"/>
              <w:left w:val="single" w:color="auto" w:sz="4" w:space="0"/>
              <w:bottom w:val="single" w:color="auto" w:sz="4" w:space="0"/>
              <w:right w:val="single" w:color="auto" w:sz="4" w:space="0"/>
            </w:tcBorders>
            <w:noWrap/>
            <w:vAlign w:val="center"/>
          </w:tcPr>
          <w:p w14:paraId="467EEC7A">
            <w:pPr>
              <w:spacing w:line="300" w:lineRule="exact"/>
              <w:jc w:val="center"/>
              <w:rPr>
                <w:color w:val="auto"/>
                <w:spacing w:val="20"/>
                <w:szCs w:val="21"/>
                <w:highlight w:val="none"/>
              </w:rPr>
            </w:pPr>
          </w:p>
        </w:tc>
      </w:tr>
      <w:tr w14:paraId="5FF7A31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45C6EDCD">
            <w:pPr>
              <w:spacing w:line="300" w:lineRule="exact"/>
              <w:jc w:val="center"/>
              <w:rPr>
                <w:color w:val="auto"/>
                <w:szCs w:val="21"/>
                <w:highlight w:val="none"/>
              </w:rPr>
            </w:pPr>
            <w:r>
              <w:rPr>
                <w:rFonts w:hint="eastAsia"/>
                <w:color w:val="auto"/>
                <w:szCs w:val="21"/>
                <w:highlight w:val="none"/>
              </w:rPr>
              <w:t>电子邮箱</w:t>
            </w:r>
          </w:p>
        </w:tc>
        <w:tc>
          <w:tcPr>
            <w:tcW w:w="959" w:type="pct"/>
            <w:tcBorders>
              <w:top w:val="single" w:color="auto" w:sz="4" w:space="0"/>
              <w:left w:val="single" w:color="auto" w:sz="4" w:space="0"/>
              <w:bottom w:val="single" w:color="auto" w:sz="4" w:space="0"/>
              <w:right w:val="single" w:color="auto" w:sz="4" w:space="0"/>
            </w:tcBorders>
            <w:noWrap/>
            <w:vAlign w:val="center"/>
          </w:tcPr>
          <w:p w14:paraId="1F7BEEBE">
            <w:pPr>
              <w:spacing w:line="300" w:lineRule="exact"/>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1582" w:type="pct"/>
            <w:tcBorders>
              <w:top w:val="single" w:color="auto" w:sz="4" w:space="0"/>
              <w:left w:val="single" w:color="auto" w:sz="4" w:space="0"/>
              <w:bottom w:val="single" w:color="auto" w:sz="4" w:space="0"/>
              <w:right w:val="single" w:color="auto" w:sz="4" w:space="0"/>
            </w:tcBorders>
            <w:noWrap/>
            <w:vAlign w:val="center"/>
          </w:tcPr>
          <w:p w14:paraId="6B63793D">
            <w:pPr>
              <w:spacing w:line="300" w:lineRule="exact"/>
              <w:jc w:val="center"/>
              <w:rPr>
                <w:color w:val="auto"/>
                <w:szCs w:val="21"/>
                <w:highlight w:val="none"/>
              </w:rPr>
            </w:pPr>
            <w:r>
              <w:rPr>
                <w:rFonts w:hint="eastAsia"/>
                <w:color w:val="auto"/>
                <w:szCs w:val="21"/>
                <w:highlight w:val="none"/>
              </w:rPr>
              <w:t>电子邮箱</w:t>
            </w:r>
          </w:p>
        </w:tc>
        <w:tc>
          <w:tcPr>
            <w:tcW w:w="908" w:type="pct"/>
            <w:tcBorders>
              <w:top w:val="single" w:color="auto" w:sz="4" w:space="0"/>
              <w:left w:val="single" w:color="auto" w:sz="4" w:space="0"/>
              <w:bottom w:val="single" w:color="auto" w:sz="4" w:space="0"/>
              <w:right w:val="single" w:color="auto" w:sz="4" w:space="0"/>
            </w:tcBorders>
            <w:noWrap/>
            <w:vAlign w:val="center"/>
          </w:tcPr>
          <w:p w14:paraId="22A8C547">
            <w:pPr>
              <w:spacing w:line="300" w:lineRule="exact"/>
              <w:jc w:val="center"/>
              <w:rPr>
                <w:color w:val="auto"/>
                <w:spacing w:val="20"/>
                <w:szCs w:val="21"/>
                <w:highlight w:val="none"/>
              </w:rPr>
            </w:pPr>
          </w:p>
        </w:tc>
      </w:tr>
      <w:tr w14:paraId="66E6F92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03EAD8F">
            <w:pPr>
              <w:spacing w:line="300" w:lineRule="exact"/>
              <w:jc w:val="center"/>
              <w:rPr>
                <w:color w:val="auto"/>
                <w:szCs w:val="21"/>
                <w:highlight w:val="none"/>
              </w:rPr>
            </w:pPr>
            <w:r>
              <w:rPr>
                <w:rFonts w:hint="eastAsia"/>
                <w:color w:val="auto"/>
                <w:szCs w:val="21"/>
                <w:highlight w:val="none"/>
              </w:rPr>
              <w:t>统一社会信用代码</w:t>
            </w:r>
          </w:p>
        </w:tc>
        <w:tc>
          <w:tcPr>
            <w:tcW w:w="959" w:type="pct"/>
            <w:tcBorders>
              <w:top w:val="single" w:color="auto" w:sz="4" w:space="0"/>
              <w:left w:val="single" w:color="auto" w:sz="4" w:space="0"/>
              <w:bottom w:val="single" w:color="auto" w:sz="4" w:space="0"/>
              <w:right w:val="single" w:color="auto" w:sz="4" w:space="0"/>
            </w:tcBorders>
            <w:noWrap/>
            <w:vAlign w:val="center"/>
          </w:tcPr>
          <w:p w14:paraId="34F4DA57">
            <w:pPr>
              <w:spacing w:line="300" w:lineRule="exact"/>
              <w:jc w:val="center"/>
              <w:rPr>
                <w:color w:val="auto"/>
                <w:szCs w:val="21"/>
                <w:highlight w:val="none"/>
              </w:rPr>
            </w:pPr>
            <w:r>
              <w:rPr>
                <w:rFonts w:hint="eastAsia"/>
                <w:color w:val="auto"/>
                <w:szCs w:val="21"/>
                <w:highlight w:val="none"/>
              </w:rPr>
              <w:t>124508004993731557</w:t>
            </w:r>
          </w:p>
        </w:tc>
        <w:tc>
          <w:tcPr>
            <w:tcW w:w="1582" w:type="pct"/>
            <w:tcBorders>
              <w:top w:val="single" w:color="auto" w:sz="4" w:space="0"/>
              <w:left w:val="single" w:color="auto" w:sz="4" w:space="0"/>
              <w:bottom w:val="single" w:color="auto" w:sz="4" w:space="0"/>
              <w:right w:val="single" w:color="auto" w:sz="4" w:space="0"/>
            </w:tcBorders>
            <w:noWrap/>
            <w:vAlign w:val="center"/>
          </w:tcPr>
          <w:p w14:paraId="6BFD04CB">
            <w:pPr>
              <w:spacing w:line="300" w:lineRule="exact"/>
              <w:jc w:val="center"/>
              <w:rPr>
                <w:color w:val="auto"/>
                <w:szCs w:val="21"/>
                <w:highlight w:val="none"/>
              </w:rPr>
            </w:pPr>
            <w:r>
              <w:rPr>
                <w:rFonts w:hint="eastAsia"/>
                <w:color w:val="auto"/>
                <w:szCs w:val="21"/>
                <w:highlight w:val="none"/>
              </w:rPr>
              <w:t>统一社会信用代码</w:t>
            </w:r>
          </w:p>
        </w:tc>
        <w:tc>
          <w:tcPr>
            <w:tcW w:w="908" w:type="pct"/>
            <w:tcBorders>
              <w:top w:val="single" w:color="auto" w:sz="4" w:space="0"/>
              <w:left w:val="single" w:color="auto" w:sz="4" w:space="0"/>
              <w:bottom w:val="single" w:color="auto" w:sz="4" w:space="0"/>
              <w:right w:val="single" w:color="auto" w:sz="4" w:space="0"/>
            </w:tcBorders>
            <w:noWrap/>
            <w:vAlign w:val="center"/>
          </w:tcPr>
          <w:p w14:paraId="41D46EEE">
            <w:pPr>
              <w:spacing w:line="300" w:lineRule="exact"/>
              <w:jc w:val="center"/>
              <w:rPr>
                <w:color w:val="auto"/>
                <w:spacing w:val="20"/>
                <w:szCs w:val="21"/>
                <w:highlight w:val="none"/>
              </w:rPr>
            </w:pPr>
          </w:p>
        </w:tc>
      </w:tr>
      <w:tr w14:paraId="227F2B8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6A7621C3">
            <w:pPr>
              <w:spacing w:line="300" w:lineRule="exact"/>
              <w:jc w:val="center"/>
              <w:rPr>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79415F4D">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2324E31F">
            <w:pPr>
              <w:spacing w:line="300" w:lineRule="exact"/>
              <w:jc w:val="center"/>
              <w:rPr>
                <w:color w:val="auto"/>
                <w:szCs w:val="21"/>
                <w:highlight w:val="none"/>
              </w:rPr>
            </w:pPr>
            <w:r>
              <w:rPr>
                <w:color w:val="auto"/>
                <w:szCs w:val="21"/>
                <w:highlight w:val="none"/>
              </w:rPr>
              <w:t>开户名称</w:t>
            </w:r>
          </w:p>
        </w:tc>
        <w:tc>
          <w:tcPr>
            <w:tcW w:w="908" w:type="pct"/>
            <w:tcBorders>
              <w:top w:val="single" w:color="auto" w:sz="4" w:space="0"/>
              <w:left w:val="single" w:color="auto" w:sz="4" w:space="0"/>
              <w:bottom w:val="single" w:color="auto" w:sz="4" w:space="0"/>
              <w:right w:val="single" w:color="auto" w:sz="4" w:space="0"/>
            </w:tcBorders>
            <w:noWrap/>
            <w:vAlign w:val="center"/>
          </w:tcPr>
          <w:p w14:paraId="079975D5">
            <w:pPr>
              <w:spacing w:line="300" w:lineRule="exact"/>
              <w:jc w:val="center"/>
              <w:rPr>
                <w:color w:val="auto"/>
                <w:spacing w:val="20"/>
                <w:szCs w:val="21"/>
                <w:highlight w:val="none"/>
              </w:rPr>
            </w:pPr>
          </w:p>
        </w:tc>
      </w:tr>
      <w:tr w14:paraId="2D7F4C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2A48634D">
            <w:pPr>
              <w:spacing w:line="300" w:lineRule="exact"/>
              <w:jc w:val="center"/>
              <w:rPr>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5E4AEF5A">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397ABA1B">
            <w:pPr>
              <w:spacing w:line="300" w:lineRule="exact"/>
              <w:jc w:val="center"/>
              <w:rPr>
                <w:color w:val="auto"/>
                <w:szCs w:val="21"/>
                <w:highlight w:val="none"/>
              </w:rPr>
            </w:pPr>
            <w:r>
              <w:rPr>
                <w:color w:val="auto"/>
                <w:szCs w:val="21"/>
                <w:highlight w:val="none"/>
              </w:rPr>
              <w:t>开户银行</w:t>
            </w:r>
          </w:p>
        </w:tc>
        <w:tc>
          <w:tcPr>
            <w:tcW w:w="908" w:type="pct"/>
            <w:tcBorders>
              <w:top w:val="single" w:color="auto" w:sz="4" w:space="0"/>
              <w:left w:val="single" w:color="auto" w:sz="4" w:space="0"/>
              <w:bottom w:val="single" w:color="auto" w:sz="4" w:space="0"/>
              <w:right w:val="single" w:color="auto" w:sz="4" w:space="0"/>
            </w:tcBorders>
            <w:noWrap/>
            <w:vAlign w:val="center"/>
          </w:tcPr>
          <w:p w14:paraId="527A0865">
            <w:pPr>
              <w:spacing w:line="300" w:lineRule="exact"/>
              <w:jc w:val="center"/>
              <w:rPr>
                <w:color w:val="auto"/>
                <w:spacing w:val="20"/>
                <w:szCs w:val="21"/>
                <w:highlight w:val="none"/>
              </w:rPr>
            </w:pPr>
          </w:p>
        </w:tc>
      </w:tr>
      <w:tr w14:paraId="0192A30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1FE8D9A">
            <w:pPr>
              <w:spacing w:line="300" w:lineRule="exact"/>
              <w:jc w:val="center"/>
              <w:rPr>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7904CEE0">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7E4844FB">
            <w:pPr>
              <w:spacing w:line="300" w:lineRule="exact"/>
              <w:jc w:val="center"/>
              <w:rPr>
                <w:color w:val="auto"/>
                <w:szCs w:val="21"/>
                <w:highlight w:val="none"/>
              </w:rPr>
            </w:pPr>
            <w:r>
              <w:rPr>
                <w:color w:val="auto"/>
                <w:szCs w:val="21"/>
                <w:highlight w:val="none"/>
              </w:rPr>
              <w:t>银行账号</w:t>
            </w:r>
          </w:p>
        </w:tc>
        <w:tc>
          <w:tcPr>
            <w:tcW w:w="908" w:type="pct"/>
            <w:tcBorders>
              <w:top w:val="single" w:color="auto" w:sz="4" w:space="0"/>
              <w:left w:val="single" w:color="auto" w:sz="4" w:space="0"/>
              <w:bottom w:val="single" w:color="auto" w:sz="4" w:space="0"/>
              <w:right w:val="single" w:color="auto" w:sz="4" w:space="0"/>
            </w:tcBorders>
            <w:noWrap/>
            <w:vAlign w:val="center"/>
          </w:tcPr>
          <w:p w14:paraId="1D085F2E">
            <w:pPr>
              <w:spacing w:line="300" w:lineRule="exact"/>
              <w:jc w:val="center"/>
              <w:rPr>
                <w:color w:val="auto"/>
                <w:spacing w:val="20"/>
                <w:szCs w:val="21"/>
                <w:highlight w:val="none"/>
              </w:rPr>
            </w:pPr>
          </w:p>
        </w:tc>
      </w:tr>
      <w:tr w14:paraId="4043DE6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4" w:space="0"/>
              <w:left w:val="single" w:color="auto" w:sz="4" w:space="0"/>
              <w:bottom w:val="single" w:color="auto" w:sz="4" w:space="0"/>
              <w:right w:val="single" w:color="auto" w:sz="4" w:space="0"/>
            </w:tcBorders>
            <w:noWrap/>
            <w:vAlign w:val="center"/>
          </w:tcPr>
          <w:p w14:paraId="51A3127F">
            <w:pPr>
              <w:pStyle w:val="225"/>
              <w:spacing w:before="120" w:line="360" w:lineRule="auto"/>
              <w:ind w:firstLine="0"/>
              <w:jc w:val="center"/>
              <w:rPr>
                <w:color w:val="auto"/>
                <w:spacing w:val="20"/>
                <w:szCs w:val="21"/>
                <w:highlight w:val="none"/>
                <w:lang w:val="en-US" w:eastAsia="zh-CN"/>
              </w:rPr>
            </w:pPr>
            <w:r>
              <w:rPr>
                <w:rFonts w:hint="eastAsia" w:ascii="Times New Roman" w:eastAsia="宋体"/>
                <w:color w:val="auto"/>
                <w:sz w:val="21"/>
                <w:szCs w:val="21"/>
                <w:highlight w:val="none"/>
                <w:lang w:val="en-US" w:eastAsia="zh-CN"/>
              </w:rPr>
              <w:t>注：涉及联合体或其他合同主体的信息应按上表格式加列。</w:t>
            </w:r>
          </w:p>
        </w:tc>
      </w:tr>
    </w:tbl>
    <w:p w14:paraId="6ED77D15">
      <w:pPr>
        <w:pStyle w:val="193"/>
        <w:spacing w:before="120"/>
        <w:ind w:firstLine="422"/>
        <w:jc w:val="center"/>
        <w:rPr>
          <w:rFonts w:ascii="黑体" w:hAnsi="黑体"/>
          <w:color w:val="auto"/>
          <w:sz w:val="28"/>
          <w:szCs w:val="28"/>
          <w:highlight w:val="none"/>
        </w:rPr>
      </w:pPr>
      <w:r>
        <w:rPr>
          <w:rFonts w:ascii="宋体" w:hAnsi="宋体"/>
          <w:color w:val="auto"/>
          <w:sz w:val="21"/>
          <w:szCs w:val="21"/>
          <w:highlight w:val="none"/>
          <w:u w:val="single"/>
        </w:rPr>
        <w:br w:type="page" w:clear="all"/>
      </w:r>
      <w:bookmarkStart w:id="159" w:name="_Toc25392"/>
      <w:r>
        <w:rPr>
          <w:rFonts w:hint="eastAsia" w:ascii="黑体" w:hAnsi="黑体"/>
          <w:b w:val="0"/>
          <w:bCs w:val="0"/>
          <w:color w:val="auto"/>
          <w:sz w:val="28"/>
          <w:szCs w:val="28"/>
          <w:highlight w:val="none"/>
        </w:rPr>
        <w:t>第二节 政府采购合同通用条款</w:t>
      </w:r>
      <w:bookmarkEnd w:id="159"/>
    </w:p>
    <w:p w14:paraId="6561294A">
      <w:pPr>
        <w:tabs>
          <w:tab w:val="left" w:pos="8820"/>
          <w:tab w:val="left" w:pos="9345"/>
          <w:tab w:val="left" w:pos="9765"/>
        </w:tabs>
        <w:spacing w:line="400" w:lineRule="exact"/>
        <w:ind w:firstLine="482"/>
        <w:jc w:val="left"/>
        <w:rPr>
          <w:rFonts w:ascii="宋体" w:hAnsi="宋体"/>
          <w:b/>
          <w:bCs/>
          <w:color w:val="auto"/>
          <w:sz w:val="24"/>
          <w:highlight w:val="none"/>
        </w:rPr>
      </w:pPr>
      <w:r>
        <w:rPr>
          <w:rFonts w:hint="eastAsia" w:ascii="宋体" w:hAnsi="宋体"/>
          <w:b/>
          <w:color w:val="auto"/>
          <w:sz w:val="24"/>
          <w:highlight w:val="none"/>
        </w:rPr>
        <w:t>1.</w:t>
      </w:r>
      <w:r>
        <w:rPr>
          <w:rFonts w:hint="eastAsia" w:ascii="宋体" w:hAnsi="宋体"/>
          <w:b/>
          <w:bCs/>
          <w:color w:val="auto"/>
          <w:sz w:val="24"/>
          <w:highlight w:val="none"/>
        </w:rPr>
        <w:t>定义</w:t>
      </w:r>
    </w:p>
    <w:p w14:paraId="43B27FA0">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1.1合同当事人</w:t>
      </w:r>
    </w:p>
    <w:p w14:paraId="51054C2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w:t>
      </w:r>
      <w:r>
        <w:rPr>
          <w:rFonts w:hint="eastAsia" w:ascii="宋体" w:hAnsi="宋体"/>
          <w:color w:val="auto"/>
          <w:szCs w:val="21"/>
          <w:highlight w:val="none"/>
          <w:lang w:eastAsia="zh-CN"/>
        </w:rPr>
        <w:t>方</w:t>
      </w:r>
      <w:r>
        <w:rPr>
          <w:rFonts w:hint="eastAsia" w:ascii="宋体" w:hAnsi="宋体"/>
          <w:color w:val="auto"/>
          <w:szCs w:val="21"/>
          <w:highlight w:val="none"/>
        </w:rPr>
        <w:t>式向供应商购买货物及其相关服务的国家机关、事业单位、团体组织。</w:t>
      </w:r>
    </w:p>
    <w:p w14:paraId="7FC06C32">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（2）供应商（以下称乙方）是指参加政府采购活动并且中标（成交），向采购人提供合同约定的货物及其相关服务的法人、非法人组织或者自然人。</w:t>
      </w:r>
    </w:p>
    <w:p w14:paraId="33072F5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cs="宋体"/>
          <w:bCs/>
          <w:color w:val="auto"/>
          <w:szCs w:val="21"/>
          <w:highlight w:val="none"/>
        </w:rPr>
        <w:t>依法参与合同缔结或履行，享有权利、承担义务的合同当事人</w:t>
      </w:r>
      <w:r>
        <w:rPr>
          <w:rFonts w:hint="eastAsia" w:ascii="宋体" w:hAnsi="宋体"/>
          <w:color w:val="auto"/>
          <w:szCs w:val="21"/>
          <w:highlight w:val="none"/>
        </w:rPr>
        <w:t>。</w:t>
      </w:r>
    </w:p>
    <w:p w14:paraId="06EB817A">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63AAE3F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cs="宋体"/>
          <w:bCs/>
          <w:color w:val="auto"/>
          <w:szCs w:val="21"/>
          <w:highlight w:val="none"/>
        </w:rPr>
        <w:t>合同当事人意思表示达成一致的任何协议，包括签署的</w:t>
      </w:r>
      <w:r>
        <w:rPr>
          <w:rFonts w:hint="eastAsia" w:ascii="宋体" w:hAnsi="宋体"/>
          <w:color w:val="auto"/>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Cs w:val="21"/>
          <w:highlight w:val="none"/>
        </w:rPr>
        <w:t>国家法律、行政法规和规章制度规定或合同约定的作为合同组成部分的其他文件</w:t>
      </w:r>
      <w:r>
        <w:rPr>
          <w:rFonts w:hint="eastAsia" w:ascii="宋体" w:hAnsi="宋体"/>
          <w:color w:val="auto"/>
          <w:szCs w:val="21"/>
          <w:highlight w:val="none"/>
        </w:rPr>
        <w:t>。</w:t>
      </w:r>
    </w:p>
    <w:p w14:paraId="31CBF630">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（2）“合同价款”系指根据本合同规定乙方在全面履行合同义务后甲方应支付给乙方的价款。</w:t>
      </w:r>
    </w:p>
    <w:p w14:paraId="0AC57208">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w:t>
      </w:r>
      <w:r>
        <w:rPr>
          <w:rFonts w:ascii="宋体" w:hAnsi="宋体"/>
          <w:color w:val="auto"/>
          <w:szCs w:val="21"/>
          <w:highlight w:val="none"/>
        </w:rPr>
        <w:t>其他</w:t>
      </w:r>
      <w:r>
        <w:rPr>
          <w:rFonts w:hint="eastAsia" w:ascii="宋体" w:hAnsi="宋体"/>
          <w:color w:val="auto"/>
          <w:szCs w:val="21"/>
          <w:highlight w:val="none"/>
        </w:rPr>
        <w:t>技术资料和材料等。</w:t>
      </w:r>
    </w:p>
    <w:p w14:paraId="5617C7A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（4）“相关服务”系指根据合同规定，乙方应提供的与货物有关的技术、管理和</w:t>
      </w:r>
      <w:r>
        <w:rPr>
          <w:rFonts w:ascii="宋体" w:hAnsi="宋体"/>
          <w:color w:val="auto"/>
          <w:szCs w:val="21"/>
          <w:highlight w:val="none"/>
        </w:rPr>
        <w:t>其他</w:t>
      </w:r>
      <w:r>
        <w:rPr>
          <w:rFonts w:hint="eastAsia" w:ascii="宋体" w:hAnsi="宋体"/>
          <w:color w:val="auto"/>
          <w:szCs w:val="21"/>
          <w:highlight w:val="none"/>
        </w:rPr>
        <w:t>服务，包括但不限于：管理和质量保证、运输、保险、检验、现场准备、安装、集成、调试、培训、维修、废弃处置、技术支持等以及合同中规定乙方应承担的</w:t>
      </w:r>
      <w:r>
        <w:rPr>
          <w:rFonts w:ascii="宋体" w:hAnsi="宋体"/>
          <w:color w:val="auto"/>
          <w:szCs w:val="21"/>
          <w:highlight w:val="none"/>
        </w:rPr>
        <w:t>其他</w:t>
      </w:r>
      <w:r>
        <w:rPr>
          <w:rFonts w:hint="eastAsia" w:ascii="宋体" w:hAnsi="宋体"/>
          <w:color w:val="auto"/>
          <w:szCs w:val="21"/>
          <w:highlight w:val="none"/>
        </w:rPr>
        <w:t>义务。</w:t>
      </w:r>
    </w:p>
    <w:p w14:paraId="6C02881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（5）“分包”系指中标（成交）供应商按采购文件、投标（响应）文件的规定，根据分包意向协议，将中标（成交）项目中的部分履约内容，分给具有相应资质条件的供应商履行合同的行为。</w:t>
      </w:r>
    </w:p>
    <w:p w14:paraId="1A3337B7">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695A0C76">
      <w:pPr>
        <w:tabs>
          <w:tab w:val="left" w:pos="570"/>
          <w:tab w:val="left" w:pos="9240"/>
          <w:tab w:val="left" w:pos="9555"/>
        </w:tabs>
        <w:spacing w:line="400" w:lineRule="exact"/>
        <w:ind w:firstLine="420"/>
        <w:jc w:val="left"/>
        <w:rPr>
          <w:rFonts w:ascii="宋体" w:hAnsi="宋体"/>
          <w:color w:val="auto"/>
          <w:szCs w:val="21"/>
          <w:highlight w:val="none"/>
        </w:rPr>
      </w:pPr>
      <w:r>
        <w:rPr>
          <w:rFonts w:hint="eastAsia" w:ascii="宋体" w:hAnsi="宋体"/>
          <w:color w:val="auto"/>
          <w:szCs w:val="21"/>
          <w:highlight w:val="none"/>
        </w:rPr>
        <w:t>（7）其他术语解释，见【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6D86E5A4">
      <w:pPr>
        <w:numPr>
          <w:ilvl w:val="0"/>
          <w:numId w:val="10"/>
        </w:numPr>
        <w:spacing w:line="400" w:lineRule="exact"/>
        <w:ind w:firstLine="482"/>
        <w:jc w:val="left"/>
        <w:rPr>
          <w:rFonts w:ascii="宋体" w:hAnsi="宋体"/>
          <w:b/>
          <w:bCs/>
          <w:color w:val="auto"/>
          <w:sz w:val="24"/>
          <w:highlight w:val="none"/>
        </w:rPr>
      </w:pPr>
      <w:r>
        <w:rPr>
          <w:rFonts w:hint="eastAsia" w:ascii="宋体" w:hAnsi="宋体"/>
          <w:b/>
          <w:color w:val="auto"/>
          <w:sz w:val="24"/>
          <w:highlight w:val="none"/>
        </w:rPr>
        <w:t>合同标的及金额</w:t>
      </w:r>
    </w:p>
    <w:p w14:paraId="54B25531">
      <w:pPr>
        <w:spacing w:line="400" w:lineRule="exact"/>
        <w:ind w:firstLine="420"/>
        <w:jc w:val="left"/>
        <w:rPr>
          <w:rFonts w:ascii="宋体" w:hAnsi="宋体"/>
          <w:b/>
          <w:bCs/>
          <w:i/>
          <w:iCs/>
          <w:color w:val="auto"/>
          <w:szCs w:val="21"/>
          <w:highlight w:val="none"/>
        </w:rPr>
      </w:pPr>
      <w:r>
        <w:rPr>
          <w:rFonts w:hint="eastAsia" w:ascii="宋体" w:hAnsi="宋体"/>
          <w:color w:val="auto"/>
          <w:szCs w:val="21"/>
          <w:highlight w:val="none"/>
        </w:rPr>
        <w:t>2.1 合同标的及金额应与中标（成交）结果一致。乙方为履行本合同而发生的所有费用均应包含在合同价款中，甲方不再另行支付</w:t>
      </w:r>
      <w:r>
        <w:rPr>
          <w:rFonts w:ascii="宋体" w:hAnsi="宋体"/>
          <w:color w:val="auto"/>
          <w:szCs w:val="21"/>
          <w:highlight w:val="none"/>
        </w:rPr>
        <w:t>其他</w:t>
      </w:r>
      <w:r>
        <w:rPr>
          <w:rFonts w:hint="eastAsia" w:ascii="宋体" w:hAnsi="宋体"/>
          <w:color w:val="auto"/>
          <w:szCs w:val="21"/>
          <w:highlight w:val="none"/>
        </w:rPr>
        <w:t>任何费用。</w:t>
      </w:r>
    </w:p>
    <w:p w14:paraId="129C2790">
      <w:p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3. 履行合同的时间、地点和方式</w:t>
      </w:r>
    </w:p>
    <w:p w14:paraId="295CEDA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3.1 </w:t>
      </w:r>
      <w:r>
        <w:rPr>
          <w:rFonts w:hint="eastAsia" w:ascii="宋体" w:hAnsi="宋体" w:cs="宋体"/>
          <w:color w:val="auto"/>
          <w:szCs w:val="21"/>
          <w:highlight w:val="none"/>
        </w:rPr>
        <w:t>乙方应当在约定的时间、地点，按照约定方式履行合同。</w:t>
      </w:r>
    </w:p>
    <w:p w14:paraId="17C5C193">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4. 甲方的权利和义务</w:t>
      </w:r>
    </w:p>
    <w:p w14:paraId="2FFABDC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4.1</w:t>
      </w:r>
      <w:r>
        <w:rPr>
          <w:rFonts w:ascii="宋体" w:hAnsi="宋体"/>
          <w:color w:val="auto"/>
          <w:szCs w:val="21"/>
          <w:highlight w:val="none"/>
        </w:rPr>
        <w:t xml:space="preserve"> 签署合同后，甲方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r>
        <w:rPr>
          <w:rFonts w:hint="eastAsia" w:ascii="宋体" w:hAnsi="宋体"/>
          <w:color w:val="auto"/>
          <w:szCs w:val="21"/>
          <w:highlight w:val="none"/>
        </w:rPr>
        <w:t>甲方有权对乙方的履约行为进行检查，并</w:t>
      </w:r>
      <w:r>
        <w:rPr>
          <w:rFonts w:ascii="宋体" w:hAnsi="宋体"/>
          <w:color w:val="auto"/>
          <w:szCs w:val="21"/>
          <w:highlight w:val="none"/>
        </w:rPr>
        <w:t>及时确认乙方提交的事项</w:t>
      </w:r>
      <w:r>
        <w:rPr>
          <w:rFonts w:hint="eastAsia" w:ascii="宋体" w:hAnsi="宋体"/>
          <w:color w:val="auto"/>
          <w:szCs w:val="21"/>
          <w:highlight w:val="none"/>
        </w:rPr>
        <w:t>。甲方应当</w:t>
      </w:r>
      <w:r>
        <w:rPr>
          <w:rFonts w:ascii="宋体" w:hAnsi="宋体"/>
          <w:color w:val="auto"/>
          <w:szCs w:val="21"/>
          <w:highlight w:val="none"/>
        </w:rPr>
        <w:t>配合乙方完成</w:t>
      </w:r>
      <w:r>
        <w:rPr>
          <w:rFonts w:hint="eastAsia" w:ascii="宋体" w:hAnsi="宋体"/>
          <w:color w:val="auto"/>
          <w:szCs w:val="21"/>
          <w:highlight w:val="none"/>
        </w:rPr>
        <w:t>相关项目</w:t>
      </w:r>
      <w:r>
        <w:rPr>
          <w:rFonts w:ascii="宋体" w:hAnsi="宋体"/>
          <w:color w:val="auto"/>
          <w:szCs w:val="21"/>
          <w:highlight w:val="none"/>
        </w:rPr>
        <w:t>实施工作。</w:t>
      </w:r>
    </w:p>
    <w:p w14:paraId="6DE3EB5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4.2 </w:t>
      </w:r>
      <w:r>
        <w:rPr>
          <w:rFonts w:ascii="宋体" w:hAnsi="宋体"/>
          <w:color w:val="auto"/>
          <w:szCs w:val="21"/>
          <w:highlight w:val="none"/>
        </w:rPr>
        <w:t>甲方有权要求乙方按时提交各阶段有关</w:t>
      </w:r>
      <w:r>
        <w:rPr>
          <w:rFonts w:hint="eastAsia" w:ascii="宋体" w:hAnsi="宋体"/>
          <w:color w:val="auto"/>
          <w:szCs w:val="21"/>
          <w:highlight w:val="none"/>
        </w:rPr>
        <w:t>安排计划</w:t>
      </w:r>
      <w:r>
        <w:rPr>
          <w:rFonts w:ascii="宋体" w:hAnsi="宋体"/>
          <w:color w:val="auto"/>
          <w:szCs w:val="21"/>
          <w:highlight w:val="none"/>
        </w:rPr>
        <w:t>，并有权</w:t>
      </w:r>
      <w:r>
        <w:rPr>
          <w:rFonts w:hint="eastAsia" w:ascii="宋体" w:hAnsi="宋体"/>
          <w:color w:val="auto"/>
          <w:szCs w:val="21"/>
          <w:highlight w:val="none"/>
        </w:rPr>
        <w:t>定期核对乙方提供货物数量、规格、质量等内容。甲方</w:t>
      </w:r>
      <w:r>
        <w:rPr>
          <w:rFonts w:ascii="宋体" w:hAnsi="宋体"/>
          <w:color w:val="auto"/>
          <w:szCs w:val="21"/>
          <w:highlight w:val="none"/>
        </w:rPr>
        <w:t>有权督促乙方工作并要求乙方</w:t>
      </w:r>
      <w:r>
        <w:rPr>
          <w:rFonts w:hint="eastAsia" w:ascii="宋体" w:hAnsi="宋体"/>
          <w:color w:val="auto"/>
          <w:szCs w:val="21"/>
          <w:highlight w:val="none"/>
        </w:rPr>
        <w:t>更</w:t>
      </w:r>
      <w:r>
        <w:rPr>
          <w:rFonts w:ascii="宋体" w:hAnsi="宋体"/>
          <w:color w:val="auto"/>
          <w:szCs w:val="21"/>
          <w:highlight w:val="none"/>
        </w:rPr>
        <w:t>换不符合要求的</w:t>
      </w:r>
      <w:r>
        <w:rPr>
          <w:rFonts w:hint="eastAsia" w:ascii="宋体" w:hAnsi="宋体"/>
          <w:color w:val="auto"/>
          <w:szCs w:val="21"/>
          <w:highlight w:val="none"/>
        </w:rPr>
        <w:t>货物</w:t>
      </w:r>
      <w:r>
        <w:rPr>
          <w:rFonts w:ascii="宋体" w:hAnsi="宋体"/>
          <w:color w:val="auto"/>
          <w:szCs w:val="21"/>
          <w:highlight w:val="none"/>
        </w:rPr>
        <w:t>。</w:t>
      </w:r>
    </w:p>
    <w:p w14:paraId="77ADA9B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甲方</w:t>
      </w:r>
      <w:r>
        <w:rPr>
          <w:rFonts w:hint="eastAsia" w:ascii="宋体" w:hAnsi="宋体"/>
          <w:color w:val="auto"/>
          <w:szCs w:val="21"/>
          <w:highlight w:val="none"/>
        </w:rPr>
        <w:t>有权要求乙方对缺陷部分予以修复，并按合同约定享有货物保修及其他合同约定的权利。</w:t>
      </w:r>
    </w:p>
    <w:p w14:paraId="56D93498">
      <w:pPr>
        <w:spacing w:line="400" w:lineRule="exact"/>
        <w:ind w:firstLine="420"/>
        <w:rPr>
          <w:rFonts w:eastAsia="华文楷体"/>
          <w:color w:val="auto"/>
          <w:highlight w:val="none"/>
        </w:rPr>
      </w:pPr>
      <w:r>
        <w:rPr>
          <w:rFonts w:ascii="宋体" w:hAnsi="宋体"/>
          <w:color w:val="auto"/>
          <w:szCs w:val="21"/>
          <w:highlight w:val="none"/>
        </w:rPr>
        <w:t>4.4 甲方应当按照合同约定及时对交付的货物进行验收</w:t>
      </w:r>
      <w:r>
        <w:rPr>
          <w:rFonts w:hint="eastAsia" w:ascii="宋体" w:hAnsi="宋体"/>
          <w:color w:val="auto"/>
          <w:szCs w:val="21"/>
          <w:highlight w:val="none"/>
        </w:rPr>
        <w:t>，</w:t>
      </w:r>
      <w:r>
        <w:rPr>
          <w:rFonts w:hint="eastAsia" w:ascii="宋体" w:hAnsi="宋体" w:cs="宋体"/>
          <w:color w:val="auto"/>
          <w:szCs w:val="21"/>
          <w:highlight w:val="none"/>
        </w:rPr>
        <w:t>未</w:t>
      </w:r>
      <w:r>
        <w:rPr>
          <w:rFonts w:hint="eastAsia" w:ascii="宋体" w:hAnsi="宋体"/>
          <w:color w:val="auto"/>
          <w:szCs w:val="21"/>
          <w:highlight w:val="none"/>
        </w:rPr>
        <w:t>在</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约定的期限内对乙方履约提出任何异议或者向乙方作出任何说明的，</w:t>
      </w:r>
      <w:r>
        <w:rPr>
          <w:rFonts w:hint="eastAsia" w:ascii="宋体" w:hAnsi="宋体"/>
          <w:color w:val="auto"/>
          <w:szCs w:val="21"/>
          <w:highlight w:val="none"/>
        </w:rPr>
        <w:t>视为验收通过。</w:t>
      </w:r>
    </w:p>
    <w:p w14:paraId="140CFC6B">
      <w:pPr>
        <w:spacing w:line="400" w:lineRule="exact"/>
        <w:ind w:firstLine="420"/>
        <w:jc w:val="left"/>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甲方应当根据合同约定及时向乙方支付合同价款</w:t>
      </w:r>
      <w:r>
        <w:rPr>
          <w:rFonts w:ascii="宋体" w:hAnsi="宋体"/>
          <w:color w:val="auto"/>
          <w:szCs w:val="21"/>
          <w:highlight w:val="none"/>
        </w:rPr>
        <w:t>，不得以内部人员变更、履行内部付款流程等为由，拒绝或迟延支付。</w:t>
      </w:r>
    </w:p>
    <w:p w14:paraId="3CE0C98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4.6国家法律法规规定及</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约定应由甲方承担的其他义务和责任。</w:t>
      </w:r>
    </w:p>
    <w:p w14:paraId="484CBBE2">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5. 乙方的权利和义务</w:t>
      </w:r>
    </w:p>
    <w:p w14:paraId="1A53954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5.1 </w:t>
      </w:r>
      <w:r>
        <w:rPr>
          <w:rFonts w:ascii="宋体" w:hAnsi="宋体"/>
          <w:color w:val="auto"/>
          <w:szCs w:val="21"/>
          <w:highlight w:val="none"/>
        </w:rPr>
        <w:t>签署合同后，乙方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p>
    <w:p w14:paraId="0ADC2C7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2 乙方应按照合同要求</w:t>
      </w:r>
      <w:r>
        <w:rPr>
          <w:rFonts w:hint="eastAsia" w:ascii="宋体" w:hAnsi="宋体"/>
          <w:color w:val="auto"/>
          <w:szCs w:val="21"/>
          <w:highlight w:val="none"/>
        </w:rPr>
        <w:t>履约</w:t>
      </w:r>
      <w:r>
        <w:rPr>
          <w:rFonts w:ascii="宋体" w:hAnsi="宋体"/>
          <w:color w:val="auto"/>
          <w:szCs w:val="21"/>
          <w:highlight w:val="none"/>
        </w:rPr>
        <w:t>，充分合理安排，确保</w:t>
      </w:r>
      <w:r>
        <w:rPr>
          <w:rFonts w:hint="eastAsia" w:ascii="宋体" w:hAnsi="宋体"/>
          <w:color w:val="auto"/>
          <w:szCs w:val="21"/>
          <w:highlight w:val="none"/>
        </w:rPr>
        <w:t>提供的货物及相关服务符合合同有关</w:t>
      </w:r>
      <w:r>
        <w:rPr>
          <w:rFonts w:ascii="宋体" w:hAnsi="宋体"/>
          <w:color w:val="auto"/>
          <w:szCs w:val="21"/>
          <w:highlight w:val="none"/>
        </w:rPr>
        <w:t>要求</w:t>
      </w:r>
      <w:r>
        <w:rPr>
          <w:rFonts w:hint="eastAsia" w:ascii="宋体" w:hAnsi="宋体"/>
          <w:color w:val="auto"/>
          <w:szCs w:val="21"/>
          <w:highlight w:val="none"/>
        </w:rPr>
        <w:t>。接受项目行业管理部门及政府有关部门的指导，配合甲方的履约检查及验收，并</w:t>
      </w:r>
      <w:r>
        <w:rPr>
          <w:rFonts w:ascii="宋体" w:hAnsi="宋体"/>
          <w:color w:val="auto"/>
          <w:szCs w:val="21"/>
          <w:highlight w:val="none"/>
        </w:rPr>
        <w:t>负责项目实施过程中的所有协调工作。</w:t>
      </w:r>
    </w:p>
    <w:p w14:paraId="40260929">
      <w:pPr>
        <w:pStyle w:val="221"/>
        <w:spacing w:line="400" w:lineRule="exact"/>
        <w:ind w:firstLine="480"/>
        <w:rPr>
          <w:rFonts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3</w:t>
      </w:r>
      <w:r>
        <w:rPr>
          <w:rFonts w:hint="eastAsia" w:ascii="宋体" w:hAnsi="宋体"/>
          <w:color w:val="auto"/>
          <w:szCs w:val="21"/>
          <w:highlight w:val="none"/>
        </w:rPr>
        <w:t>乙方有权</w:t>
      </w:r>
      <w:r>
        <w:rPr>
          <w:rFonts w:hint="eastAsia" w:ascii="宋体" w:hAnsi="宋体" w:cs="宋体"/>
          <w:color w:val="auto"/>
          <w:szCs w:val="21"/>
          <w:highlight w:val="none"/>
        </w:rPr>
        <w:t>根据合同约定向甲方收取合同价款。</w:t>
      </w:r>
    </w:p>
    <w:p w14:paraId="75538C0E">
      <w:pPr>
        <w:pStyle w:val="221"/>
        <w:spacing w:line="400" w:lineRule="exact"/>
        <w:ind w:firstLine="480"/>
        <w:rPr>
          <w:rFonts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4</w:t>
      </w:r>
      <w:r>
        <w:rPr>
          <w:rFonts w:hint="eastAsia" w:ascii="宋体" w:hAnsi="宋体" w:cs="宋体"/>
          <w:color w:val="auto"/>
          <w:szCs w:val="21"/>
          <w:highlight w:val="none"/>
        </w:rPr>
        <w:t>国家法律法规规定</w:t>
      </w:r>
      <w:r>
        <w:rPr>
          <w:rFonts w:hint="eastAsia" w:ascii="宋体" w:hAnsi="宋体"/>
          <w:color w:val="auto"/>
          <w:szCs w:val="21"/>
          <w:highlight w:val="none"/>
        </w:rPr>
        <w:t>及</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约定应由乙方承担的其他义务和责任。</w:t>
      </w:r>
    </w:p>
    <w:p w14:paraId="47C03F03">
      <w:pPr>
        <w:numPr>
          <w:ilvl w:val="0"/>
          <w:numId w:val="11"/>
        </w:num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合同履行</w:t>
      </w:r>
    </w:p>
    <w:p w14:paraId="6ABAD04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6.1 甲乙双方应当按照</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约定顺序履行合同义务；如果没有先后顺序的，应当同时履行。</w:t>
      </w:r>
    </w:p>
    <w:p w14:paraId="7FF3B31C">
      <w:pPr>
        <w:spacing w:line="400" w:lineRule="exact"/>
        <w:ind w:firstLine="420"/>
        <w:jc w:val="left"/>
        <w:rPr>
          <w:color w:val="auto"/>
          <w:highlight w:val="none"/>
        </w:rPr>
      </w:pPr>
      <w:r>
        <w:rPr>
          <w:rFonts w:hint="eastAsia" w:ascii="宋体" w:hAnsi="宋体"/>
          <w:color w:val="auto"/>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33E1D1D9">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7. 货物包装、运输、保险和交付要求</w:t>
      </w:r>
    </w:p>
    <w:p w14:paraId="4A330402">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7.1 本合同</w:t>
      </w:r>
      <w:r>
        <w:rPr>
          <w:rFonts w:hint="eastAsia" w:ascii="宋体" w:hAnsi="宋体"/>
          <w:bCs/>
          <w:color w:val="auto"/>
          <w:szCs w:val="21"/>
          <w:highlight w:val="none"/>
        </w:rPr>
        <w:t>涉及商品包装、快递包装的，</w:t>
      </w:r>
      <w:r>
        <w:rPr>
          <w:rFonts w:hint="eastAsia" w:ascii="宋体" w:hAnsi="宋体"/>
          <w:color w:val="auto"/>
          <w:szCs w:val="21"/>
          <w:highlight w:val="none"/>
        </w:rPr>
        <w:t>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包装应适应远距离运输、防潮、防震、防锈和防野蛮装卸等要求，确保货物安全无损地运抵</w:t>
      </w:r>
      <w:r>
        <w:rPr>
          <w:rFonts w:hint="eastAsia" w:ascii="宋体" w:hAnsi="宋体"/>
          <w:b/>
          <w:color w:val="auto"/>
          <w:szCs w:val="21"/>
          <w:highlight w:val="none"/>
        </w:rPr>
        <w:t>【政府采购合同专用条款】</w:t>
      </w:r>
      <w:r>
        <w:rPr>
          <w:rFonts w:hint="eastAsia" w:ascii="宋体" w:hAnsi="宋体"/>
          <w:bCs/>
          <w:color w:val="auto"/>
          <w:szCs w:val="21"/>
          <w:highlight w:val="none"/>
        </w:rPr>
        <w:t>约定的</w:t>
      </w:r>
      <w:r>
        <w:rPr>
          <w:rFonts w:hint="eastAsia" w:ascii="宋体" w:hAnsi="宋体"/>
          <w:color w:val="auto"/>
          <w:szCs w:val="21"/>
          <w:highlight w:val="none"/>
        </w:rPr>
        <w:t>指定现场。</w:t>
      </w:r>
    </w:p>
    <w:p w14:paraId="297C56B7">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7.2 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乙方负责办理将货物运抵本合同规定的交货地点，并装卸、交付至甲方的一切运输事项，相关费用应包含在合同价款中。</w:t>
      </w:r>
    </w:p>
    <w:p w14:paraId="0DB7A2B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7.3 货物保险要求按</w:t>
      </w:r>
      <w:r>
        <w:rPr>
          <w:rFonts w:hint="eastAsia" w:ascii="宋体" w:hAnsi="宋体"/>
          <w:b/>
          <w:color w:val="auto"/>
          <w:szCs w:val="21"/>
          <w:highlight w:val="none"/>
        </w:rPr>
        <w:t>【政府采购合同专用条款】</w:t>
      </w:r>
      <w:r>
        <w:rPr>
          <w:rFonts w:hint="eastAsia" w:ascii="宋体" w:hAnsi="宋体"/>
          <w:bCs/>
          <w:color w:val="auto"/>
          <w:szCs w:val="21"/>
          <w:highlight w:val="none"/>
        </w:rPr>
        <w:t>规定执行</w:t>
      </w:r>
      <w:r>
        <w:rPr>
          <w:rFonts w:hint="eastAsia" w:ascii="宋体" w:hAnsi="宋体"/>
          <w:color w:val="auto"/>
          <w:szCs w:val="21"/>
          <w:highlight w:val="none"/>
        </w:rPr>
        <w:t>。</w:t>
      </w:r>
    </w:p>
    <w:p w14:paraId="784E32E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5D303B9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7.5 </w:t>
      </w:r>
      <w:r>
        <w:rPr>
          <w:rFonts w:hint="eastAsia" w:ascii="宋体" w:hAnsi="宋体" w:cs="宋体"/>
          <w:color w:val="auto"/>
          <w:szCs w:val="21"/>
          <w:highlight w:val="none"/>
        </w:rPr>
        <w:t>乙方在运输到达之前应提前通知甲方，并提示货物运输装卸的注意事项，甲方配合乙方做好货物的接收工作。</w:t>
      </w:r>
    </w:p>
    <w:p w14:paraId="3F7EE6E3">
      <w:pPr>
        <w:pStyle w:val="273"/>
        <w:ind w:firstLine="420"/>
        <w:rPr>
          <w:color w:val="auto"/>
          <w:sz w:val="21"/>
          <w:highlight w:val="none"/>
        </w:rPr>
      </w:pPr>
      <w:r>
        <w:rPr>
          <w:rFonts w:hint="eastAsia" w:ascii="宋体" w:hAnsi="宋体" w:eastAsia="宋体" w:cs="Times New Roman"/>
          <w:color w:val="auto"/>
          <w:sz w:val="21"/>
          <w:highlight w:val="none"/>
        </w:rPr>
        <w:t>7.6 如因包装、运输问题导致货物损毁、丢失或者品质下降，甲方有权要求降价、换货、拒收部分或整批货物，由此产生的费用和损失，均由乙方承担。</w:t>
      </w:r>
    </w:p>
    <w:p w14:paraId="5A18DD7D">
      <w:p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8. 质量标准和保证</w:t>
      </w:r>
    </w:p>
    <w:p w14:paraId="6C946F06">
      <w:pPr>
        <w:pStyle w:val="231"/>
        <w:spacing w:line="400" w:lineRule="exact"/>
        <w:ind w:firstLine="400"/>
        <w:jc w:val="left"/>
        <w:rPr>
          <w:rFonts w:hAnsi="宋体"/>
          <w:b/>
          <w:color w:val="auto"/>
          <w:highlight w:val="none"/>
        </w:rPr>
      </w:pPr>
      <w:r>
        <w:rPr>
          <w:rFonts w:hint="eastAsia" w:hAnsi="宋体"/>
          <w:color w:val="auto"/>
          <w:highlight w:val="none"/>
        </w:rPr>
        <w:t>8.1 质量标准</w:t>
      </w:r>
    </w:p>
    <w:p w14:paraId="7722874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（1）本合同下提供的货物应符合合同</w:t>
      </w:r>
      <w:r>
        <w:rPr>
          <w:rFonts w:hint="eastAsia" w:ascii="宋体" w:hAnsi="宋体" w:cs="宋体"/>
          <w:color w:val="auto"/>
          <w:szCs w:val="21"/>
          <w:highlight w:val="none"/>
        </w:rPr>
        <w:t>约定的品牌、规格型号、技术性能、配置、质量、数量等要求。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73B50BA">
      <w:pPr>
        <w:pStyle w:val="231"/>
        <w:spacing w:line="400" w:lineRule="exact"/>
        <w:ind w:firstLine="400"/>
        <w:jc w:val="left"/>
        <w:rPr>
          <w:rFonts w:hAnsi="宋体"/>
          <w:color w:val="auto"/>
          <w:highlight w:val="none"/>
        </w:rPr>
      </w:pPr>
      <w:r>
        <w:rPr>
          <w:rFonts w:hint="eastAsia" w:hAnsi="宋体"/>
          <w:color w:val="auto"/>
          <w:highlight w:val="none"/>
        </w:rPr>
        <w:t>（2）采用中华人民共和国法定计量单位。</w:t>
      </w:r>
    </w:p>
    <w:p w14:paraId="2204C38C">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（3）乙方所提供的货物应符合国家有关安全、环保、卫生的规定。</w:t>
      </w:r>
    </w:p>
    <w:p w14:paraId="48137DA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（4）乙方应向甲方提交所提供货物的技术文件，包括相应的中文技术文件，如：产品目录、图纸、操作手册、使用说明、维护手册或服务指南等。上述文件应包装好随货物一同发运。</w:t>
      </w:r>
    </w:p>
    <w:p w14:paraId="77849E1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8.2 保证</w:t>
      </w:r>
    </w:p>
    <w:p w14:paraId="16E1F5FE">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（1）乙方应保证提供的货物完全符合合同规定的质量、规格和性能要求。乙方应保证货物在正确安装、正常使用和保养条件下，</w:t>
      </w:r>
      <w:r>
        <w:rPr>
          <w:rFonts w:hint="eastAsia" w:ascii="宋体" w:hAnsi="宋体" w:cs="宋体"/>
          <w:color w:val="auto"/>
          <w:szCs w:val="21"/>
          <w:highlight w:val="none"/>
        </w:rPr>
        <w:t>在其使用寿命期内具备合同约定的性能</w:t>
      </w:r>
      <w:r>
        <w:rPr>
          <w:rFonts w:hint="eastAsia" w:ascii="宋体" w:hAnsi="宋体"/>
          <w:color w:val="auto"/>
          <w:szCs w:val="21"/>
          <w:highlight w:val="none"/>
        </w:rPr>
        <w:t>。存在质量保证期的，货物最终交付验收合格后在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规定或乙方书面承诺（两者以较长的为准）的质量保证期内，本保证保持有效。</w:t>
      </w:r>
    </w:p>
    <w:p w14:paraId="69312FAE">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2B0DD5B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6A3B110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1F017FE5">
      <w:pPr>
        <w:spacing w:line="400" w:lineRule="exact"/>
        <w:ind w:firstLine="42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（5）乙方在约定的时间内未能弥补缺陷，甲方可采取必要的补救措施，但其风险和费用将由乙方承担，甲方根据合同约定对乙方行使的其他权利不受影响。</w:t>
      </w:r>
    </w:p>
    <w:p w14:paraId="712B6477">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9.权利瑕疵担保</w:t>
      </w:r>
    </w:p>
    <w:p w14:paraId="2BDE60A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9.1 乙方保证对其出售的货物享有合法的权利。</w:t>
      </w:r>
    </w:p>
    <w:p w14:paraId="63225C6D">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9.2 </w:t>
      </w:r>
      <w:r>
        <w:rPr>
          <w:rFonts w:hint="eastAsia" w:ascii="宋体" w:hAnsi="宋体" w:cs="宋体"/>
          <w:color w:val="auto"/>
          <w:szCs w:val="15"/>
          <w:highlight w:val="none"/>
        </w:rPr>
        <w:t>乙方保证在交付的货物上不存在抵押权等担保物权。</w:t>
      </w:r>
    </w:p>
    <w:p w14:paraId="553F3652">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9.3 如甲方使用上述货物构成对第三人侵权的，则由乙方承担全部责任。</w:t>
      </w:r>
    </w:p>
    <w:p w14:paraId="3126A70A">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10.知识产权保护</w:t>
      </w:r>
    </w:p>
    <w:p w14:paraId="69502D4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10.1 乙方对其所销售的货物应当享有知识产权或经权利人合法授权，保证没有侵犯任何第三人的知识产权等权利。</w:t>
      </w:r>
      <w:r>
        <w:rPr>
          <w:rFonts w:hint="eastAsia" w:ascii="宋体" w:hAnsi="宋体" w:cs="宋体"/>
          <w:color w:val="auto"/>
          <w:szCs w:val="15"/>
          <w:highlight w:val="none"/>
        </w:rPr>
        <w:t>因违反前述约定对第三人构成侵权的，应当由乙方向第三人承担法律责任；甲方依法向第三人赔偿后，有权向乙方追偿。甲方有其他损失的，乙方应当赔偿</w:t>
      </w:r>
      <w:r>
        <w:rPr>
          <w:rFonts w:hint="eastAsia" w:ascii="宋体" w:hAnsi="宋体"/>
          <w:color w:val="auto"/>
          <w:szCs w:val="21"/>
          <w:highlight w:val="none"/>
        </w:rPr>
        <w:t>。</w:t>
      </w:r>
    </w:p>
    <w:p w14:paraId="18309220">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11.保密义务</w:t>
      </w:r>
    </w:p>
    <w:p w14:paraId="58AF8EBA">
      <w:pPr>
        <w:spacing w:line="400" w:lineRule="exact"/>
        <w:ind w:firstLine="420"/>
        <w:jc w:val="left"/>
        <w:rPr>
          <w:rFonts w:ascii="宋体" w:hAnsi="宋体" w:cs="宋体"/>
          <w:color w:val="auto"/>
          <w:szCs w:val="15"/>
          <w:highlight w:val="none"/>
        </w:rPr>
      </w:pPr>
      <w:r>
        <w:rPr>
          <w:rFonts w:hint="eastAsia" w:ascii="宋体" w:hAnsi="宋体" w:cs="宋体"/>
          <w:color w:val="auto"/>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中约定。</w:t>
      </w:r>
    </w:p>
    <w:p w14:paraId="59F9B834">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12.合同价款支付</w:t>
      </w:r>
    </w:p>
    <w:p w14:paraId="1934100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12.1 合同价款支付按照国库集中支付制度及财政管理相关规定执行。</w:t>
      </w:r>
    </w:p>
    <w:p w14:paraId="059A4A5F">
      <w:pPr>
        <w:pStyle w:val="193"/>
        <w:spacing w:line="400" w:lineRule="exact"/>
        <w:ind w:firstLine="420"/>
        <w:rPr>
          <w:color w:val="auto"/>
          <w:highlight w:val="none"/>
        </w:rPr>
      </w:pPr>
      <w:bookmarkStart w:id="160" w:name="_Toc28186"/>
      <w:r>
        <w:rPr>
          <w:rFonts w:hint="eastAsia" w:ascii="宋体" w:hAnsi="宋体"/>
          <w:b w:val="0"/>
          <w:bCs w:val="0"/>
          <w:color w:val="auto"/>
          <w:sz w:val="21"/>
          <w:szCs w:val="21"/>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color w:val="auto"/>
          <w:sz w:val="21"/>
          <w:szCs w:val="21"/>
          <w:highlight w:val="none"/>
        </w:rPr>
        <w:t>政府采购合同专用条款</w:t>
      </w:r>
      <w:r>
        <w:rPr>
          <w:rFonts w:hint="eastAsia" w:ascii="宋体" w:hAnsi="宋体"/>
          <w:b w:val="0"/>
          <w:bCs w:val="0"/>
          <w:color w:val="auto"/>
          <w:sz w:val="21"/>
          <w:szCs w:val="21"/>
          <w:highlight w:val="none"/>
        </w:rPr>
        <w:t>】中约定。</w:t>
      </w:r>
      <w:bookmarkEnd w:id="160"/>
    </w:p>
    <w:p w14:paraId="6C06C71A">
      <w:pPr>
        <w:pStyle w:val="221"/>
        <w:spacing w:line="400" w:lineRule="exact"/>
        <w:ind w:firstLine="482"/>
        <w:rPr>
          <w:rFonts w:ascii="宋体" w:hAnsi="宋体"/>
          <w:b/>
          <w:bCs/>
          <w:color w:val="auto"/>
          <w:highlight w:val="none"/>
        </w:rPr>
      </w:pPr>
      <w:r>
        <w:rPr>
          <w:rFonts w:hint="eastAsia" w:ascii="宋体" w:hAnsi="宋体"/>
          <w:b/>
          <w:bCs/>
          <w:color w:val="auto"/>
          <w:highlight w:val="none"/>
        </w:rPr>
        <w:t>13.履约保证金</w:t>
      </w:r>
    </w:p>
    <w:p w14:paraId="4B1184E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13.1 </w:t>
      </w:r>
      <w:r>
        <w:rPr>
          <w:rFonts w:hint="eastAsia" w:ascii="宋体" w:hAnsi="宋体" w:cs="宋体"/>
          <w:color w:val="auto"/>
          <w:szCs w:val="15"/>
          <w:highlight w:val="none"/>
        </w:rPr>
        <w:t>乙方应当以支票、汇票、本票或者金融机构、担保机构出具的保函等非现金形式提交。</w:t>
      </w:r>
    </w:p>
    <w:p w14:paraId="1FAAA74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13.2 如果乙方出现</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约定情形的</w:t>
      </w:r>
      <w:r>
        <w:rPr>
          <w:rFonts w:hint="eastAsia" w:ascii="宋体" w:hAnsi="宋体"/>
          <w:color w:val="auto"/>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2F5FFD31">
      <w:pPr>
        <w:spacing w:line="400" w:lineRule="exact"/>
        <w:ind w:firstLine="420"/>
        <w:rPr>
          <w:color w:val="auto"/>
          <w:highlight w:val="none"/>
        </w:rPr>
      </w:pPr>
      <w:r>
        <w:rPr>
          <w:rFonts w:hint="eastAsia" w:ascii="宋体" w:hAnsi="宋体"/>
          <w:color w:val="auto"/>
          <w:szCs w:val="21"/>
          <w:highlight w:val="none"/>
        </w:rPr>
        <w:t>13.3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73845584">
      <w:pPr>
        <w:spacing w:line="400" w:lineRule="exact"/>
        <w:ind w:firstLine="482"/>
        <w:jc w:val="left"/>
        <w:rPr>
          <w:rFonts w:ascii="宋体" w:hAnsi="宋体"/>
          <w:b/>
          <w:color w:val="auto"/>
          <w:sz w:val="24"/>
          <w:highlight w:val="none"/>
        </w:rPr>
      </w:pPr>
      <w:r>
        <w:rPr>
          <w:rFonts w:hint="eastAsia" w:ascii="宋体" w:hAnsi="宋体"/>
          <w:b/>
          <w:bCs/>
          <w:color w:val="auto"/>
          <w:sz w:val="24"/>
          <w:highlight w:val="none"/>
        </w:rPr>
        <w:t>14.</w:t>
      </w:r>
      <w:r>
        <w:rPr>
          <w:rFonts w:hint="eastAsia"/>
          <w:b/>
          <w:color w:val="auto"/>
          <w:sz w:val="24"/>
          <w:highlight w:val="none"/>
        </w:rPr>
        <w:t>售后</w:t>
      </w:r>
      <w:r>
        <w:rPr>
          <w:rFonts w:hint="eastAsia" w:ascii="宋体" w:hAnsi="宋体"/>
          <w:b/>
          <w:color w:val="auto"/>
          <w:sz w:val="24"/>
          <w:highlight w:val="none"/>
        </w:rPr>
        <w:t>服务</w:t>
      </w:r>
    </w:p>
    <w:p w14:paraId="3C30A31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14.1 除项目不涉及或采购活动中明确约定无须承担外，乙方还应提供下列服务：</w:t>
      </w:r>
    </w:p>
    <w:p w14:paraId="7D3FD85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4D3CCE9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59D9246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cs="宋体"/>
          <w:b/>
          <w:bCs/>
          <w:color w:val="auto"/>
          <w:szCs w:val="15"/>
          <w:highlight w:val="none"/>
        </w:rPr>
        <w:t>【政府采购合同专用条款】</w:t>
      </w:r>
      <w:r>
        <w:rPr>
          <w:rFonts w:hint="eastAsia" w:ascii="宋体" w:hAnsi="宋体"/>
          <w:color w:val="auto"/>
          <w:szCs w:val="21"/>
          <w:highlight w:val="none"/>
        </w:rPr>
        <w:t>约定的期限内对所有的货物实施运行监督、维修，但前提条件是该服务并不能免除乙方在质量保证期内所承担的义务；</w:t>
      </w:r>
    </w:p>
    <w:p w14:paraId="26DCD6B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（4）在制造商所在地或指定现场就货物的安装、启动、运营、维护、废弃处置等对甲方操作人员进行培训</w:t>
      </w:r>
      <w:r>
        <w:rPr>
          <w:rFonts w:hint="eastAsia" w:ascii="宋体" w:hAnsi="宋体" w:cs="宋体"/>
          <w:color w:val="auto"/>
          <w:szCs w:val="15"/>
          <w:highlight w:val="none"/>
        </w:rPr>
        <w:t>；</w:t>
      </w:r>
    </w:p>
    <w:p w14:paraId="15ED0D92">
      <w:pPr>
        <w:pStyle w:val="273"/>
        <w:ind w:firstLine="420"/>
        <w:rPr>
          <w:rFonts w:ascii="宋体" w:hAnsi="宋体" w:eastAsia="宋体" w:cs="宋体"/>
          <w:color w:val="auto"/>
          <w:sz w:val="21"/>
          <w:highlight w:val="none"/>
        </w:rPr>
      </w:pPr>
      <w:r>
        <w:rPr>
          <w:rFonts w:hint="eastAsia" w:ascii="宋体" w:hAnsi="宋体" w:eastAsia="宋体" w:cs="宋体"/>
          <w:color w:val="auto"/>
          <w:sz w:val="21"/>
          <w:highlight w:val="none"/>
        </w:rPr>
        <w:t>（5）依照法律、行政法规的规定或者按照</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约定，货物在有效使用年限届满后应予回收的，乙方负有自行或者委托第三人对货物予以回收的义务；</w:t>
      </w:r>
    </w:p>
    <w:p w14:paraId="1602E8F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（6）</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0A614B6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14.2 乙方提供的售后服务的费用已包含在合同价款中，甲方不再另行支付。</w:t>
      </w:r>
    </w:p>
    <w:p w14:paraId="02A54DD1">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15.违约责任</w:t>
      </w:r>
    </w:p>
    <w:p w14:paraId="5800D6B0">
      <w:pPr>
        <w:spacing w:line="400" w:lineRule="exact"/>
        <w:ind w:firstLine="420"/>
        <w:jc w:val="left"/>
        <w:rPr>
          <w:rFonts w:ascii="宋体" w:hAnsi="宋体"/>
          <w:bCs/>
          <w:color w:val="auto"/>
          <w:szCs w:val="21"/>
          <w:highlight w:val="none"/>
        </w:rPr>
      </w:pPr>
      <w:r>
        <w:rPr>
          <w:rFonts w:hint="eastAsia" w:ascii="宋体" w:hAnsi="宋体"/>
          <w:bCs/>
          <w:color w:val="auto"/>
          <w:szCs w:val="21"/>
          <w:highlight w:val="none"/>
        </w:rPr>
        <w:t>15.1质量瑕疵的违约责任</w:t>
      </w:r>
    </w:p>
    <w:p w14:paraId="66CD55B3">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乙方提供的产品不符合合同约定的质量标准或存在产品质量缺陷，甲方有权要求乙方根据</w:t>
      </w:r>
      <w:r>
        <w:rPr>
          <w:rFonts w:hint="eastAsia" w:ascii="宋体" w:hAnsi="宋体"/>
          <w:b/>
          <w:color w:val="auto"/>
          <w:szCs w:val="21"/>
          <w:highlight w:val="none"/>
        </w:rPr>
        <w:t>【政府采购合同专用条款】</w:t>
      </w:r>
      <w:r>
        <w:rPr>
          <w:rFonts w:hint="eastAsia" w:ascii="宋体" w:hAnsi="宋体"/>
          <w:bCs/>
          <w:color w:val="auto"/>
          <w:szCs w:val="21"/>
          <w:highlight w:val="none"/>
        </w:rPr>
        <w:t>要求</w:t>
      </w:r>
      <w:r>
        <w:rPr>
          <w:rFonts w:hint="eastAsia" w:ascii="宋体" w:hAnsi="宋体"/>
          <w:color w:val="auto"/>
          <w:szCs w:val="21"/>
          <w:highlight w:val="none"/>
        </w:rPr>
        <w:t>及时修理、重作、更换，并承担由此给甲方造成的损失。</w:t>
      </w:r>
    </w:p>
    <w:p w14:paraId="70AF282D">
      <w:pPr>
        <w:spacing w:line="400" w:lineRule="exact"/>
        <w:ind w:firstLine="420"/>
        <w:jc w:val="left"/>
        <w:rPr>
          <w:rFonts w:ascii="宋体" w:hAnsi="宋体"/>
          <w:bCs/>
          <w:color w:val="auto"/>
          <w:szCs w:val="21"/>
          <w:highlight w:val="none"/>
        </w:rPr>
      </w:pPr>
      <w:r>
        <w:rPr>
          <w:rFonts w:hint="eastAsia" w:ascii="宋体" w:hAnsi="宋体"/>
          <w:bCs/>
          <w:color w:val="auto"/>
          <w:szCs w:val="21"/>
          <w:highlight w:val="none"/>
        </w:rPr>
        <w:t>15.2 迟延交货的违约责任</w:t>
      </w:r>
    </w:p>
    <w:p w14:paraId="1F5AA83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260809F">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规定执行。如果涉及公共利益，且赔偿金额无法弥补公共利益损失，甲方可要求继续履行或者采取其他补救措施。</w:t>
      </w:r>
    </w:p>
    <w:p w14:paraId="0D715BE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15.3 迟延支付的违约责任</w:t>
      </w:r>
    </w:p>
    <w:p w14:paraId="4CAE431E">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4489F04A">
      <w:pPr>
        <w:spacing w:line="400" w:lineRule="exact"/>
        <w:ind w:firstLine="420"/>
        <w:jc w:val="left"/>
        <w:rPr>
          <w:rFonts w:ascii="宋体" w:hAnsi="宋体"/>
          <w:color w:val="auto"/>
          <w:szCs w:val="21"/>
          <w:highlight w:val="none"/>
        </w:rPr>
      </w:pPr>
      <w:r>
        <w:rPr>
          <w:rFonts w:hint="eastAsia" w:ascii="宋体" w:hAnsi="宋体"/>
          <w:bCs/>
          <w:color w:val="auto"/>
          <w:szCs w:val="21"/>
          <w:highlight w:val="none"/>
        </w:rPr>
        <w:t>15.4其他违约责任根据项目实际需要按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50B25FD3">
      <w:pPr>
        <w:numPr>
          <w:ilvl w:val="0"/>
          <w:numId w:val="12"/>
        </w:num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合同变更、中止与终止</w:t>
      </w:r>
    </w:p>
    <w:p w14:paraId="6DA9055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16.1合同的变更</w:t>
      </w:r>
    </w:p>
    <w:p w14:paraId="5605F49C">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政府采购合同履行中，在不改变合同其他条款的前提下，甲方可以在合同价款10%的范围内追加与合同标的相同的货物，并就此与乙方协商一致后签订补充协议。</w:t>
      </w:r>
    </w:p>
    <w:p w14:paraId="498B268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16.2合同的中止</w:t>
      </w:r>
    </w:p>
    <w:p w14:paraId="067E793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（1）合同履行过程中因供应商就采购文件、采购过程或结果提起投诉的，甲方认为有必要的，可以中止合同的履行。</w:t>
      </w:r>
    </w:p>
    <w:p w14:paraId="52449899">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w:t>
      </w:r>
      <w:r>
        <w:rPr>
          <w:rFonts w:hint="eastAsia" w:ascii="宋体" w:hAnsi="宋体"/>
          <w:color w:val="auto"/>
          <w:szCs w:val="21"/>
          <w:highlight w:val="none"/>
          <w:lang w:eastAsia="zh-CN"/>
        </w:rPr>
        <w:t>终止</w:t>
      </w:r>
      <w:r>
        <w:rPr>
          <w:rFonts w:hint="eastAsia" w:ascii="宋体" w:hAnsi="宋体"/>
          <w:color w:val="auto"/>
          <w:szCs w:val="21"/>
          <w:highlight w:val="none"/>
        </w:rPr>
        <w:t>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BF39CED">
      <w:pPr>
        <w:pStyle w:val="273"/>
        <w:ind w:firstLine="420"/>
        <w:jc w:val="both"/>
        <w:rPr>
          <w:color w:val="auto"/>
          <w:sz w:val="21"/>
          <w:highlight w:val="none"/>
        </w:rPr>
      </w:pPr>
      <w:r>
        <w:rPr>
          <w:rFonts w:hint="eastAsia" w:ascii="宋体" w:hAnsi="宋体" w:eastAsia="宋体" w:cs="宋体"/>
          <w:color w:val="auto"/>
          <w:sz w:val="21"/>
          <w:highlight w:val="none"/>
        </w:rPr>
        <w:t>（3）乙方分立、合并或者变更住所的，应当及时以书面形式告知甲方。乙方没有及时告知甲方，致使合同履行发生困难的，甲方可以</w:t>
      </w:r>
      <w:r>
        <w:rPr>
          <w:rFonts w:hint="eastAsia" w:ascii="宋体" w:hAnsi="宋体" w:eastAsia="宋体" w:cs="宋体"/>
          <w:color w:val="auto"/>
          <w:sz w:val="21"/>
          <w:highlight w:val="none"/>
          <w:lang w:eastAsia="zh-CN"/>
        </w:rPr>
        <w:t>终止</w:t>
      </w:r>
      <w:r>
        <w:rPr>
          <w:rFonts w:hint="eastAsia" w:ascii="宋体" w:hAnsi="宋体" w:eastAsia="宋体" w:cs="宋体"/>
          <w:color w:val="auto"/>
          <w:sz w:val="21"/>
          <w:highlight w:val="none"/>
        </w:rPr>
        <w:t>合同履行并要求乙方承担由此给甲方造成的损失。</w:t>
      </w:r>
    </w:p>
    <w:p w14:paraId="6D91632E">
      <w:pPr>
        <w:spacing w:line="400" w:lineRule="exact"/>
        <w:ind w:firstLine="420"/>
        <w:jc w:val="left"/>
        <w:rPr>
          <w:color w:val="auto"/>
          <w:highlight w:val="none"/>
        </w:rPr>
      </w:pPr>
      <w:r>
        <w:rPr>
          <w:rFonts w:hint="eastAsia" w:ascii="宋体" w:hAnsi="宋体"/>
          <w:color w:val="auto"/>
          <w:szCs w:val="21"/>
          <w:highlight w:val="none"/>
        </w:rPr>
        <w:t>（4）甲方不得以行政区划调整、政府换届、机构或者职能调整以及相关责任人更替为由中止合同。</w:t>
      </w:r>
    </w:p>
    <w:p w14:paraId="1FC83A43">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16.3合同的终止</w:t>
      </w:r>
    </w:p>
    <w:p w14:paraId="1B6058C6">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11FF66C2">
      <w:pPr>
        <w:spacing w:line="400" w:lineRule="exact"/>
        <w:ind w:firstLine="420"/>
        <w:rPr>
          <w:rFonts w:ascii="宋体" w:hAnsi="宋体" w:cs="宋体"/>
          <w:color w:val="auto"/>
          <w:szCs w:val="21"/>
          <w:highlight w:val="none"/>
        </w:rPr>
      </w:pPr>
      <w:r>
        <w:rPr>
          <w:rFonts w:hint="eastAsia" w:ascii="宋体" w:hAnsi="宋体"/>
          <w:color w:val="auto"/>
          <w:szCs w:val="21"/>
          <w:highlight w:val="none"/>
        </w:rPr>
        <w:t>（2）乙方未按合同约定履行，构成根本性违约的，甲方有权终止合同，</w:t>
      </w:r>
      <w:r>
        <w:rPr>
          <w:rFonts w:hint="eastAsia" w:ascii="宋体" w:hAnsi="宋体" w:cs="宋体"/>
          <w:color w:val="auto"/>
          <w:szCs w:val="21"/>
          <w:highlight w:val="none"/>
        </w:rPr>
        <w:t>并追究乙方的违约责任</w:t>
      </w:r>
      <w:r>
        <w:rPr>
          <w:rFonts w:hint="eastAsia" w:ascii="宋体" w:hAnsi="宋体"/>
          <w:color w:val="auto"/>
          <w:szCs w:val="21"/>
          <w:highlight w:val="none"/>
        </w:rPr>
        <w:t>。</w:t>
      </w:r>
    </w:p>
    <w:p w14:paraId="21013475">
      <w:pPr>
        <w:pStyle w:val="273"/>
        <w:ind w:firstLine="440"/>
        <w:rPr>
          <w:rFonts w:ascii="宋体" w:hAnsi="宋体"/>
          <w:color w:val="auto"/>
          <w:highlight w:val="none"/>
        </w:rPr>
      </w:pPr>
      <w:r>
        <w:rPr>
          <w:rFonts w:hint="eastAsia" w:ascii="宋体" w:hAnsi="宋体"/>
          <w:color w:val="auto"/>
          <w:highlight w:val="none"/>
        </w:rPr>
        <w:t xml:space="preserve">16.4 </w:t>
      </w:r>
      <w:r>
        <w:rPr>
          <w:rFonts w:hint="eastAsia" w:ascii="宋体" w:hAnsi="宋体" w:eastAsia="宋体" w:cs="Times New Roman"/>
          <w:color w:val="auto"/>
          <w:sz w:val="21"/>
          <w:highlight w:val="none"/>
        </w:rPr>
        <w:t>涉及国家利益、社会公共利益的情形</w:t>
      </w:r>
    </w:p>
    <w:p w14:paraId="32828ED8">
      <w:pPr>
        <w:pStyle w:val="273"/>
        <w:ind w:firstLine="420"/>
        <w:jc w:val="both"/>
        <w:rPr>
          <w:color w:val="auto"/>
          <w:sz w:val="21"/>
          <w:highlight w:val="none"/>
        </w:rPr>
      </w:pPr>
      <w:r>
        <w:rPr>
          <w:rFonts w:hint="eastAsia" w:ascii="宋体" w:hAnsi="宋体" w:eastAsia="宋体" w:cs="宋体"/>
          <w:color w:val="auto"/>
          <w:sz w:val="21"/>
          <w:highlight w:val="none"/>
        </w:rPr>
        <w:t>政府采购合同继续履行将损害国家利益和社会公共利益的，双方当事人应当变更、中止或者终止合同。有过错的一方应当承担赔偿责任，双方都有过错的，各自承担相应的责任。</w:t>
      </w:r>
    </w:p>
    <w:p w14:paraId="64BF69CF">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17.合同分包</w:t>
      </w:r>
    </w:p>
    <w:p w14:paraId="1C5203C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17.1 乙方不得将合同转包给其他供应商。涉及合同分包的，乙方应根据采购文件和投标（响应）文件规定进行合同分包。</w:t>
      </w:r>
    </w:p>
    <w:p w14:paraId="0E8273C5">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17.2 乙方执行政府采购政策向中小企业依法分包的，乙方应当按采购文件和投标（响应）文件签订分包意向协议，分包意向协议属于本合同组成部分。</w:t>
      </w:r>
    </w:p>
    <w:p w14:paraId="612C613A">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18.不可抗力</w:t>
      </w:r>
    </w:p>
    <w:p w14:paraId="65DD8BD4">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18.1 不可抗力是指合同双方不能预见、不能避免且不能克服的客观情况。</w:t>
      </w:r>
    </w:p>
    <w:p w14:paraId="391F7311">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18.2 任何一方对由于不可抗力造成的部分或全部不能履行合同不承担违约责任。但迟延履行后发生不可抗力的，不能免除责任。</w:t>
      </w:r>
    </w:p>
    <w:p w14:paraId="5199778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EDC57A1">
      <w:p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19.解决争议的方法</w:t>
      </w:r>
    </w:p>
    <w:p w14:paraId="7EB9E5E2">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5DAFB64B">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19.2 选择仲裁的，应在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中明确仲裁机构及仲裁地；通过诉讼方式解决的，可以在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中进一步约定选择与争议有实际联系的地点的人民法院管辖，但管辖法院的约定不得违反级别管辖和专属管辖的规定。</w:t>
      </w:r>
    </w:p>
    <w:p w14:paraId="0551F83B">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19.3 如甲乙双方有争议的事项不影响合同其他部分的履行，在争议解决期间，合同其他部分应当继续履行。</w:t>
      </w:r>
    </w:p>
    <w:p w14:paraId="2F503777">
      <w:pPr>
        <w:spacing w:line="400" w:lineRule="exact"/>
        <w:ind w:firstLine="482"/>
        <w:jc w:val="left"/>
        <w:rPr>
          <w:rFonts w:ascii="宋体" w:hAnsi="宋体"/>
          <w:color w:val="auto"/>
          <w:sz w:val="24"/>
          <w:highlight w:val="none"/>
        </w:rPr>
      </w:pPr>
      <w:r>
        <w:rPr>
          <w:rFonts w:hint="eastAsia" w:ascii="宋体" w:hAnsi="宋体"/>
          <w:b/>
          <w:color w:val="auto"/>
          <w:sz w:val="24"/>
          <w:highlight w:val="none"/>
        </w:rPr>
        <w:t>20.政府采购政策</w:t>
      </w:r>
    </w:p>
    <w:p w14:paraId="787E95DB">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 xml:space="preserve">20.1 </w:t>
      </w:r>
      <w:r>
        <w:rPr>
          <w:rFonts w:hint="eastAsia" w:ascii="宋体" w:hAnsi="宋体" w:cs="宋体"/>
          <w:color w:val="auto"/>
          <w:highlight w:val="none"/>
          <w:lang w:val="en-GB"/>
        </w:rPr>
        <w:t>本合同应当按照规定执行政府采购政策。</w:t>
      </w:r>
    </w:p>
    <w:p w14:paraId="0B346A0B">
      <w:pPr>
        <w:spacing w:line="400" w:lineRule="exact"/>
        <w:ind w:firstLine="42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0.2 本合同依法执行政府采购政策的方式和内容，属于合同履约验收的范围。</w:t>
      </w:r>
      <w:r>
        <w:rPr>
          <w:rFonts w:hint="eastAsia" w:ascii="宋体" w:hAnsi="宋体" w:cs="宋体"/>
          <w:color w:val="auto"/>
          <w:highlight w:val="none"/>
        </w:rPr>
        <w:t>甲乙双方</w:t>
      </w:r>
      <w:r>
        <w:rPr>
          <w:rFonts w:hint="eastAsia" w:ascii="宋体" w:hAnsi="宋体" w:cs="宋体"/>
          <w:color w:val="auto"/>
          <w:highlight w:val="none"/>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5D89FB25">
      <w:pPr>
        <w:pStyle w:val="221"/>
        <w:spacing w:line="400" w:lineRule="exact"/>
        <w:ind w:firstLine="480"/>
        <w:rPr>
          <w:color w:val="auto"/>
          <w:highlight w:val="none"/>
        </w:rPr>
      </w:pPr>
      <w:r>
        <w:rPr>
          <w:rFonts w:ascii="宋体" w:hAnsi="宋体"/>
          <w:color w:val="auto"/>
          <w:szCs w:val="21"/>
          <w:highlight w:val="none"/>
        </w:rPr>
        <w:t>2</w:t>
      </w:r>
      <w:r>
        <w:rPr>
          <w:rFonts w:hint="eastAsia" w:ascii="宋体" w:hAnsi="宋体"/>
          <w:color w:val="auto"/>
          <w:szCs w:val="21"/>
          <w:highlight w:val="none"/>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CC9E81F">
      <w:p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21.法律适用</w:t>
      </w:r>
    </w:p>
    <w:p w14:paraId="37811B4F">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21.1 本合同的订立、生效、解释、履行及与本合同有关的争议解决，均适用法律、行政法规。</w:t>
      </w:r>
    </w:p>
    <w:p w14:paraId="7AE90E96">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21.2 本合同条款与法律、行政法规的强制性规定不一致的，双方当事人应按照法律、行政法规的强制性规定修改本合同的相关条款。</w:t>
      </w:r>
    </w:p>
    <w:p w14:paraId="237BE20D">
      <w:pPr>
        <w:spacing w:line="400" w:lineRule="exact"/>
        <w:ind w:firstLine="482"/>
        <w:jc w:val="left"/>
        <w:rPr>
          <w:rFonts w:ascii="宋体" w:hAnsi="宋体"/>
          <w:b/>
          <w:color w:val="auto"/>
          <w:sz w:val="24"/>
          <w:highlight w:val="none"/>
        </w:rPr>
      </w:pPr>
      <w:r>
        <w:rPr>
          <w:rFonts w:hint="eastAsia" w:ascii="宋体" w:hAnsi="宋体"/>
          <w:b/>
          <w:color w:val="auto"/>
          <w:sz w:val="24"/>
          <w:highlight w:val="none"/>
        </w:rPr>
        <w:t>22. 通知</w:t>
      </w:r>
    </w:p>
    <w:p w14:paraId="176A1248">
      <w:pPr>
        <w:pStyle w:val="273"/>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22.1本合同任何一方向对方发出的通知、信件、数据电文等，应当发送至本合同第一部分《政府采购合同协议书》所约定的通讯地址、联系人、联系电话或电子邮箱。</w:t>
      </w:r>
    </w:p>
    <w:p w14:paraId="1F350DB3">
      <w:pPr>
        <w:pStyle w:val="273"/>
        <w:ind w:firstLine="420"/>
        <w:jc w:val="both"/>
        <w:rPr>
          <w:color w:val="auto"/>
          <w:sz w:val="21"/>
          <w:highlight w:val="none"/>
        </w:rPr>
      </w:pPr>
      <w:r>
        <w:rPr>
          <w:rFonts w:hint="eastAsia" w:ascii="宋体" w:hAnsi="宋体" w:eastAsia="宋体" w:cs="宋体"/>
          <w:color w:val="auto"/>
          <w:sz w:val="21"/>
          <w:highlight w:val="none"/>
        </w:rPr>
        <w:t>22.2一方当事人变更名称、住所、联系人、联系电话或电子邮箱等信息的，应当在变更后3日内及时书面通知对方，对方实际收到变更通知前的送达仍为有效送达。</w:t>
      </w:r>
    </w:p>
    <w:p w14:paraId="6AA56157">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22.3本合同一方给另一方的通知均应采用书面形式，传真或快递送到本合同中规定的对方的地址和办理签收手续。</w:t>
      </w:r>
    </w:p>
    <w:p w14:paraId="50A09CBA">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22.4通知以送达之日或通知书中规定的生效之日起生效，两者中以较迟之日为准。</w:t>
      </w:r>
    </w:p>
    <w:p w14:paraId="5A2C6F7A">
      <w:pPr>
        <w:numPr>
          <w:ilvl w:val="0"/>
          <w:numId w:val="13"/>
        </w:numPr>
        <w:spacing w:line="400" w:lineRule="exact"/>
        <w:ind w:firstLine="482"/>
        <w:jc w:val="left"/>
        <w:rPr>
          <w:rFonts w:ascii="宋体" w:hAnsi="宋体"/>
          <w:b/>
          <w:bCs/>
          <w:color w:val="auto"/>
          <w:sz w:val="24"/>
          <w:highlight w:val="none"/>
        </w:rPr>
      </w:pPr>
      <w:r>
        <w:rPr>
          <w:rFonts w:hint="eastAsia" w:ascii="宋体" w:hAnsi="宋体"/>
          <w:b/>
          <w:bCs/>
          <w:color w:val="auto"/>
          <w:sz w:val="24"/>
          <w:highlight w:val="none"/>
        </w:rPr>
        <w:t>合同未尽事项</w:t>
      </w:r>
    </w:p>
    <w:p w14:paraId="5239F5C6">
      <w:pPr>
        <w:spacing w:line="400" w:lineRule="exact"/>
        <w:ind w:firstLine="42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555CC0A1">
      <w:pPr>
        <w:spacing w:line="400" w:lineRule="exact"/>
        <w:ind w:firstLine="420"/>
        <w:jc w:val="left"/>
        <w:rPr>
          <w:rFonts w:ascii="黑体" w:hAnsi="华文中宋" w:eastAsia="黑体"/>
          <w:color w:val="auto"/>
          <w:sz w:val="28"/>
          <w:szCs w:val="28"/>
          <w:highlight w:val="none"/>
        </w:rPr>
      </w:pPr>
      <w:r>
        <w:rPr>
          <w:rFonts w:hint="eastAsia" w:ascii="宋体" w:hAnsi="宋体"/>
          <w:bCs/>
          <w:color w:val="auto"/>
          <w:szCs w:val="21"/>
          <w:highlight w:val="none"/>
        </w:rPr>
        <w:t>23.2 合同附件与合同正文具有同等的法律效力。</w:t>
      </w:r>
    </w:p>
    <w:p w14:paraId="7AB9D937">
      <w:pPr>
        <w:ind w:firstLine="560"/>
        <w:jc w:val="center"/>
        <w:rPr>
          <w:rFonts w:ascii="黑体" w:hAnsi="华文中宋" w:eastAsia="黑体"/>
          <w:color w:val="auto"/>
          <w:sz w:val="28"/>
          <w:szCs w:val="28"/>
          <w:highlight w:val="none"/>
        </w:rPr>
      </w:pPr>
      <w:r>
        <w:rPr>
          <w:rFonts w:hint="eastAsia" w:ascii="黑体" w:hAnsi="华文中宋" w:eastAsia="黑体"/>
          <w:color w:val="auto"/>
          <w:sz w:val="28"/>
          <w:szCs w:val="28"/>
          <w:highlight w:val="none"/>
        </w:rPr>
        <w:br w:type="page" w:clear="all"/>
      </w:r>
    </w:p>
    <w:p w14:paraId="1318C9E3">
      <w:pPr>
        <w:pStyle w:val="193"/>
        <w:ind w:firstLine="560"/>
        <w:jc w:val="center"/>
        <w:rPr>
          <w:rFonts w:ascii="黑体" w:hAnsi="华文中宋"/>
          <w:b w:val="0"/>
          <w:bCs w:val="0"/>
          <w:color w:val="auto"/>
          <w:sz w:val="28"/>
          <w:szCs w:val="28"/>
          <w:highlight w:val="none"/>
        </w:rPr>
      </w:pPr>
      <w:bookmarkStart w:id="161" w:name="_Toc941"/>
      <w:r>
        <w:rPr>
          <w:rFonts w:hint="eastAsia" w:ascii="黑体" w:hAnsi="华文中宋"/>
          <w:b w:val="0"/>
          <w:bCs w:val="0"/>
          <w:color w:val="auto"/>
          <w:sz w:val="28"/>
          <w:szCs w:val="28"/>
          <w:highlight w:val="none"/>
        </w:rPr>
        <w:t>第三节 政府采购合同专用条款</w:t>
      </w:r>
      <w:bookmarkEnd w:id="161"/>
    </w:p>
    <w:tbl>
      <w:tblPr>
        <w:tblStyle w:val="30"/>
        <w:tblW w:w="942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542"/>
        <w:gridCol w:w="2809"/>
        <w:gridCol w:w="4077"/>
      </w:tblGrid>
      <w:tr w14:paraId="0E1F70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562C1775">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588960E3">
            <w:pPr>
              <w:ind w:firstLine="420"/>
              <w:jc w:val="center"/>
              <w:rPr>
                <w:rFonts w:ascii="宋体" w:hAnsi="宋体"/>
                <w:color w:val="auto"/>
                <w:szCs w:val="21"/>
                <w:highlight w:val="none"/>
              </w:rPr>
            </w:pPr>
            <w:r>
              <w:rPr>
                <w:rFonts w:hint="eastAsia" w:ascii="宋体" w:hAnsi="宋体"/>
                <w:color w:val="auto"/>
                <w:szCs w:val="21"/>
                <w:highlight w:val="none"/>
              </w:rPr>
              <w:t>第1.2（6）项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07193D5C">
            <w:pPr>
              <w:jc w:val="left"/>
              <w:rPr>
                <w:rFonts w:ascii="宋体" w:hAnsi="宋体"/>
                <w:color w:val="auto"/>
                <w:szCs w:val="21"/>
                <w:highlight w:val="none"/>
              </w:rPr>
            </w:pPr>
            <w:r>
              <w:rPr>
                <w:rFonts w:hint="eastAsia" w:ascii="宋体" w:hAnsi="宋体"/>
                <w:color w:val="auto"/>
                <w:szCs w:val="21"/>
                <w:highlight w:val="none"/>
              </w:rPr>
              <w:t>联合体具体要求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2B7105E8">
            <w:pPr>
              <w:jc w:val="left"/>
              <w:rPr>
                <w:rFonts w:ascii="宋体" w:hAnsi="宋体"/>
                <w:color w:val="auto"/>
                <w:szCs w:val="21"/>
                <w:highlight w:val="none"/>
              </w:rPr>
            </w:pPr>
            <w:r>
              <w:rPr>
                <w:rFonts w:hint="eastAsia" w:ascii="宋体" w:hAnsi="宋体" w:cs="宋体"/>
                <w:color w:val="auto"/>
                <w:szCs w:val="21"/>
                <w:highlight w:val="none"/>
              </w:rPr>
              <w:t>本标项（否）接受联合体投标</w:t>
            </w:r>
          </w:p>
        </w:tc>
      </w:tr>
      <w:tr w14:paraId="4AC402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B8AA78D">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1A1ECB7D">
            <w:pPr>
              <w:ind w:firstLine="420"/>
              <w:jc w:val="center"/>
              <w:rPr>
                <w:rFonts w:ascii="宋体" w:hAnsi="宋体"/>
                <w:color w:val="auto"/>
                <w:szCs w:val="21"/>
                <w:highlight w:val="none"/>
              </w:rPr>
            </w:pPr>
            <w:r>
              <w:rPr>
                <w:rFonts w:hint="eastAsia" w:ascii="宋体" w:hAnsi="宋体"/>
                <w:color w:val="auto"/>
                <w:szCs w:val="21"/>
                <w:highlight w:val="none"/>
              </w:rPr>
              <w:t>第1.2（7）项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5B382E1D">
            <w:pPr>
              <w:jc w:val="left"/>
              <w:rPr>
                <w:rFonts w:ascii="宋体" w:hAnsi="宋体"/>
                <w:color w:val="auto"/>
                <w:szCs w:val="21"/>
                <w:highlight w:val="none"/>
              </w:rPr>
            </w:pPr>
            <w:r>
              <w:rPr>
                <w:rFonts w:hint="eastAsia" w:ascii="宋体" w:hAnsi="宋体"/>
                <w:color w:val="auto"/>
                <w:szCs w:val="21"/>
                <w:highlight w:val="none"/>
              </w:rPr>
              <w:t>其他术语解释</w:t>
            </w:r>
          </w:p>
        </w:tc>
        <w:tc>
          <w:tcPr>
            <w:tcW w:w="4077" w:type="dxa"/>
            <w:tcBorders>
              <w:top w:val="single" w:color="auto" w:sz="4" w:space="0"/>
              <w:left w:val="single" w:color="auto" w:sz="4" w:space="0"/>
              <w:bottom w:val="single" w:color="auto" w:sz="4" w:space="0"/>
              <w:right w:val="single" w:color="auto" w:sz="4" w:space="0"/>
            </w:tcBorders>
            <w:noWrap/>
            <w:vAlign w:val="center"/>
          </w:tcPr>
          <w:p w14:paraId="6EE47992">
            <w:pPr>
              <w:jc w:val="left"/>
              <w:rPr>
                <w:rFonts w:hint="eastAsia" w:ascii="宋体" w:hAnsi="宋体"/>
                <w:color w:val="auto"/>
                <w:szCs w:val="21"/>
                <w:highlight w:val="none"/>
              </w:rPr>
            </w:pPr>
            <w:r>
              <w:rPr>
                <w:rFonts w:hint="eastAsia" w:ascii="宋体" w:hAnsi="宋体"/>
                <w:color w:val="auto"/>
                <w:szCs w:val="21"/>
                <w:highlight w:val="none"/>
              </w:rPr>
              <w:t>无</w:t>
            </w:r>
          </w:p>
        </w:tc>
      </w:tr>
      <w:tr w14:paraId="775546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1A123D6D">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56FA9BE0">
            <w:pPr>
              <w:ind w:firstLine="420"/>
              <w:jc w:val="center"/>
              <w:rPr>
                <w:rFonts w:ascii="宋体" w:hAnsi="宋体"/>
                <w:color w:val="auto"/>
                <w:szCs w:val="21"/>
                <w:highlight w:val="none"/>
              </w:rPr>
            </w:pPr>
            <w:r>
              <w:rPr>
                <w:rFonts w:hint="eastAsia" w:ascii="宋体" w:hAnsi="宋体"/>
                <w:color w:val="auto"/>
                <w:szCs w:val="21"/>
                <w:highlight w:val="none"/>
              </w:rPr>
              <w:t>第4.4款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07475E7">
            <w:pPr>
              <w:jc w:val="left"/>
              <w:rPr>
                <w:rFonts w:ascii="宋体" w:hAnsi="宋体"/>
                <w:color w:val="auto"/>
                <w:szCs w:val="21"/>
                <w:highlight w:val="none"/>
              </w:rPr>
            </w:pPr>
            <w:r>
              <w:rPr>
                <w:rFonts w:hint="eastAsia" w:ascii="宋体" w:hAnsi="宋体"/>
                <w:color w:val="auto"/>
                <w:szCs w:val="21"/>
                <w:highlight w:val="none"/>
              </w:rPr>
              <w:t>履约验收中甲方提出异议或作出说明的期限</w:t>
            </w:r>
          </w:p>
        </w:tc>
        <w:tc>
          <w:tcPr>
            <w:tcW w:w="4077" w:type="dxa"/>
            <w:tcBorders>
              <w:top w:val="single" w:color="auto" w:sz="4" w:space="0"/>
              <w:left w:val="single" w:color="auto" w:sz="4" w:space="0"/>
              <w:bottom w:val="single" w:color="auto" w:sz="4" w:space="0"/>
              <w:right w:val="single" w:color="auto" w:sz="4" w:space="0"/>
            </w:tcBorders>
            <w:noWrap/>
            <w:vAlign w:val="center"/>
          </w:tcPr>
          <w:p w14:paraId="7908880E">
            <w:pPr>
              <w:jc w:val="left"/>
              <w:rPr>
                <w:rFonts w:ascii="宋体" w:hAnsi="宋体"/>
                <w:color w:val="auto"/>
                <w:szCs w:val="21"/>
                <w:highlight w:val="none"/>
              </w:rPr>
            </w:pPr>
            <w:r>
              <w:rPr>
                <w:rFonts w:hint="eastAsia" w:ascii="宋体" w:hAnsi="宋体"/>
                <w:color w:val="auto"/>
                <w:szCs w:val="21"/>
                <w:highlight w:val="none"/>
              </w:rPr>
              <w:t>20个工作日</w:t>
            </w:r>
          </w:p>
        </w:tc>
      </w:tr>
      <w:tr w14:paraId="176E6B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720C5A20">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7000D1A5">
            <w:pPr>
              <w:ind w:firstLine="420"/>
              <w:jc w:val="center"/>
              <w:rPr>
                <w:rFonts w:ascii="宋体" w:hAnsi="宋体"/>
                <w:color w:val="auto"/>
                <w:szCs w:val="21"/>
                <w:highlight w:val="none"/>
              </w:rPr>
            </w:pPr>
            <w:r>
              <w:rPr>
                <w:rFonts w:hint="eastAsia" w:ascii="宋体" w:hAnsi="宋体"/>
                <w:color w:val="auto"/>
                <w:szCs w:val="21"/>
                <w:highlight w:val="none"/>
              </w:rPr>
              <w:t>第4.6款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2533EEB8">
            <w:pPr>
              <w:jc w:val="left"/>
              <w:rPr>
                <w:rFonts w:ascii="宋体" w:hAnsi="宋体"/>
                <w:color w:val="auto"/>
                <w:szCs w:val="21"/>
                <w:highlight w:val="none"/>
              </w:rPr>
            </w:pPr>
            <w:r>
              <w:rPr>
                <w:rFonts w:hint="eastAsia" w:ascii="宋体" w:hAnsi="宋体"/>
                <w:color w:val="auto"/>
                <w:szCs w:val="21"/>
                <w:highlight w:val="none"/>
              </w:rPr>
              <w:t>约定甲方承担的其他义务和责任</w:t>
            </w:r>
          </w:p>
        </w:tc>
        <w:tc>
          <w:tcPr>
            <w:tcW w:w="4077" w:type="dxa"/>
            <w:tcBorders>
              <w:top w:val="single" w:color="auto" w:sz="4" w:space="0"/>
              <w:left w:val="single" w:color="auto" w:sz="4" w:space="0"/>
              <w:bottom w:val="single" w:color="auto" w:sz="4" w:space="0"/>
              <w:right w:val="single" w:color="auto" w:sz="4" w:space="0"/>
            </w:tcBorders>
            <w:noWrap/>
            <w:vAlign w:val="center"/>
          </w:tcPr>
          <w:p w14:paraId="290BD3F7">
            <w:pPr>
              <w:jc w:val="left"/>
              <w:rPr>
                <w:rFonts w:ascii="宋体" w:hAnsi="宋体"/>
                <w:color w:val="auto"/>
                <w:szCs w:val="21"/>
                <w:highlight w:val="none"/>
              </w:rPr>
            </w:pPr>
            <w:r>
              <w:rPr>
                <w:rFonts w:hint="eastAsia" w:ascii="宋体" w:hAnsi="宋体"/>
                <w:color w:val="auto"/>
                <w:szCs w:val="21"/>
                <w:highlight w:val="none"/>
              </w:rPr>
              <w:t>具体以合同签订时约定为准</w:t>
            </w:r>
          </w:p>
        </w:tc>
      </w:tr>
      <w:tr w14:paraId="5DBC55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4A420FB">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9E935A0">
            <w:pPr>
              <w:ind w:firstLine="420"/>
              <w:jc w:val="center"/>
              <w:rPr>
                <w:color w:val="auto"/>
                <w:highlight w:val="none"/>
              </w:rPr>
            </w:pPr>
            <w:r>
              <w:rPr>
                <w:rFonts w:hint="eastAsia" w:ascii="宋体" w:hAnsi="宋体"/>
                <w:color w:val="auto"/>
                <w:szCs w:val="21"/>
                <w:highlight w:val="none"/>
              </w:rPr>
              <w:t>第5.4款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60F988EC">
            <w:pPr>
              <w:jc w:val="left"/>
              <w:rPr>
                <w:rFonts w:ascii="宋体" w:hAnsi="宋体"/>
                <w:color w:val="auto"/>
                <w:szCs w:val="21"/>
                <w:highlight w:val="none"/>
              </w:rPr>
            </w:pPr>
            <w:r>
              <w:rPr>
                <w:rFonts w:hint="eastAsia" w:ascii="宋体" w:hAnsi="宋体"/>
                <w:color w:val="auto"/>
                <w:szCs w:val="21"/>
                <w:highlight w:val="none"/>
              </w:rPr>
              <w:t>约定乙方承担的其他义务和责任</w:t>
            </w:r>
          </w:p>
        </w:tc>
        <w:tc>
          <w:tcPr>
            <w:tcW w:w="4077" w:type="dxa"/>
            <w:tcBorders>
              <w:top w:val="single" w:color="auto" w:sz="4" w:space="0"/>
              <w:left w:val="single" w:color="auto" w:sz="4" w:space="0"/>
              <w:bottom w:val="single" w:color="auto" w:sz="4" w:space="0"/>
              <w:right w:val="single" w:color="auto" w:sz="4" w:space="0"/>
            </w:tcBorders>
            <w:noWrap/>
            <w:vAlign w:val="center"/>
          </w:tcPr>
          <w:p w14:paraId="25FC4E71">
            <w:pPr>
              <w:spacing w:line="273" w:lineRule="auto"/>
              <w:ind w:firstLine="420"/>
              <w:rPr>
                <w:rFonts w:ascii="Arial" w:hAnsi="Arial" w:cs="Arial"/>
                <w:color w:val="auto"/>
                <w:highlight w:val="none"/>
              </w:rPr>
            </w:pPr>
            <w:r>
              <w:rPr>
                <w:rFonts w:ascii="宋体" w:hAnsi="宋体" w:cs="Arial"/>
                <w:color w:val="auto"/>
                <w:highlight w:val="none"/>
              </w:rPr>
              <w:t>乙方应保证所提供货物在使用时不会侵犯任何第三方的专利权、商标权、工业设计权或其他权利。</w:t>
            </w:r>
          </w:p>
          <w:p w14:paraId="70E5C349">
            <w:pPr>
              <w:spacing w:line="273" w:lineRule="auto"/>
              <w:ind w:firstLine="420"/>
              <w:rPr>
                <w:rFonts w:ascii="Arial" w:hAnsi="Arial" w:cs="Arial"/>
                <w:color w:val="auto"/>
                <w:highlight w:val="none"/>
              </w:rPr>
            </w:pPr>
            <w:r>
              <w:rPr>
                <w:rFonts w:ascii="宋体" w:hAnsi="宋体" w:cs="Arial"/>
                <w:color w:val="auto"/>
                <w:highlight w:val="none"/>
              </w:rPr>
              <w:t>乙方应按招标文件规定</w:t>
            </w:r>
            <w:r>
              <w:rPr>
                <w:rFonts w:hint="eastAsia" w:ascii="宋体" w:hAnsi="宋体" w:cs="Arial"/>
                <w:color w:val="auto"/>
                <w:highlight w:val="none"/>
              </w:rPr>
              <w:t>、本合同约定</w:t>
            </w:r>
            <w:r>
              <w:rPr>
                <w:rFonts w:ascii="宋体" w:hAnsi="宋体" w:cs="Arial"/>
                <w:color w:val="auto"/>
                <w:highlight w:val="none"/>
              </w:rPr>
              <w:t>的时间向甲方提供使用货物的有关技术资料。</w:t>
            </w:r>
          </w:p>
          <w:p w14:paraId="501D338B">
            <w:pPr>
              <w:spacing w:line="273" w:lineRule="auto"/>
              <w:ind w:firstLine="420"/>
              <w:rPr>
                <w:rFonts w:ascii="Arial" w:hAnsi="Arial" w:cs="Arial"/>
                <w:color w:val="auto"/>
                <w:highlight w:val="none"/>
              </w:rPr>
            </w:pPr>
            <w:r>
              <w:rPr>
                <w:rFonts w:ascii="宋体" w:hAnsi="宋体" w:cs="Arial"/>
                <w:color w:val="auto"/>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D8BF4EE">
            <w:pPr>
              <w:spacing w:line="273" w:lineRule="auto"/>
              <w:ind w:firstLine="420"/>
              <w:rPr>
                <w:rFonts w:ascii="Arial" w:hAnsi="Arial" w:cs="Arial"/>
                <w:color w:val="auto"/>
                <w:highlight w:val="none"/>
              </w:rPr>
            </w:pPr>
            <w:r>
              <w:rPr>
                <w:rFonts w:ascii="宋体" w:hAnsi="宋体" w:cs="Arial"/>
                <w:color w:val="auto"/>
                <w:highlight w:val="none"/>
              </w:rPr>
              <w:t>乙方保证所交付的货物的所有权完全属于乙方且无任何抵押、质押、查封等产权瑕疵。</w:t>
            </w:r>
          </w:p>
          <w:p w14:paraId="7E534985">
            <w:pPr>
              <w:spacing w:line="273" w:lineRule="auto"/>
              <w:ind w:firstLine="420"/>
              <w:rPr>
                <w:rFonts w:ascii="Arial" w:hAnsi="Arial" w:cs="Arial"/>
                <w:color w:val="auto"/>
                <w:highlight w:val="none"/>
              </w:rPr>
            </w:pPr>
            <w:r>
              <w:rPr>
                <w:rFonts w:ascii="宋体" w:hAnsi="宋体" w:cs="Arial"/>
                <w:color w:val="auto"/>
                <w:highlight w:val="none"/>
              </w:rPr>
              <w:t>乙方就交付给甲方的货物，负有保证第三人不得向甲方主张任何权利的义务。</w:t>
            </w:r>
          </w:p>
          <w:p w14:paraId="3690D653">
            <w:pPr>
              <w:spacing w:line="273" w:lineRule="auto"/>
              <w:ind w:firstLine="420"/>
              <w:rPr>
                <w:rFonts w:ascii="Arial" w:hAnsi="Arial" w:cs="Arial"/>
                <w:color w:val="auto"/>
                <w:highlight w:val="none"/>
              </w:rPr>
            </w:pPr>
            <w:r>
              <w:rPr>
                <w:rFonts w:ascii="宋体" w:hAnsi="宋体" w:cs="Arial"/>
                <w:color w:val="auto"/>
                <w:highlight w:val="none"/>
              </w:rPr>
              <w:t>如采购项目涉及采购标的的知识产权归属的，产权归属为：</w:t>
            </w:r>
            <w:r>
              <w:rPr>
                <w:rFonts w:ascii="Arial" w:hAnsi="Arial" w:cs="Arial"/>
                <w:color w:val="auto"/>
                <w:highlight w:val="none"/>
                <w:u w:val="single"/>
              </w:rPr>
              <w:t xml:space="preserve">    </w:t>
            </w:r>
            <w:r>
              <w:rPr>
                <w:rFonts w:ascii="宋体" w:hAnsi="宋体" w:cs="Arial"/>
                <w:color w:val="auto"/>
                <w:highlight w:val="none"/>
                <w:u w:val="single"/>
              </w:rPr>
              <w:t>甲方</w:t>
            </w:r>
            <w:r>
              <w:rPr>
                <w:rFonts w:ascii="Arial" w:hAnsi="Arial" w:cs="Arial"/>
                <w:color w:val="auto"/>
                <w:highlight w:val="none"/>
                <w:u w:val="single"/>
              </w:rPr>
              <w:t xml:space="preserve">     </w:t>
            </w:r>
            <w:r>
              <w:rPr>
                <w:rFonts w:ascii="Arial" w:hAnsi="Arial" w:cs="Arial"/>
                <w:color w:val="auto"/>
                <w:highlight w:val="none"/>
              </w:rPr>
              <w:t xml:space="preserve">   </w:t>
            </w:r>
          </w:p>
          <w:p w14:paraId="244D1272">
            <w:pPr>
              <w:spacing w:line="273" w:lineRule="auto"/>
              <w:ind w:firstLine="420"/>
              <w:jc w:val="left"/>
              <w:rPr>
                <w:rFonts w:ascii="宋体" w:hAnsi="宋体"/>
                <w:color w:val="auto"/>
                <w:szCs w:val="21"/>
                <w:highlight w:val="none"/>
              </w:rPr>
            </w:pPr>
            <w:r>
              <w:rPr>
                <w:rFonts w:ascii="宋体" w:hAnsi="宋体" w:cs="Arial"/>
                <w:color w:val="auto"/>
                <w:highlight w:val="none"/>
              </w:rPr>
              <w:t>处理方式</w:t>
            </w:r>
            <w:r>
              <w:rPr>
                <w:rFonts w:ascii="宋体" w:hAnsi="宋体" w:cs="Arial"/>
                <w:color w:val="auto"/>
                <w:highlight w:val="none"/>
                <w:u w:val="single"/>
              </w:rPr>
              <w:t>：甲方在中华人民共和国境内使用乙方提供的产品及服务时免受第三方提出的侵犯其专利权或其它知识产权的起诉。如果第三方提出侵权指控，乙方应承担由此而引起的一切法律责任和费用。</w:t>
            </w:r>
            <w:r>
              <w:rPr>
                <w:rFonts w:hint="eastAsia" w:ascii="宋体" w:hAnsi="宋体" w:cs="Arial"/>
                <w:color w:val="auto"/>
                <w:highlight w:val="none"/>
                <w:u w:val="single"/>
              </w:rPr>
              <w:t>如甲方因第三方提出的侵权指控承担赔偿责任，甲方有权向乙方追偿（追偿的范围包括但不限于赔偿款项、执行费、律师费、保全费、鉴定费等费用以及甲方因解决与第三方纠纷支出的所有费用（律师费、保全费、鉴定费等）。</w:t>
            </w:r>
          </w:p>
        </w:tc>
      </w:tr>
      <w:tr w14:paraId="571A83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DB6077F">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328E7E41">
            <w:pPr>
              <w:ind w:firstLine="420"/>
              <w:jc w:val="center"/>
              <w:rPr>
                <w:rFonts w:ascii="宋体" w:hAnsi="宋体"/>
                <w:color w:val="auto"/>
                <w:szCs w:val="21"/>
                <w:highlight w:val="none"/>
              </w:rPr>
            </w:pPr>
            <w:r>
              <w:rPr>
                <w:rFonts w:hint="eastAsia" w:ascii="宋体" w:hAnsi="宋体"/>
                <w:color w:val="auto"/>
                <w:szCs w:val="21"/>
                <w:highlight w:val="none"/>
              </w:rPr>
              <w:t>第6.1款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18451CCA">
            <w:pPr>
              <w:jc w:val="left"/>
              <w:rPr>
                <w:rFonts w:ascii="宋体" w:hAnsi="宋体"/>
                <w:color w:val="auto"/>
                <w:szCs w:val="21"/>
                <w:highlight w:val="none"/>
              </w:rPr>
            </w:pPr>
            <w:r>
              <w:rPr>
                <w:rFonts w:hint="eastAsia" w:ascii="宋体" w:hAnsi="宋体"/>
                <w:color w:val="auto"/>
                <w:szCs w:val="21"/>
                <w:highlight w:val="none"/>
              </w:rPr>
              <w:t>履行合同义务的顺序</w:t>
            </w:r>
          </w:p>
        </w:tc>
        <w:tc>
          <w:tcPr>
            <w:tcW w:w="4077" w:type="dxa"/>
            <w:tcBorders>
              <w:top w:val="single" w:color="auto" w:sz="4" w:space="0"/>
              <w:left w:val="single" w:color="auto" w:sz="4" w:space="0"/>
              <w:bottom w:val="single" w:color="auto" w:sz="4" w:space="0"/>
              <w:right w:val="single" w:color="auto" w:sz="4" w:space="0"/>
            </w:tcBorders>
            <w:noWrap/>
            <w:vAlign w:val="center"/>
          </w:tcPr>
          <w:p w14:paraId="1FE550D3">
            <w:pPr>
              <w:jc w:val="left"/>
              <w:rPr>
                <w:rFonts w:hint="eastAsia" w:ascii="宋体" w:hAnsi="宋体"/>
                <w:color w:val="auto"/>
                <w:szCs w:val="21"/>
                <w:highlight w:val="none"/>
              </w:rPr>
            </w:pPr>
            <w:r>
              <w:rPr>
                <w:rFonts w:hint="eastAsia" w:ascii="宋体" w:hAnsi="宋体"/>
                <w:color w:val="auto"/>
                <w:szCs w:val="21"/>
                <w:highlight w:val="none"/>
              </w:rPr>
              <w:t>无</w:t>
            </w:r>
          </w:p>
        </w:tc>
      </w:tr>
      <w:tr w14:paraId="341B0A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vMerge w:val="restart"/>
            <w:tcBorders>
              <w:top w:val="single" w:color="auto" w:sz="4" w:space="0"/>
              <w:left w:val="single" w:color="auto" w:sz="4" w:space="0"/>
              <w:bottom w:val="single" w:color="auto" w:sz="4" w:space="0"/>
              <w:right w:val="single" w:color="auto" w:sz="4" w:space="0"/>
            </w:tcBorders>
            <w:noWrap/>
            <w:vAlign w:val="center"/>
          </w:tcPr>
          <w:p w14:paraId="4B141320">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2B49307C">
            <w:pPr>
              <w:ind w:firstLine="420"/>
              <w:jc w:val="center"/>
              <w:rPr>
                <w:rFonts w:ascii="宋体" w:hAnsi="宋体"/>
                <w:color w:val="auto"/>
                <w:szCs w:val="21"/>
                <w:highlight w:val="none"/>
              </w:rPr>
            </w:pPr>
            <w:r>
              <w:rPr>
                <w:rFonts w:hint="eastAsia" w:ascii="宋体" w:hAnsi="宋体"/>
                <w:color w:val="auto"/>
                <w:szCs w:val="21"/>
                <w:highlight w:val="none"/>
              </w:rPr>
              <w:t>第7.1款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7DC8322">
            <w:pPr>
              <w:jc w:val="left"/>
              <w:rPr>
                <w:rFonts w:ascii="宋体" w:hAnsi="宋体"/>
                <w:color w:val="auto"/>
                <w:szCs w:val="21"/>
                <w:highlight w:val="none"/>
              </w:rPr>
            </w:pPr>
            <w:r>
              <w:rPr>
                <w:rFonts w:hint="eastAsia" w:ascii="宋体" w:hAnsi="宋体"/>
                <w:color w:val="auto"/>
                <w:szCs w:val="21"/>
                <w:highlight w:val="none"/>
              </w:rPr>
              <w:t>包装特殊要求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4D7F33E4">
            <w:pPr>
              <w:rPr>
                <w:rFonts w:hint="eastAsia"/>
                <w:color w:val="auto"/>
                <w:highlight w:val="none"/>
              </w:rPr>
            </w:pPr>
            <w:r>
              <w:rPr>
                <w:rFonts w:hint="eastAsia"/>
                <w:color w:val="auto"/>
                <w:highlight w:val="none"/>
              </w:rPr>
              <w:t>乙方应将所提供货物的装箱清单、质量检验证明书、用户手册、原厂保修卡、随机资料、工具和备品、备件等附于货物内交付给甲方，如有缺失应在10日内补齐及时补齐，否则视为逾期交货。</w:t>
            </w:r>
          </w:p>
        </w:tc>
      </w:tr>
      <w:tr w14:paraId="39EAC0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vMerge w:val="continue"/>
            <w:tcBorders>
              <w:top w:val="single" w:color="auto" w:sz="4" w:space="0"/>
              <w:left w:val="single" w:color="auto" w:sz="4" w:space="0"/>
              <w:bottom w:val="single" w:color="auto" w:sz="4" w:space="0"/>
              <w:right w:val="single" w:color="auto" w:sz="4" w:space="0"/>
            </w:tcBorders>
            <w:noWrap/>
            <w:vAlign w:val="center"/>
          </w:tcPr>
          <w:p w14:paraId="50AD9673">
            <w:pPr>
              <w:jc w:val="center"/>
              <w:rPr>
                <w:rFonts w:ascii="宋体" w:hAnsi="宋体"/>
                <w:color w:val="auto"/>
                <w:szCs w:val="21"/>
                <w:highlight w:val="none"/>
              </w:rPr>
            </w:pPr>
          </w:p>
        </w:tc>
        <w:tc>
          <w:tcPr>
            <w:tcW w:w="2809" w:type="dxa"/>
            <w:tcBorders>
              <w:top w:val="single" w:color="auto" w:sz="4" w:space="0"/>
              <w:left w:val="single" w:color="auto" w:sz="4" w:space="0"/>
              <w:bottom w:val="single" w:color="auto" w:sz="4" w:space="0"/>
              <w:right w:val="single" w:color="auto" w:sz="4" w:space="0"/>
            </w:tcBorders>
            <w:noWrap/>
            <w:vAlign w:val="center"/>
          </w:tcPr>
          <w:p w14:paraId="312463B8">
            <w:pPr>
              <w:jc w:val="left"/>
              <w:rPr>
                <w:rFonts w:ascii="宋体" w:hAnsi="宋体"/>
                <w:color w:val="auto"/>
                <w:szCs w:val="21"/>
                <w:highlight w:val="none"/>
              </w:rPr>
            </w:pPr>
            <w:r>
              <w:rPr>
                <w:rFonts w:hint="eastAsia" w:ascii="宋体" w:hAnsi="宋体"/>
                <w:color w:val="auto"/>
                <w:szCs w:val="21"/>
                <w:highlight w:val="none"/>
              </w:rPr>
              <w:t>指定现场</w:t>
            </w:r>
          </w:p>
        </w:tc>
        <w:tc>
          <w:tcPr>
            <w:tcW w:w="4077" w:type="dxa"/>
            <w:tcBorders>
              <w:top w:val="single" w:color="auto" w:sz="4" w:space="0"/>
              <w:left w:val="single" w:color="auto" w:sz="4" w:space="0"/>
              <w:bottom w:val="single" w:color="auto" w:sz="4" w:space="0"/>
              <w:right w:val="single" w:color="auto" w:sz="4" w:space="0"/>
            </w:tcBorders>
            <w:noWrap/>
            <w:vAlign w:val="center"/>
          </w:tcPr>
          <w:p w14:paraId="328B1B98">
            <w:pPr>
              <w:rPr>
                <w:color w:val="auto"/>
                <w:highlight w:val="none"/>
              </w:rPr>
            </w:pPr>
            <w:r>
              <w:rPr>
                <w:rFonts w:hint="eastAsia"/>
                <w:color w:val="auto"/>
                <w:highlight w:val="none"/>
                <w:lang w:eastAsia="zh-CN"/>
              </w:rPr>
              <w:t>贵港市中西医结合骨科医院</w:t>
            </w:r>
            <w:r>
              <w:rPr>
                <w:rFonts w:hint="eastAsia"/>
                <w:color w:val="auto"/>
                <w:highlight w:val="none"/>
              </w:rPr>
              <w:t>指定现场</w:t>
            </w:r>
          </w:p>
        </w:tc>
      </w:tr>
      <w:tr w14:paraId="1AE0E7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44E828DA">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32F3A44C">
            <w:pPr>
              <w:ind w:firstLine="420"/>
              <w:jc w:val="center"/>
              <w:rPr>
                <w:rFonts w:ascii="宋体" w:hAnsi="宋体"/>
                <w:color w:val="auto"/>
                <w:szCs w:val="21"/>
                <w:highlight w:val="none"/>
              </w:rPr>
            </w:pPr>
            <w:r>
              <w:rPr>
                <w:rFonts w:hint="eastAsia" w:ascii="宋体" w:hAnsi="宋体"/>
                <w:color w:val="auto"/>
                <w:szCs w:val="21"/>
                <w:highlight w:val="none"/>
              </w:rPr>
              <w:t>第7.2款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59CE8A9">
            <w:pPr>
              <w:jc w:val="left"/>
              <w:rPr>
                <w:rFonts w:ascii="宋体" w:hAnsi="宋体"/>
                <w:color w:val="auto"/>
                <w:szCs w:val="21"/>
                <w:highlight w:val="none"/>
              </w:rPr>
            </w:pPr>
            <w:r>
              <w:rPr>
                <w:rFonts w:hint="eastAsia" w:ascii="宋体" w:hAnsi="宋体"/>
                <w:color w:val="auto"/>
                <w:szCs w:val="21"/>
                <w:highlight w:val="none"/>
              </w:rPr>
              <w:t>运输特殊要求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5C23A653">
            <w:pPr>
              <w:rPr>
                <w:color w:val="auto"/>
                <w:highlight w:val="none"/>
              </w:rPr>
            </w:pPr>
            <w:r>
              <w:rPr>
                <w:rFonts w:ascii="宋体" w:hAnsi="宋体" w:cs="Arial"/>
                <w:color w:val="auto"/>
                <w:highlight w:val="none"/>
              </w:rPr>
              <w:t>乙方应在货物发运前对其进行满足运输距离、防潮、防震、防锈和防破损装卸等要求包装，以保证货物安全运达甲方地点</w:t>
            </w:r>
            <w:r>
              <w:rPr>
                <w:rFonts w:hint="eastAsia" w:ascii="宋体" w:hAnsi="宋体" w:cs="Arial"/>
                <w:color w:val="auto"/>
                <w:highlight w:val="none"/>
              </w:rPr>
              <w:t>。</w:t>
            </w:r>
          </w:p>
        </w:tc>
      </w:tr>
      <w:tr w14:paraId="0DD818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0087DA4">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6715E06">
            <w:pPr>
              <w:ind w:firstLine="420"/>
              <w:jc w:val="center"/>
              <w:rPr>
                <w:rFonts w:ascii="宋体" w:hAnsi="宋体"/>
                <w:color w:val="auto"/>
                <w:szCs w:val="21"/>
                <w:highlight w:val="none"/>
              </w:rPr>
            </w:pPr>
            <w:r>
              <w:rPr>
                <w:rFonts w:hint="eastAsia" w:ascii="宋体" w:hAnsi="宋体"/>
                <w:color w:val="auto"/>
                <w:szCs w:val="21"/>
                <w:highlight w:val="none"/>
              </w:rPr>
              <w:t>第7.3款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41F5B4C">
            <w:pPr>
              <w:jc w:val="left"/>
              <w:rPr>
                <w:rFonts w:ascii="宋体" w:hAnsi="宋体"/>
                <w:color w:val="auto"/>
                <w:szCs w:val="21"/>
                <w:highlight w:val="none"/>
              </w:rPr>
            </w:pPr>
            <w:r>
              <w:rPr>
                <w:rFonts w:hint="eastAsia" w:ascii="宋体" w:hAnsi="宋体"/>
                <w:color w:val="auto"/>
                <w:szCs w:val="21"/>
                <w:highlight w:val="none"/>
              </w:rPr>
              <w:t>保险要求</w:t>
            </w:r>
          </w:p>
        </w:tc>
        <w:tc>
          <w:tcPr>
            <w:tcW w:w="4077" w:type="dxa"/>
            <w:tcBorders>
              <w:top w:val="single" w:color="auto" w:sz="4" w:space="0"/>
              <w:left w:val="single" w:color="auto" w:sz="4" w:space="0"/>
              <w:bottom w:val="single" w:color="auto" w:sz="4" w:space="0"/>
              <w:right w:val="single" w:color="auto" w:sz="4" w:space="0"/>
            </w:tcBorders>
            <w:noWrap/>
            <w:vAlign w:val="center"/>
          </w:tcPr>
          <w:p w14:paraId="441A5590">
            <w:pPr>
              <w:rPr>
                <w:color w:val="auto"/>
                <w:highlight w:val="none"/>
              </w:rPr>
            </w:pPr>
            <w:r>
              <w:rPr>
                <w:rFonts w:hint="eastAsia"/>
                <w:color w:val="auto"/>
                <w:highlight w:val="none"/>
              </w:rPr>
              <w:t>货物运输保险费已包含在合同总价中，乙方须确保货物安全无损地运抵安装地点。本项目合同不接受损耗。</w:t>
            </w:r>
          </w:p>
        </w:tc>
      </w:tr>
      <w:tr w14:paraId="40B6E8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3CF06C4">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2846D3CB">
            <w:pPr>
              <w:ind w:firstLine="420"/>
              <w:jc w:val="center"/>
              <w:rPr>
                <w:rFonts w:ascii="宋体" w:hAnsi="宋体"/>
                <w:color w:val="auto"/>
                <w:szCs w:val="21"/>
                <w:highlight w:val="none"/>
              </w:rPr>
            </w:pPr>
            <w:r>
              <w:rPr>
                <w:rFonts w:hint="eastAsia" w:ascii="宋体" w:hAnsi="宋体"/>
                <w:color w:val="auto"/>
                <w:szCs w:val="21"/>
                <w:highlight w:val="none"/>
              </w:rPr>
              <w:t>第8.2（1）项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2C6D76AC">
            <w:pPr>
              <w:jc w:val="left"/>
              <w:rPr>
                <w:rFonts w:ascii="宋体" w:hAnsi="宋体"/>
                <w:color w:val="auto"/>
                <w:szCs w:val="21"/>
                <w:highlight w:val="none"/>
              </w:rPr>
            </w:pPr>
            <w:r>
              <w:rPr>
                <w:rFonts w:hint="eastAsia" w:ascii="宋体" w:hAnsi="宋体"/>
                <w:color w:val="auto"/>
                <w:szCs w:val="21"/>
                <w:highlight w:val="none"/>
              </w:rPr>
              <w:t>质量保证期</w:t>
            </w:r>
          </w:p>
        </w:tc>
        <w:tc>
          <w:tcPr>
            <w:tcW w:w="4077" w:type="dxa"/>
            <w:tcBorders>
              <w:top w:val="single" w:color="auto" w:sz="4" w:space="0"/>
              <w:left w:val="single" w:color="auto" w:sz="4" w:space="0"/>
              <w:bottom w:val="single" w:color="auto" w:sz="4" w:space="0"/>
              <w:right w:val="single" w:color="auto" w:sz="4" w:space="0"/>
            </w:tcBorders>
            <w:noWrap/>
            <w:vAlign w:val="center"/>
          </w:tcPr>
          <w:p w14:paraId="5AEB6D67">
            <w:pPr>
              <w:jc w:val="left"/>
              <w:rPr>
                <w:rFonts w:hint="eastAsia" w:ascii="宋体" w:hAnsi="宋体"/>
                <w:color w:val="auto"/>
                <w:szCs w:val="21"/>
                <w:highlight w:val="none"/>
              </w:rPr>
            </w:pPr>
            <w:r>
              <w:rPr>
                <w:rFonts w:hint="eastAsia" w:ascii="宋体" w:hAnsi="宋体"/>
                <w:color w:val="auto"/>
                <w:szCs w:val="21"/>
                <w:highlight w:val="none"/>
              </w:rPr>
              <w:t>按招标文件要求及投标文件承诺执行</w:t>
            </w:r>
          </w:p>
        </w:tc>
      </w:tr>
      <w:tr w14:paraId="3F59D5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29796A7">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6C6724A4">
            <w:pPr>
              <w:ind w:firstLine="420"/>
              <w:jc w:val="center"/>
              <w:rPr>
                <w:rFonts w:ascii="宋体" w:hAnsi="宋体"/>
                <w:color w:val="auto"/>
                <w:szCs w:val="21"/>
                <w:highlight w:val="none"/>
              </w:rPr>
            </w:pPr>
            <w:r>
              <w:rPr>
                <w:rFonts w:hint="eastAsia" w:ascii="宋体" w:hAnsi="宋体"/>
                <w:color w:val="auto"/>
                <w:szCs w:val="21"/>
                <w:highlight w:val="none"/>
              </w:rPr>
              <w:t>第8.2（3）项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5C231E1D">
            <w:pPr>
              <w:ind w:firstLine="420"/>
              <w:jc w:val="left"/>
              <w:rPr>
                <w:rFonts w:ascii="宋体" w:hAnsi="宋体"/>
                <w:color w:val="auto"/>
                <w:szCs w:val="21"/>
                <w:highlight w:val="none"/>
              </w:rPr>
            </w:pPr>
            <w:r>
              <w:rPr>
                <w:rFonts w:hint="eastAsia" w:ascii="宋体" w:hAnsi="宋体"/>
                <w:color w:val="auto"/>
                <w:szCs w:val="21"/>
                <w:highlight w:val="none"/>
              </w:rPr>
              <w:t>货物质量缺陷</w:t>
            </w:r>
          </w:p>
          <w:p w14:paraId="4D3DF691">
            <w:pPr>
              <w:ind w:firstLine="420"/>
              <w:jc w:val="left"/>
              <w:rPr>
                <w:rFonts w:ascii="宋体" w:hAnsi="宋体"/>
                <w:color w:val="auto"/>
                <w:szCs w:val="21"/>
                <w:highlight w:val="none"/>
              </w:rPr>
            </w:pPr>
            <w:r>
              <w:rPr>
                <w:rFonts w:hint="eastAsia" w:ascii="宋体" w:hAnsi="宋体"/>
                <w:color w:val="auto"/>
                <w:szCs w:val="21"/>
                <w:highlight w:val="none"/>
              </w:rPr>
              <w:t>响应时间</w:t>
            </w:r>
          </w:p>
        </w:tc>
        <w:tc>
          <w:tcPr>
            <w:tcW w:w="4077" w:type="dxa"/>
            <w:tcBorders>
              <w:top w:val="single" w:color="auto" w:sz="4" w:space="0"/>
              <w:left w:val="single" w:color="auto" w:sz="4" w:space="0"/>
              <w:bottom w:val="single" w:color="auto" w:sz="4" w:space="0"/>
              <w:right w:val="single" w:color="auto" w:sz="4" w:space="0"/>
            </w:tcBorders>
            <w:noWrap/>
            <w:vAlign w:val="center"/>
          </w:tcPr>
          <w:p w14:paraId="6C316353">
            <w:pPr>
              <w:jc w:val="left"/>
              <w:rPr>
                <w:rFonts w:ascii="宋体" w:hAnsi="宋体"/>
                <w:color w:val="auto"/>
                <w:szCs w:val="21"/>
                <w:highlight w:val="none"/>
              </w:rPr>
            </w:pPr>
            <w:r>
              <w:rPr>
                <w:rFonts w:hint="eastAsia" w:ascii="宋体" w:hAnsi="宋体"/>
                <w:color w:val="auto"/>
                <w:szCs w:val="21"/>
                <w:highlight w:val="none"/>
              </w:rPr>
              <w:t>按招标文件要求及投标文件承诺执行</w:t>
            </w:r>
          </w:p>
        </w:tc>
      </w:tr>
      <w:tr w14:paraId="7D9AA2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44DAE2B9">
            <w:pPr>
              <w:ind w:firstLine="420"/>
              <w:jc w:val="center"/>
              <w:rPr>
                <w:rFonts w:ascii="宋体" w:hAnsi="宋体" w:cs="宋体"/>
                <w:color w:val="auto"/>
                <w:szCs w:val="21"/>
                <w:highlight w:val="none"/>
              </w:rPr>
            </w:pPr>
            <w:r>
              <w:rPr>
                <w:rFonts w:hint="eastAsia" w:ascii="宋体" w:hAnsi="宋体" w:cs="宋体"/>
                <w:color w:val="auto"/>
                <w:szCs w:val="21"/>
                <w:highlight w:val="none"/>
              </w:rPr>
              <w:t>第二节</w:t>
            </w:r>
          </w:p>
          <w:p w14:paraId="5A5E7776">
            <w:pPr>
              <w:pStyle w:val="273"/>
              <w:ind w:firstLine="440"/>
              <w:jc w:val="center"/>
              <w:rPr>
                <w:color w:val="auto"/>
                <w:highlight w:val="none"/>
              </w:rPr>
            </w:pPr>
            <w:r>
              <w:rPr>
                <w:rFonts w:hint="eastAsia" w:ascii="宋体" w:hAnsi="宋体" w:eastAsia="宋体" w:cs="宋体"/>
                <w:color w:val="auto"/>
                <w:highlight w:val="none"/>
              </w:rPr>
              <w:t>第11.1款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60C12DE1">
            <w:pPr>
              <w:rPr>
                <w:rFonts w:ascii="宋体" w:hAnsi="宋体"/>
                <w:color w:val="auto"/>
                <w:szCs w:val="21"/>
                <w:highlight w:val="none"/>
              </w:rPr>
            </w:pPr>
            <w:r>
              <w:rPr>
                <w:rFonts w:hint="eastAsia" w:ascii="宋体" w:hAnsi="宋体"/>
                <w:color w:val="auto"/>
                <w:szCs w:val="21"/>
                <w:highlight w:val="none"/>
              </w:rPr>
              <w:t>其他应当保密的信息</w:t>
            </w:r>
          </w:p>
        </w:tc>
        <w:tc>
          <w:tcPr>
            <w:tcW w:w="4077" w:type="dxa"/>
            <w:tcBorders>
              <w:top w:val="single" w:color="auto" w:sz="4" w:space="0"/>
              <w:left w:val="single" w:color="auto" w:sz="4" w:space="0"/>
              <w:bottom w:val="single" w:color="auto" w:sz="4" w:space="0"/>
              <w:right w:val="single" w:color="auto" w:sz="4" w:space="0"/>
            </w:tcBorders>
            <w:noWrap/>
            <w:vAlign w:val="center"/>
          </w:tcPr>
          <w:p w14:paraId="18126E01">
            <w:pPr>
              <w:jc w:val="left"/>
              <w:rPr>
                <w:rFonts w:hint="eastAsia" w:ascii="宋体" w:hAnsi="宋体"/>
                <w:color w:val="auto"/>
                <w:szCs w:val="21"/>
                <w:highlight w:val="none"/>
              </w:rPr>
            </w:pPr>
            <w:r>
              <w:rPr>
                <w:rFonts w:hint="eastAsia" w:ascii="宋体" w:hAnsi="宋体"/>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tc>
      </w:tr>
      <w:tr w14:paraId="10A2D3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02292E20">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A689BFD">
            <w:pPr>
              <w:ind w:firstLine="420"/>
              <w:jc w:val="center"/>
              <w:rPr>
                <w:rFonts w:ascii="宋体" w:hAnsi="宋体"/>
                <w:color w:val="auto"/>
                <w:szCs w:val="21"/>
                <w:highlight w:val="none"/>
              </w:rPr>
            </w:pPr>
            <w:r>
              <w:rPr>
                <w:rFonts w:hint="eastAsia" w:ascii="宋体" w:hAnsi="宋体"/>
                <w:color w:val="auto"/>
                <w:szCs w:val="21"/>
                <w:highlight w:val="none"/>
              </w:rPr>
              <w:t>第12.2款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8B85016">
            <w:pPr>
              <w:jc w:val="left"/>
              <w:rPr>
                <w:rFonts w:ascii="宋体" w:hAnsi="宋体"/>
                <w:color w:val="auto"/>
                <w:szCs w:val="21"/>
                <w:highlight w:val="none"/>
              </w:rPr>
            </w:pPr>
            <w:r>
              <w:rPr>
                <w:rFonts w:hint="eastAsia" w:ascii="宋体" w:hAnsi="宋体"/>
                <w:color w:val="auto"/>
                <w:szCs w:val="21"/>
                <w:highlight w:val="none"/>
              </w:rPr>
              <w:t>合同价款支付时间</w:t>
            </w:r>
          </w:p>
        </w:tc>
        <w:tc>
          <w:tcPr>
            <w:tcW w:w="4077" w:type="dxa"/>
            <w:tcBorders>
              <w:top w:val="single" w:color="auto" w:sz="4" w:space="0"/>
              <w:left w:val="single" w:color="auto" w:sz="4" w:space="0"/>
              <w:bottom w:val="single" w:color="auto" w:sz="4" w:space="0"/>
              <w:right w:val="single" w:color="auto" w:sz="4" w:space="0"/>
            </w:tcBorders>
            <w:noWrap/>
            <w:vAlign w:val="center"/>
          </w:tcPr>
          <w:p w14:paraId="20B43B7F">
            <w:pPr>
              <w:jc w:val="left"/>
              <w:rPr>
                <w:rFonts w:hint="eastAsia" w:ascii="宋体" w:hAnsi="宋体"/>
                <w:color w:val="auto"/>
                <w:szCs w:val="21"/>
                <w:highlight w:val="none"/>
              </w:rPr>
            </w:pPr>
            <w:r>
              <w:rPr>
                <w:rFonts w:hint="eastAsia" w:ascii="宋体" w:hAnsi="宋体"/>
                <w:color w:val="auto"/>
                <w:szCs w:val="21"/>
                <w:highlight w:val="none"/>
              </w:rPr>
              <w:t>按招标文件要求执行</w:t>
            </w:r>
          </w:p>
        </w:tc>
      </w:tr>
      <w:tr w14:paraId="4F864D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59809D87">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19214D1D">
            <w:pPr>
              <w:ind w:firstLine="420"/>
              <w:jc w:val="center"/>
              <w:rPr>
                <w:rFonts w:ascii="宋体" w:hAnsi="宋体"/>
                <w:color w:val="auto"/>
                <w:szCs w:val="21"/>
                <w:highlight w:val="none"/>
              </w:rPr>
            </w:pPr>
            <w:r>
              <w:rPr>
                <w:rFonts w:hint="eastAsia" w:ascii="宋体" w:hAnsi="宋体"/>
                <w:color w:val="auto"/>
                <w:szCs w:val="21"/>
                <w:highlight w:val="none"/>
              </w:rPr>
              <w:t>第13.2款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4C0376CC">
            <w:pPr>
              <w:jc w:val="left"/>
              <w:rPr>
                <w:rFonts w:ascii="宋体" w:hAnsi="宋体"/>
                <w:color w:val="auto"/>
                <w:szCs w:val="21"/>
                <w:highlight w:val="none"/>
              </w:rPr>
            </w:pPr>
            <w:r>
              <w:rPr>
                <w:rFonts w:hint="eastAsia" w:ascii="宋体" w:hAnsi="宋体"/>
                <w:color w:val="auto"/>
                <w:szCs w:val="21"/>
                <w:highlight w:val="none"/>
              </w:rPr>
              <w:t>履约保证金不予退还的情形</w:t>
            </w:r>
          </w:p>
        </w:tc>
        <w:tc>
          <w:tcPr>
            <w:tcW w:w="4077" w:type="dxa"/>
            <w:tcBorders>
              <w:top w:val="single" w:color="auto" w:sz="4" w:space="0"/>
              <w:left w:val="single" w:color="auto" w:sz="4" w:space="0"/>
              <w:bottom w:val="single" w:color="auto" w:sz="4" w:space="0"/>
              <w:right w:val="single" w:color="auto" w:sz="4" w:space="0"/>
            </w:tcBorders>
            <w:noWrap/>
            <w:vAlign w:val="center"/>
          </w:tcPr>
          <w:p w14:paraId="7D9CAB13">
            <w:pPr>
              <w:jc w:val="left"/>
              <w:rPr>
                <w:rFonts w:hint="eastAsia" w:ascii="宋体" w:hAnsi="宋体"/>
                <w:color w:val="auto"/>
                <w:szCs w:val="21"/>
                <w:highlight w:val="none"/>
              </w:rPr>
            </w:pPr>
            <w:r>
              <w:rPr>
                <w:rFonts w:hint="eastAsia" w:ascii="宋体" w:hAnsi="宋体"/>
                <w:color w:val="auto"/>
                <w:szCs w:val="21"/>
                <w:highlight w:val="none"/>
              </w:rPr>
              <w:t>无</w:t>
            </w:r>
          </w:p>
        </w:tc>
      </w:tr>
      <w:tr w14:paraId="055BEF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31AED09">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710B968B">
            <w:pPr>
              <w:ind w:firstLine="420"/>
              <w:jc w:val="center"/>
              <w:rPr>
                <w:rFonts w:ascii="宋体" w:hAnsi="宋体"/>
                <w:color w:val="auto"/>
                <w:szCs w:val="21"/>
                <w:highlight w:val="none"/>
              </w:rPr>
            </w:pPr>
            <w:r>
              <w:rPr>
                <w:rFonts w:hint="eastAsia" w:ascii="宋体" w:hAnsi="宋体"/>
                <w:color w:val="auto"/>
                <w:szCs w:val="21"/>
                <w:highlight w:val="none"/>
              </w:rPr>
              <w:t>第13.3款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2AA74986">
            <w:pPr>
              <w:jc w:val="left"/>
              <w:rPr>
                <w:rFonts w:ascii="宋体" w:hAnsi="宋体"/>
                <w:color w:val="auto"/>
                <w:szCs w:val="21"/>
                <w:highlight w:val="none"/>
              </w:rPr>
            </w:pPr>
            <w:r>
              <w:rPr>
                <w:rFonts w:hint="eastAsia" w:ascii="宋体" w:hAnsi="宋体"/>
                <w:color w:val="auto"/>
                <w:szCs w:val="21"/>
                <w:highlight w:val="none"/>
              </w:rPr>
              <w:t>履约保证金退还时间及逾期退还的违约金</w:t>
            </w:r>
          </w:p>
        </w:tc>
        <w:tc>
          <w:tcPr>
            <w:tcW w:w="4077" w:type="dxa"/>
            <w:tcBorders>
              <w:top w:val="single" w:color="auto" w:sz="4" w:space="0"/>
              <w:left w:val="single" w:color="auto" w:sz="4" w:space="0"/>
              <w:bottom w:val="single" w:color="auto" w:sz="4" w:space="0"/>
              <w:right w:val="single" w:color="auto" w:sz="4" w:space="0"/>
            </w:tcBorders>
            <w:noWrap/>
            <w:vAlign w:val="center"/>
          </w:tcPr>
          <w:p w14:paraId="1D36275F">
            <w:pPr>
              <w:jc w:val="left"/>
              <w:rPr>
                <w:rFonts w:hint="eastAsia" w:ascii="宋体" w:hAnsi="宋体"/>
                <w:color w:val="auto"/>
                <w:szCs w:val="21"/>
                <w:highlight w:val="none"/>
              </w:rPr>
            </w:pPr>
            <w:r>
              <w:rPr>
                <w:rFonts w:hint="eastAsia" w:ascii="宋体" w:hAnsi="宋体"/>
                <w:color w:val="auto"/>
                <w:szCs w:val="21"/>
                <w:highlight w:val="none"/>
              </w:rPr>
              <w:t>无</w:t>
            </w:r>
          </w:p>
        </w:tc>
      </w:tr>
      <w:tr w14:paraId="301046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3EF69474">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1129B0CF">
            <w:pPr>
              <w:ind w:firstLine="420"/>
              <w:jc w:val="center"/>
              <w:rPr>
                <w:rFonts w:ascii="宋体" w:hAnsi="宋体"/>
                <w:color w:val="auto"/>
                <w:szCs w:val="21"/>
                <w:highlight w:val="none"/>
              </w:rPr>
            </w:pPr>
            <w:r>
              <w:rPr>
                <w:rFonts w:hint="eastAsia" w:ascii="宋体" w:hAnsi="宋体"/>
                <w:color w:val="auto"/>
                <w:szCs w:val="21"/>
                <w:highlight w:val="none"/>
              </w:rPr>
              <w:t>第14.1（3）项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7A4FE0BE">
            <w:pPr>
              <w:jc w:val="left"/>
              <w:rPr>
                <w:rFonts w:ascii="宋体" w:hAnsi="宋体"/>
                <w:color w:val="auto"/>
                <w:szCs w:val="21"/>
                <w:highlight w:val="none"/>
              </w:rPr>
            </w:pPr>
            <w:r>
              <w:rPr>
                <w:rFonts w:hint="eastAsia" w:ascii="宋体" w:hAnsi="宋体"/>
                <w:color w:val="auto"/>
                <w:szCs w:val="21"/>
                <w:highlight w:val="none"/>
              </w:rPr>
              <w:t>运行监督、维修期限</w:t>
            </w:r>
          </w:p>
        </w:tc>
        <w:tc>
          <w:tcPr>
            <w:tcW w:w="4077" w:type="dxa"/>
            <w:tcBorders>
              <w:top w:val="single" w:color="auto" w:sz="4" w:space="0"/>
              <w:left w:val="single" w:color="auto" w:sz="4" w:space="0"/>
              <w:bottom w:val="single" w:color="auto" w:sz="4" w:space="0"/>
              <w:right w:val="single" w:color="auto" w:sz="4" w:space="0"/>
            </w:tcBorders>
            <w:noWrap/>
            <w:vAlign w:val="center"/>
          </w:tcPr>
          <w:p w14:paraId="3B98BD62">
            <w:pPr>
              <w:jc w:val="left"/>
              <w:rPr>
                <w:rFonts w:hint="eastAsia" w:ascii="宋体" w:hAnsi="宋体"/>
                <w:color w:val="auto"/>
                <w:szCs w:val="21"/>
                <w:highlight w:val="none"/>
              </w:rPr>
            </w:pPr>
            <w:r>
              <w:rPr>
                <w:rFonts w:hint="eastAsia" w:ascii="宋体" w:hAnsi="宋体"/>
                <w:color w:val="auto"/>
                <w:szCs w:val="21"/>
                <w:highlight w:val="none"/>
              </w:rPr>
              <w:t>按招标文件要求及投标文件承诺执行</w:t>
            </w:r>
          </w:p>
        </w:tc>
      </w:tr>
      <w:tr w14:paraId="17605D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66FCB58">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6D58886D">
            <w:pPr>
              <w:ind w:firstLine="420"/>
              <w:jc w:val="center"/>
              <w:rPr>
                <w:rFonts w:ascii="宋体" w:hAnsi="宋体"/>
                <w:color w:val="auto"/>
                <w:szCs w:val="21"/>
                <w:highlight w:val="none"/>
              </w:rPr>
            </w:pPr>
            <w:r>
              <w:rPr>
                <w:rFonts w:hint="eastAsia" w:ascii="宋体" w:hAnsi="宋体"/>
                <w:color w:val="auto"/>
                <w:szCs w:val="21"/>
                <w:highlight w:val="none"/>
              </w:rPr>
              <w:t>第14.1（5）项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0E56E907">
            <w:pPr>
              <w:jc w:val="left"/>
              <w:rPr>
                <w:rFonts w:ascii="宋体" w:hAnsi="宋体"/>
                <w:color w:val="auto"/>
                <w:szCs w:val="21"/>
                <w:highlight w:val="none"/>
              </w:rPr>
            </w:pPr>
            <w:r>
              <w:rPr>
                <w:rFonts w:hint="eastAsia" w:ascii="宋体" w:hAnsi="宋体"/>
                <w:color w:val="auto"/>
                <w:szCs w:val="21"/>
                <w:highlight w:val="none"/>
              </w:rPr>
              <w:t>货物回收的约定</w:t>
            </w:r>
          </w:p>
        </w:tc>
        <w:tc>
          <w:tcPr>
            <w:tcW w:w="4077" w:type="dxa"/>
            <w:tcBorders>
              <w:top w:val="single" w:color="auto" w:sz="4" w:space="0"/>
              <w:left w:val="single" w:color="auto" w:sz="4" w:space="0"/>
              <w:bottom w:val="single" w:color="auto" w:sz="4" w:space="0"/>
              <w:right w:val="single" w:color="auto" w:sz="4" w:space="0"/>
            </w:tcBorders>
            <w:noWrap/>
            <w:vAlign w:val="center"/>
          </w:tcPr>
          <w:p w14:paraId="3BAC84FD">
            <w:pPr>
              <w:jc w:val="left"/>
              <w:rPr>
                <w:rFonts w:hint="eastAsia" w:ascii="宋体" w:hAnsi="宋体"/>
                <w:color w:val="auto"/>
                <w:szCs w:val="21"/>
                <w:highlight w:val="none"/>
              </w:rPr>
            </w:pPr>
            <w:r>
              <w:rPr>
                <w:rFonts w:hint="eastAsia" w:ascii="宋体" w:hAnsi="宋体"/>
                <w:color w:val="auto"/>
                <w:szCs w:val="21"/>
                <w:highlight w:val="none"/>
              </w:rPr>
              <w:t>无</w:t>
            </w:r>
          </w:p>
        </w:tc>
      </w:tr>
      <w:tr w14:paraId="454563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5A1A0C06">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7FE7419E">
            <w:pPr>
              <w:ind w:firstLine="420"/>
              <w:jc w:val="center"/>
              <w:rPr>
                <w:rFonts w:ascii="宋体" w:hAnsi="宋体"/>
                <w:color w:val="auto"/>
                <w:szCs w:val="21"/>
                <w:highlight w:val="none"/>
              </w:rPr>
            </w:pPr>
            <w:r>
              <w:rPr>
                <w:rFonts w:hint="eastAsia" w:ascii="宋体" w:hAnsi="宋体"/>
                <w:color w:val="auto"/>
                <w:szCs w:val="21"/>
                <w:highlight w:val="none"/>
              </w:rPr>
              <w:t>第14.1（6）项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7647CF98">
            <w:pPr>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4077" w:type="dxa"/>
            <w:tcBorders>
              <w:top w:val="single" w:color="auto" w:sz="4" w:space="0"/>
              <w:left w:val="single" w:color="auto" w:sz="4" w:space="0"/>
              <w:bottom w:val="single" w:color="auto" w:sz="4" w:space="0"/>
              <w:right w:val="single" w:color="auto" w:sz="4" w:space="0"/>
            </w:tcBorders>
            <w:noWrap/>
            <w:vAlign w:val="center"/>
          </w:tcPr>
          <w:p w14:paraId="0D251E9F">
            <w:pPr>
              <w:jc w:val="left"/>
              <w:rPr>
                <w:rFonts w:ascii="宋体" w:hAnsi="宋体"/>
                <w:color w:val="auto"/>
                <w:szCs w:val="21"/>
                <w:highlight w:val="none"/>
              </w:rPr>
            </w:pPr>
            <w:r>
              <w:rPr>
                <w:rFonts w:hint="eastAsia" w:ascii="宋体" w:hAnsi="宋体"/>
                <w:color w:val="auto"/>
                <w:szCs w:val="21"/>
                <w:highlight w:val="none"/>
              </w:rPr>
              <w:t>按招标文件要求及投标文件承诺执行</w:t>
            </w:r>
          </w:p>
        </w:tc>
      </w:tr>
      <w:tr w14:paraId="78029B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74D95D69">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C4D8255">
            <w:pPr>
              <w:ind w:firstLine="420"/>
              <w:jc w:val="center"/>
              <w:rPr>
                <w:rFonts w:ascii="宋体" w:hAnsi="宋体"/>
                <w:color w:val="auto"/>
                <w:szCs w:val="21"/>
                <w:highlight w:val="none"/>
              </w:rPr>
            </w:pPr>
            <w:r>
              <w:rPr>
                <w:rFonts w:hint="eastAsia" w:ascii="宋体" w:hAnsi="宋体"/>
                <w:color w:val="auto"/>
                <w:szCs w:val="21"/>
                <w:highlight w:val="none"/>
              </w:rPr>
              <w:t>第15.1款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7055305D">
            <w:pPr>
              <w:jc w:val="left"/>
              <w:rPr>
                <w:rFonts w:ascii="宋体" w:hAnsi="宋体"/>
                <w:color w:val="auto"/>
                <w:szCs w:val="21"/>
                <w:highlight w:val="none"/>
              </w:rPr>
            </w:pPr>
            <w:r>
              <w:rPr>
                <w:rFonts w:hint="eastAsia" w:ascii="宋体" w:hAnsi="宋体"/>
                <w:color w:val="auto"/>
                <w:szCs w:val="21"/>
                <w:highlight w:val="none"/>
              </w:rPr>
              <w:t>修理、重</w:t>
            </w:r>
            <w:r>
              <w:rPr>
                <w:rFonts w:hint="eastAsia" w:ascii="宋体" w:hAnsi="宋体"/>
                <w:color w:val="auto"/>
                <w:szCs w:val="21"/>
                <w:highlight w:val="none"/>
                <w:lang w:eastAsia="zh-CN"/>
              </w:rPr>
              <w:t>做</w:t>
            </w:r>
            <w:r>
              <w:rPr>
                <w:rFonts w:hint="eastAsia" w:ascii="宋体" w:hAnsi="宋体"/>
                <w:color w:val="auto"/>
                <w:szCs w:val="21"/>
                <w:highlight w:val="none"/>
              </w:rPr>
              <w:t>、更换相关具体规定</w:t>
            </w:r>
          </w:p>
        </w:tc>
        <w:tc>
          <w:tcPr>
            <w:tcW w:w="4077" w:type="dxa"/>
            <w:tcBorders>
              <w:top w:val="single" w:color="auto" w:sz="4" w:space="0"/>
              <w:left w:val="single" w:color="auto" w:sz="4" w:space="0"/>
              <w:bottom w:val="single" w:color="auto" w:sz="4" w:space="0"/>
              <w:right w:val="single" w:color="auto" w:sz="4" w:space="0"/>
            </w:tcBorders>
            <w:noWrap/>
            <w:vAlign w:val="center"/>
          </w:tcPr>
          <w:p w14:paraId="0011CAF8">
            <w:pPr>
              <w:jc w:val="left"/>
              <w:rPr>
                <w:rFonts w:hint="eastAsia" w:ascii="宋体" w:hAnsi="宋体"/>
                <w:color w:val="auto"/>
                <w:szCs w:val="21"/>
                <w:highlight w:val="none"/>
              </w:rPr>
            </w:pPr>
            <w:r>
              <w:rPr>
                <w:rFonts w:hint="eastAsia" w:ascii="宋体" w:hAnsi="宋体"/>
                <w:color w:val="auto"/>
                <w:szCs w:val="21"/>
                <w:highlight w:val="none"/>
              </w:rPr>
              <w:t>乙方所提供的货物必须是全新、未使用过的且符合国家安全质量标准的原装的合格产品，且在正常安装、使用和保养条件下，其使用寿命期内各项指标均达到质量要求。</w:t>
            </w:r>
          </w:p>
        </w:tc>
      </w:tr>
      <w:tr w14:paraId="5BE921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0756A2A8">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2A4F973B">
            <w:pPr>
              <w:ind w:firstLine="420"/>
              <w:jc w:val="center"/>
              <w:rPr>
                <w:rFonts w:ascii="宋体" w:hAnsi="宋体"/>
                <w:color w:val="auto"/>
                <w:szCs w:val="21"/>
                <w:highlight w:val="none"/>
              </w:rPr>
            </w:pPr>
            <w:r>
              <w:rPr>
                <w:rFonts w:hint="eastAsia" w:ascii="宋体" w:hAnsi="宋体"/>
                <w:color w:val="auto"/>
                <w:szCs w:val="21"/>
                <w:highlight w:val="none"/>
              </w:rPr>
              <w:t>第15.2（2）项</w:t>
            </w:r>
          </w:p>
        </w:tc>
        <w:tc>
          <w:tcPr>
            <w:tcW w:w="2809" w:type="dxa"/>
            <w:tcBorders>
              <w:top w:val="single" w:color="auto" w:sz="4" w:space="0"/>
              <w:left w:val="single" w:color="auto" w:sz="4" w:space="0"/>
              <w:bottom w:val="single" w:color="auto" w:sz="4" w:space="0"/>
              <w:right w:val="single" w:color="auto" w:sz="4" w:space="0"/>
            </w:tcBorders>
            <w:noWrap/>
            <w:vAlign w:val="center"/>
          </w:tcPr>
          <w:p w14:paraId="38AFC2D7">
            <w:pPr>
              <w:jc w:val="left"/>
              <w:rPr>
                <w:rFonts w:ascii="宋体" w:hAnsi="宋体"/>
                <w:color w:val="auto"/>
                <w:szCs w:val="21"/>
                <w:highlight w:val="none"/>
              </w:rPr>
            </w:pPr>
            <w:r>
              <w:rPr>
                <w:rFonts w:hint="eastAsia" w:ascii="宋体" w:hAnsi="宋体"/>
                <w:color w:val="auto"/>
                <w:szCs w:val="21"/>
                <w:highlight w:val="none"/>
              </w:rPr>
              <w:t>迟延交货赔偿费</w:t>
            </w:r>
          </w:p>
        </w:tc>
        <w:tc>
          <w:tcPr>
            <w:tcW w:w="4077" w:type="dxa"/>
            <w:tcBorders>
              <w:top w:val="single" w:color="auto" w:sz="4" w:space="0"/>
              <w:left w:val="single" w:color="auto" w:sz="4" w:space="0"/>
              <w:bottom w:val="single" w:color="auto" w:sz="4" w:space="0"/>
              <w:right w:val="single" w:color="auto" w:sz="4" w:space="0"/>
            </w:tcBorders>
            <w:noWrap/>
            <w:vAlign w:val="center"/>
          </w:tcPr>
          <w:p w14:paraId="53C57D06">
            <w:pPr>
              <w:jc w:val="left"/>
              <w:rPr>
                <w:rFonts w:ascii="宋体" w:hAnsi="宋体"/>
                <w:color w:val="auto"/>
                <w:szCs w:val="21"/>
                <w:highlight w:val="none"/>
                <w:u w:val="single"/>
              </w:rPr>
            </w:pPr>
            <w:r>
              <w:rPr>
                <w:rFonts w:hint="eastAsia" w:ascii="宋体" w:hAnsi="宋体"/>
                <w:color w:val="auto"/>
                <w:szCs w:val="21"/>
                <w:highlight w:val="none"/>
                <w:u w:val="single"/>
              </w:rPr>
              <w:t>乙方所提供的货物规格、技术标准、材料等质量不合格的，应在10日内及时更换，更换超过15天的按逾期交货处罚；因质量问题甲方不同意接收的或特殊情况甲方同意接收的，乙方应向甲方支付违约货款额5%违约金并赔偿甲方经济损失。乙方向甲方交付不合格的货物及相关资料超过1次的，甲方有权解除合同并追究乙方的违约责任及要求赔偿损失。</w:t>
            </w:r>
          </w:p>
        </w:tc>
      </w:tr>
      <w:tr w14:paraId="5B8D1C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6047D88">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54E717DA">
            <w:pPr>
              <w:ind w:firstLine="420"/>
              <w:jc w:val="center"/>
              <w:rPr>
                <w:rFonts w:ascii="宋体" w:hAnsi="宋体"/>
                <w:color w:val="auto"/>
                <w:szCs w:val="21"/>
                <w:highlight w:val="none"/>
              </w:rPr>
            </w:pPr>
            <w:r>
              <w:rPr>
                <w:rFonts w:hint="eastAsia" w:ascii="宋体" w:hAnsi="宋体"/>
                <w:color w:val="auto"/>
                <w:szCs w:val="21"/>
                <w:highlight w:val="none"/>
              </w:rPr>
              <w:t>第15.3款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DB8E7DE">
            <w:pPr>
              <w:jc w:val="left"/>
              <w:rPr>
                <w:rFonts w:ascii="宋体" w:hAnsi="宋体"/>
                <w:color w:val="auto"/>
                <w:szCs w:val="21"/>
                <w:highlight w:val="none"/>
              </w:rPr>
            </w:pPr>
            <w:r>
              <w:rPr>
                <w:rFonts w:hint="eastAsia" w:ascii="宋体" w:hAnsi="宋体"/>
                <w:color w:val="auto"/>
                <w:szCs w:val="21"/>
                <w:highlight w:val="none"/>
              </w:rPr>
              <w:t>逾期付款利息</w:t>
            </w:r>
          </w:p>
        </w:tc>
        <w:tc>
          <w:tcPr>
            <w:tcW w:w="4077" w:type="dxa"/>
            <w:tcBorders>
              <w:top w:val="single" w:color="auto" w:sz="4" w:space="0"/>
              <w:left w:val="single" w:color="auto" w:sz="4" w:space="0"/>
              <w:bottom w:val="single" w:color="auto" w:sz="4" w:space="0"/>
              <w:right w:val="single" w:color="auto" w:sz="4" w:space="0"/>
            </w:tcBorders>
            <w:noWrap/>
            <w:vAlign w:val="center"/>
          </w:tcPr>
          <w:p w14:paraId="5CC5E8E5">
            <w:pPr>
              <w:jc w:val="left"/>
              <w:rPr>
                <w:rFonts w:hint="eastAsia" w:ascii="宋体" w:hAnsi="宋体"/>
                <w:color w:val="auto"/>
                <w:szCs w:val="21"/>
                <w:highlight w:val="none"/>
                <w:u w:val="single"/>
              </w:rPr>
            </w:pPr>
            <w:r>
              <w:rPr>
                <w:rFonts w:hint="eastAsia" w:ascii="宋体" w:hAnsi="宋体"/>
                <w:color w:val="auto"/>
                <w:szCs w:val="21"/>
                <w:highlight w:val="none"/>
                <w:u w:val="single"/>
              </w:rPr>
              <w:t>无</w:t>
            </w:r>
          </w:p>
        </w:tc>
      </w:tr>
      <w:tr w14:paraId="05FA6A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0CBD370C">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00C160DA">
            <w:pPr>
              <w:ind w:firstLine="420"/>
              <w:jc w:val="center"/>
              <w:rPr>
                <w:rFonts w:ascii="宋体" w:hAnsi="宋体"/>
                <w:color w:val="auto"/>
                <w:szCs w:val="21"/>
                <w:highlight w:val="none"/>
              </w:rPr>
            </w:pPr>
            <w:r>
              <w:rPr>
                <w:rFonts w:hint="eastAsia" w:ascii="宋体" w:hAnsi="宋体"/>
                <w:color w:val="auto"/>
                <w:szCs w:val="21"/>
                <w:highlight w:val="none"/>
              </w:rPr>
              <w:t>第15.4款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5F359EC7">
            <w:pPr>
              <w:jc w:val="left"/>
              <w:rPr>
                <w:rFonts w:ascii="宋体" w:hAnsi="宋体"/>
                <w:color w:val="auto"/>
                <w:szCs w:val="21"/>
                <w:highlight w:val="none"/>
              </w:rPr>
            </w:pPr>
            <w:r>
              <w:rPr>
                <w:rFonts w:hint="eastAsia" w:ascii="宋体" w:hAnsi="宋体"/>
                <w:color w:val="auto"/>
                <w:szCs w:val="21"/>
                <w:highlight w:val="none"/>
              </w:rPr>
              <w:t>其他违约责任</w:t>
            </w:r>
          </w:p>
        </w:tc>
        <w:tc>
          <w:tcPr>
            <w:tcW w:w="4077" w:type="dxa"/>
            <w:tcBorders>
              <w:top w:val="single" w:color="auto" w:sz="4" w:space="0"/>
              <w:left w:val="single" w:color="auto" w:sz="4" w:space="0"/>
              <w:bottom w:val="single" w:color="auto" w:sz="4" w:space="0"/>
              <w:right w:val="single" w:color="auto" w:sz="4" w:space="0"/>
            </w:tcBorders>
            <w:noWrap/>
            <w:vAlign w:val="center"/>
          </w:tcPr>
          <w:p w14:paraId="0E4C490D">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1．乙方所提供的货物规格、技术标准、材料等质量不合格的，应在10日内及时更换，更换超过15天的按逾期交货处罚；因质量问题甲方不同意接收的或特殊情况甲方同意接收的，乙方应向甲方支付违约货款额5%违约金并赔偿甲方经济损失。乙方向甲方交付不合格的货物及相关资料超过1次的，甲方有权解除合同并追究乙方的违约责任及要求赔偿损失。</w:t>
            </w:r>
          </w:p>
          <w:p w14:paraId="062762C8">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2．乙方提供的货物如侵犯了第三方合法权益而引发的任何纠纷或诉讼，均由乙方负责交涉并承担全部责任。</w:t>
            </w:r>
          </w:p>
          <w:p w14:paraId="0B71B773">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3．因包装、运输引起的货物损坏，按质量不合格处理。</w:t>
            </w:r>
          </w:p>
          <w:p w14:paraId="1073322F">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 xml:space="preserve">4．甲方无故延期接收货物、乙方逾期交货的，每天向对方偿付违约货款额3‰违约金，但违约金累计不得超过违约货款额 5% ，超过30天对方有权解除合同，违约方承担因此给对方造成的经济损失，甲方延期付货款的，每天向乙方偿付延期货款额 3‰ </w:t>
            </w:r>
            <w:r>
              <w:rPr>
                <w:rFonts w:hint="eastAsia" w:ascii="宋体" w:hAnsi="宋体"/>
                <w:color w:val="auto"/>
                <w:szCs w:val="21"/>
                <w:highlight w:val="none"/>
                <w:u w:val="single"/>
                <w:lang w:eastAsia="zh-CN"/>
              </w:rPr>
              <w:t>违约</w:t>
            </w:r>
            <w:r>
              <w:rPr>
                <w:rFonts w:hint="eastAsia" w:ascii="宋体" w:hAnsi="宋体"/>
                <w:color w:val="auto"/>
                <w:szCs w:val="21"/>
                <w:highlight w:val="none"/>
                <w:u w:val="single"/>
              </w:rPr>
              <w:t>金，但</w:t>
            </w:r>
            <w:r>
              <w:rPr>
                <w:rFonts w:hint="eastAsia" w:ascii="宋体" w:hAnsi="宋体"/>
                <w:color w:val="auto"/>
                <w:szCs w:val="21"/>
                <w:highlight w:val="none"/>
                <w:u w:val="single"/>
                <w:lang w:eastAsia="zh-CN"/>
              </w:rPr>
              <w:t>违约</w:t>
            </w:r>
            <w:r>
              <w:rPr>
                <w:rFonts w:hint="eastAsia" w:ascii="宋体" w:hAnsi="宋体"/>
                <w:color w:val="auto"/>
                <w:szCs w:val="21"/>
                <w:highlight w:val="none"/>
                <w:u w:val="single"/>
              </w:rPr>
              <w:t>金累计不得超过延期货款额 5% 。</w:t>
            </w:r>
          </w:p>
          <w:p w14:paraId="58932A89">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5．乙方未按本合同和投标文件中规定的服务承诺提供售后服务的，乙方应每次向甲方支付违约金壹万元。</w:t>
            </w:r>
          </w:p>
          <w:p w14:paraId="6EE7636B">
            <w:pPr>
              <w:ind w:firstLine="420"/>
              <w:jc w:val="left"/>
              <w:rPr>
                <w:rFonts w:hint="eastAsia" w:ascii="宋体" w:hAnsi="宋体"/>
                <w:color w:val="auto"/>
                <w:szCs w:val="21"/>
                <w:highlight w:val="none"/>
                <w:u w:val="single"/>
              </w:rPr>
            </w:pPr>
            <w:r>
              <w:rPr>
                <w:rFonts w:hint="eastAsia" w:ascii="宋体" w:hAnsi="宋体"/>
                <w:color w:val="auto"/>
                <w:szCs w:val="21"/>
                <w:highlight w:val="none"/>
                <w:u w:val="single"/>
              </w:rPr>
              <w:t>6．乙方提供的货物在质量保证期内，因设计、工艺或材料的缺陷和其它质量原因造成的问题，由乙方负责，费用从合同尾款中扣除，不足另补。</w:t>
            </w:r>
          </w:p>
          <w:p w14:paraId="3B108383">
            <w:pPr>
              <w:ind w:firstLine="420"/>
              <w:jc w:val="left"/>
              <w:rPr>
                <w:rFonts w:ascii="宋体" w:hAnsi="宋体"/>
                <w:color w:val="auto"/>
                <w:szCs w:val="21"/>
                <w:highlight w:val="none"/>
                <w:u w:val="single"/>
              </w:rPr>
            </w:pPr>
            <w:r>
              <w:rPr>
                <w:rFonts w:hint="eastAsia" w:ascii="宋体" w:hAnsi="宋体"/>
                <w:color w:val="auto"/>
                <w:szCs w:val="21"/>
                <w:highlight w:val="none"/>
                <w:u w:val="single"/>
              </w:rPr>
              <w:t>7．其它违约行为按违约货款额5%收取违约金并赔偿经济损失。</w:t>
            </w:r>
          </w:p>
        </w:tc>
      </w:tr>
      <w:tr w14:paraId="6EEB11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A3A4B7C">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37FFA706">
            <w:pPr>
              <w:ind w:firstLine="420"/>
              <w:jc w:val="center"/>
              <w:rPr>
                <w:rFonts w:ascii="宋体" w:hAnsi="宋体"/>
                <w:color w:val="auto"/>
                <w:szCs w:val="21"/>
                <w:highlight w:val="none"/>
              </w:rPr>
            </w:pPr>
            <w:r>
              <w:rPr>
                <w:rFonts w:hint="eastAsia" w:ascii="宋体" w:hAnsi="宋体"/>
                <w:color w:val="auto"/>
                <w:szCs w:val="21"/>
                <w:highlight w:val="none"/>
              </w:rPr>
              <w:t>第19.2款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03A5FE46">
            <w:pPr>
              <w:jc w:val="left"/>
              <w:rPr>
                <w:rFonts w:ascii="宋体" w:hAnsi="宋体"/>
                <w:color w:val="auto"/>
                <w:szCs w:val="21"/>
                <w:highlight w:val="none"/>
              </w:rPr>
            </w:pPr>
            <w:r>
              <w:rPr>
                <w:rFonts w:hint="eastAsia" w:ascii="宋体" w:hAnsi="宋体"/>
                <w:color w:val="auto"/>
                <w:szCs w:val="21"/>
                <w:highlight w:val="none"/>
              </w:rPr>
              <w:t>解决争议的方法</w:t>
            </w:r>
          </w:p>
        </w:tc>
        <w:tc>
          <w:tcPr>
            <w:tcW w:w="4077" w:type="dxa"/>
            <w:tcBorders>
              <w:top w:val="single" w:color="auto" w:sz="4" w:space="0"/>
              <w:left w:val="single" w:color="auto" w:sz="4" w:space="0"/>
              <w:bottom w:val="single" w:color="auto" w:sz="4" w:space="0"/>
              <w:right w:val="single" w:color="auto" w:sz="4" w:space="0"/>
            </w:tcBorders>
            <w:noWrap/>
            <w:vAlign w:val="center"/>
          </w:tcPr>
          <w:p w14:paraId="7D1A903F">
            <w:pPr>
              <w:spacing w:line="400" w:lineRule="exact"/>
              <w:ind w:firstLine="420"/>
              <w:jc w:val="left"/>
              <w:rPr>
                <w:rFonts w:ascii="宋体" w:hAnsi="宋体" w:cs="宋体"/>
                <w:iCs/>
                <w:color w:val="auto"/>
                <w:szCs w:val="21"/>
                <w:highlight w:val="none"/>
              </w:rPr>
            </w:pPr>
            <w:r>
              <w:rPr>
                <w:rFonts w:hint="eastAsia" w:ascii="宋体" w:hAnsi="宋体" w:cs="宋体"/>
                <w:iCs/>
                <w:color w:val="auto"/>
                <w:szCs w:val="21"/>
                <w:highlight w:val="none"/>
              </w:rPr>
              <w:t>因本合同及合同有关事项发生的争议，按下列第</w:t>
            </w:r>
            <w:r>
              <w:rPr>
                <w:rFonts w:hint="eastAsia" w:ascii="宋体" w:hAnsi="宋体" w:cs="宋体"/>
                <w:iCs/>
                <w:color w:val="auto"/>
                <w:szCs w:val="21"/>
                <w:highlight w:val="none"/>
                <w:u w:val="single"/>
                <w:lang w:val="en-US" w:eastAsia="zh-CN"/>
              </w:rPr>
              <w:t xml:space="preserve"> （2）</w:t>
            </w:r>
            <w:r>
              <w:rPr>
                <w:rFonts w:hint="eastAsia" w:ascii="宋体" w:hAnsi="宋体" w:cs="宋体"/>
                <w:iCs/>
                <w:color w:val="auto"/>
                <w:szCs w:val="21"/>
                <w:highlight w:val="none"/>
              </w:rPr>
              <w:t>种方式解决：</w:t>
            </w:r>
          </w:p>
          <w:p w14:paraId="642624A7">
            <w:pPr>
              <w:spacing w:line="400" w:lineRule="exact"/>
              <w:ind w:firstLine="420"/>
              <w:jc w:val="left"/>
              <w:rPr>
                <w:rFonts w:ascii="宋体" w:hAnsi="宋体" w:cs="宋体"/>
                <w:iCs/>
                <w:color w:val="auto"/>
                <w:szCs w:val="21"/>
                <w:highlight w:val="none"/>
              </w:rPr>
            </w:pPr>
            <w:r>
              <w:rPr>
                <w:rFonts w:hint="eastAsia" w:ascii="宋体" w:hAnsi="宋体" w:cs="宋体"/>
                <w:iCs/>
                <w:color w:val="auto"/>
                <w:szCs w:val="21"/>
                <w:highlight w:val="none"/>
              </w:rPr>
              <w:t>（1）向</w:t>
            </w:r>
            <w:r>
              <w:rPr>
                <w:rFonts w:hint="eastAsia" w:ascii="宋体" w:hAnsi="宋体" w:cs="宋体"/>
                <w:iCs/>
                <w:color w:val="auto"/>
                <w:szCs w:val="21"/>
                <w:highlight w:val="none"/>
                <w:u w:val="single"/>
                <w:lang w:val="en-US" w:eastAsia="zh-CN"/>
              </w:rPr>
              <w:t xml:space="preserve">    </w:t>
            </w:r>
            <w:r>
              <w:rPr>
                <w:rFonts w:hint="eastAsia" w:ascii="宋体" w:hAnsi="宋体" w:cs="宋体"/>
                <w:iCs/>
                <w:color w:val="auto"/>
                <w:szCs w:val="21"/>
                <w:highlight w:val="none"/>
              </w:rPr>
              <w:t>仲裁委员会申请仲裁，仲裁地点为</w:t>
            </w:r>
            <w:r>
              <w:rPr>
                <w:rFonts w:hint="eastAsia" w:ascii="宋体" w:hAnsi="宋体" w:cs="宋体"/>
                <w:iCs/>
                <w:color w:val="auto"/>
                <w:szCs w:val="21"/>
                <w:highlight w:val="none"/>
                <w:u w:val="single"/>
                <w:lang w:val="en-US" w:eastAsia="zh-CN"/>
              </w:rPr>
              <w:t xml:space="preserve">        </w:t>
            </w:r>
            <w:r>
              <w:rPr>
                <w:rFonts w:hint="eastAsia" w:ascii="宋体" w:hAnsi="宋体" w:cs="宋体"/>
                <w:iCs/>
                <w:color w:val="auto"/>
                <w:szCs w:val="21"/>
                <w:highlight w:val="none"/>
              </w:rPr>
              <w:t>；</w:t>
            </w:r>
          </w:p>
          <w:p w14:paraId="28E4EA0A">
            <w:pPr>
              <w:ind w:firstLine="420"/>
              <w:jc w:val="left"/>
              <w:rPr>
                <w:rFonts w:ascii="宋体" w:hAnsi="宋体"/>
                <w:color w:val="auto"/>
                <w:szCs w:val="21"/>
                <w:highlight w:val="none"/>
                <w:u w:val="single"/>
              </w:rPr>
            </w:pPr>
            <w:r>
              <w:rPr>
                <w:rFonts w:hint="eastAsia" w:ascii="宋体" w:hAnsi="宋体" w:cs="宋体"/>
                <w:iCs/>
                <w:color w:val="auto"/>
                <w:szCs w:val="21"/>
                <w:highlight w:val="none"/>
              </w:rPr>
              <w:t>（2）向</w:t>
            </w:r>
            <w:r>
              <w:rPr>
                <w:rFonts w:hint="eastAsia" w:ascii="宋体" w:hAnsi="宋体" w:cs="宋体"/>
                <w:iCs/>
                <w:color w:val="auto"/>
                <w:szCs w:val="21"/>
                <w:highlight w:val="none"/>
                <w:u w:val="single"/>
                <w:lang w:val="en-US" w:eastAsia="zh-CN"/>
              </w:rPr>
              <w:t>甲方所在地</w:t>
            </w:r>
            <w:r>
              <w:rPr>
                <w:rFonts w:hint="eastAsia" w:ascii="宋体" w:hAnsi="宋体" w:cs="宋体"/>
                <w:iCs/>
                <w:color w:val="auto"/>
                <w:szCs w:val="21"/>
                <w:highlight w:val="none"/>
              </w:rPr>
              <w:t>人民法院起诉。</w:t>
            </w:r>
          </w:p>
        </w:tc>
      </w:tr>
      <w:tr w14:paraId="57F675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1C13EA01">
            <w:pPr>
              <w:ind w:firstLine="420"/>
              <w:jc w:val="center"/>
              <w:rPr>
                <w:rFonts w:ascii="宋体" w:hAnsi="宋体"/>
                <w:color w:val="auto"/>
                <w:szCs w:val="21"/>
                <w:highlight w:val="none"/>
              </w:rPr>
            </w:pPr>
            <w:r>
              <w:rPr>
                <w:rFonts w:hint="eastAsia" w:ascii="宋体" w:hAnsi="宋体"/>
                <w:color w:val="auto"/>
                <w:szCs w:val="21"/>
                <w:highlight w:val="none"/>
              </w:rPr>
              <w:t>第二节</w:t>
            </w:r>
          </w:p>
          <w:p w14:paraId="4FA563B9">
            <w:pPr>
              <w:ind w:firstLine="420"/>
              <w:jc w:val="center"/>
              <w:rPr>
                <w:rFonts w:ascii="宋体" w:hAnsi="宋体"/>
                <w:color w:val="auto"/>
                <w:szCs w:val="21"/>
                <w:highlight w:val="none"/>
              </w:rPr>
            </w:pPr>
            <w:r>
              <w:rPr>
                <w:rFonts w:hint="eastAsia" w:ascii="宋体" w:hAnsi="宋体"/>
                <w:color w:val="auto"/>
                <w:szCs w:val="21"/>
                <w:highlight w:val="none"/>
              </w:rPr>
              <w:t>第23.1款</w:t>
            </w:r>
          </w:p>
        </w:tc>
        <w:tc>
          <w:tcPr>
            <w:tcW w:w="2809" w:type="dxa"/>
            <w:tcBorders>
              <w:top w:val="single" w:color="auto" w:sz="4" w:space="0"/>
              <w:left w:val="single" w:color="auto" w:sz="4" w:space="0"/>
              <w:bottom w:val="single" w:color="auto" w:sz="4" w:space="0"/>
              <w:right w:val="single" w:color="auto" w:sz="4" w:space="0"/>
            </w:tcBorders>
            <w:noWrap/>
            <w:vAlign w:val="center"/>
          </w:tcPr>
          <w:p w14:paraId="710C215F">
            <w:pPr>
              <w:jc w:val="left"/>
              <w:rPr>
                <w:rFonts w:ascii="宋体" w:hAnsi="宋体"/>
                <w:color w:val="auto"/>
                <w:szCs w:val="21"/>
                <w:highlight w:val="none"/>
              </w:rPr>
            </w:pPr>
            <w:r>
              <w:rPr>
                <w:rFonts w:hint="eastAsia" w:ascii="宋体" w:hAnsi="宋体"/>
                <w:bCs/>
                <w:color w:val="auto"/>
                <w:szCs w:val="21"/>
                <w:highlight w:val="none"/>
              </w:rPr>
              <w:t>其他专用条款</w:t>
            </w:r>
          </w:p>
        </w:tc>
        <w:tc>
          <w:tcPr>
            <w:tcW w:w="4077" w:type="dxa"/>
            <w:tcBorders>
              <w:top w:val="single" w:color="auto" w:sz="4" w:space="0"/>
              <w:left w:val="single" w:color="auto" w:sz="4" w:space="0"/>
              <w:bottom w:val="single" w:color="auto" w:sz="4" w:space="0"/>
              <w:right w:val="single" w:color="auto" w:sz="4" w:space="0"/>
            </w:tcBorders>
            <w:noWrap/>
            <w:vAlign w:val="center"/>
          </w:tcPr>
          <w:p w14:paraId="509635FB">
            <w:pPr>
              <w:jc w:val="left"/>
              <w:rPr>
                <w:rFonts w:hint="eastAsia" w:ascii="宋体" w:hAnsi="宋体"/>
                <w:color w:val="auto"/>
                <w:szCs w:val="21"/>
                <w:highlight w:val="none"/>
              </w:rPr>
            </w:pPr>
            <w:r>
              <w:rPr>
                <w:rFonts w:hint="eastAsia" w:ascii="宋体" w:hAnsi="宋体"/>
                <w:color w:val="auto"/>
                <w:szCs w:val="21"/>
                <w:highlight w:val="none"/>
              </w:rPr>
              <w:t>具体以合同签订时约定为准</w:t>
            </w:r>
          </w:p>
        </w:tc>
      </w:tr>
      <w:tr w14:paraId="28808B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2C528D6B">
            <w:pPr>
              <w:ind w:firstLine="630"/>
              <w:jc w:val="left"/>
              <w:rPr>
                <w:rFonts w:hint="eastAsia" w:ascii="宋体" w:hAnsi="宋体"/>
                <w:bCs/>
                <w:color w:val="auto"/>
                <w:szCs w:val="21"/>
                <w:highlight w:val="none"/>
              </w:rPr>
            </w:pPr>
            <w:r>
              <w:rPr>
                <w:rFonts w:hint="eastAsia" w:ascii="宋体" w:hAnsi="宋体"/>
                <w:bCs/>
                <w:color w:val="auto"/>
                <w:szCs w:val="21"/>
                <w:highlight w:val="none"/>
              </w:rPr>
              <w:t>安装和培训</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24A64676">
            <w:pPr>
              <w:ind w:firstLine="420"/>
              <w:jc w:val="left"/>
              <w:rPr>
                <w:rFonts w:hint="eastAsia" w:ascii="宋体" w:hAnsi="宋体"/>
                <w:color w:val="auto"/>
                <w:szCs w:val="21"/>
                <w:highlight w:val="none"/>
              </w:rPr>
            </w:pPr>
            <w:r>
              <w:rPr>
                <w:rFonts w:hint="eastAsia" w:ascii="宋体" w:hAnsi="宋体"/>
                <w:color w:val="auto"/>
                <w:szCs w:val="21"/>
                <w:highlight w:val="none"/>
              </w:rPr>
              <w:t>1.甲方应提供必要安装条件（如场地、电源、水源等）。</w:t>
            </w:r>
          </w:p>
          <w:p w14:paraId="0AC8C3C8">
            <w:pPr>
              <w:ind w:firstLine="420"/>
              <w:jc w:val="left"/>
              <w:rPr>
                <w:rFonts w:hint="eastAsia" w:ascii="宋体" w:hAnsi="宋体"/>
                <w:color w:val="auto"/>
                <w:szCs w:val="21"/>
                <w:highlight w:val="none"/>
              </w:rPr>
            </w:pPr>
            <w:r>
              <w:rPr>
                <w:rFonts w:hint="eastAsia" w:ascii="宋体" w:hAnsi="宋体"/>
                <w:color w:val="auto"/>
                <w:szCs w:val="21"/>
                <w:highlight w:val="none"/>
              </w:rPr>
              <w:t>2.乙方负责甲方有关人员的培训。培训时间、地点： 由甲方决定。</w:t>
            </w:r>
          </w:p>
          <w:p w14:paraId="337D24BF">
            <w:pPr>
              <w:ind w:firstLine="420"/>
              <w:jc w:val="left"/>
              <w:rPr>
                <w:rFonts w:hint="eastAsia" w:ascii="宋体" w:hAnsi="宋体"/>
                <w:color w:val="auto"/>
                <w:szCs w:val="21"/>
                <w:highlight w:val="none"/>
              </w:rPr>
            </w:pPr>
            <w:r>
              <w:rPr>
                <w:rFonts w:hint="eastAsia" w:ascii="宋体" w:hAnsi="宋体"/>
                <w:color w:val="auto"/>
                <w:szCs w:val="21"/>
                <w:highlight w:val="none"/>
              </w:rPr>
              <w:t>3.设备安装过程出现的任何意外、人身安全问题等均由供货商及厂家自行负责。</w:t>
            </w:r>
          </w:p>
        </w:tc>
      </w:tr>
      <w:tr w14:paraId="0411CD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A52E852">
            <w:pPr>
              <w:jc w:val="center"/>
              <w:rPr>
                <w:rFonts w:hint="eastAsia" w:ascii="宋体" w:hAnsi="宋体"/>
                <w:color w:val="auto"/>
                <w:szCs w:val="21"/>
                <w:highlight w:val="none"/>
              </w:rPr>
            </w:pPr>
            <w:r>
              <w:rPr>
                <w:rFonts w:hint="eastAsia" w:ascii="宋体" w:hAnsi="宋体"/>
                <w:color w:val="auto"/>
                <w:szCs w:val="21"/>
                <w:highlight w:val="none"/>
              </w:rPr>
              <w:t>调试和验收</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0D87E223">
            <w:pPr>
              <w:ind w:firstLine="420"/>
              <w:jc w:val="left"/>
              <w:rPr>
                <w:rFonts w:hint="eastAsia" w:ascii="宋体" w:hAnsi="宋体"/>
                <w:color w:val="auto"/>
                <w:szCs w:val="21"/>
                <w:highlight w:val="none"/>
              </w:rPr>
            </w:pPr>
            <w:r>
              <w:rPr>
                <w:rFonts w:hint="eastAsia" w:ascii="宋体" w:hAnsi="宋体"/>
                <w:color w:val="auto"/>
                <w:szCs w:val="21"/>
                <w:highlight w:val="none"/>
              </w:rPr>
              <w:t>1. 交货时，所有产品均严格按签订的采购合同、投标人响应和承诺的技术参数及性能和国家有关标准进行验收，达不到要求的不予验收。</w:t>
            </w:r>
          </w:p>
          <w:p w14:paraId="4765ADAD">
            <w:pPr>
              <w:ind w:firstLine="420"/>
              <w:jc w:val="left"/>
              <w:rPr>
                <w:rFonts w:hint="eastAsia" w:ascii="宋体" w:hAnsi="宋体"/>
                <w:color w:val="auto"/>
                <w:szCs w:val="21"/>
                <w:highlight w:val="none"/>
              </w:rPr>
            </w:pPr>
            <w:r>
              <w:rPr>
                <w:rFonts w:hint="eastAsia" w:ascii="宋体" w:hAnsi="宋体"/>
                <w:color w:val="auto"/>
                <w:szCs w:val="21"/>
                <w:highlight w:val="none"/>
              </w:rPr>
              <w:t>2．乙方应提供完备的技术或服务资料、装箱单和合格证等，并派遣专业人员进行现场安装调试。验收合格条件如下：</w:t>
            </w:r>
          </w:p>
          <w:p w14:paraId="1351061C">
            <w:pPr>
              <w:ind w:firstLine="420"/>
              <w:jc w:val="left"/>
              <w:rPr>
                <w:rFonts w:hint="eastAsia" w:ascii="宋体" w:hAnsi="宋体"/>
                <w:color w:val="auto"/>
                <w:szCs w:val="21"/>
                <w:highlight w:val="none"/>
              </w:rPr>
            </w:pPr>
            <w:r>
              <w:rPr>
                <w:rFonts w:hint="eastAsia" w:ascii="宋体" w:hAnsi="宋体"/>
                <w:color w:val="auto"/>
                <w:szCs w:val="21"/>
                <w:highlight w:val="none"/>
              </w:rPr>
              <w:t>（1）乙方需承担供货时产品质量抽样检测的相关费用以及项目验收时发生的一切费用；验收标准应符合中国有关的国家、地方、行业标准。</w:t>
            </w:r>
          </w:p>
          <w:p w14:paraId="39FF9899">
            <w:pPr>
              <w:ind w:firstLine="420"/>
              <w:jc w:val="left"/>
              <w:rPr>
                <w:rFonts w:hint="eastAsia" w:ascii="宋体" w:hAnsi="宋体"/>
                <w:color w:val="auto"/>
                <w:szCs w:val="21"/>
                <w:highlight w:val="none"/>
              </w:rPr>
            </w:pPr>
            <w:r>
              <w:rPr>
                <w:rFonts w:hint="eastAsia" w:ascii="宋体" w:hAnsi="宋体"/>
                <w:color w:val="auto"/>
                <w:szCs w:val="21"/>
                <w:highlight w:val="none"/>
              </w:rPr>
              <w:t>（2）当项目完成供货和集成调试后，由乙方向甲方提出项目竣工测试申请，并于验收前向甲方提供一切有关技术文件、资料、图纸和相关记录等竣工材料，并在竣工前7个工作日</w:t>
            </w:r>
            <w:r>
              <w:rPr>
                <w:rFonts w:hint="eastAsia" w:ascii="宋体" w:hAnsi="宋体"/>
                <w:color w:val="auto"/>
                <w:szCs w:val="21"/>
                <w:highlight w:val="none"/>
                <w:lang w:eastAsia="zh-CN"/>
              </w:rPr>
              <w:t>内</w:t>
            </w:r>
            <w:r>
              <w:rPr>
                <w:rFonts w:hint="eastAsia" w:ascii="宋体" w:hAnsi="宋体"/>
                <w:color w:val="auto"/>
                <w:szCs w:val="21"/>
                <w:highlight w:val="none"/>
              </w:rPr>
              <w:t>通知甲方及有关部门准备验收。拟竣工项目的实施总体功能、性能符合甲方认可的技术设计方案及合同规定的，予以验收，并作出验收结果报告。甲乙双方签署项目终验验收证书，并自正式交付使用之日起，整体项目才视为接收，并开始计算质保期。</w:t>
            </w:r>
          </w:p>
        </w:tc>
      </w:tr>
      <w:tr w14:paraId="011FFA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345A9C18">
            <w:pPr>
              <w:jc w:val="center"/>
              <w:rPr>
                <w:rFonts w:hint="eastAsia" w:ascii="宋体" w:hAnsi="宋体"/>
                <w:color w:val="auto"/>
                <w:szCs w:val="21"/>
                <w:highlight w:val="none"/>
              </w:rPr>
            </w:pPr>
            <w:r>
              <w:rPr>
                <w:rFonts w:hint="eastAsia" w:ascii="宋体" w:hAnsi="宋体"/>
                <w:color w:val="auto"/>
                <w:szCs w:val="21"/>
                <w:highlight w:val="none"/>
              </w:rPr>
              <w:t>质量保证及售后服务</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67BC5988">
            <w:pPr>
              <w:ind w:firstLine="420"/>
              <w:jc w:val="left"/>
              <w:rPr>
                <w:rFonts w:hint="eastAsia" w:ascii="宋体" w:hAnsi="宋体"/>
                <w:color w:val="auto"/>
                <w:szCs w:val="21"/>
                <w:highlight w:val="none"/>
              </w:rPr>
            </w:pPr>
            <w:r>
              <w:rPr>
                <w:rFonts w:hint="eastAsia" w:ascii="宋体" w:hAnsi="宋体"/>
                <w:color w:val="auto"/>
                <w:szCs w:val="21"/>
                <w:highlight w:val="none"/>
              </w:rPr>
              <w:t>1. 乙方应按招标文件规定的货物性能、技术要求、质量标准向甲方提供未经使用的全新产品。乙方提供货物的质量保证期按交货验收合格之日起计（期限见《项目采购需求》中各分标的要求）。在保证期内因货物本身的质量问题发生故障，乙方应负责免费修理和更换零部件。对达不到技术要求者，根据实际情况，经双方协商，可按以下办法处理：</w:t>
            </w:r>
          </w:p>
          <w:p w14:paraId="563DD234">
            <w:pPr>
              <w:ind w:firstLine="420"/>
              <w:jc w:val="left"/>
              <w:rPr>
                <w:rFonts w:hint="eastAsia" w:ascii="宋体" w:hAnsi="宋体"/>
                <w:color w:val="auto"/>
                <w:szCs w:val="21"/>
                <w:highlight w:val="none"/>
              </w:rPr>
            </w:pPr>
            <w:r>
              <w:rPr>
                <w:rFonts w:hint="eastAsia" w:ascii="宋体" w:hAnsi="宋体"/>
                <w:color w:val="auto"/>
                <w:szCs w:val="21"/>
                <w:highlight w:val="none"/>
              </w:rPr>
              <w:t>（1）更换：由乙方承担所发生的全部费用。</w:t>
            </w:r>
          </w:p>
          <w:p w14:paraId="555ABE46">
            <w:pPr>
              <w:ind w:firstLine="420"/>
              <w:jc w:val="left"/>
              <w:rPr>
                <w:rFonts w:hint="eastAsia" w:ascii="宋体" w:hAnsi="宋体"/>
                <w:color w:val="auto"/>
                <w:szCs w:val="21"/>
                <w:highlight w:val="none"/>
              </w:rPr>
            </w:pPr>
            <w:r>
              <w:rPr>
                <w:rFonts w:hint="eastAsia" w:ascii="宋体" w:hAnsi="宋体"/>
                <w:color w:val="auto"/>
                <w:szCs w:val="21"/>
                <w:highlight w:val="none"/>
              </w:rPr>
              <w:t>（2）贬值处理：由甲乙双方合议定价。</w:t>
            </w:r>
          </w:p>
          <w:p w14:paraId="6B05936D">
            <w:pPr>
              <w:ind w:firstLine="420"/>
              <w:jc w:val="left"/>
              <w:rPr>
                <w:rFonts w:hint="eastAsia" w:ascii="宋体" w:hAnsi="宋体"/>
                <w:color w:val="auto"/>
                <w:szCs w:val="21"/>
                <w:highlight w:val="none"/>
              </w:rPr>
            </w:pPr>
            <w:r>
              <w:rPr>
                <w:rFonts w:hint="eastAsia" w:ascii="宋体" w:hAnsi="宋体"/>
                <w:color w:val="auto"/>
                <w:szCs w:val="21"/>
                <w:highlight w:val="none"/>
              </w:rPr>
              <w:t>（3）退货处理：乙方应退还甲方支付的合同款，同时应承担该货物的直接费用（运输、保险、检验、货款利息及银行手续费等）。</w:t>
            </w:r>
          </w:p>
          <w:p w14:paraId="03D79D81">
            <w:pPr>
              <w:ind w:firstLine="420"/>
              <w:jc w:val="left"/>
              <w:rPr>
                <w:rFonts w:hint="eastAsia" w:ascii="宋体" w:hAnsi="宋体"/>
                <w:color w:val="auto"/>
                <w:szCs w:val="21"/>
                <w:highlight w:val="none"/>
              </w:rPr>
            </w:pPr>
            <w:r>
              <w:rPr>
                <w:rFonts w:hint="eastAsia" w:ascii="宋体" w:hAnsi="宋体"/>
                <w:color w:val="auto"/>
                <w:szCs w:val="21"/>
                <w:highlight w:val="none"/>
              </w:rPr>
              <w:t>2. 质保期：质保期自验收合格之日起</w:t>
            </w:r>
            <w:r>
              <w:rPr>
                <w:rFonts w:hint="eastAsia" w:ascii="宋体" w:hAnsi="宋体"/>
                <w:color w:val="auto"/>
                <w:szCs w:val="21"/>
                <w:highlight w:val="none"/>
                <w:u w:val="single"/>
              </w:rPr>
              <w:t xml:space="preserve">    </w:t>
            </w:r>
            <w:r>
              <w:rPr>
                <w:rFonts w:hint="eastAsia" w:ascii="宋体" w:hAnsi="宋体"/>
                <w:color w:val="auto"/>
                <w:szCs w:val="21"/>
                <w:highlight w:val="none"/>
              </w:rPr>
              <w:t>年原厂质保。单项产品的质保期以“技术参数要求”中要求为准。质保期内上门维修、免费更换零部件。质保期满后，终身维护。</w:t>
            </w:r>
          </w:p>
          <w:p w14:paraId="41802C8A">
            <w:pPr>
              <w:ind w:firstLine="420"/>
              <w:jc w:val="left"/>
              <w:rPr>
                <w:rFonts w:hint="eastAsia" w:ascii="宋体" w:hAnsi="宋体"/>
                <w:color w:val="auto"/>
                <w:szCs w:val="21"/>
                <w:highlight w:val="none"/>
              </w:rPr>
            </w:pPr>
            <w:r>
              <w:rPr>
                <w:rFonts w:hint="eastAsia" w:ascii="宋体" w:hAnsi="宋体"/>
                <w:color w:val="auto"/>
                <w:szCs w:val="21"/>
                <w:highlight w:val="none"/>
              </w:rPr>
              <w:t xml:space="preserve">3. 售后服务： 按乙方响应，具体详见合同后附投标人《商务响应表》或售后承诺函 </w:t>
            </w:r>
          </w:p>
        </w:tc>
      </w:tr>
      <w:tr w14:paraId="1A510A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4177ECF3">
            <w:pPr>
              <w:jc w:val="center"/>
              <w:rPr>
                <w:rFonts w:hint="eastAsia" w:ascii="宋体" w:hAnsi="宋体"/>
                <w:color w:val="auto"/>
                <w:szCs w:val="21"/>
                <w:highlight w:val="none"/>
              </w:rPr>
            </w:pPr>
            <w:r>
              <w:rPr>
                <w:rFonts w:hint="eastAsia" w:ascii="宋体" w:hAnsi="宋体"/>
                <w:color w:val="auto"/>
                <w:szCs w:val="21"/>
                <w:highlight w:val="none"/>
              </w:rPr>
              <w:t>合同的廉洁条款</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37A1A654">
            <w:pPr>
              <w:ind w:firstLine="420"/>
              <w:jc w:val="left"/>
              <w:rPr>
                <w:rFonts w:hint="eastAsia" w:ascii="宋体" w:hAnsi="宋体"/>
                <w:color w:val="auto"/>
                <w:szCs w:val="21"/>
                <w:highlight w:val="none"/>
              </w:rPr>
            </w:pPr>
            <w:r>
              <w:rPr>
                <w:rFonts w:hint="eastAsia" w:ascii="宋体" w:hAnsi="宋体"/>
                <w:color w:val="auto"/>
                <w:szCs w:val="21"/>
                <w:highlight w:val="none"/>
              </w:rPr>
              <w:t>1.甲方购进设备、器械等，不得以任何方式向乙方索取回扣，不得要求乙方代支任何费用开支。</w:t>
            </w:r>
          </w:p>
          <w:p w14:paraId="7FE40D31">
            <w:pPr>
              <w:ind w:firstLine="420"/>
              <w:jc w:val="left"/>
              <w:rPr>
                <w:rFonts w:hint="eastAsia" w:ascii="宋体" w:hAnsi="宋体"/>
                <w:color w:val="auto"/>
                <w:szCs w:val="21"/>
                <w:highlight w:val="none"/>
              </w:rPr>
            </w:pPr>
            <w:r>
              <w:rPr>
                <w:rFonts w:hint="eastAsia" w:ascii="宋体" w:hAnsi="宋体"/>
                <w:color w:val="auto"/>
                <w:szCs w:val="21"/>
                <w:highlight w:val="none"/>
              </w:rPr>
              <w:t>2.甲方工作人员不得以暗示或任何形式索要回扣、提成、有价证券、现金、信用卡、购物卡等，乙方应予拒绝，并有责任如实向甲方纪检监察部门反映情况。</w:t>
            </w:r>
          </w:p>
          <w:p w14:paraId="2824D210">
            <w:pPr>
              <w:ind w:firstLine="420"/>
              <w:jc w:val="left"/>
              <w:rPr>
                <w:rFonts w:hint="eastAsia" w:ascii="宋体" w:hAnsi="宋体"/>
                <w:color w:val="auto"/>
                <w:szCs w:val="21"/>
                <w:highlight w:val="none"/>
              </w:rPr>
            </w:pPr>
            <w:r>
              <w:rPr>
                <w:rFonts w:hint="eastAsia" w:ascii="宋体" w:hAnsi="宋体"/>
                <w:color w:val="auto"/>
                <w:szCs w:val="21"/>
                <w:highlight w:val="none"/>
              </w:rPr>
              <w:t>3.乙方不得暗中给予甲方回扣，不得以提成和赠送有价证券、现金、信</w:t>
            </w:r>
            <w:r>
              <w:rPr>
                <w:rFonts w:hint="eastAsia" w:ascii="宋体" w:hAnsi="宋体"/>
                <w:color w:val="auto"/>
                <w:szCs w:val="21"/>
                <w:highlight w:val="none"/>
                <w:lang w:eastAsia="zh-CN"/>
              </w:rPr>
              <w:t>用</w:t>
            </w:r>
            <w:r>
              <w:rPr>
                <w:rFonts w:hint="eastAsia" w:ascii="宋体" w:hAnsi="宋体"/>
                <w:color w:val="auto"/>
                <w:szCs w:val="21"/>
                <w:highlight w:val="none"/>
              </w:rPr>
              <w:t>卡、购物卡、宴请、娱乐及提供国内或境外学术活动等手段影响甲方购进设备、器械等。</w:t>
            </w:r>
          </w:p>
          <w:p w14:paraId="49743092">
            <w:pPr>
              <w:ind w:firstLine="420"/>
              <w:jc w:val="left"/>
              <w:rPr>
                <w:rFonts w:hint="eastAsia" w:ascii="宋体" w:hAnsi="宋体"/>
                <w:color w:val="auto"/>
                <w:szCs w:val="21"/>
                <w:highlight w:val="none"/>
              </w:rPr>
            </w:pPr>
            <w:r>
              <w:rPr>
                <w:rFonts w:hint="eastAsia" w:ascii="宋体" w:hAnsi="宋体"/>
                <w:color w:val="auto"/>
                <w:szCs w:val="21"/>
                <w:highlight w:val="none"/>
              </w:rPr>
              <w:t>4.乙方洽谈业务，必须在工作时间到甲方指定科室或者办公室联系商洽，不得借故到甲方主管领导、部门负责人及相关工作人员家中访谈或向介绍人提供任何好处费。</w:t>
            </w:r>
          </w:p>
          <w:p w14:paraId="6A4DFD61">
            <w:pPr>
              <w:ind w:firstLine="420"/>
              <w:jc w:val="left"/>
              <w:rPr>
                <w:rFonts w:hint="eastAsia" w:ascii="宋体" w:hAnsi="宋体"/>
                <w:color w:val="auto"/>
                <w:szCs w:val="21"/>
                <w:highlight w:val="none"/>
              </w:rPr>
            </w:pPr>
            <w:r>
              <w:rPr>
                <w:rFonts w:hint="eastAsia" w:ascii="宋体" w:hAnsi="宋体"/>
                <w:color w:val="auto"/>
                <w:szCs w:val="21"/>
                <w:highlight w:val="none"/>
              </w:rPr>
              <w:t>乙方如违反以上条款，经核实后，甲方有权终止购销合同，并将乙方列入“非诚信交易黑名单”，在单位内进行通报。情节严重的，涉嫌违法的，由执法部门予以处理。</w:t>
            </w:r>
          </w:p>
          <w:p w14:paraId="5E664586">
            <w:pPr>
              <w:ind w:firstLine="420"/>
              <w:jc w:val="left"/>
              <w:rPr>
                <w:rFonts w:hint="eastAsia" w:ascii="宋体" w:hAnsi="宋体"/>
                <w:color w:val="auto"/>
                <w:szCs w:val="21"/>
                <w:highlight w:val="none"/>
              </w:rPr>
            </w:pPr>
            <w:r>
              <w:rPr>
                <w:rFonts w:hint="eastAsia" w:ascii="宋体" w:hAnsi="宋体"/>
                <w:color w:val="auto"/>
                <w:szCs w:val="21"/>
                <w:highlight w:val="none"/>
              </w:rPr>
              <w:t>甲方工作人员如违反以上条款的，甲方将按国家有关法律、法规规定和有关廉政制度规定给予处理，涉嫌违法的，由执法部门予以处理。</w:t>
            </w:r>
          </w:p>
        </w:tc>
      </w:tr>
      <w:tr w14:paraId="5A2D7A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single" w:color="auto" w:sz="4" w:space="0"/>
              <w:left w:val="single" w:color="auto" w:sz="4" w:space="0"/>
              <w:bottom w:val="single" w:color="auto" w:sz="4" w:space="0"/>
              <w:right w:val="single" w:color="auto" w:sz="4" w:space="0"/>
            </w:tcBorders>
            <w:noWrap/>
            <w:vAlign w:val="center"/>
          </w:tcPr>
          <w:p w14:paraId="627C06F5">
            <w:pPr>
              <w:jc w:val="center"/>
              <w:rPr>
                <w:rFonts w:hint="eastAsia" w:ascii="宋体" w:hAnsi="宋体"/>
                <w:color w:val="auto"/>
                <w:szCs w:val="21"/>
                <w:highlight w:val="none"/>
              </w:rPr>
            </w:pPr>
            <w:r>
              <w:rPr>
                <w:rFonts w:hint="eastAsia" w:ascii="宋体" w:hAnsi="宋体"/>
                <w:color w:val="auto"/>
                <w:szCs w:val="21"/>
                <w:highlight w:val="none"/>
              </w:rPr>
              <w:t>合同的变更、终止</w:t>
            </w:r>
          </w:p>
        </w:tc>
        <w:tc>
          <w:tcPr>
            <w:tcW w:w="6886" w:type="dxa"/>
            <w:gridSpan w:val="2"/>
            <w:tcBorders>
              <w:top w:val="single" w:color="auto" w:sz="4" w:space="0"/>
              <w:left w:val="single" w:color="auto" w:sz="4" w:space="0"/>
              <w:bottom w:val="single" w:color="auto" w:sz="4" w:space="0"/>
              <w:right w:val="single" w:color="auto" w:sz="4" w:space="0"/>
            </w:tcBorders>
            <w:noWrap/>
            <w:vAlign w:val="center"/>
          </w:tcPr>
          <w:p w14:paraId="64B13EA1">
            <w:pPr>
              <w:ind w:firstLine="420"/>
              <w:jc w:val="left"/>
              <w:rPr>
                <w:rFonts w:hint="eastAsia" w:ascii="宋体" w:hAnsi="宋体"/>
                <w:color w:val="auto"/>
                <w:szCs w:val="21"/>
                <w:highlight w:val="none"/>
              </w:rPr>
            </w:pPr>
            <w:r>
              <w:rPr>
                <w:rFonts w:hint="eastAsia" w:ascii="宋体" w:hAnsi="宋体"/>
                <w:color w:val="auto"/>
                <w:szCs w:val="21"/>
                <w:highlight w:val="none"/>
              </w:rPr>
              <w:t>发生以下情形之一，双方有权终止本协议：</w:t>
            </w:r>
          </w:p>
          <w:p w14:paraId="620FBE70">
            <w:pPr>
              <w:ind w:firstLine="420"/>
              <w:jc w:val="left"/>
              <w:rPr>
                <w:rFonts w:hint="eastAsia" w:ascii="宋体" w:hAnsi="宋体"/>
                <w:color w:val="auto"/>
                <w:szCs w:val="21"/>
                <w:highlight w:val="none"/>
              </w:rPr>
            </w:pPr>
            <w:r>
              <w:rPr>
                <w:rFonts w:hint="eastAsia" w:ascii="宋体" w:hAnsi="宋体"/>
                <w:color w:val="auto"/>
                <w:szCs w:val="21"/>
                <w:highlight w:val="none"/>
              </w:rPr>
              <w:t>1、甲乙双方违反《中华人民共和国政府采购法》第五十条规定的情形；</w:t>
            </w:r>
          </w:p>
          <w:p w14:paraId="5C0ECC95">
            <w:pPr>
              <w:ind w:firstLine="420"/>
              <w:jc w:val="left"/>
              <w:rPr>
                <w:rFonts w:hint="eastAsia" w:ascii="宋体" w:hAnsi="宋体"/>
                <w:color w:val="auto"/>
                <w:szCs w:val="21"/>
                <w:highlight w:val="none"/>
              </w:rPr>
            </w:pPr>
            <w:r>
              <w:rPr>
                <w:rFonts w:hint="eastAsia" w:ascii="宋体" w:hAnsi="宋体"/>
                <w:color w:val="auto"/>
                <w:szCs w:val="21"/>
                <w:highlight w:val="none"/>
              </w:rPr>
              <w:t>2、违反本协议廉洁条款约定。</w:t>
            </w:r>
          </w:p>
          <w:p w14:paraId="2B6EAFEB">
            <w:pPr>
              <w:ind w:firstLine="420"/>
              <w:jc w:val="left"/>
              <w:rPr>
                <w:rFonts w:hint="eastAsia" w:ascii="宋体" w:hAnsi="宋体"/>
                <w:color w:val="auto"/>
                <w:szCs w:val="21"/>
                <w:highlight w:val="none"/>
              </w:rPr>
            </w:pPr>
            <w:r>
              <w:rPr>
                <w:rFonts w:hint="eastAsia" w:ascii="宋体" w:hAnsi="宋体"/>
                <w:color w:val="auto"/>
                <w:szCs w:val="21"/>
                <w:highlight w:val="none"/>
              </w:rPr>
              <w:t>3、乙方因国家政策或其他原因不能提供相应的服务。</w:t>
            </w:r>
          </w:p>
          <w:p w14:paraId="64E490E9">
            <w:pPr>
              <w:ind w:firstLine="420"/>
              <w:jc w:val="left"/>
              <w:rPr>
                <w:rFonts w:hint="eastAsia" w:ascii="宋体" w:hAnsi="宋体"/>
                <w:color w:val="auto"/>
                <w:szCs w:val="21"/>
                <w:highlight w:val="none"/>
              </w:rPr>
            </w:pPr>
            <w:r>
              <w:rPr>
                <w:rFonts w:hint="eastAsia" w:ascii="宋体" w:hAnsi="宋体"/>
                <w:color w:val="auto"/>
                <w:szCs w:val="21"/>
                <w:highlight w:val="none"/>
              </w:rPr>
              <w:t>因上述原因造成协议终止的，守约方有权要求违约方按合同总额的1‰支付违约金，并赔偿一切损失，包括但不限于经济损失及因维权支出的合理的诉讼费（仲裁费）、律师费、保全费、担保费、鉴定费、差旅费、调查取证费等费用。</w:t>
            </w:r>
          </w:p>
        </w:tc>
      </w:tr>
    </w:tbl>
    <w:p w14:paraId="3F17B26A">
      <w:pPr>
        <w:ind w:firstLine="643"/>
        <w:jc w:val="center"/>
        <w:rPr>
          <w:rFonts w:hint="eastAsia" w:ascii="宋体" w:hAnsi="宋体" w:cs="宋体"/>
          <w:bCs/>
          <w:color w:val="auto"/>
          <w:sz w:val="32"/>
          <w:szCs w:val="32"/>
          <w:highlight w:val="none"/>
        </w:rPr>
      </w:pPr>
      <w:r>
        <w:rPr>
          <w:rFonts w:hint="eastAsia" w:ascii="宋体" w:hAnsi="宋体" w:cs="宋体"/>
          <w:b/>
          <w:color w:val="auto"/>
          <w:sz w:val="32"/>
          <w:szCs w:val="32"/>
          <w:highlight w:val="none"/>
        </w:rPr>
        <w:br w:type="page" w:clear="all"/>
      </w:r>
    </w:p>
    <w:p w14:paraId="4B9778FC">
      <w:pPr>
        <w:pStyle w:val="192"/>
        <w:ind w:firstLine="883"/>
        <w:jc w:val="center"/>
        <w:rPr>
          <w:rFonts w:hint="eastAsia" w:ascii="宋体" w:hAnsi="宋体" w:cs="宋体"/>
          <w:color w:val="auto"/>
          <w:highlight w:val="none"/>
        </w:rPr>
      </w:pPr>
      <w:bookmarkStart w:id="162" w:name="_Toc29295"/>
      <w:r>
        <w:rPr>
          <w:rFonts w:hint="eastAsia" w:ascii="宋体" w:hAnsi="宋体" w:cs="宋体"/>
          <w:color w:val="auto"/>
          <w:highlight w:val="none"/>
        </w:rPr>
        <w:t>第六章　投标文件格式</w:t>
      </w:r>
      <w:bookmarkEnd w:id="162"/>
    </w:p>
    <w:p w14:paraId="438B6E16">
      <w:pPr>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一、报价文件格式</w:t>
      </w:r>
    </w:p>
    <w:p w14:paraId="28156869">
      <w:pPr>
        <w:spacing w:before="120" w:after="50" w:line="360" w:lineRule="auto"/>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t xml:space="preserve">1. 报价文件封面格式： </w:t>
      </w:r>
    </w:p>
    <w:p w14:paraId="6B2EEC84">
      <w:pPr>
        <w:spacing w:before="120" w:after="50" w:line="360" w:lineRule="auto"/>
        <w:ind w:left="142" w:firstLine="960"/>
        <w:jc w:val="center"/>
        <w:rPr>
          <w:rFonts w:hint="eastAsia" w:ascii="宋体" w:hAnsi="宋体" w:cs="宋体"/>
          <w:bCs/>
          <w:color w:val="auto"/>
          <w:sz w:val="48"/>
          <w:szCs w:val="48"/>
          <w:highlight w:val="none"/>
        </w:rPr>
      </w:pPr>
    </w:p>
    <w:p w14:paraId="36614824">
      <w:pPr>
        <w:spacing w:before="120" w:after="50" w:line="360" w:lineRule="auto"/>
        <w:ind w:left="142" w:firstLine="96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32FCBA76">
      <w:pPr>
        <w:spacing w:before="120" w:after="50" w:line="400" w:lineRule="exact"/>
        <w:ind w:firstLine="88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报  价  文  件</w:t>
      </w:r>
    </w:p>
    <w:p w14:paraId="43764F93">
      <w:pPr>
        <w:spacing w:before="120" w:after="50" w:line="400" w:lineRule="exact"/>
        <w:ind w:firstLine="48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5F66693F">
      <w:pPr>
        <w:spacing w:before="120" w:after="50" w:line="400" w:lineRule="exact"/>
        <w:ind w:firstLine="48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1EC6B089">
      <w:pPr>
        <w:spacing w:before="120" w:after="50" w:line="400" w:lineRule="exact"/>
        <w:ind w:firstLine="48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3BCF2C57">
      <w:pPr>
        <w:spacing w:before="120" w:after="50" w:line="400" w:lineRule="exact"/>
        <w:ind w:firstLine="48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31B48F7B">
      <w:pPr>
        <w:spacing w:before="120" w:after="50" w:line="400" w:lineRule="exact"/>
        <w:ind w:firstLine="480"/>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lang w:eastAsia="zh-CN"/>
        </w:rPr>
        <w:t>分标号：</w:t>
      </w:r>
    </w:p>
    <w:p w14:paraId="47EABCC1">
      <w:pPr>
        <w:spacing w:before="120" w:after="50" w:line="400" w:lineRule="exact"/>
        <w:ind w:firstLine="480"/>
        <w:rPr>
          <w:rFonts w:hint="eastAsia" w:ascii="宋体" w:hAnsi="宋体" w:cs="宋体"/>
          <w:color w:val="auto"/>
          <w:sz w:val="30"/>
          <w:szCs w:val="20"/>
          <w:highlight w:val="none"/>
        </w:rPr>
      </w:pPr>
      <w:r>
        <w:rPr>
          <w:rFonts w:hint="eastAsia" w:ascii="宋体" w:hAnsi="宋体" w:cs="宋体"/>
          <w:color w:val="auto"/>
          <w:sz w:val="24"/>
          <w:highlight w:val="none"/>
        </w:rPr>
        <w:t>年  月  日</w:t>
      </w:r>
    </w:p>
    <w:p w14:paraId="786837A9">
      <w:pPr>
        <w:spacing w:before="120" w:after="50" w:line="360" w:lineRule="auto"/>
        <w:ind w:firstLine="482"/>
        <w:jc w:val="left"/>
        <w:rPr>
          <w:rFonts w:hint="eastAsia" w:ascii="宋体" w:hAnsi="宋体" w:cs="宋体"/>
          <w:color w:val="auto"/>
          <w:sz w:val="24"/>
          <w:szCs w:val="20"/>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14:paraId="2E24DC2D">
      <w:pPr>
        <w:spacing w:before="50" w:after="120" w:line="360" w:lineRule="auto"/>
        <w:ind w:firstLine="420"/>
        <w:jc w:val="left"/>
        <w:rPr>
          <w:rFonts w:hint="eastAsia"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3D9D4204">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3. 投标函格式：</w:t>
      </w:r>
    </w:p>
    <w:p w14:paraId="1DC94FFD">
      <w:pPr>
        <w:spacing w:before="120" w:after="50" w:line="360" w:lineRule="auto"/>
        <w:ind w:firstLine="88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投 标 函</w:t>
      </w:r>
    </w:p>
    <w:p w14:paraId="2C5D5D1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37F683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根据贵方</w:t>
      </w:r>
      <w:r>
        <w:rPr>
          <w:rFonts w:hint="eastAsia" w:ascii="宋体" w:hAnsi="宋体" w:cs="宋体"/>
          <w:color w:val="auto"/>
          <w:sz w:val="24"/>
          <w:highlight w:val="none"/>
          <w:u w:val="single"/>
        </w:rPr>
        <w:t xml:space="preserve"> 项目名称</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）的招标文件，签字代表______</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（姓名）经正式授权并代表投标人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（投标人名称）提交投标文件。</w:t>
      </w:r>
    </w:p>
    <w:p w14:paraId="7F67A8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据此函，我方宣布同意如下：</w:t>
      </w:r>
    </w:p>
    <w:p w14:paraId="0EBDFAD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0A340F8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2.我方在投标之前已经完全理解并接受招标文件的各项规定和要求，对招标文件的合理性、合法性不再有异议。</w:t>
      </w:r>
    </w:p>
    <w:p w14:paraId="31C6D67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3.本投标有效期自投标截止之日起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ACEA2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4.如中标，本投标文件至本项目合同履行完毕止均保持有效，我方将按“招标文件”及政府采购法律、法规的规定履行合同责任和义务。</w:t>
      </w:r>
    </w:p>
    <w:p w14:paraId="5701CB3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5.我方同意按照贵方要求提供与投标有关的一切数据或者资料。</w:t>
      </w:r>
    </w:p>
    <w:p w14:paraId="0EAAB5A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6.我方向贵方提交的所有投标文件、资料都是准确的和真实的。</w:t>
      </w:r>
    </w:p>
    <w:p w14:paraId="615CF0E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7.以上事项如有虚假或者隐瞒，我方愿意承担一切后果，并不再寻求任何旨在减轻或者免除法律责任的辩解。</w:t>
      </w:r>
    </w:p>
    <w:p w14:paraId="3359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6ECE52F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□我方本次投标文件内容中未涉及商业秘密；</w:t>
      </w:r>
    </w:p>
    <w:p w14:paraId="2605F53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□我方本次投标文件涉及商业秘密的内容有：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5C6555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9.与本项目有关的一切正式往来信函请寄：</w:t>
      </w:r>
    </w:p>
    <w:p w14:paraId="219ACCE6">
      <w:pPr>
        <w:spacing w:line="360" w:lineRule="auto"/>
        <w:ind w:firstLine="480"/>
        <w:contextualSpacing/>
        <w:rPr>
          <w:rFonts w:hint="eastAsia" w:ascii="宋体" w:hAnsi="宋体" w:cs="宋体"/>
          <w:color w:val="auto"/>
          <w:sz w:val="24"/>
          <w:highlight w:val="none"/>
          <w:u w:val="single"/>
        </w:rPr>
      </w:pPr>
      <w:r>
        <w:rPr>
          <w:rFonts w:hint="eastAsia" w:ascii="宋体" w:hAnsi="宋体" w:cs="宋体"/>
          <w:color w:val="auto"/>
          <w:sz w:val="24"/>
          <w:highlight w:val="none"/>
        </w:rPr>
        <w:t>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single"/>
        </w:rPr>
        <w:t xml:space="preserve">            </w:t>
      </w:r>
    </w:p>
    <w:p w14:paraId="057ED5B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传真：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电子邮箱：</w:t>
      </w:r>
      <w:r>
        <w:rPr>
          <w:rFonts w:hint="eastAsia" w:ascii="宋体" w:hAnsi="宋体" w:cs="宋体"/>
          <w:color w:val="auto"/>
          <w:sz w:val="24"/>
          <w:highlight w:val="none"/>
          <w:u w:val="single"/>
        </w:rPr>
        <w:t xml:space="preserve">         </w:t>
      </w:r>
    </w:p>
    <w:p w14:paraId="3B5885F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p>
    <w:p w14:paraId="2FDD444B">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银行账号：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37E1912F">
      <w:pPr>
        <w:spacing w:line="360" w:lineRule="auto"/>
        <w:ind w:firstLine="480"/>
        <w:contextualSpacing/>
        <w:jc w:val="left"/>
        <w:rPr>
          <w:rFonts w:hint="eastAsia" w:ascii="宋体" w:hAnsi="宋体" w:cs="宋体"/>
          <w:color w:val="auto"/>
          <w:sz w:val="24"/>
          <w:highlight w:val="none"/>
        </w:rPr>
      </w:pPr>
    </w:p>
    <w:p w14:paraId="1CE84B9E">
      <w:pPr>
        <w:spacing w:line="360" w:lineRule="auto"/>
        <w:ind w:firstLine="480"/>
        <w:contextualSpacing/>
        <w:jc w:val="left"/>
        <w:rPr>
          <w:rFonts w:hint="eastAsia" w:ascii="宋体" w:hAnsi="宋体" w:cs="宋体"/>
          <w:color w:val="auto"/>
          <w:sz w:val="24"/>
          <w:highlight w:val="none"/>
        </w:rPr>
      </w:pPr>
    </w:p>
    <w:p w14:paraId="37BFB222">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法定代表人或者委托代理人（签字或者电子签名）：_______ </w:t>
      </w:r>
    </w:p>
    <w:p w14:paraId="7B04A1DB">
      <w:pPr>
        <w:pStyle w:val="231"/>
        <w:spacing w:line="360" w:lineRule="auto"/>
        <w:ind w:firstLine="480"/>
        <w:contextualSpacing/>
        <w:jc w:val="center"/>
        <w:rPr>
          <w:rFonts w:hint="eastAsia" w:hAnsi="宋体" w:cs="宋体"/>
          <w:color w:val="auto"/>
          <w:sz w:val="24"/>
          <w:szCs w:val="24"/>
          <w:highlight w:val="none"/>
          <w:u w:val="single"/>
        </w:rPr>
      </w:pPr>
      <w:r>
        <w:rPr>
          <w:rFonts w:hint="eastAsia" w:hAnsi="宋体" w:cs="宋体"/>
          <w:color w:val="auto"/>
          <w:sz w:val="24"/>
          <w:highlight w:val="none"/>
        </w:rPr>
        <w:t>投标人名称（电子签章）：</w:t>
      </w:r>
    </w:p>
    <w:p w14:paraId="35A2E8DC">
      <w:pPr>
        <w:pStyle w:val="231"/>
        <w:spacing w:line="360" w:lineRule="auto"/>
        <w:ind w:firstLine="480"/>
        <w:contextualSpacing/>
        <w:jc w:val="right"/>
        <w:rPr>
          <w:rFonts w:hint="eastAsia" w:hAnsi="宋体" w:cs="宋体"/>
          <w:color w:val="auto"/>
          <w:sz w:val="24"/>
          <w:highlight w:val="none"/>
        </w:rPr>
      </w:pP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p>
    <w:p w14:paraId="646638E4">
      <w:pPr>
        <w:spacing w:before="120" w:after="50"/>
        <w:ind w:firstLine="420"/>
        <w:jc w:val="left"/>
        <w:rPr>
          <w:rFonts w:hint="eastAsia" w:ascii="宋体" w:hAnsi="宋体" w:cs="宋体"/>
          <w:b/>
          <w:color w:val="auto"/>
          <w:sz w:val="24"/>
          <w:szCs w:val="20"/>
          <w:highlight w:val="none"/>
        </w:rPr>
      </w:pPr>
      <w:r>
        <w:rPr>
          <w:rFonts w:hint="eastAsia" w:ascii="宋体" w:hAnsi="宋体" w:cs="宋体"/>
          <w:color w:val="auto"/>
          <w:highlight w:val="none"/>
          <w:u w:val="single"/>
        </w:rPr>
        <w:br w:type="page" w:clear="all"/>
      </w:r>
      <w:r>
        <w:rPr>
          <w:rFonts w:hint="eastAsia" w:ascii="宋体" w:hAnsi="宋体" w:cs="宋体"/>
          <w:b/>
          <w:color w:val="auto"/>
          <w:sz w:val="24"/>
          <w:highlight w:val="none"/>
        </w:rPr>
        <w:t>4. 开标一览表（货物类格式）</w:t>
      </w:r>
    </w:p>
    <w:p w14:paraId="75FA7B18">
      <w:pPr>
        <w:spacing w:before="50" w:after="50"/>
        <w:ind w:firstLine="602"/>
        <w:jc w:val="center"/>
        <w:rPr>
          <w:rFonts w:hint="eastAsia" w:ascii="宋体" w:hAnsi="宋体" w:cs="宋体"/>
          <w:b/>
          <w:color w:val="auto"/>
          <w:sz w:val="30"/>
          <w:highlight w:val="none"/>
        </w:rPr>
      </w:pPr>
      <w:r>
        <w:rPr>
          <w:rFonts w:hint="eastAsia" w:ascii="宋体" w:hAnsi="宋体" w:cs="宋体"/>
          <w:b/>
          <w:color w:val="auto"/>
          <w:sz w:val="30"/>
          <w:highlight w:val="none"/>
        </w:rPr>
        <w:t>开标一览表</w:t>
      </w:r>
    </w:p>
    <w:p w14:paraId="3E8F2A65">
      <w:pPr>
        <w:spacing w:before="50" w:after="50" w:line="360" w:lineRule="auto"/>
        <w:ind w:firstLine="480"/>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A22196D">
      <w:pPr>
        <w:spacing w:before="120" w:after="50" w:line="400" w:lineRule="exact"/>
        <w:ind w:firstLine="480"/>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rPr>
        <w:t xml:space="preserve">        </w:t>
      </w:r>
      <w:r>
        <w:rPr>
          <w:rFonts w:hint="eastAsia" w:ascii="宋体" w:hAnsi="宋体" w:cs="宋体"/>
          <w:bCs/>
          <w:color w:val="auto"/>
          <w:sz w:val="24"/>
          <w:highlight w:val="none"/>
          <w:lang w:eastAsia="zh-CN"/>
        </w:rPr>
        <w:t>分标号：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none"/>
          <w:lang w:val="en-US" w:eastAsia="zh-CN"/>
        </w:rPr>
        <w:t xml:space="preserve">         </w:t>
      </w:r>
      <w:r>
        <w:rPr>
          <w:rFonts w:hint="eastAsia" w:ascii="宋体" w:hAnsi="宋体" w:cs="宋体"/>
          <w:color w:val="auto"/>
          <w:sz w:val="24"/>
          <w:highlight w:val="none"/>
        </w:rPr>
        <w:t>单位：元</w:t>
      </w:r>
    </w:p>
    <w:tbl>
      <w:tblPr>
        <w:tblStyle w:val="3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8"/>
        <w:gridCol w:w="1658"/>
        <w:gridCol w:w="1420"/>
        <w:gridCol w:w="780"/>
        <w:gridCol w:w="1617"/>
        <w:gridCol w:w="1080"/>
        <w:gridCol w:w="1467"/>
      </w:tblGrid>
      <w:tr w14:paraId="7F24DF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1B97D212">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951" w:type="pct"/>
            <w:tcBorders>
              <w:top w:val="single" w:color="auto" w:sz="4" w:space="0"/>
              <w:left w:val="single" w:color="auto" w:sz="4" w:space="0"/>
              <w:bottom w:val="single" w:color="auto" w:sz="4" w:space="0"/>
              <w:right w:val="single" w:color="auto" w:sz="4" w:space="0"/>
            </w:tcBorders>
            <w:noWrap w:val="0"/>
            <w:vAlign w:val="center"/>
          </w:tcPr>
          <w:p w14:paraId="0BB46DA2">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标的的名称</w:t>
            </w:r>
          </w:p>
        </w:tc>
        <w:tc>
          <w:tcPr>
            <w:tcW w:w="815" w:type="pct"/>
            <w:tcBorders>
              <w:top w:val="single" w:color="auto" w:sz="4" w:space="0"/>
              <w:left w:val="single" w:color="auto" w:sz="4" w:space="0"/>
              <w:bottom w:val="single" w:color="auto" w:sz="4" w:space="0"/>
              <w:right w:val="single" w:color="auto" w:sz="4" w:space="0"/>
            </w:tcBorders>
            <w:noWrap w:val="0"/>
            <w:vAlign w:val="center"/>
          </w:tcPr>
          <w:p w14:paraId="1DD11774">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品牌</w:t>
            </w:r>
          </w:p>
        </w:tc>
        <w:tc>
          <w:tcPr>
            <w:tcW w:w="447" w:type="pct"/>
            <w:tcBorders>
              <w:top w:val="single" w:color="auto" w:sz="4" w:space="0"/>
              <w:left w:val="single" w:color="auto" w:sz="4" w:space="0"/>
              <w:bottom w:val="single" w:color="auto" w:sz="4" w:space="0"/>
              <w:right w:val="single" w:color="auto" w:sz="4" w:space="0"/>
            </w:tcBorders>
            <w:noWrap w:val="0"/>
            <w:vAlign w:val="center"/>
          </w:tcPr>
          <w:p w14:paraId="3E591ED0">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规格型号</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3455E43C">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数量及单位①</w:t>
            </w:r>
          </w:p>
        </w:tc>
        <w:tc>
          <w:tcPr>
            <w:tcW w:w="619" w:type="pct"/>
            <w:tcBorders>
              <w:top w:val="single" w:color="auto" w:sz="4" w:space="0"/>
              <w:left w:val="single" w:color="auto" w:sz="4" w:space="0"/>
              <w:bottom w:val="single" w:color="auto" w:sz="4" w:space="0"/>
              <w:right w:val="single" w:color="auto" w:sz="4" w:space="0"/>
            </w:tcBorders>
            <w:noWrap w:val="0"/>
            <w:vAlign w:val="center"/>
          </w:tcPr>
          <w:p w14:paraId="2AE1ABC5">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单价②</w:t>
            </w:r>
          </w:p>
        </w:tc>
        <w:tc>
          <w:tcPr>
            <w:tcW w:w="838" w:type="pct"/>
            <w:tcBorders>
              <w:top w:val="single" w:color="auto" w:sz="4" w:space="0"/>
              <w:left w:val="single" w:color="auto" w:sz="4" w:space="0"/>
              <w:bottom w:val="single" w:color="auto" w:sz="4" w:space="0"/>
              <w:right w:val="single" w:color="auto" w:sz="4" w:space="0"/>
            </w:tcBorders>
            <w:noWrap w:val="0"/>
            <w:vAlign w:val="center"/>
          </w:tcPr>
          <w:p w14:paraId="4611ABA7">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投标报价</w:t>
            </w:r>
          </w:p>
          <w:p w14:paraId="0693C064">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③=①×②</w:t>
            </w:r>
          </w:p>
        </w:tc>
      </w:tr>
      <w:tr w14:paraId="561ABC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5A8956A4">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1</w:t>
            </w:r>
          </w:p>
        </w:tc>
        <w:tc>
          <w:tcPr>
            <w:tcW w:w="951" w:type="pct"/>
            <w:tcBorders>
              <w:top w:val="single" w:color="auto" w:sz="4" w:space="0"/>
              <w:left w:val="single" w:color="auto" w:sz="4" w:space="0"/>
              <w:bottom w:val="single" w:color="auto" w:sz="4" w:space="0"/>
              <w:right w:val="single" w:color="auto" w:sz="4" w:space="0"/>
            </w:tcBorders>
            <w:noWrap w:val="0"/>
            <w:vAlign w:val="center"/>
          </w:tcPr>
          <w:p w14:paraId="11F9F997">
            <w:pPr>
              <w:spacing w:before="50" w:after="50" w:line="360" w:lineRule="auto"/>
              <w:jc w:val="center"/>
              <w:rPr>
                <w:rFonts w:hint="eastAsia" w:ascii="宋体" w:hAnsi="宋体" w:cs="宋体"/>
                <w:b/>
                <w:color w:val="auto"/>
                <w:sz w:val="24"/>
                <w:highlight w:val="none"/>
              </w:rPr>
            </w:pPr>
          </w:p>
        </w:tc>
        <w:tc>
          <w:tcPr>
            <w:tcW w:w="815" w:type="pct"/>
            <w:tcBorders>
              <w:top w:val="single" w:color="auto" w:sz="4" w:space="0"/>
              <w:left w:val="single" w:color="auto" w:sz="4" w:space="0"/>
              <w:bottom w:val="single" w:color="auto" w:sz="4" w:space="0"/>
              <w:right w:val="single" w:color="auto" w:sz="4" w:space="0"/>
            </w:tcBorders>
            <w:noWrap w:val="0"/>
            <w:vAlign w:val="center"/>
          </w:tcPr>
          <w:p w14:paraId="0BAAD4F2">
            <w:pPr>
              <w:spacing w:before="50" w:after="50" w:line="360" w:lineRule="auto"/>
              <w:jc w:val="center"/>
              <w:rPr>
                <w:rFonts w:hint="eastAsia" w:ascii="宋体" w:hAnsi="宋体" w:cs="宋体"/>
                <w:b/>
                <w:color w:val="auto"/>
                <w:sz w:val="24"/>
                <w:highlight w:val="none"/>
              </w:rPr>
            </w:pPr>
          </w:p>
        </w:tc>
        <w:tc>
          <w:tcPr>
            <w:tcW w:w="447" w:type="pct"/>
            <w:tcBorders>
              <w:top w:val="single" w:color="auto" w:sz="4" w:space="0"/>
              <w:left w:val="single" w:color="auto" w:sz="4" w:space="0"/>
              <w:bottom w:val="single" w:color="auto" w:sz="4" w:space="0"/>
              <w:right w:val="single" w:color="auto" w:sz="4" w:space="0"/>
            </w:tcBorders>
            <w:noWrap w:val="0"/>
            <w:vAlign w:val="center"/>
          </w:tcPr>
          <w:p w14:paraId="159DD801">
            <w:pPr>
              <w:spacing w:before="50" w:after="50" w:line="360" w:lineRule="auto"/>
              <w:rPr>
                <w:rFonts w:hint="eastAsia" w:ascii="宋体" w:hAnsi="宋体" w:cs="宋体"/>
                <w:color w:val="auto"/>
                <w:sz w:val="24"/>
                <w:highlight w:val="none"/>
              </w:rPr>
            </w:pPr>
          </w:p>
        </w:tc>
        <w:tc>
          <w:tcPr>
            <w:tcW w:w="927" w:type="pct"/>
            <w:tcBorders>
              <w:top w:val="single" w:color="auto" w:sz="4" w:space="0"/>
              <w:left w:val="single" w:color="auto" w:sz="4" w:space="0"/>
              <w:bottom w:val="single" w:color="auto" w:sz="4" w:space="0"/>
              <w:right w:val="single" w:color="auto" w:sz="4" w:space="0"/>
            </w:tcBorders>
            <w:noWrap w:val="0"/>
            <w:vAlign w:val="center"/>
          </w:tcPr>
          <w:p w14:paraId="5EF5708C">
            <w:pPr>
              <w:spacing w:before="50" w:after="50" w:line="360" w:lineRule="auto"/>
              <w:rPr>
                <w:rFonts w:hint="eastAsia" w:ascii="宋体" w:hAnsi="宋体" w:cs="宋体"/>
                <w:color w:val="auto"/>
                <w:sz w:val="24"/>
                <w:highlight w:val="none"/>
              </w:rPr>
            </w:pPr>
          </w:p>
        </w:tc>
        <w:tc>
          <w:tcPr>
            <w:tcW w:w="619" w:type="pct"/>
            <w:tcBorders>
              <w:top w:val="single" w:color="auto" w:sz="4" w:space="0"/>
              <w:left w:val="single" w:color="auto" w:sz="4" w:space="0"/>
              <w:bottom w:val="single" w:color="auto" w:sz="4" w:space="0"/>
              <w:right w:val="single" w:color="auto" w:sz="4" w:space="0"/>
            </w:tcBorders>
            <w:noWrap w:val="0"/>
            <w:vAlign w:val="center"/>
          </w:tcPr>
          <w:p w14:paraId="4203D489">
            <w:pPr>
              <w:spacing w:before="50" w:after="50" w:line="360" w:lineRule="auto"/>
              <w:rPr>
                <w:rFonts w:hint="eastAsia" w:ascii="宋体" w:hAnsi="宋体" w:cs="宋体"/>
                <w:color w:val="auto"/>
                <w:sz w:val="24"/>
                <w:highlight w:val="none"/>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2169B0AB">
            <w:pPr>
              <w:spacing w:before="50" w:after="50" w:line="360" w:lineRule="auto"/>
              <w:rPr>
                <w:rFonts w:hint="eastAsia" w:ascii="宋体" w:hAnsi="宋体" w:cs="宋体"/>
                <w:color w:val="auto"/>
                <w:sz w:val="24"/>
                <w:highlight w:val="none"/>
              </w:rPr>
            </w:pPr>
          </w:p>
        </w:tc>
      </w:tr>
      <w:tr w14:paraId="142626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135236B3">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2</w:t>
            </w:r>
          </w:p>
        </w:tc>
        <w:tc>
          <w:tcPr>
            <w:tcW w:w="951" w:type="pct"/>
            <w:tcBorders>
              <w:top w:val="single" w:color="auto" w:sz="4" w:space="0"/>
              <w:left w:val="single" w:color="auto" w:sz="4" w:space="0"/>
              <w:bottom w:val="single" w:color="auto" w:sz="4" w:space="0"/>
              <w:right w:val="single" w:color="auto" w:sz="4" w:space="0"/>
            </w:tcBorders>
            <w:noWrap w:val="0"/>
            <w:vAlign w:val="center"/>
          </w:tcPr>
          <w:p w14:paraId="1367D085">
            <w:pPr>
              <w:spacing w:before="50" w:after="50" w:line="360" w:lineRule="auto"/>
              <w:jc w:val="center"/>
              <w:rPr>
                <w:rFonts w:hint="eastAsia" w:ascii="宋体" w:hAnsi="宋体" w:cs="宋体"/>
                <w:b/>
                <w:color w:val="auto"/>
                <w:sz w:val="24"/>
                <w:highlight w:val="none"/>
              </w:rPr>
            </w:pPr>
          </w:p>
        </w:tc>
        <w:tc>
          <w:tcPr>
            <w:tcW w:w="815" w:type="pct"/>
            <w:tcBorders>
              <w:top w:val="single" w:color="auto" w:sz="4" w:space="0"/>
              <w:left w:val="single" w:color="auto" w:sz="4" w:space="0"/>
              <w:bottom w:val="single" w:color="auto" w:sz="4" w:space="0"/>
              <w:right w:val="single" w:color="auto" w:sz="4" w:space="0"/>
            </w:tcBorders>
            <w:noWrap w:val="0"/>
            <w:vAlign w:val="center"/>
          </w:tcPr>
          <w:p w14:paraId="2B109FAC">
            <w:pPr>
              <w:spacing w:before="50" w:after="50" w:line="360" w:lineRule="auto"/>
              <w:jc w:val="center"/>
              <w:rPr>
                <w:rFonts w:hint="eastAsia" w:ascii="宋体" w:hAnsi="宋体" w:cs="宋体"/>
                <w:b/>
                <w:color w:val="auto"/>
                <w:sz w:val="24"/>
                <w:highlight w:val="none"/>
              </w:rPr>
            </w:pPr>
          </w:p>
        </w:tc>
        <w:tc>
          <w:tcPr>
            <w:tcW w:w="447" w:type="pct"/>
            <w:tcBorders>
              <w:top w:val="single" w:color="auto" w:sz="4" w:space="0"/>
              <w:left w:val="single" w:color="auto" w:sz="4" w:space="0"/>
              <w:bottom w:val="single" w:color="auto" w:sz="4" w:space="0"/>
              <w:right w:val="single" w:color="auto" w:sz="4" w:space="0"/>
            </w:tcBorders>
            <w:noWrap w:val="0"/>
            <w:vAlign w:val="center"/>
          </w:tcPr>
          <w:p w14:paraId="3A515276">
            <w:pPr>
              <w:spacing w:before="50" w:after="50" w:line="360" w:lineRule="auto"/>
              <w:rPr>
                <w:rFonts w:hint="eastAsia" w:ascii="宋体" w:hAnsi="宋体" w:cs="宋体"/>
                <w:color w:val="auto"/>
                <w:sz w:val="24"/>
                <w:highlight w:val="none"/>
              </w:rPr>
            </w:pPr>
          </w:p>
        </w:tc>
        <w:tc>
          <w:tcPr>
            <w:tcW w:w="927" w:type="pct"/>
            <w:tcBorders>
              <w:top w:val="single" w:color="auto" w:sz="4" w:space="0"/>
              <w:left w:val="single" w:color="auto" w:sz="4" w:space="0"/>
              <w:bottom w:val="single" w:color="auto" w:sz="4" w:space="0"/>
              <w:right w:val="single" w:color="auto" w:sz="4" w:space="0"/>
            </w:tcBorders>
            <w:noWrap w:val="0"/>
            <w:vAlign w:val="center"/>
          </w:tcPr>
          <w:p w14:paraId="6D70BB43">
            <w:pPr>
              <w:spacing w:before="50" w:after="50" w:line="360" w:lineRule="auto"/>
              <w:rPr>
                <w:rFonts w:hint="eastAsia" w:ascii="宋体" w:hAnsi="宋体" w:cs="宋体"/>
                <w:color w:val="auto"/>
                <w:sz w:val="24"/>
                <w:highlight w:val="none"/>
              </w:rPr>
            </w:pPr>
          </w:p>
        </w:tc>
        <w:tc>
          <w:tcPr>
            <w:tcW w:w="619" w:type="pct"/>
            <w:tcBorders>
              <w:top w:val="single" w:color="auto" w:sz="4" w:space="0"/>
              <w:left w:val="single" w:color="auto" w:sz="4" w:space="0"/>
              <w:bottom w:val="single" w:color="auto" w:sz="4" w:space="0"/>
              <w:right w:val="single" w:color="auto" w:sz="4" w:space="0"/>
            </w:tcBorders>
            <w:noWrap w:val="0"/>
            <w:vAlign w:val="center"/>
          </w:tcPr>
          <w:p w14:paraId="6B80B8E6">
            <w:pPr>
              <w:spacing w:before="50" w:after="50" w:line="360" w:lineRule="auto"/>
              <w:rPr>
                <w:rFonts w:hint="eastAsia" w:ascii="宋体" w:hAnsi="宋体" w:cs="宋体"/>
                <w:color w:val="auto"/>
                <w:sz w:val="24"/>
                <w:highlight w:val="none"/>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3479D5EA">
            <w:pPr>
              <w:spacing w:before="50" w:after="50" w:line="360" w:lineRule="auto"/>
              <w:rPr>
                <w:rFonts w:hint="eastAsia" w:ascii="宋体" w:hAnsi="宋体" w:cs="宋体"/>
                <w:color w:val="auto"/>
                <w:sz w:val="24"/>
                <w:highlight w:val="none"/>
              </w:rPr>
            </w:pPr>
          </w:p>
        </w:tc>
      </w:tr>
      <w:tr w14:paraId="0D229F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00" w:type="pct"/>
            <w:tcBorders>
              <w:top w:val="single" w:color="auto" w:sz="4" w:space="0"/>
              <w:left w:val="single" w:color="auto" w:sz="4" w:space="0"/>
              <w:bottom w:val="single" w:color="auto" w:sz="4" w:space="0"/>
              <w:right w:val="single" w:color="auto" w:sz="4" w:space="0"/>
            </w:tcBorders>
            <w:noWrap w:val="0"/>
            <w:vAlign w:val="center"/>
          </w:tcPr>
          <w:p w14:paraId="3807C2E7">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w:t>
            </w:r>
          </w:p>
        </w:tc>
        <w:tc>
          <w:tcPr>
            <w:tcW w:w="951" w:type="pct"/>
            <w:tcBorders>
              <w:top w:val="single" w:color="auto" w:sz="4" w:space="0"/>
              <w:left w:val="single" w:color="auto" w:sz="4" w:space="0"/>
              <w:bottom w:val="single" w:color="auto" w:sz="4" w:space="0"/>
              <w:right w:val="single" w:color="auto" w:sz="4" w:space="0"/>
            </w:tcBorders>
            <w:noWrap w:val="0"/>
            <w:vAlign w:val="center"/>
          </w:tcPr>
          <w:p w14:paraId="22031A7A">
            <w:pPr>
              <w:spacing w:before="50" w:after="5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w:t>
            </w:r>
          </w:p>
        </w:tc>
        <w:tc>
          <w:tcPr>
            <w:tcW w:w="815" w:type="pct"/>
            <w:tcBorders>
              <w:top w:val="single" w:color="auto" w:sz="4" w:space="0"/>
              <w:left w:val="single" w:color="auto" w:sz="4" w:space="0"/>
              <w:bottom w:val="single" w:color="auto" w:sz="4" w:space="0"/>
              <w:right w:val="single" w:color="auto" w:sz="4" w:space="0"/>
            </w:tcBorders>
            <w:noWrap w:val="0"/>
            <w:vAlign w:val="center"/>
          </w:tcPr>
          <w:p w14:paraId="73E77622">
            <w:pPr>
              <w:spacing w:before="50" w:after="50" w:line="360" w:lineRule="auto"/>
              <w:jc w:val="center"/>
              <w:rPr>
                <w:rFonts w:hint="eastAsia" w:ascii="宋体" w:hAnsi="宋体" w:cs="宋体"/>
                <w:b/>
                <w:color w:val="auto"/>
                <w:sz w:val="24"/>
                <w:highlight w:val="none"/>
              </w:rPr>
            </w:pPr>
          </w:p>
        </w:tc>
        <w:tc>
          <w:tcPr>
            <w:tcW w:w="447" w:type="pct"/>
            <w:tcBorders>
              <w:top w:val="single" w:color="auto" w:sz="4" w:space="0"/>
              <w:left w:val="single" w:color="auto" w:sz="4" w:space="0"/>
              <w:bottom w:val="single" w:color="auto" w:sz="4" w:space="0"/>
              <w:right w:val="single" w:color="auto" w:sz="4" w:space="0"/>
            </w:tcBorders>
            <w:noWrap w:val="0"/>
            <w:vAlign w:val="center"/>
          </w:tcPr>
          <w:p w14:paraId="1F37F10D">
            <w:pPr>
              <w:spacing w:before="50" w:after="50" w:line="360" w:lineRule="auto"/>
              <w:rPr>
                <w:rFonts w:hint="eastAsia" w:ascii="宋体" w:hAnsi="宋体" w:cs="宋体"/>
                <w:color w:val="auto"/>
                <w:sz w:val="24"/>
                <w:highlight w:val="none"/>
              </w:rPr>
            </w:pPr>
          </w:p>
        </w:tc>
        <w:tc>
          <w:tcPr>
            <w:tcW w:w="927" w:type="pct"/>
            <w:tcBorders>
              <w:top w:val="single" w:color="auto" w:sz="4" w:space="0"/>
              <w:left w:val="single" w:color="auto" w:sz="4" w:space="0"/>
              <w:bottom w:val="single" w:color="auto" w:sz="4" w:space="0"/>
              <w:right w:val="single" w:color="auto" w:sz="4" w:space="0"/>
            </w:tcBorders>
            <w:noWrap w:val="0"/>
            <w:vAlign w:val="center"/>
          </w:tcPr>
          <w:p w14:paraId="05616C73">
            <w:pPr>
              <w:spacing w:before="50" w:after="50" w:line="360" w:lineRule="auto"/>
              <w:rPr>
                <w:rFonts w:hint="eastAsia" w:ascii="宋体" w:hAnsi="宋体" w:cs="宋体"/>
                <w:color w:val="auto"/>
                <w:sz w:val="24"/>
                <w:highlight w:val="none"/>
              </w:rPr>
            </w:pPr>
          </w:p>
        </w:tc>
        <w:tc>
          <w:tcPr>
            <w:tcW w:w="619" w:type="pct"/>
            <w:tcBorders>
              <w:top w:val="single" w:color="auto" w:sz="4" w:space="0"/>
              <w:left w:val="single" w:color="auto" w:sz="4" w:space="0"/>
              <w:bottom w:val="single" w:color="auto" w:sz="4" w:space="0"/>
              <w:right w:val="single" w:color="auto" w:sz="4" w:space="0"/>
            </w:tcBorders>
            <w:noWrap w:val="0"/>
            <w:vAlign w:val="center"/>
          </w:tcPr>
          <w:p w14:paraId="3ADAC93C">
            <w:pPr>
              <w:spacing w:before="50" w:after="50" w:line="360" w:lineRule="auto"/>
              <w:rPr>
                <w:rFonts w:hint="eastAsia" w:ascii="宋体" w:hAnsi="宋体" w:cs="宋体"/>
                <w:color w:val="auto"/>
                <w:sz w:val="24"/>
                <w:highlight w:val="none"/>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755DC1A8">
            <w:pPr>
              <w:spacing w:before="50" w:after="50" w:line="360" w:lineRule="auto"/>
              <w:rPr>
                <w:rFonts w:hint="eastAsia" w:ascii="宋体" w:hAnsi="宋体" w:cs="宋体"/>
                <w:color w:val="auto"/>
                <w:sz w:val="24"/>
                <w:highlight w:val="none"/>
              </w:rPr>
            </w:pPr>
          </w:p>
        </w:tc>
      </w:tr>
      <w:tr w14:paraId="73F3D4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7F249D1F">
            <w:pPr>
              <w:spacing w:before="50" w:after="50" w:line="360" w:lineRule="auto"/>
              <w:rPr>
                <w:rFonts w:hint="eastAsia" w:ascii="宋体" w:hAnsi="宋体" w:cs="宋体"/>
                <w:color w:val="auto"/>
                <w:sz w:val="24"/>
                <w:highlight w:val="none"/>
              </w:rPr>
            </w:pPr>
            <w:r>
              <w:rPr>
                <w:rFonts w:hint="eastAsia" w:ascii="宋体" w:hAnsi="宋体" w:cs="宋体"/>
                <w:color w:val="auto"/>
                <w:sz w:val="24"/>
                <w:highlight w:val="none"/>
              </w:rPr>
              <w:t>合计金额大写：人民币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14:paraId="14E9A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754A4AA">
            <w:pPr>
              <w:spacing w:before="50" w:after="50" w:line="360" w:lineRule="auto"/>
              <w:rPr>
                <w:rFonts w:hint="eastAsia" w:ascii="宋体" w:hAnsi="宋体" w:cs="宋体"/>
                <w:color w:val="auto"/>
                <w:sz w:val="24"/>
                <w:highlight w:val="none"/>
              </w:rPr>
            </w:pPr>
            <w:r>
              <w:rPr>
                <w:rFonts w:hint="eastAsia" w:ascii="宋体" w:hAnsi="宋体" w:cs="宋体"/>
                <w:color w:val="auto"/>
                <w:sz w:val="24"/>
                <w:highlight w:val="none"/>
                <w:u w:val="single"/>
              </w:rPr>
              <w:t>投标产品中，属于本国产品总值为¥       （具体明细详见附表，附表格式自拟），占投标产品报价的比例为    %。</w:t>
            </w:r>
          </w:p>
        </w:tc>
      </w:tr>
    </w:tbl>
    <w:p w14:paraId="67A831D9">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注： </w:t>
      </w:r>
    </w:p>
    <w:p w14:paraId="7C4AD7DD">
      <w:pPr>
        <w:spacing w:line="360" w:lineRule="auto"/>
        <w:ind w:firstLine="480"/>
        <w:jc w:val="left"/>
        <w:rPr>
          <w:rFonts w:hint="eastAsia" w:ascii="宋体" w:hAnsi="宋体" w:cs="宋体"/>
          <w:b/>
          <w:color w:val="auto"/>
          <w:sz w:val="24"/>
          <w:highlight w:val="none"/>
        </w:rPr>
      </w:pPr>
      <w:r>
        <w:rPr>
          <w:rFonts w:hint="eastAsia" w:ascii="宋体" w:hAnsi="宋体" w:cs="宋体"/>
          <w:bCs/>
          <w:color w:val="auto"/>
          <w:sz w:val="24"/>
          <w:highlight w:val="none"/>
        </w:rPr>
        <w:t>1.</w:t>
      </w:r>
      <w:r>
        <w:rPr>
          <w:rFonts w:hint="eastAsia" w:ascii="宋体" w:hAnsi="宋体" w:cs="宋体"/>
          <w:color w:val="auto"/>
          <w:sz w:val="24"/>
          <w:highlight w:val="none"/>
        </w:rPr>
        <w:t>报价一经涂改，应在涂改处加盖投标人公章或者加盖电子签章或者由法定代表人或者委托代理人签字（或者电子签名）</w:t>
      </w:r>
      <w:r>
        <w:rPr>
          <w:rFonts w:hint="eastAsia" w:ascii="宋体" w:hAnsi="宋体" w:cs="宋体"/>
          <w:b/>
          <w:color w:val="auto"/>
          <w:sz w:val="24"/>
          <w:highlight w:val="none"/>
        </w:rPr>
        <w:t>，否则其投标作无效标处理。</w:t>
      </w:r>
    </w:p>
    <w:p w14:paraId="2523B6EF">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2.招标文件中列明采购专用耗材的，应按招标文件规定的耗材量提供报价。</w:t>
      </w:r>
    </w:p>
    <w:p w14:paraId="13D8F4B1">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3.如为联合体投标，“投标人名称”处必须列明联合体各方名称，并标注联合体牵头人名称，</w:t>
      </w:r>
      <w:r>
        <w:rPr>
          <w:rFonts w:hint="eastAsia" w:ascii="宋体" w:hAnsi="宋体" w:cs="宋体"/>
          <w:b/>
          <w:color w:val="auto"/>
          <w:sz w:val="24"/>
          <w:highlight w:val="none"/>
        </w:rPr>
        <w:t>否则其投标作无效标处理。</w:t>
      </w:r>
    </w:p>
    <w:p w14:paraId="5B59B29A">
      <w:pPr>
        <w:spacing w:line="360" w:lineRule="auto"/>
        <w:ind w:firstLine="456"/>
        <w:jc w:val="left"/>
        <w:rPr>
          <w:rFonts w:hint="eastAsia" w:ascii="宋体" w:hAnsi="宋体" w:cs="宋体"/>
          <w:color w:val="auto"/>
          <w:spacing w:val="-6"/>
          <w:sz w:val="24"/>
          <w:highlight w:val="none"/>
        </w:rPr>
      </w:pPr>
      <w:r>
        <w:rPr>
          <w:rFonts w:hint="eastAsia" w:ascii="宋体" w:hAnsi="宋体" w:cs="宋体"/>
          <w:color w:val="auto"/>
          <w:spacing w:val="-6"/>
          <w:sz w:val="24"/>
          <w:highlight w:val="none"/>
        </w:rPr>
        <w:t>4.如为联合体投标，盖章处须加盖联合体牵头人电子签章，</w:t>
      </w:r>
      <w:r>
        <w:rPr>
          <w:rFonts w:hint="eastAsia" w:ascii="宋体" w:hAnsi="宋体" w:cs="宋体"/>
          <w:b/>
          <w:color w:val="auto"/>
          <w:spacing w:val="-6"/>
          <w:sz w:val="24"/>
          <w:highlight w:val="none"/>
        </w:rPr>
        <w:t>否则其投标作无效标处理。</w:t>
      </w:r>
    </w:p>
    <w:p w14:paraId="3BFF1B36">
      <w:pPr>
        <w:spacing w:line="360" w:lineRule="auto"/>
        <w:ind w:firstLine="480"/>
        <w:rPr>
          <w:rFonts w:hint="eastAsia" w:ascii="宋体" w:hAnsi="宋体" w:cs="宋体"/>
          <w:b/>
          <w:color w:val="auto"/>
          <w:sz w:val="24"/>
          <w:highlight w:val="none"/>
        </w:rPr>
      </w:pPr>
      <w:r>
        <w:rPr>
          <w:rFonts w:hint="eastAsia" w:ascii="宋体" w:hAnsi="宋体" w:cs="宋体"/>
          <w:color w:val="auto"/>
          <w:sz w:val="24"/>
          <w:highlight w:val="none"/>
        </w:rPr>
        <w:t>5.如有多分标，按分标分别提供开标一览表，</w:t>
      </w:r>
      <w:r>
        <w:rPr>
          <w:rFonts w:hint="eastAsia" w:ascii="宋体" w:hAnsi="宋体" w:cs="宋体"/>
          <w:b/>
          <w:color w:val="auto"/>
          <w:sz w:val="24"/>
          <w:highlight w:val="none"/>
        </w:rPr>
        <w:t>否则投标无效。</w:t>
      </w:r>
    </w:p>
    <w:p w14:paraId="49BE699B">
      <w:pPr>
        <w:spacing w:line="360" w:lineRule="auto"/>
        <w:ind w:left="-2" w:right="-817" w:firstLine="480"/>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5E34B42E">
      <w:pPr>
        <w:spacing w:line="360" w:lineRule="auto"/>
        <w:ind w:left="-31" w:right="-817" w:firstLine="480"/>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0745DC0E">
      <w:pPr>
        <w:spacing w:line="360" w:lineRule="auto"/>
        <w:ind w:left="-31" w:right="-817" w:firstLine="480"/>
        <w:rPr>
          <w:rFonts w:hint="eastAsia" w:ascii="宋体" w:hAnsi="宋体" w:cs="宋体"/>
          <w:color w:val="auto"/>
          <w:szCs w:val="21"/>
          <w:highlight w:val="none"/>
        </w:rPr>
      </w:pPr>
      <w:r>
        <w:rPr>
          <w:rFonts w:hint="eastAsia" w:ascii="宋体" w:hAnsi="宋体" w:cs="宋体"/>
          <w:color w:val="auto"/>
          <w:sz w:val="24"/>
          <w:highlight w:val="none"/>
        </w:rPr>
        <w:t>日期：    年   月   日</w:t>
      </w:r>
    </w:p>
    <w:p w14:paraId="78F9E475">
      <w:pPr>
        <w:ind w:firstLine="482"/>
        <w:rPr>
          <w:rFonts w:hint="eastAsia" w:ascii="宋体" w:hAnsi="宋体" w:cs="宋体"/>
          <w:b/>
          <w:color w:val="auto"/>
          <w:sz w:val="28"/>
          <w:szCs w:val="28"/>
          <w:highlight w:val="none"/>
        </w:rPr>
      </w:pPr>
      <w:r>
        <w:rPr>
          <w:rFonts w:hint="eastAsia" w:ascii="宋体" w:hAnsi="宋体" w:cs="宋体"/>
          <w:b/>
          <w:bCs/>
          <w:color w:val="auto"/>
          <w:sz w:val="24"/>
          <w:highlight w:val="none"/>
        </w:rPr>
        <w:br w:type="page" w:clear="all"/>
      </w:r>
      <w:r>
        <w:rPr>
          <w:rFonts w:hint="eastAsia" w:ascii="宋体" w:hAnsi="宋体" w:cs="宋体"/>
          <w:b/>
          <w:color w:val="auto"/>
          <w:sz w:val="28"/>
          <w:szCs w:val="28"/>
          <w:highlight w:val="none"/>
        </w:rPr>
        <w:t>二、资格证明文件格式</w:t>
      </w:r>
    </w:p>
    <w:p w14:paraId="7C57ACCD">
      <w:pPr>
        <w:spacing w:before="120" w:after="50" w:line="360" w:lineRule="auto"/>
        <w:ind w:firstLine="482"/>
        <w:jc w:val="left"/>
        <w:rPr>
          <w:rFonts w:hint="eastAsia" w:ascii="宋体" w:hAnsi="宋体" w:cs="宋体"/>
          <w:b/>
          <w:color w:val="auto"/>
          <w:sz w:val="24"/>
          <w:highlight w:val="none"/>
        </w:rPr>
      </w:pPr>
      <w:r>
        <w:rPr>
          <w:rFonts w:hint="eastAsia" w:ascii="宋体" w:hAnsi="宋体" w:cs="宋体"/>
          <w:b/>
          <w:color w:val="auto"/>
          <w:sz w:val="24"/>
          <w:highlight w:val="none"/>
        </w:rPr>
        <w:t xml:space="preserve">1.资格证明文件封面格式： </w:t>
      </w:r>
    </w:p>
    <w:p w14:paraId="4AB9EF42">
      <w:pPr>
        <w:spacing w:before="120" w:after="50"/>
        <w:ind w:firstLine="96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349A0496">
      <w:pPr>
        <w:spacing w:before="120" w:after="50"/>
        <w:ind w:firstLine="643"/>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6E18142C">
      <w:pPr>
        <w:spacing w:before="120" w:after="50"/>
        <w:ind w:firstLine="480"/>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065060F6">
      <w:pPr>
        <w:spacing w:before="120" w:after="50"/>
        <w:ind w:firstLine="48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7E45C01A">
      <w:pPr>
        <w:spacing w:before="120" w:after="50"/>
        <w:ind w:firstLine="480"/>
        <w:rPr>
          <w:rFonts w:hint="eastAsia" w:ascii="宋体" w:hAnsi="宋体" w:eastAsia="宋体" w:cs="宋体"/>
          <w:bCs/>
          <w:color w:val="auto"/>
          <w:sz w:val="24"/>
          <w:szCs w:val="24"/>
          <w:highlight w:val="none"/>
          <w:lang w:eastAsia="zh-CN"/>
        </w:rPr>
      </w:pPr>
      <w:r>
        <w:rPr>
          <w:rFonts w:hint="eastAsia" w:ascii="宋体" w:hAnsi="宋体" w:cs="宋体"/>
          <w:bCs/>
          <w:color w:val="auto"/>
          <w:sz w:val="24"/>
          <w:highlight w:val="none"/>
          <w:lang w:eastAsia="zh-CN"/>
        </w:rPr>
        <w:t>分标号：</w:t>
      </w:r>
    </w:p>
    <w:p w14:paraId="0F9B1C57">
      <w:pPr>
        <w:pStyle w:val="197"/>
        <w:spacing w:before="50" w:after="50"/>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2E82140B">
      <w:pPr>
        <w:spacing w:before="120" w:after="50"/>
        <w:ind w:firstLine="480"/>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34E0FFE6">
      <w:pPr>
        <w:spacing w:before="120" w:after="50" w:line="360" w:lineRule="auto"/>
        <w:ind w:firstLine="482"/>
        <w:jc w:val="left"/>
        <w:rPr>
          <w:rFonts w:hint="eastAsia" w:ascii="宋体" w:hAnsi="宋体" w:cs="宋体"/>
          <w:color w:val="auto"/>
          <w:sz w:val="24"/>
          <w:szCs w:val="20"/>
          <w:highlight w:val="none"/>
        </w:rPr>
      </w:pPr>
      <w:r>
        <w:rPr>
          <w:rFonts w:hint="eastAsia" w:ascii="宋体" w:hAnsi="宋体" w:cs="宋体"/>
          <w:b/>
          <w:bCs/>
          <w:color w:val="auto"/>
          <w:sz w:val="24"/>
          <w:highlight w:val="none"/>
        </w:rPr>
        <w:br w:type="page" w:clear="all"/>
      </w:r>
      <w:r>
        <w:rPr>
          <w:rFonts w:hint="eastAsia" w:ascii="宋体" w:hAnsi="宋体" w:cs="宋体"/>
          <w:b/>
          <w:bCs/>
          <w:color w:val="auto"/>
          <w:sz w:val="24"/>
          <w:highlight w:val="none"/>
        </w:rPr>
        <w:t>2.资格证明文件目录</w:t>
      </w:r>
    </w:p>
    <w:p w14:paraId="07C07D80">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54E5129B">
      <w:pPr>
        <w:spacing w:before="120" w:after="50"/>
        <w:ind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3.</w:t>
      </w:r>
      <w:r>
        <w:rPr>
          <w:rFonts w:hint="eastAsia" w:ascii="宋体" w:hAnsi="宋体" w:cs="宋体"/>
          <w:b/>
          <w:color w:val="auto"/>
          <w:sz w:val="28"/>
          <w:szCs w:val="28"/>
          <w:highlight w:val="none"/>
        </w:rPr>
        <w:t>投标人直接控股股东信息表</w:t>
      </w:r>
    </w:p>
    <w:p w14:paraId="403B2990">
      <w:pPr>
        <w:spacing w:before="50" w:after="120" w:line="360" w:lineRule="auto"/>
        <w:ind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投标人直接控股股东信息表</w:t>
      </w:r>
    </w:p>
    <w:tbl>
      <w:tblPr>
        <w:tblStyle w:val="30"/>
        <w:tblW w:w="0" w:type="auto"/>
        <w:tblInd w:w="-120" w:type="dxa"/>
        <w:shd w:val="clear" w:color="auto" w:fill="FBFBFB"/>
        <w:tblLayout w:type="fixed"/>
        <w:tblCellMar>
          <w:top w:w="120" w:type="dxa"/>
          <w:left w:w="120" w:type="dxa"/>
          <w:bottom w:w="120" w:type="dxa"/>
          <w:right w:w="120" w:type="dxa"/>
        </w:tblCellMar>
      </w:tblPr>
      <w:tblGrid>
        <w:gridCol w:w="828"/>
        <w:gridCol w:w="2269"/>
        <w:gridCol w:w="1239"/>
        <w:gridCol w:w="3722"/>
        <w:gridCol w:w="1418"/>
      </w:tblGrid>
      <w:tr w14:paraId="5E61457E">
        <w:tblPrEx>
          <w:shd w:val="clear" w:color="auto" w:fill="FBFBFB"/>
          <w:tblCellMar>
            <w:top w:w="120" w:type="dxa"/>
            <w:left w:w="120" w:type="dxa"/>
            <w:bottom w:w="120" w:type="dxa"/>
            <w:right w:w="12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51E49C7">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8BFD0DA">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8AF9B03">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E633821">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5139B49">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3F238867">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F947F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2FA5E0">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4FFCC3">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C895D2">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A4F571">
            <w:pPr>
              <w:spacing w:line="360" w:lineRule="auto"/>
              <w:jc w:val="center"/>
              <w:rPr>
                <w:rFonts w:hint="eastAsia" w:ascii="宋体" w:hAnsi="宋体" w:cs="宋体"/>
                <w:color w:val="auto"/>
                <w:sz w:val="24"/>
                <w:highlight w:val="none"/>
              </w:rPr>
            </w:pPr>
          </w:p>
        </w:tc>
      </w:tr>
      <w:tr w14:paraId="737CF642">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4F8C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E1B348">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FB9900">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012A93">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D5B8D8">
            <w:pPr>
              <w:spacing w:line="360" w:lineRule="auto"/>
              <w:jc w:val="center"/>
              <w:rPr>
                <w:rFonts w:hint="eastAsia" w:ascii="宋体" w:hAnsi="宋体" w:cs="宋体"/>
                <w:color w:val="auto"/>
                <w:sz w:val="24"/>
                <w:highlight w:val="none"/>
              </w:rPr>
            </w:pPr>
          </w:p>
        </w:tc>
      </w:tr>
      <w:tr w14:paraId="59B52620">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DB7FD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0B79BD">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07C7DD">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39978B">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F42AA4">
            <w:pPr>
              <w:spacing w:line="360" w:lineRule="auto"/>
              <w:jc w:val="center"/>
              <w:rPr>
                <w:rFonts w:hint="eastAsia" w:ascii="宋体" w:hAnsi="宋体" w:cs="宋体"/>
                <w:color w:val="auto"/>
                <w:sz w:val="24"/>
                <w:highlight w:val="none"/>
              </w:rPr>
            </w:pPr>
          </w:p>
        </w:tc>
      </w:tr>
      <w:tr w14:paraId="691D7C46">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B17E6C">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1446BC">
            <w:pPr>
              <w:spacing w:line="360" w:lineRule="auto"/>
              <w:jc w:val="center"/>
              <w:rPr>
                <w:rFonts w:hint="eastAsia"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0044CA">
            <w:pPr>
              <w:spacing w:line="360" w:lineRule="auto"/>
              <w:jc w:val="center"/>
              <w:rPr>
                <w:rFonts w:hint="eastAsia"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05CC58">
            <w:pPr>
              <w:spacing w:line="360" w:lineRule="auto"/>
              <w:jc w:val="center"/>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501792">
            <w:pPr>
              <w:spacing w:line="360" w:lineRule="auto"/>
              <w:jc w:val="center"/>
              <w:rPr>
                <w:rFonts w:hint="eastAsia" w:ascii="宋体" w:hAnsi="宋体" w:cs="宋体"/>
                <w:color w:val="auto"/>
                <w:sz w:val="24"/>
                <w:highlight w:val="none"/>
              </w:rPr>
            </w:pPr>
          </w:p>
        </w:tc>
      </w:tr>
    </w:tbl>
    <w:p w14:paraId="1496F0C0">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注：</w:t>
      </w:r>
    </w:p>
    <w:p w14:paraId="72EA5737">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44A8D88">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072EA9BB">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w:t>
      </w:r>
      <w:r>
        <w:rPr>
          <w:rFonts w:hint="eastAsia" w:ascii="宋体" w:hAnsi="宋体" w:cs="宋体"/>
          <w:b/>
          <w:bCs/>
          <w:color w:val="auto"/>
          <w:sz w:val="24"/>
          <w:highlight w:val="none"/>
        </w:rPr>
        <w:t>直接控股股东名称</w:t>
      </w:r>
      <w:r>
        <w:rPr>
          <w:rFonts w:hint="eastAsia" w:ascii="宋体" w:hAnsi="宋体" w:cs="宋体"/>
          <w:color w:val="auto"/>
          <w:sz w:val="24"/>
          <w:highlight w:val="none"/>
        </w:rPr>
        <w:t>”中填“无”。</w:t>
      </w:r>
    </w:p>
    <w:p w14:paraId="7B52EF5A">
      <w:pPr>
        <w:spacing w:line="360" w:lineRule="auto"/>
        <w:ind w:left="-2" w:right="-817" w:firstLine="480"/>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法定代表人或者委托代理人（签字或者电子签名）：</w:t>
      </w:r>
    </w:p>
    <w:p w14:paraId="6C9E2CFC">
      <w:pPr>
        <w:spacing w:line="360" w:lineRule="auto"/>
        <w:ind w:left="-31" w:right="-817" w:firstLine="480"/>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3D32A947">
      <w:pPr>
        <w:spacing w:line="360" w:lineRule="auto"/>
        <w:ind w:firstLine="480"/>
        <w:jc w:val="left"/>
        <w:rPr>
          <w:rFonts w:hint="eastAsia" w:ascii="宋体" w:hAnsi="宋体" w:cs="宋体"/>
          <w:color w:val="auto"/>
          <w:szCs w:val="21"/>
          <w:highlight w:val="none"/>
        </w:rPr>
      </w:pPr>
      <w:r>
        <w:rPr>
          <w:rFonts w:hint="eastAsia" w:ascii="宋体" w:hAnsi="宋体" w:cs="宋体"/>
          <w:color w:val="auto"/>
          <w:sz w:val="24"/>
          <w:highlight w:val="none"/>
        </w:rPr>
        <w:t>日期：    年   月   日</w:t>
      </w:r>
    </w:p>
    <w:p w14:paraId="1781E01C">
      <w:pPr>
        <w:spacing w:line="360" w:lineRule="auto"/>
        <w:ind w:firstLine="643"/>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r>
        <w:rPr>
          <w:rFonts w:hint="eastAsia" w:ascii="宋体" w:hAnsi="宋体" w:cs="宋体"/>
          <w:b/>
          <w:color w:val="auto"/>
          <w:sz w:val="24"/>
          <w:highlight w:val="none"/>
        </w:rPr>
        <w:t>4.</w:t>
      </w:r>
      <w:r>
        <w:rPr>
          <w:rFonts w:hint="eastAsia" w:ascii="宋体" w:hAnsi="宋体" w:cs="宋体"/>
          <w:color w:val="auto"/>
          <w:highlight w:val="none"/>
        </w:rPr>
        <w:t xml:space="preserve"> </w:t>
      </w:r>
      <w:r>
        <w:rPr>
          <w:rFonts w:hint="eastAsia" w:ascii="宋体" w:hAnsi="宋体" w:cs="宋体"/>
          <w:b/>
          <w:color w:val="auto"/>
          <w:sz w:val="28"/>
          <w:szCs w:val="28"/>
          <w:highlight w:val="none"/>
        </w:rPr>
        <w:t>投标人直接管理关系信息表</w:t>
      </w:r>
    </w:p>
    <w:p w14:paraId="4CB495FE">
      <w:pPr>
        <w:spacing w:line="360" w:lineRule="auto"/>
        <w:ind w:firstLine="643"/>
        <w:jc w:val="center"/>
        <w:rPr>
          <w:rFonts w:hint="eastAsia" w:ascii="宋体" w:hAnsi="宋体" w:cs="宋体"/>
          <w:color w:val="auto"/>
          <w:sz w:val="32"/>
          <w:szCs w:val="32"/>
          <w:highlight w:val="none"/>
        </w:rPr>
      </w:pPr>
      <w:r>
        <w:rPr>
          <w:rFonts w:hint="eastAsia" w:ascii="宋体" w:hAnsi="宋体" w:cs="宋体"/>
          <w:b/>
          <w:color w:val="auto"/>
          <w:sz w:val="32"/>
          <w:szCs w:val="32"/>
          <w:highlight w:val="none"/>
        </w:rPr>
        <w:t>投标人直接管理关系信息表</w:t>
      </w:r>
    </w:p>
    <w:tbl>
      <w:tblPr>
        <w:tblStyle w:val="30"/>
        <w:tblW w:w="0" w:type="auto"/>
        <w:tblInd w:w="-120" w:type="dxa"/>
        <w:shd w:val="clear" w:color="auto" w:fill="FBFBFB"/>
        <w:tblLayout w:type="fixed"/>
        <w:tblCellMar>
          <w:top w:w="120" w:type="dxa"/>
          <w:left w:w="120" w:type="dxa"/>
          <w:bottom w:w="120" w:type="dxa"/>
          <w:right w:w="120" w:type="dxa"/>
        </w:tblCellMar>
      </w:tblPr>
      <w:tblGrid>
        <w:gridCol w:w="1005"/>
        <w:gridCol w:w="2659"/>
        <w:gridCol w:w="3924"/>
        <w:gridCol w:w="2064"/>
      </w:tblGrid>
      <w:tr w14:paraId="02F190DB">
        <w:tblPrEx>
          <w:shd w:val="clear" w:color="auto" w:fill="FBFBFB"/>
          <w:tblCellMar>
            <w:top w:w="120" w:type="dxa"/>
            <w:left w:w="120" w:type="dxa"/>
            <w:bottom w:w="120" w:type="dxa"/>
            <w:right w:w="12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9D1A00B">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DF8F134">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D590C07">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4C6DE30">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179B8135">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C628D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80D917">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E4F07B">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D09C7A">
            <w:pPr>
              <w:spacing w:line="360" w:lineRule="auto"/>
              <w:jc w:val="center"/>
              <w:rPr>
                <w:rFonts w:hint="eastAsia" w:ascii="宋体" w:hAnsi="宋体" w:cs="宋体"/>
                <w:color w:val="auto"/>
                <w:sz w:val="24"/>
                <w:highlight w:val="none"/>
              </w:rPr>
            </w:pPr>
          </w:p>
        </w:tc>
      </w:tr>
      <w:tr w14:paraId="30A3E52B">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85C183">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9B903E">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408C22">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532119">
            <w:pPr>
              <w:spacing w:line="360" w:lineRule="auto"/>
              <w:jc w:val="center"/>
              <w:rPr>
                <w:rFonts w:hint="eastAsia" w:ascii="宋体" w:hAnsi="宋体" w:cs="宋体"/>
                <w:color w:val="auto"/>
                <w:sz w:val="24"/>
                <w:highlight w:val="none"/>
              </w:rPr>
            </w:pPr>
          </w:p>
        </w:tc>
      </w:tr>
      <w:tr w14:paraId="4492BE8D">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7805FD">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D8F6BD">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0BDE504">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F0493A">
            <w:pPr>
              <w:spacing w:line="360" w:lineRule="auto"/>
              <w:jc w:val="center"/>
              <w:rPr>
                <w:rFonts w:hint="eastAsia" w:ascii="宋体" w:hAnsi="宋体" w:cs="宋体"/>
                <w:color w:val="auto"/>
                <w:sz w:val="24"/>
                <w:highlight w:val="none"/>
              </w:rPr>
            </w:pPr>
          </w:p>
        </w:tc>
      </w:tr>
      <w:tr w14:paraId="002BC82F">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91F4A0">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04EC9D5">
            <w:pPr>
              <w:spacing w:line="360" w:lineRule="auto"/>
              <w:jc w:val="center"/>
              <w:rPr>
                <w:rFonts w:hint="eastAsia"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0FC1437">
            <w:pPr>
              <w:spacing w:line="360" w:lineRule="auto"/>
              <w:jc w:val="center"/>
              <w:rPr>
                <w:rFonts w:hint="eastAsia"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CFFB22">
            <w:pPr>
              <w:spacing w:line="360" w:lineRule="auto"/>
              <w:jc w:val="center"/>
              <w:rPr>
                <w:rFonts w:hint="eastAsia" w:ascii="宋体" w:hAnsi="宋体" w:cs="宋体"/>
                <w:color w:val="auto"/>
                <w:sz w:val="24"/>
                <w:highlight w:val="none"/>
              </w:rPr>
            </w:pPr>
          </w:p>
        </w:tc>
      </w:tr>
    </w:tbl>
    <w:p w14:paraId="4EF5086B">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注：</w:t>
      </w:r>
    </w:p>
    <w:p w14:paraId="282743DA">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2FAA6EA9">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1C109461">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w:t>
      </w:r>
      <w:r>
        <w:rPr>
          <w:rFonts w:hint="eastAsia" w:ascii="宋体" w:hAnsi="宋体" w:cs="宋体"/>
          <w:b/>
          <w:bCs/>
          <w:color w:val="auto"/>
          <w:sz w:val="24"/>
          <w:highlight w:val="none"/>
        </w:rPr>
        <w:t>直接管理关系单位名称</w:t>
      </w:r>
      <w:r>
        <w:rPr>
          <w:rFonts w:hint="eastAsia" w:ascii="宋体" w:hAnsi="宋体" w:cs="宋体"/>
          <w:color w:val="auto"/>
          <w:sz w:val="24"/>
          <w:highlight w:val="none"/>
        </w:rPr>
        <w:t>”中填“无”。</w:t>
      </w:r>
    </w:p>
    <w:p w14:paraId="04B8E3EA">
      <w:pPr>
        <w:spacing w:line="360" w:lineRule="auto"/>
        <w:ind w:left="-2" w:right="-817" w:firstLine="480"/>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法定代表人或者委托代理人（签字或者电子签名）：</w:t>
      </w:r>
    </w:p>
    <w:p w14:paraId="3F1DC25D">
      <w:pPr>
        <w:spacing w:line="360" w:lineRule="auto"/>
        <w:ind w:left="-31" w:right="-817" w:firstLine="480"/>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0CB1175F">
      <w:pPr>
        <w:spacing w:line="360" w:lineRule="auto"/>
        <w:ind w:right="480" w:firstLine="480"/>
        <w:jc w:val="left"/>
        <w:rPr>
          <w:rFonts w:hint="eastAsia" w:ascii="宋体" w:hAnsi="宋体" w:cs="宋体"/>
          <w:color w:val="auto"/>
          <w:szCs w:val="21"/>
          <w:highlight w:val="none"/>
        </w:rPr>
      </w:pPr>
      <w:r>
        <w:rPr>
          <w:rFonts w:hint="eastAsia" w:ascii="宋体" w:hAnsi="宋体" w:cs="宋体"/>
          <w:color w:val="auto"/>
          <w:sz w:val="24"/>
          <w:highlight w:val="none"/>
        </w:rPr>
        <w:t>日期：    年   月   日</w:t>
      </w:r>
    </w:p>
    <w:p w14:paraId="5A9F0267">
      <w:pPr>
        <w:spacing w:before="120" w:after="50"/>
        <w:ind w:firstLine="482"/>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5.投标声明</w:t>
      </w:r>
    </w:p>
    <w:p w14:paraId="12031A23">
      <w:pPr>
        <w:spacing w:before="50" w:after="120"/>
        <w:ind w:firstLine="88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投标声明</w:t>
      </w:r>
    </w:p>
    <w:p w14:paraId="425293EB">
      <w:pPr>
        <w:spacing w:line="400" w:lineRule="exact"/>
        <w:ind w:firstLine="480"/>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u w:val="single"/>
        </w:rPr>
        <w:t>（采购人名称）：</w:t>
      </w:r>
    </w:p>
    <w:p w14:paraId="34AE6260">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我方参加贵单位组织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）的政府采购活动。我方在此郑重声明：</w:t>
      </w:r>
    </w:p>
    <w:p w14:paraId="24660016">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6BD4C13">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1DE2E776">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 我方承诺符合《中华人民共和国政府采购法》第二十二条规定：</w:t>
      </w:r>
    </w:p>
    <w:p w14:paraId="5851CE68">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（一）具有独立承担民事责任的能力；</w:t>
      </w:r>
    </w:p>
    <w:p w14:paraId="4C620207">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（二）具有良好的商业信誉和健全的财务会计制度；</w:t>
      </w:r>
    </w:p>
    <w:p w14:paraId="0D92BC17">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（三）具有履行合同所必需的设备和专业技术能力；</w:t>
      </w:r>
    </w:p>
    <w:p w14:paraId="51003B5C">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（四）有依法缴纳税收和社会保障资金的良好记录；</w:t>
      </w:r>
    </w:p>
    <w:p w14:paraId="19860C7D">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（五）参加政府采购活动前三年内，在经营活动中没有重大违法记录；</w:t>
      </w:r>
    </w:p>
    <w:p w14:paraId="30C97AEB">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（六）法律、行政法规规定的其他条件。</w:t>
      </w:r>
    </w:p>
    <w:p w14:paraId="39A5198C">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4.以上事项如有虚假或者隐瞒，我方愿意承担一切后果，并不再寻求任何旨在减轻或者免除法律责任的辩解。</w:t>
      </w:r>
    </w:p>
    <w:p w14:paraId="1A984F7D">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特此承诺。</w:t>
      </w:r>
    </w:p>
    <w:p w14:paraId="06E61613">
      <w:pPr>
        <w:spacing w:before="50" w:after="50"/>
        <w:ind w:firstLine="480"/>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596F8258">
      <w:pPr>
        <w:spacing w:line="40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投标人名称（电子签章）：</w:t>
      </w:r>
      <w:r>
        <w:rPr>
          <w:rFonts w:hint="eastAsia" w:ascii="宋体" w:hAnsi="宋体" w:cs="宋体"/>
          <w:color w:val="auto"/>
          <w:sz w:val="24"/>
          <w:highlight w:val="none"/>
          <w:u w:val="single"/>
        </w:rPr>
        <w:t xml:space="preserve">                 </w:t>
      </w:r>
    </w:p>
    <w:p w14:paraId="19590CA4">
      <w:pPr>
        <w:spacing w:line="400" w:lineRule="exact"/>
        <w:ind w:firstLine="480"/>
        <w:contextualSpacing/>
        <w:jc w:val="left"/>
        <w:rPr>
          <w:rFonts w:hint="eastAsia" w:ascii="宋体" w:hAnsi="宋体" w:cs="宋体"/>
          <w:color w:val="auto"/>
          <w:highlight w:val="none"/>
        </w:rPr>
      </w:pPr>
      <w:r>
        <w:rPr>
          <w:rFonts w:hint="eastAsia" w:ascii="宋体" w:hAnsi="宋体" w:cs="宋体"/>
          <w:color w:val="auto"/>
          <w:sz w:val="24"/>
          <w:highlight w:val="none"/>
        </w:rPr>
        <w:t>年    月    日</w:t>
      </w:r>
    </w:p>
    <w:p w14:paraId="21D722E1">
      <w:pPr>
        <w:spacing w:line="440" w:lineRule="exact"/>
        <w:ind w:firstLine="482"/>
        <w:contextualSpacing/>
        <w:rPr>
          <w:rFonts w:hint="eastAsia" w:ascii="宋体" w:hAnsi="宋体" w:cs="宋体"/>
          <w:b/>
          <w:color w:val="auto"/>
          <w:sz w:val="24"/>
          <w:highlight w:val="none"/>
        </w:rPr>
      </w:pPr>
      <w:r>
        <w:rPr>
          <w:rFonts w:hint="eastAsia" w:ascii="宋体" w:hAnsi="宋体" w:cs="宋体"/>
          <w:b/>
          <w:color w:val="auto"/>
          <w:sz w:val="24"/>
          <w:highlight w:val="none"/>
        </w:rPr>
        <w:t>注：如为联合体投标，盖章处须加盖联合体牵头人电子签章并由联合体牵头人法定代表人签字或者盖章或者电子签名，否则投标无效。</w:t>
      </w:r>
    </w:p>
    <w:p w14:paraId="16D5201B">
      <w:pPr>
        <w:numPr>
          <w:ilvl w:val="0"/>
          <w:numId w:val="11"/>
        </w:numPr>
        <w:spacing w:before="120" w:after="50"/>
        <w:ind w:left="0" w:firstLine="562"/>
        <w:jc w:val="left"/>
        <w:rPr>
          <w:rFonts w:hint="eastAsia" w:ascii="宋体" w:hAnsi="宋体" w:cs="宋体"/>
          <w:b/>
          <w:color w:val="auto"/>
          <w:spacing w:val="20"/>
          <w:sz w:val="24"/>
          <w:highlight w:val="none"/>
        </w:rPr>
      </w:pPr>
      <w:r>
        <w:rPr>
          <w:rFonts w:hint="eastAsia" w:ascii="宋体" w:hAnsi="宋体" w:cs="宋体"/>
          <w:b/>
          <w:color w:val="auto"/>
          <w:sz w:val="28"/>
          <w:szCs w:val="28"/>
          <w:highlight w:val="none"/>
        </w:rPr>
        <w:br w:type="page" w:clear="all"/>
      </w:r>
      <w:r>
        <w:rPr>
          <w:rFonts w:hint="eastAsia" w:ascii="宋体" w:hAnsi="宋体" w:cs="宋体"/>
          <w:b/>
          <w:color w:val="auto"/>
          <w:spacing w:val="20"/>
          <w:sz w:val="24"/>
          <w:highlight w:val="none"/>
        </w:rPr>
        <w:t>贵港市政府采购项目投标资格承诺函</w:t>
      </w:r>
    </w:p>
    <w:p w14:paraId="53C0F1BA">
      <w:pPr>
        <w:numPr>
          <w:ilvl w:val="0"/>
          <w:numId w:val="0"/>
        </w:numPr>
        <w:spacing w:before="120" w:after="50"/>
        <w:jc w:val="left"/>
        <w:rPr>
          <w:rFonts w:hint="eastAsia" w:ascii="宋体" w:hAnsi="宋体" w:cs="宋体"/>
          <w:b/>
          <w:color w:val="auto"/>
          <w:spacing w:val="20"/>
          <w:sz w:val="24"/>
          <w:highlight w:val="none"/>
        </w:rPr>
      </w:pPr>
    </w:p>
    <w:p w14:paraId="6F50A5FF">
      <w:pPr>
        <w:widowControl/>
        <w:ind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贵港市政府采购项目投标资格承诺函</w:t>
      </w:r>
    </w:p>
    <w:p w14:paraId="24D63125">
      <w:pPr>
        <w:widowControl/>
        <w:ind w:firstLine="643"/>
        <w:jc w:val="center"/>
        <w:rPr>
          <w:rFonts w:hint="eastAsia" w:ascii="宋体" w:hAnsi="宋体" w:cs="宋体"/>
          <w:b/>
          <w:color w:val="auto"/>
          <w:sz w:val="32"/>
          <w:szCs w:val="32"/>
          <w:highlight w:val="none"/>
        </w:rPr>
      </w:pPr>
    </w:p>
    <w:p w14:paraId="24956CA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本公司郑重承诺，根据《中华人民共和国政府采购法》第二十二条的规定，本公司为参加政府采购活动的合格供应商。即本公司同时满足以下条件： </w:t>
      </w:r>
    </w:p>
    <w:p w14:paraId="376B4CF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1.具有独立承担民事责任的能力。 </w:t>
      </w:r>
    </w:p>
    <w:p w14:paraId="656625BD">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2.具有良好的商业信誉和健全的财务会计制度。 </w:t>
      </w:r>
    </w:p>
    <w:p w14:paraId="46CE0F98">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3.具有履行合同所必需的设备和专业技术能力。 </w:t>
      </w:r>
    </w:p>
    <w:p w14:paraId="6E9DF2F4">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4.有依法缴纳税收和社会保障资金的良好记录。 </w:t>
      </w:r>
    </w:p>
    <w:p w14:paraId="3E45EADD">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5. 提交投标文件截止日期前三年内，在经营活动中没有重大 </w:t>
      </w:r>
    </w:p>
    <w:p w14:paraId="04999937">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违法记录。 </w:t>
      </w:r>
    </w:p>
    <w:p w14:paraId="44123D3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本公司对上述承诺的真实性负责，并接受政府采购、税务、社会保障等监督管理部门、采购文件规定的资格审查机构、社会公众的监督和检查。如有虚假，将依法承担相应责任。 </w:t>
      </w:r>
    </w:p>
    <w:p w14:paraId="2E086B2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lang w:bidi="ar"/>
        </w:rPr>
        <w:t>企业名称（盖章或电子签章）：</w:t>
      </w:r>
    </w:p>
    <w:p w14:paraId="0AD46A81">
      <w:pPr>
        <w:widowControl/>
        <w:spacing w:line="360" w:lineRule="auto"/>
        <w:ind w:firstLine="480"/>
        <w:jc w:val="left"/>
        <w:rPr>
          <w:rFonts w:hint="eastAsia" w:ascii="宋体" w:hAnsi="宋体" w:cs="宋体"/>
          <w:color w:val="auto"/>
          <w:sz w:val="24"/>
          <w:highlight w:val="none"/>
          <w:lang w:bidi="ar"/>
        </w:rPr>
      </w:pPr>
      <w:r>
        <w:rPr>
          <w:rFonts w:hint="eastAsia" w:ascii="宋体" w:hAnsi="宋体" w:cs="宋体"/>
          <w:color w:val="auto"/>
          <w:sz w:val="24"/>
          <w:highlight w:val="none"/>
          <w:lang w:bidi="ar"/>
        </w:rPr>
        <w:t>法定代表人（签字或电子签章）：</w:t>
      </w:r>
    </w:p>
    <w:p w14:paraId="2E807861">
      <w:pPr>
        <w:ind w:firstLine="480"/>
        <w:rPr>
          <w:rFonts w:hint="eastAsia" w:ascii="宋体" w:hAnsi="宋体" w:cs="宋体"/>
          <w:color w:val="auto"/>
          <w:sz w:val="24"/>
          <w:highlight w:val="none"/>
          <w:lang w:bidi="ar"/>
        </w:rPr>
      </w:pPr>
      <w:r>
        <w:rPr>
          <w:rFonts w:hint="eastAsia" w:ascii="宋体" w:hAnsi="宋体" w:cs="宋体"/>
          <w:color w:val="auto"/>
          <w:sz w:val="24"/>
          <w:highlight w:val="none"/>
          <w:lang w:bidi="ar"/>
        </w:rPr>
        <w:t xml:space="preserve">日期： 年 月 日 </w:t>
      </w:r>
    </w:p>
    <w:p w14:paraId="0DCE5A0E">
      <w:pPr>
        <w:ind w:firstLine="480"/>
        <w:rPr>
          <w:rFonts w:hint="eastAsia" w:ascii="宋体" w:hAnsi="宋体" w:cs="宋体"/>
          <w:color w:val="auto"/>
          <w:sz w:val="24"/>
          <w:highlight w:val="none"/>
          <w:lang w:bidi="ar"/>
        </w:rPr>
      </w:pPr>
      <w:r>
        <w:rPr>
          <w:rFonts w:hint="eastAsia" w:ascii="宋体" w:hAnsi="宋体" w:cs="宋体"/>
          <w:color w:val="auto"/>
          <w:sz w:val="24"/>
          <w:highlight w:val="none"/>
          <w:lang w:bidi="ar"/>
        </w:rPr>
        <w:br w:type="page" w:clear="all"/>
      </w:r>
    </w:p>
    <w:p w14:paraId="56E53225">
      <w:pPr>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三、商务及技术文件格式</w:t>
      </w:r>
    </w:p>
    <w:p w14:paraId="7876CE01">
      <w:pPr>
        <w:spacing w:before="120" w:after="50" w:line="360" w:lineRule="auto"/>
        <w:ind w:firstLine="482"/>
        <w:jc w:val="left"/>
        <w:rPr>
          <w:rFonts w:hint="eastAsia" w:ascii="宋体" w:hAnsi="宋体" w:cs="宋体"/>
          <w:b/>
          <w:color w:val="auto"/>
          <w:sz w:val="24"/>
          <w:highlight w:val="none"/>
        </w:rPr>
      </w:pPr>
      <w:r>
        <w:rPr>
          <w:rFonts w:hint="eastAsia" w:ascii="宋体" w:hAnsi="宋体" w:cs="宋体"/>
          <w:b/>
          <w:color w:val="auto"/>
          <w:sz w:val="24"/>
          <w:highlight w:val="none"/>
        </w:rPr>
        <w:t xml:space="preserve">1.商务及技术文件封面格式： </w:t>
      </w:r>
    </w:p>
    <w:p w14:paraId="18570DFD">
      <w:pPr>
        <w:pStyle w:val="221"/>
        <w:rPr>
          <w:rFonts w:hint="eastAsia" w:ascii="宋体" w:hAnsi="宋体" w:cs="宋体"/>
          <w:b/>
          <w:color w:val="auto"/>
          <w:sz w:val="24"/>
          <w:highlight w:val="none"/>
        </w:rPr>
      </w:pPr>
    </w:p>
    <w:p w14:paraId="323E1009">
      <w:pPr>
        <w:pStyle w:val="222"/>
        <w:rPr>
          <w:rFonts w:hint="eastAsia"/>
          <w:color w:val="auto"/>
          <w:highlight w:val="none"/>
        </w:rPr>
      </w:pPr>
    </w:p>
    <w:p w14:paraId="22DB9128">
      <w:pPr>
        <w:spacing w:before="120" w:after="50"/>
        <w:ind w:firstLine="96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3BF20BD0">
      <w:pPr>
        <w:pStyle w:val="221"/>
        <w:rPr>
          <w:rFonts w:hint="eastAsia"/>
          <w:color w:val="auto"/>
          <w:highlight w:val="none"/>
        </w:rPr>
      </w:pPr>
    </w:p>
    <w:p w14:paraId="697EF0D8">
      <w:pPr>
        <w:spacing w:before="120" w:after="50"/>
        <w:ind w:firstLine="88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商务及技术文件</w:t>
      </w:r>
    </w:p>
    <w:p w14:paraId="41A9CA94">
      <w:pPr>
        <w:pStyle w:val="221"/>
        <w:rPr>
          <w:rFonts w:hint="eastAsia" w:ascii="宋体" w:hAnsi="宋体" w:cs="宋体"/>
          <w:bCs/>
          <w:color w:val="auto"/>
          <w:sz w:val="44"/>
          <w:szCs w:val="44"/>
          <w:highlight w:val="none"/>
        </w:rPr>
      </w:pPr>
    </w:p>
    <w:p w14:paraId="15355C33">
      <w:pPr>
        <w:pStyle w:val="222"/>
        <w:rPr>
          <w:rFonts w:hint="eastAsia"/>
          <w:color w:val="auto"/>
          <w:highlight w:val="none"/>
        </w:rPr>
      </w:pPr>
    </w:p>
    <w:p w14:paraId="7BCD9C60">
      <w:pPr>
        <w:spacing w:before="120" w:after="50"/>
        <w:ind w:firstLine="480"/>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1B42B7E2">
      <w:pPr>
        <w:spacing w:before="120" w:after="50"/>
        <w:ind w:firstLine="48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63528F61">
      <w:pPr>
        <w:spacing w:before="120" w:after="50"/>
        <w:ind w:firstLine="480"/>
        <w:rPr>
          <w:rFonts w:hint="eastAsia" w:ascii="宋体" w:hAnsi="宋体" w:eastAsia="宋体" w:cs="宋体"/>
          <w:bCs/>
          <w:color w:val="auto"/>
          <w:sz w:val="24"/>
          <w:szCs w:val="20"/>
          <w:highlight w:val="none"/>
          <w:lang w:eastAsia="zh-CN"/>
        </w:rPr>
      </w:pPr>
      <w:r>
        <w:rPr>
          <w:rFonts w:hint="eastAsia" w:ascii="宋体" w:hAnsi="宋体" w:cs="宋体"/>
          <w:bCs/>
          <w:color w:val="auto"/>
          <w:sz w:val="24"/>
          <w:szCs w:val="20"/>
          <w:highlight w:val="none"/>
          <w:lang w:eastAsia="zh-CN"/>
        </w:rPr>
        <w:t>分标号：</w:t>
      </w:r>
    </w:p>
    <w:p w14:paraId="287ECC81">
      <w:pPr>
        <w:pStyle w:val="197"/>
        <w:spacing w:before="50" w:after="50"/>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086B2B2A">
      <w:pPr>
        <w:pStyle w:val="197"/>
        <w:spacing w:before="50" w:after="50"/>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0CAB37B3">
      <w:pPr>
        <w:spacing w:before="120" w:after="50"/>
        <w:ind w:firstLine="480"/>
        <w:rPr>
          <w:rFonts w:hint="eastAsia" w:ascii="宋体" w:hAnsi="宋体" w:cs="宋体"/>
          <w:color w:val="auto"/>
          <w:sz w:val="24"/>
          <w:highlight w:val="none"/>
        </w:rPr>
      </w:pPr>
      <w:r>
        <w:rPr>
          <w:rFonts w:hint="eastAsia" w:ascii="宋体" w:hAnsi="宋体" w:cs="宋体"/>
          <w:color w:val="auto"/>
          <w:sz w:val="24"/>
          <w:highlight w:val="none"/>
        </w:rPr>
        <w:t>年  月  日</w:t>
      </w:r>
    </w:p>
    <w:p w14:paraId="2B8721FE">
      <w:pPr>
        <w:spacing w:line="360" w:lineRule="auto"/>
        <w:ind w:firstLine="480"/>
        <w:jc w:val="left"/>
        <w:rPr>
          <w:rFonts w:hint="eastAsia" w:ascii="宋体" w:hAnsi="宋体" w:cs="宋体"/>
          <w:b/>
          <w:color w:val="auto"/>
          <w:sz w:val="24"/>
          <w:highlight w:val="none"/>
        </w:rPr>
      </w:pPr>
      <w:r>
        <w:rPr>
          <w:rFonts w:hint="eastAsia" w:ascii="宋体" w:hAnsi="宋体" w:cs="宋体"/>
          <w:color w:val="auto"/>
          <w:sz w:val="24"/>
          <w:szCs w:val="20"/>
          <w:highlight w:val="none"/>
        </w:rPr>
        <w:br w:type="page" w:clear="all"/>
      </w:r>
      <w:r>
        <w:rPr>
          <w:rFonts w:hint="eastAsia" w:ascii="宋体" w:hAnsi="宋体" w:cs="宋体"/>
          <w:b/>
          <w:color w:val="auto"/>
          <w:sz w:val="24"/>
          <w:highlight w:val="none"/>
        </w:rPr>
        <w:t>2.商务及技术文件目录</w:t>
      </w:r>
    </w:p>
    <w:p w14:paraId="5B0ABF08">
      <w:pPr>
        <w:spacing w:before="50" w:after="120" w:line="360" w:lineRule="auto"/>
        <w:ind w:firstLine="560"/>
        <w:jc w:val="left"/>
        <w:rPr>
          <w:rFonts w:hint="eastAsia" w:ascii="宋体" w:hAnsi="宋体" w:cs="宋体"/>
          <w:b/>
          <w:bCs/>
          <w:color w:val="auto"/>
          <w:sz w:val="32"/>
          <w:szCs w:val="32"/>
          <w:highlight w:val="none"/>
        </w:rPr>
      </w:pPr>
      <w:r>
        <w:rPr>
          <w:rFonts w:hint="eastAsia" w:ascii="宋体" w:hAnsi="宋体" w:cs="宋体"/>
          <w:color w:val="auto"/>
          <w:sz w:val="28"/>
          <w:szCs w:val="28"/>
          <w:highlight w:val="none"/>
        </w:rPr>
        <w:t>根据招标文件规定及投标人提供的材料自行编写目录。</w:t>
      </w:r>
    </w:p>
    <w:p w14:paraId="382D4910">
      <w:pPr>
        <w:spacing w:before="120" w:after="50"/>
        <w:ind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3.投标人参加本项目无围标串标行为的承诺</w:t>
      </w:r>
    </w:p>
    <w:p w14:paraId="4319BA8D">
      <w:pPr>
        <w:spacing w:line="360" w:lineRule="auto"/>
        <w:ind w:left="420" w:firstLine="676"/>
        <w:contextualSpacing/>
        <w:jc w:val="center"/>
        <w:rPr>
          <w:rFonts w:hint="eastAsia" w:ascii="宋体" w:hAnsi="宋体" w:cs="宋体"/>
          <w:b/>
          <w:color w:val="auto"/>
          <w:sz w:val="36"/>
          <w:szCs w:val="36"/>
          <w:highlight w:val="none"/>
        </w:rPr>
      </w:pPr>
      <w:r>
        <w:rPr>
          <w:rFonts w:hint="eastAsia" w:ascii="宋体" w:hAnsi="宋体" w:cs="宋体"/>
          <w:bCs/>
          <w:color w:val="auto"/>
          <w:spacing w:val="-11"/>
          <w:sz w:val="36"/>
          <w:szCs w:val="36"/>
          <w:highlight w:val="none"/>
        </w:rPr>
        <w:t>投标人参加本项目无围标串标行为的承诺函</w:t>
      </w:r>
    </w:p>
    <w:p w14:paraId="3E3E7E93">
      <w:pPr>
        <w:spacing w:line="440" w:lineRule="exact"/>
        <w:ind w:firstLine="482"/>
        <w:contextualSpacing/>
        <w:jc w:val="left"/>
        <w:rPr>
          <w:rFonts w:hint="eastAsia" w:ascii="宋体" w:hAnsi="宋体" w:cs="宋体"/>
          <w:b/>
          <w:color w:val="auto"/>
          <w:sz w:val="24"/>
          <w:highlight w:val="none"/>
        </w:rPr>
      </w:pPr>
      <w:r>
        <w:rPr>
          <w:rFonts w:hint="eastAsia" w:ascii="宋体" w:hAnsi="宋体" w:cs="宋体"/>
          <w:b/>
          <w:color w:val="auto"/>
          <w:sz w:val="24"/>
          <w:highlight w:val="none"/>
        </w:rPr>
        <w:t>一、我方承诺无下列相互串通投标的情形：</w:t>
      </w:r>
    </w:p>
    <w:p w14:paraId="7A3272E1">
      <w:pPr>
        <w:spacing w:line="440" w:lineRule="exact"/>
        <w:ind w:firstLine="470"/>
        <w:contextualSpacing/>
        <w:jc w:val="left"/>
        <w:rPr>
          <w:rFonts w:hint="eastAsia" w:ascii="宋体" w:hAnsi="宋体" w:cs="宋体"/>
          <w:color w:val="auto"/>
          <w:sz w:val="24"/>
          <w:highlight w:val="none"/>
        </w:rPr>
      </w:pPr>
      <w:r>
        <w:rPr>
          <w:rFonts w:hint="eastAsia" w:ascii="宋体" w:hAnsi="宋体" w:cs="宋体"/>
          <w:color w:val="auto"/>
          <w:sz w:val="24"/>
          <w:highlight w:val="none"/>
        </w:rPr>
        <w:t>1.不同投标人的投标文件由同一单位或者个人编制；</w:t>
      </w:r>
      <w:r>
        <w:rPr>
          <w:rFonts w:hint="eastAsia" w:ascii="宋体" w:hAnsi="宋体"/>
          <w:color w:val="auto"/>
          <w:sz w:val="24"/>
          <w:highlight w:val="none"/>
        </w:rPr>
        <w:t>或不同投标人报名的IP地址一致的；</w:t>
      </w:r>
    </w:p>
    <w:p w14:paraId="22FEE8D8">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2.不同投标人委托同一单位或者个人办理投标事宜；</w:t>
      </w:r>
    </w:p>
    <w:p w14:paraId="78A85640">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3.不同的投标人的投标文件载明的项目管理员为同一个人；</w:t>
      </w:r>
    </w:p>
    <w:p w14:paraId="5D063B57">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4.不同投标人的投标文件异常一致或者投标报价呈规律性差异；</w:t>
      </w:r>
    </w:p>
    <w:p w14:paraId="22DF5E96">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5.不同投标人的投标文件相互混装；</w:t>
      </w:r>
    </w:p>
    <w:p w14:paraId="6E8C9048">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6.不同投标人的投标保证金从同一单位或者个人账户转出。</w:t>
      </w:r>
    </w:p>
    <w:p w14:paraId="22CA751B">
      <w:pPr>
        <w:spacing w:line="440" w:lineRule="exact"/>
        <w:ind w:firstLine="482"/>
        <w:contextualSpacing/>
        <w:jc w:val="left"/>
        <w:rPr>
          <w:rFonts w:hint="eastAsia" w:ascii="宋体" w:hAnsi="宋体" w:cs="宋体"/>
          <w:color w:val="auto"/>
          <w:sz w:val="24"/>
          <w:highlight w:val="none"/>
        </w:rPr>
      </w:pPr>
      <w:r>
        <w:rPr>
          <w:rFonts w:hint="eastAsia" w:ascii="宋体" w:hAnsi="宋体" w:cs="宋体"/>
          <w:b/>
          <w:color w:val="auto"/>
          <w:sz w:val="24"/>
          <w:highlight w:val="none"/>
        </w:rPr>
        <w:t>二、我方承诺无下列恶意串通的情形：</w:t>
      </w:r>
    </w:p>
    <w:p w14:paraId="26591B11">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1.投标人直接或者间接从采购人或者采购代理机构处获得其他投标人的相关信息并修改其投标文件或者投标文件；</w:t>
      </w:r>
    </w:p>
    <w:p w14:paraId="0C93B8B0">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2.投标人按照采购人或者采购代理机构的授意撤换、修改投标文件或者投标文件；</w:t>
      </w:r>
    </w:p>
    <w:p w14:paraId="5F31AF15">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3.投标人之间协商报价、技术方案等投标文件或者投标文件的实质性内容；</w:t>
      </w:r>
    </w:p>
    <w:p w14:paraId="6C5B72F2">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4.属于同一集团、协会、商会等组织成员的投标人按照该组织要求协同参加政府采购活动；</w:t>
      </w:r>
    </w:p>
    <w:p w14:paraId="147EFAB1">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530E426D">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6.投标人之间商定部分投标人放弃参加政府采购活动或者放弃中标；</w:t>
      </w:r>
    </w:p>
    <w:p w14:paraId="5DB91105">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7.投标人与采购人或者采购代理机构之间、投标人相互之间，为谋求特定投标人中标或者排斥其他投标人的其他串通行为。</w:t>
      </w:r>
    </w:p>
    <w:p w14:paraId="33E0B43D">
      <w:pPr>
        <w:spacing w:line="440" w:lineRule="exact"/>
        <w:ind w:firstLine="482"/>
        <w:contextualSpacing/>
        <w:jc w:val="left"/>
        <w:rPr>
          <w:rFonts w:hint="eastAsia" w:ascii="宋体" w:hAnsi="宋体" w:cs="宋体"/>
          <w:b/>
          <w:color w:val="auto"/>
          <w:sz w:val="24"/>
          <w:highlight w:val="none"/>
        </w:rPr>
      </w:pPr>
      <w:r>
        <w:rPr>
          <w:rFonts w:hint="eastAsia" w:ascii="宋体" w:hAnsi="宋体" w:cs="宋体"/>
          <w:b/>
          <w:color w:val="auto"/>
          <w:sz w:val="24"/>
          <w:highlight w:val="none"/>
        </w:rPr>
        <w:t>以上情形一经核查属实，我方愿意承担一切后果，并不再寻求任何旨在减轻或者免除法律责任的辩解。</w:t>
      </w:r>
    </w:p>
    <w:p w14:paraId="3502B4E2">
      <w:pPr>
        <w:pStyle w:val="231"/>
        <w:spacing w:line="440" w:lineRule="exact"/>
        <w:ind w:firstLine="480"/>
        <w:contextualSpacing/>
        <w:jc w:val="right"/>
        <w:rPr>
          <w:rFonts w:hint="eastAsia" w:hAnsi="宋体" w:cs="宋体"/>
          <w:color w:val="auto"/>
          <w:sz w:val="24"/>
          <w:szCs w:val="24"/>
          <w:highlight w:val="none"/>
        </w:rPr>
      </w:pPr>
      <w:r>
        <w:rPr>
          <w:rFonts w:hint="eastAsia" w:hAnsi="宋体" w:cs="宋体"/>
          <w:color w:val="auto"/>
          <w:sz w:val="24"/>
          <w:highlight w:val="none"/>
        </w:rPr>
        <w:t>法定代表人或者委托代理人</w:t>
      </w:r>
      <w:r>
        <w:rPr>
          <w:rFonts w:hint="eastAsia" w:hAnsi="宋体" w:cs="宋体"/>
          <w:color w:val="auto"/>
          <w:spacing w:val="20"/>
          <w:sz w:val="24"/>
          <w:highlight w:val="none"/>
        </w:rPr>
        <w:t>（签字或者电子签名）：</w:t>
      </w:r>
      <w:r>
        <w:rPr>
          <w:rFonts w:hint="eastAsia" w:hAnsi="宋体" w:cs="宋体"/>
          <w:color w:val="auto"/>
          <w:spacing w:val="20"/>
          <w:sz w:val="24"/>
          <w:highlight w:val="none"/>
          <w:u w:val="single"/>
        </w:rPr>
        <w:t xml:space="preserve">        </w:t>
      </w:r>
    </w:p>
    <w:p w14:paraId="5E411085">
      <w:pPr>
        <w:pStyle w:val="231"/>
        <w:spacing w:line="440" w:lineRule="exact"/>
        <w:ind w:firstLine="480"/>
        <w:contextualSpacing/>
        <w:jc w:val="right"/>
        <w:rPr>
          <w:rFonts w:hint="eastAsia" w:hAnsi="宋体" w:cs="宋体"/>
          <w:color w:val="auto"/>
          <w:sz w:val="24"/>
          <w:szCs w:val="24"/>
          <w:highlight w:val="none"/>
        </w:rPr>
      </w:pPr>
      <w:r>
        <w:rPr>
          <w:rFonts w:hint="eastAsia" w:hAnsi="宋体" w:cs="宋体"/>
          <w:color w:val="auto"/>
          <w:sz w:val="24"/>
          <w:szCs w:val="24"/>
          <w:highlight w:val="none"/>
        </w:rPr>
        <w:t>投标人名称（电子签章）</w:t>
      </w:r>
    </w:p>
    <w:p w14:paraId="44D2A723">
      <w:pPr>
        <w:pStyle w:val="231"/>
        <w:spacing w:line="440" w:lineRule="exact"/>
        <w:ind w:firstLine="480"/>
        <w:contextualSpacing/>
        <w:jc w:val="right"/>
        <w:rPr>
          <w:rFonts w:hint="eastAsia" w:hAnsi="宋体" w:cs="宋体"/>
          <w:color w:val="auto"/>
          <w:sz w:val="24"/>
          <w:highlight w:val="none"/>
        </w:rPr>
      </w:pPr>
      <w:r>
        <w:rPr>
          <w:rFonts w:hint="eastAsia" w:hAnsi="宋体" w:cs="宋体"/>
          <w:color w:val="auto"/>
          <w:sz w:val="24"/>
          <w:highlight w:val="none"/>
          <w:u w:val="single"/>
        </w:rPr>
        <w:t xml:space="preserve">     </w:t>
      </w:r>
      <w:r>
        <w:rPr>
          <w:rFonts w:hint="eastAsia" w:hAnsi="宋体" w:cs="宋体"/>
          <w:color w:val="auto"/>
          <w:sz w:val="24"/>
          <w:highlight w:val="none"/>
        </w:rPr>
        <w:t>年</w:t>
      </w:r>
      <w:r>
        <w:rPr>
          <w:rFonts w:hint="eastAsia" w:hAnsi="宋体" w:cs="宋体"/>
          <w:color w:val="auto"/>
          <w:sz w:val="24"/>
          <w:highlight w:val="none"/>
          <w:u w:val="single"/>
        </w:rPr>
        <w:t xml:space="preserve">    </w:t>
      </w:r>
      <w:r>
        <w:rPr>
          <w:rFonts w:hint="eastAsia" w:hAnsi="宋体" w:cs="宋体"/>
          <w:color w:val="auto"/>
          <w:sz w:val="24"/>
          <w:highlight w:val="none"/>
        </w:rPr>
        <w:t>月</w:t>
      </w:r>
      <w:r>
        <w:rPr>
          <w:rFonts w:hint="eastAsia" w:hAnsi="宋体" w:cs="宋体"/>
          <w:color w:val="auto"/>
          <w:sz w:val="24"/>
          <w:highlight w:val="none"/>
          <w:u w:val="single"/>
        </w:rPr>
        <w:t xml:space="preserve">     </w:t>
      </w:r>
      <w:r>
        <w:rPr>
          <w:rFonts w:hint="eastAsia" w:hAnsi="宋体" w:cs="宋体"/>
          <w:color w:val="auto"/>
          <w:sz w:val="24"/>
          <w:highlight w:val="none"/>
        </w:rPr>
        <w:t>日</w:t>
      </w:r>
    </w:p>
    <w:p w14:paraId="312C6330">
      <w:pPr>
        <w:pStyle w:val="231"/>
        <w:spacing w:line="440" w:lineRule="exact"/>
        <w:ind w:firstLine="480"/>
        <w:contextualSpacing/>
        <w:jc w:val="right"/>
        <w:rPr>
          <w:rFonts w:hint="eastAsia" w:hAnsi="宋体" w:cs="宋体"/>
          <w:color w:val="auto"/>
          <w:sz w:val="24"/>
          <w:highlight w:val="none"/>
        </w:rPr>
      </w:pPr>
    </w:p>
    <w:p w14:paraId="492DC457">
      <w:pPr>
        <w:pStyle w:val="231"/>
        <w:spacing w:line="440" w:lineRule="exact"/>
        <w:ind w:firstLine="480"/>
        <w:contextualSpacing/>
        <w:jc w:val="right"/>
        <w:rPr>
          <w:rFonts w:hint="eastAsia" w:hAnsi="宋体" w:cs="宋体"/>
          <w:color w:val="auto"/>
          <w:sz w:val="24"/>
          <w:highlight w:val="none"/>
        </w:rPr>
      </w:pPr>
    </w:p>
    <w:p w14:paraId="08B8CE77">
      <w:pPr>
        <w:spacing w:before="120" w:after="50"/>
        <w:ind w:firstLine="482"/>
        <w:jc w:val="left"/>
        <w:rPr>
          <w:rFonts w:hint="eastAsia" w:ascii="宋体" w:hAnsi="宋体" w:cs="宋体"/>
          <w:b/>
          <w:color w:val="auto"/>
          <w:sz w:val="24"/>
          <w:szCs w:val="20"/>
          <w:highlight w:val="none"/>
        </w:rPr>
      </w:pPr>
      <w:r>
        <w:rPr>
          <w:rFonts w:hint="eastAsia" w:ascii="宋体" w:hAnsi="宋体" w:cs="宋体"/>
          <w:b/>
          <w:color w:val="auto"/>
          <w:sz w:val="24"/>
          <w:highlight w:val="none"/>
        </w:rPr>
        <w:t>4.法定代表人身份证明</w:t>
      </w:r>
    </w:p>
    <w:p w14:paraId="67FBEF14">
      <w:pPr>
        <w:spacing w:before="240" w:after="120"/>
        <w:ind w:left="540" w:firstLine="880"/>
        <w:jc w:val="center"/>
        <w:rPr>
          <w:rFonts w:hint="eastAsia" w:ascii="宋体" w:hAnsi="宋体" w:cs="宋体"/>
          <w:bCs/>
          <w:color w:val="auto"/>
          <w:sz w:val="44"/>
          <w:szCs w:val="44"/>
          <w:highlight w:val="none"/>
        </w:rPr>
      </w:pPr>
    </w:p>
    <w:p w14:paraId="4489A981">
      <w:pPr>
        <w:spacing w:before="240" w:after="120"/>
        <w:ind w:left="540" w:firstLine="88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法定代表人身份证明</w:t>
      </w:r>
    </w:p>
    <w:p w14:paraId="3C59CC53">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p>
    <w:p w14:paraId="743D8190">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4033CF93">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35A7FEFE">
      <w:pPr>
        <w:spacing w:line="500" w:lineRule="exact"/>
        <w:ind w:left="540" w:firstLine="480"/>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1952F30F">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19A146AC">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14:paraId="7D9D2FC2">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特此证明。</w:t>
      </w:r>
    </w:p>
    <w:p w14:paraId="3A9356BF">
      <w:pPr>
        <w:spacing w:line="500" w:lineRule="exact"/>
        <w:ind w:left="540" w:firstLine="480"/>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附件：法定代表人有效身份证正反面复印件或扫描件</w:t>
      </w:r>
    </w:p>
    <w:p w14:paraId="53188974">
      <w:pPr>
        <w:spacing w:line="500" w:lineRule="exact"/>
        <w:ind w:left="540" w:firstLine="480"/>
        <w:jc w:val="right"/>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4BDF2CDD">
      <w:pPr>
        <w:spacing w:before="120" w:after="50"/>
        <w:ind w:left="540" w:firstLine="480"/>
        <w:jc w:val="right"/>
        <w:rPr>
          <w:rFonts w:hint="eastAsia"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474046BA">
      <w:pPr>
        <w:spacing w:before="120" w:after="50"/>
        <w:ind w:firstLine="480"/>
        <w:jc w:val="left"/>
        <w:rPr>
          <w:rFonts w:hint="eastAsia" w:ascii="宋体" w:hAnsi="宋体" w:cs="宋体"/>
          <w:b/>
          <w:color w:val="auto"/>
          <w:sz w:val="24"/>
          <w:szCs w:val="20"/>
          <w:highlight w:val="none"/>
        </w:rPr>
      </w:pPr>
      <w:r>
        <w:rPr>
          <w:rFonts w:hint="eastAsia" w:ascii="宋体" w:hAnsi="宋体" w:cs="宋体"/>
          <w:color w:val="auto"/>
          <w:sz w:val="24"/>
          <w:highlight w:val="none"/>
        </w:rPr>
        <w:t>注：自然人投标的无需提供</w:t>
      </w:r>
    </w:p>
    <w:p w14:paraId="1E927675">
      <w:pPr>
        <w:spacing w:before="120" w:after="50"/>
        <w:ind w:firstLine="482"/>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5.授权委托书格式</w:t>
      </w:r>
    </w:p>
    <w:p w14:paraId="37174899">
      <w:pPr>
        <w:spacing w:line="360" w:lineRule="auto"/>
        <w:ind w:firstLine="880"/>
        <w:contextualSpacing/>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授权委托书</w:t>
      </w:r>
    </w:p>
    <w:p w14:paraId="546FEA99">
      <w:pPr>
        <w:spacing w:line="360" w:lineRule="auto"/>
        <w:ind w:firstLine="640"/>
        <w:contextualSpacing/>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（非联合体投标格式）</w:t>
      </w:r>
    </w:p>
    <w:p w14:paraId="1779DCD2">
      <w:pPr>
        <w:spacing w:line="360" w:lineRule="auto"/>
        <w:ind w:firstLine="640"/>
        <w:contextualSpacing/>
        <w:jc w:val="center"/>
        <w:rPr>
          <w:rFonts w:hint="eastAsia" w:ascii="宋体" w:hAnsi="宋体" w:cs="宋体"/>
          <w:bCs/>
          <w:color w:val="auto"/>
          <w:sz w:val="24"/>
          <w:highlight w:val="none"/>
        </w:rPr>
      </w:pPr>
      <w:r>
        <w:rPr>
          <w:rFonts w:hint="eastAsia" w:ascii="宋体" w:hAnsi="宋体" w:cs="宋体"/>
          <w:bCs/>
          <w:color w:val="auto"/>
          <w:sz w:val="32"/>
          <w:szCs w:val="32"/>
          <w:highlight w:val="none"/>
        </w:rPr>
        <w:t>（如有委托时）</w:t>
      </w:r>
    </w:p>
    <w:p w14:paraId="07D58522">
      <w:pPr>
        <w:spacing w:line="440" w:lineRule="exact"/>
        <w:ind w:firstLine="480"/>
        <w:contextualSpacing/>
        <w:rPr>
          <w:rFonts w:hint="eastAsia" w:ascii="宋体" w:hAnsi="宋体" w:cs="宋体"/>
          <w:b/>
          <w:bCs/>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DFA862D">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（投标人名称）的法定代表人，现授权委托</w:t>
      </w:r>
      <w:r>
        <w:rPr>
          <w:rFonts w:hint="eastAsia" w:ascii="宋体" w:hAnsi="宋体" w:cs="宋体"/>
          <w:color w:val="auto"/>
          <w:sz w:val="24"/>
          <w:highlight w:val="none"/>
          <w:u w:val="single"/>
        </w:rPr>
        <w:t xml:space="preserve">              （姓名）</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（项目名称）项目</w:t>
      </w:r>
      <w:r>
        <w:rPr>
          <w:rFonts w:hint="eastAsia" w:ascii="宋体" w:hAnsi="宋体" w:cs="宋体"/>
          <w:color w:val="auto"/>
          <w:sz w:val="24"/>
          <w:highlight w:val="none"/>
        </w:rPr>
        <w:t>的投标活动，并代表我方全权办理针对上述项目的所有采购程序和环节的具体事务和签署相关文件。</w:t>
      </w:r>
    </w:p>
    <w:p w14:paraId="7B90AF4A">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我方对委托代理人的签字或者电子签名事项负全部责任。</w:t>
      </w:r>
    </w:p>
    <w:p w14:paraId="28F2B575">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59EF0D4F">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5A7C1D74">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附：法定代表人身份证明及委托代理人有效身份证正反面复印件或扫描件</w:t>
      </w:r>
    </w:p>
    <w:p w14:paraId="19F1BE24">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委托代理人（签字或者电子签名）：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5FCED55">
      <w:pPr>
        <w:spacing w:line="440" w:lineRule="exact"/>
        <w:ind w:firstLine="480"/>
        <w:contextualSpacing/>
        <w:rPr>
          <w:rFonts w:hint="eastAsia" w:ascii="宋体" w:hAnsi="宋体" w:cs="宋体"/>
          <w:color w:val="auto"/>
          <w:sz w:val="24"/>
          <w:highlight w:val="none"/>
          <w:u w:val="single"/>
        </w:rPr>
      </w:pPr>
      <w:r>
        <w:rPr>
          <w:rFonts w:hint="eastAsia" w:ascii="宋体" w:hAnsi="宋体" w:cs="宋体"/>
          <w:color w:val="auto"/>
          <w:sz w:val="24"/>
          <w:highlight w:val="none"/>
        </w:rPr>
        <w:t>委托代理人身份证号码：</w:t>
      </w:r>
      <w:r>
        <w:rPr>
          <w:rFonts w:hint="eastAsia" w:ascii="宋体" w:hAnsi="宋体" w:cs="宋体"/>
          <w:color w:val="auto"/>
          <w:sz w:val="24"/>
          <w:highlight w:val="none"/>
          <w:u w:val="single"/>
        </w:rPr>
        <w:t xml:space="preserve">                             </w:t>
      </w:r>
    </w:p>
    <w:p w14:paraId="60419E6A">
      <w:pPr>
        <w:spacing w:line="440" w:lineRule="exact"/>
        <w:ind w:firstLine="480"/>
        <w:contextualSpacing/>
        <w:rPr>
          <w:rFonts w:hint="eastAsia" w:ascii="宋体" w:hAnsi="宋体" w:cs="宋体"/>
          <w:color w:val="auto"/>
          <w:sz w:val="24"/>
          <w:highlight w:val="none"/>
          <w:u w:val="single"/>
        </w:rPr>
      </w:pPr>
      <w:r>
        <w:rPr>
          <w:rFonts w:hint="eastAsia" w:ascii="宋体" w:hAnsi="宋体" w:cs="宋体"/>
          <w:color w:val="auto"/>
          <w:sz w:val="24"/>
          <w:highlight w:val="none"/>
        </w:rPr>
        <w:t>法定代表人（签字或者盖章或者电子签名）：</w:t>
      </w:r>
      <w:r>
        <w:rPr>
          <w:rFonts w:hint="eastAsia" w:ascii="宋体" w:hAnsi="宋体" w:cs="宋体"/>
          <w:color w:val="auto"/>
          <w:sz w:val="24"/>
          <w:highlight w:val="none"/>
          <w:u w:val="single"/>
        </w:rPr>
        <w:t xml:space="preserve">              </w:t>
      </w:r>
    </w:p>
    <w:p w14:paraId="6F0C284C">
      <w:pPr>
        <w:spacing w:line="440" w:lineRule="exact"/>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投标人名称（电子签章）：</w:t>
      </w:r>
    </w:p>
    <w:p w14:paraId="72C724D6">
      <w:pPr>
        <w:spacing w:line="440" w:lineRule="exact"/>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087E729D">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注：1.法定代表人必须在授权委托书上签字或者盖章或者电子签名，委托代理人必须在授权委托书上签字或者电子签名，</w:t>
      </w:r>
      <w:r>
        <w:rPr>
          <w:rFonts w:hint="eastAsia" w:ascii="宋体" w:hAnsi="宋体" w:cs="宋体"/>
          <w:b/>
          <w:bCs/>
          <w:color w:val="auto"/>
          <w:sz w:val="24"/>
          <w:highlight w:val="none"/>
        </w:rPr>
        <w:t>否则按无效投标处理</w:t>
      </w:r>
      <w:r>
        <w:rPr>
          <w:rFonts w:hint="eastAsia" w:ascii="宋体" w:hAnsi="宋体" w:cs="宋体"/>
          <w:color w:val="auto"/>
          <w:sz w:val="24"/>
          <w:highlight w:val="none"/>
        </w:rPr>
        <w:t>；</w:t>
      </w:r>
    </w:p>
    <w:p w14:paraId="3A6D4EDE">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2.法人、其他组织投标时“我方”是指“我单位”，自然人投标时“我方”是指“本人”。</w:t>
      </w:r>
    </w:p>
    <w:p w14:paraId="47C6A4CC">
      <w:pPr>
        <w:spacing w:before="120" w:after="50"/>
        <w:ind w:firstLine="480"/>
        <w:jc w:val="center"/>
        <w:rPr>
          <w:rFonts w:hint="eastAsia" w:ascii="宋体" w:hAnsi="宋体" w:cs="宋体"/>
          <w:color w:val="auto"/>
          <w:sz w:val="44"/>
          <w:szCs w:val="44"/>
          <w:highlight w:val="none"/>
        </w:rPr>
      </w:pPr>
      <w:r>
        <w:rPr>
          <w:rFonts w:hint="eastAsia" w:ascii="宋体" w:hAnsi="宋体" w:cs="宋体"/>
          <w:color w:val="auto"/>
          <w:sz w:val="24"/>
          <w:highlight w:val="none"/>
        </w:rPr>
        <w:br w:type="page" w:clear="all"/>
      </w:r>
      <w:r>
        <w:rPr>
          <w:rFonts w:hint="eastAsia" w:ascii="宋体" w:hAnsi="宋体" w:cs="宋体"/>
          <w:color w:val="auto"/>
          <w:sz w:val="44"/>
          <w:szCs w:val="44"/>
          <w:highlight w:val="none"/>
        </w:rPr>
        <w:t>授权委托书</w:t>
      </w:r>
    </w:p>
    <w:p w14:paraId="502C2D93">
      <w:pPr>
        <w:spacing w:before="120" w:after="50"/>
        <w:ind w:firstLine="64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（联合体投标格式）</w:t>
      </w:r>
    </w:p>
    <w:p w14:paraId="3255558C">
      <w:pPr>
        <w:spacing w:before="120" w:after="50"/>
        <w:ind w:firstLine="640"/>
        <w:jc w:val="center"/>
        <w:rPr>
          <w:rFonts w:hint="eastAsia" w:ascii="宋体" w:hAnsi="宋体" w:cs="宋体"/>
          <w:color w:val="auto"/>
          <w:sz w:val="24"/>
          <w:highlight w:val="none"/>
        </w:rPr>
      </w:pPr>
      <w:r>
        <w:rPr>
          <w:rFonts w:hint="eastAsia" w:ascii="宋体" w:hAnsi="宋体" w:cs="宋体"/>
          <w:color w:val="auto"/>
          <w:sz w:val="32"/>
          <w:szCs w:val="32"/>
          <w:highlight w:val="none"/>
        </w:rPr>
        <w:t>（如有委托时）</w:t>
      </w:r>
    </w:p>
    <w:p w14:paraId="436FA87F">
      <w:pPr>
        <w:spacing w:line="440" w:lineRule="exact"/>
        <w:ind w:firstLine="480"/>
        <w:contextualSpacing/>
        <w:jc w:val="left"/>
        <w:rPr>
          <w:rFonts w:hint="eastAsia" w:ascii="宋体" w:hAnsi="宋体" w:cs="宋体"/>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1E3E3F0">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 xml:space="preserve">根据 </w:t>
      </w:r>
      <w:r>
        <w:rPr>
          <w:rFonts w:hint="eastAsia" w:ascii="宋体" w:hAnsi="宋体" w:cs="宋体"/>
          <w:color w:val="auto"/>
          <w:sz w:val="24"/>
          <w:highlight w:val="none"/>
          <w:u w:val="single"/>
        </w:rPr>
        <w:t xml:space="preserve"> （牵头人名称）</w:t>
      </w:r>
      <w:r>
        <w:rPr>
          <w:rFonts w:hint="eastAsia" w:ascii="宋体" w:hAnsi="宋体" w:cs="宋体"/>
          <w:color w:val="auto"/>
          <w:sz w:val="24"/>
          <w:highlight w:val="none"/>
        </w:rPr>
        <w:t>与</w:t>
      </w:r>
      <w:r>
        <w:rPr>
          <w:rFonts w:hint="eastAsia" w:ascii="宋体" w:hAnsi="宋体" w:cs="宋体"/>
          <w:color w:val="auto"/>
          <w:sz w:val="24"/>
          <w:highlight w:val="none"/>
          <w:u w:val="single"/>
        </w:rPr>
        <w:t>（联合体其他成员名称）</w:t>
      </w:r>
      <w:r>
        <w:rPr>
          <w:rFonts w:hint="eastAsia" w:ascii="宋体" w:hAnsi="宋体" w:cs="宋体"/>
          <w:color w:val="auto"/>
          <w:sz w:val="24"/>
          <w:highlight w:val="none"/>
        </w:rPr>
        <w:t>签订的《联合体投标协议书》的内容，</w:t>
      </w:r>
      <w:r>
        <w:rPr>
          <w:rFonts w:hint="eastAsia" w:ascii="宋体" w:hAnsi="宋体" w:cs="宋体"/>
          <w:color w:val="auto"/>
          <w:sz w:val="24"/>
          <w:highlight w:val="none"/>
          <w:u w:val="single"/>
        </w:rPr>
        <w:t>（牵头人名称）</w:t>
      </w:r>
      <w:r>
        <w:rPr>
          <w:rFonts w:hint="eastAsia" w:ascii="宋体" w:hAnsi="宋体" w:cs="宋体"/>
          <w:color w:val="auto"/>
          <w:sz w:val="24"/>
          <w:highlight w:val="none"/>
        </w:rPr>
        <w:t>的法定代表人</w:t>
      </w:r>
      <w:r>
        <w:rPr>
          <w:rFonts w:hint="eastAsia" w:ascii="宋体" w:hAnsi="宋体" w:cs="宋体"/>
          <w:color w:val="auto"/>
          <w:sz w:val="24"/>
          <w:highlight w:val="none"/>
          <w:u w:val="single"/>
        </w:rPr>
        <w:t>（姓名）</w:t>
      </w:r>
      <w:r>
        <w:rPr>
          <w:rFonts w:hint="eastAsia" w:ascii="宋体" w:hAnsi="宋体" w:cs="宋体"/>
          <w:color w:val="auto"/>
          <w:sz w:val="24"/>
          <w:highlight w:val="none"/>
        </w:rPr>
        <w:t>现授权委托</w:t>
      </w:r>
      <w:r>
        <w:rPr>
          <w:rFonts w:hint="eastAsia" w:ascii="宋体" w:hAnsi="宋体" w:cs="宋体"/>
          <w:color w:val="auto"/>
          <w:sz w:val="24"/>
          <w:highlight w:val="none"/>
          <w:u w:val="single"/>
        </w:rPr>
        <w:t xml:space="preserve">              （姓名）</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（项目名称）</w:t>
      </w:r>
      <w:r>
        <w:rPr>
          <w:rFonts w:hint="eastAsia" w:ascii="宋体" w:hAnsi="宋体" w:cs="宋体"/>
          <w:color w:val="auto"/>
          <w:sz w:val="24"/>
          <w:highlight w:val="none"/>
        </w:rPr>
        <w:t>项目的投标活动，并代表我方全权办理针对上述项目的所有采购程序和环节的具体事务和签署相关文件。</w:t>
      </w:r>
    </w:p>
    <w:p w14:paraId="6254B4B6">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我方对委托代理人的签字或者电子签名事项负全部责任。</w:t>
      </w:r>
    </w:p>
    <w:p w14:paraId="11DD6DD0">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5030C13C">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1E24F788">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附：牵头人法定代表人身份证明及委托代理人有效身份证正反面复印件或扫描件</w:t>
      </w:r>
    </w:p>
    <w:p w14:paraId="7F612F31">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牵头人法定代表人（签字或者盖章或者电子签名）：</w:t>
      </w:r>
    </w:p>
    <w:p w14:paraId="1C8C6213">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牵头人（电子签章）：</w:t>
      </w:r>
    </w:p>
    <w:p w14:paraId="3B47D168">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76B5F0F6">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被授权人（签字或者电子签名）：</w:t>
      </w:r>
    </w:p>
    <w:p w14:paraId="75B9490B">
      <w:pPr>
        <w:spacing w:line="440" w:lineRule="exact"/>
        <w:ind w:firstLine="480"/>
        <w:contextualSpacing/>
        <w:rPr>
          <w:rFonts w:hint="eastAsia" w:ascii="宋体" w:hAnsi="宋体" w:cs="宋体"/>
          <w:color w:val="auto"/>
          <w:sz w:val="32"/>
          <w:szCs w:val="32"/>
          <w:highlight w:val="none"/>
        </w:rPr>
      </w:pPr>
      <w:r>
        <w:rPr>
          <w:rFonts w:hint="eastAsia" w:ascii="宋体" w:hAnsi="宋体" w:cs="宋体"/>
          <w:color w:val="auto"/>
          <w:sz w:val="24"/>
          <w:highlight w:val="none"/>
        </w:rPr>
        <w:t>日期：    年   月   日</w:t>
      </w:r>
    </w:p>
    <w:p w14:paraId="2C966E33">
      <w:pPr>
        <w:spacing w:line="440" w:lineRule="exact"/>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注：1.法定代表人必须在授权委托书上签字或者盖章或者电子签名，委托代理人必须在授权委托书上签字或者电子签名，</w:t>
      </w:r>
      <w:r>
        <w:rPr>
          <w:rFonts w:hint="eastAsia" w:ascii="宋体" w:hAnsi="宋体" w:cs="宋体"/>
          <w:b/>
          <w:bCs/>
          <w:color w:val="auto"/>
          <w:sz w:val="24"/>
          <w:highlight w:val="none"/>
        </w:rPr>
        <w:t>否则按无效投标处理</w:t>
      </w:r>
      <w:r>
        <w:rPr>
          <w:rFonts w:hint="eastAsia" w:ascii="宋体" w:hAnsi="宋体" w:cs="宋体"/>
          <w:color w:val="auto"/>
          <w:sz w:val="24"/>
          <w:highlight w:val="none"/>
        </w:rPr>
        <w:t>；</w:t>
      </w:r>
    </w:p>
    <w:p w14:paraId="1A6C3962">
      <w:pPr>
        <w:spacing w:line="440" w:lineRule="exact"/>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2.法人、其他组织投标时“我方”是指“我单位”，自然人投标时“我方”是指“本人”。</w:t>
      </w:r>
    </w:p>
    <w:p w14:paraId="1BE73B11">
      <w:pPr>
        <w:spacing w:before="50" w:after="120"/>
        <w:ind w:firstLine="480"/>
        <w:jc w:val="left"/>
        <w:rPr>
          <w:rFonts w:hint="eastAsia" w:ascii="宋体" w:hAnsi="宋体" w:cs="宋体"/>
          <w:color w:val="auto"/>
          <w:sz w:val="24"/>
          <w:highlight w:val="none"/>
        </w:rPr>
        <w:sectPr>
          <w:footerReference r:id="rId7" w:type="first"/>
          <w:footerReference r:id="rId6" w:type="default"/>
          <w:pgSz w:w="11906" w:h="16838"/>
          <w:pgMar w:top="1701" w:right="1701" w:bottom="1701" w:left="1701" w:header="851" w:footer="992" w:gutter="0"/>
          <w:pgNumType w:fmt="decimal" w:start="1"/>
          <w:cols w:space="1701" w:num="1"/>
        </w:sectPr>
      </w:pPr>
    </w:p>
    <w:p w14:paraId="469A01AC">
      <w:pPr>
        <w:ind w:firstLine="482"/>
        <w:rPr>
          <w:rFonts w:hint="eastAsia" w:ascii="宋体" w:hAnsi="宋体" w:cs="宋体"/>
          <w:b/>
          <w:color w:val="auto"/>
          <w:sz w:val="24"/>
          <w:szCs w:val="20"/>
          <w:highlight w:val="none"/>
        </w:rPr>
      </w:pPr>
      <w:r>
        <w:rPr>
          <w:rFonts w:hint="eastAsia" w:ascii="宋体" w:hAnsi="宋体" w:cs="宋体"/>
          <w:b/>
          <w:color w:val="auto"/>
          <w:sz w:val="24"/>
          <w:highlight w:val="none"/>
        </w:rPr>
        <w:t>6.商务要求偏离表格式（注：按项目需求表具体项目修改）</w:t>
      </w:r>
    </w:p>
    <w:tbl>
      <w:tblPr>
        <w:tblStyle w:val="30"/>
        <w:tblW w:w="0" w:type="auto"/>
        <w:tblInd w:w="-22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2898"/>
        <w:gridCol w:w="2198"/>
        <w:gridCol w:w="2035"/>
      </w:tblGrid>
      <w:tr w14:paraId="636C42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val="0"/>
            <w:vAlign w:val="top"/>
          </w:tcPr>
          <w:p w14:paraId="7A708D6A">
            <w:pPr>
              <w:spacing w:before="120"/>
              <w:jc w:val="center"/>
              <w:rPr>
                <w:rFonts w:hint="eastAsia" w:ascii="宋体" w:hAnsi="宋体" w:cs="宋体"/>
                <w:color w:val="auto"/>
                <w:sz w:val="24"/>
                <w:highlight w:val="none"/>
              </w:rPr>
            </w:pPr>
            <w:r>
              <w:rPr>
                <w:rFonts w:hint="eastAsia" w:ascii="宋体" w:hAnsi="宋体" w:cs="宋体"/>
                <w:color w:val="auto"/>
                <w:sz w:val="24"/>
                <w:highlight w:val="none"/>
              </w:rPr>
              <w:t>项目</w:t>
            </w:r>
          </w:p>
        </w:tc>
        <w:tc>
          <w:tcPr>
            <w:tcW w:w="2898" w:type="dxa"/>
            <w:tcBorders>
              <w:top w:val="single" w:color="auto" w:sz="4" w:space="0"/>
              <w:left w:val="single" w:color="auto" w:sz="4" w:space="0"/>
              <w:bottom w:val="single" w:color="auto" w:sz="4" w:space="0"/>
              <w:right w:val="single" w:color="auto" w:sz="4" w:space="0"/>
            </w:tcBorders>
            <w:noWrap w:val="0"/>
            <w:vAlign w:val="top"/>
          </w:tcPr>
          <w:p w14:paraId="4F58152D">
            <w:pPr>
              <w:spacing w:before="120"/>
              <w:jc w:val="center"/>
              <w:rPr>
                <w:rFonts w:hint="eastAsia" w:ascii="宋体" w:hAnsi="宋体" w:cs="宋体"/>
                <w:color w:val="auto"/>
                <w:sz w:val="24"/>
                <w:highlight w:val="none"/>
              </w:rPr>
            </w:pPr>
            <w:r>
              <w:rPr>
                <w:rFonts w:hint="eastAsia" w:ascii="宋体" w:hAnsi="宋体" w:cs="宋体"/>
                <w:color w:val="auto"/>
                <w:sz w:val="24"/>
                <w:highlight w:val="none"/>
              </w:rPr>
              <w:t>招标文件商务要求</w:t>
            </w:r>
          </w:p>
        </w:tc>
        <w:tc>
          <w:tcPr>
            <w:tcW w:w="2198" w:type="dxa"/>
            <w:tcBorders>
              <w:top w:val="single" w:color="auto" w:sz="4" w:space="0"/>
              <w:left w:val="single" w:color="auto" w:sz="4" w:space="0"/>
              <w:bottom w:val="single" w:color="auto" w:sz="4" w:space="0"/>
              <w:right w:val="single" w:color="auto" w:sz="4" w:space="0"/>
            </w:tcBorders>
            <w:noWrap w:val="0"/>
            <w:vAlign w:val="top"/>
          </w:tcPr>
          <w:p w14:paraId="68F1F592">
            <w:pPr>
              <w:spacing w:before="120"/>
              <w:jc w:val="center"/>
              <w:rPr>
                <w:rFonts w:hint="eastAsia" w:ascii="宋体" w:hAnsi="宋体" w:cs="宋体"/>
                <w:color w:val="auto"/>
                <w:sz w:val="24"/>
                <w:highlight w:val="none"/>
              </w:rPr>
            </w:pPr>
            <w:r>
              <w:rPr>
                <w:rFonts w:hint="eastAsia" w:ascii="宋体" w:hAnsi="宋体" w:cs="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7F035C4F">
            <w:pPr>
              <w:spacing w:before="120"/>
              <w:jc w:val="center"/>
              <w:rPr>
                <w:rFonts w:hint="eastAsia" w:ascii="宋体" w:hAnsi="宋体" w:cs="宋体"/>
                <w:color w:val="auto"/>
                <w:sz w:val="24"/>
                <w:highlight w:val="none"/>
              </w:rPr>
            </w:pPr>
            <w:r>
              <w:rPr>
                <w:rFonts w:hint="eastAsia" w:ascii="宋体" w:hAnsi="宋体" w:cs="宋体"/>
                <w:color w:val="auto"/>
                <w:sz w:val="24"/>
                <w:highlight w:val="none"/>
              </w:rPr>
              <w:t>偏离说明</w:t>
            </w:r>
          </w:p>
        </w:tc>
      </w:tr>
      <w:tr w14:paraId="34069C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39389C22">
            <w:pPr>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898" w:type="dxa"/>
            <w:tcBorders>
              <w:top w:val="single" w:color="auto" w:sz="4" w:space="0"/>
              <w:left w:val="single" w:color="auto" w:sz="4" w:space="0"/>
              <w:bottom w:val="single" w:color="auto" w:sz="4" w:space="0"/>
              <w:right w:val="single" w:color="auto" w:sz="4" w:space="0"/>
            </w:tcBorders>
            <w:noWrap w:val="0"/>
            <w:vAlign w:val="top"/>
          </w:tcPr>
          <w:p w14:paraId="6339431A">
            <w:pPr>
              <w:spacing w:before="120"/>
              <w:jc w:val="center"/>
              <w:rPr>
                <w:rFonts w:hint="eastAsia" w:ascii="宋体" w:hAnsi="宋体" w:cs="宋体"/>
                <w:color w:val="auto"/>
                <w:sz w:val="24"/>
                <w:highlight w:val="none"/>
              </w:rPr>
            </w:pPr>
          </w:p>
        </w:tc>
        <w:tc>
          <w:tcPr>
            <w:tcW w:w="2198" w:type="dxa"/>
            <w:tcBorders>
              <w:top w:val="single" w:color="auto" w:sz="4" w:space="0"/>
              <w:left w:val="single" w:color="auto" w:sz="4" w:space="0"/>
              <w:bottom w:val="single" w:color="auto" w:sz="4" w:space="0"/>
              <w:right w:val="single" w:color="auto" w:sz="4" w:space="0"/>
            </w:tcBorders>
            <w:noWrap w:val="0"/>
            <w:vAlign w:val="top"/>
          </w:tcPr>
          <w:p w14:paraId="7B4FA635">
            <w:pPr>
              <w:spacing w:before="120"/>
              <w:jc w:val="center"/>
              <w:rPr>
                <w:rFonts w:hint="eastAsia" w:ascii="宋体" w:hAnsi="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6BDD1BF2">
            <w:pPr>
              <w:spacing w:before="120"/>
              <w:jc w:val="center"/>
              <w:rPr>
                <w:rFonts w:hint="eastAsia" w:ascii="宋体" w:hAnsi="宋体" w:cs="宋体"/>
                <w:color w:val="auto"/>
                <w:sz w:val="24"/>
                <w:highlight w:val="none"/>
              </w:rPr>
            </w:pPr>
          </w:p>
        </w:tc>
      </w:tr>
      <w:tr w14:paraId="2DAF08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1FFE4740">
            <w:pPr>
              <w:jc w:val="center"/>
              <w:rPr>
                <w:rFonts w:hint="eastAsia" w:ascii="宋体" w:hAnsi="宋体" w:cs="宋体"/>
                <w:color w:val="auto"/>
                <w:sz w:val="24"/>
                <w:highlight w:val="none"/>
              </w:rPr>
            </w:pPr>
          </w:p>
        </w:tc>
        <w:tc>
          <w:tcPr>
            <w:tcW w:w="2898" w:type="dxa"/>
            <w:tcBorders>
              <w:top w:val="single" w:color="auto" w:sz="4" w:space="0"/>
              <w:left w:val="single" w:color="auto" w:sz="4" w:space="0"/>
              <w:bottom w:val="single" w:color="auto" w:sz="4" w:space="0"/>
              <w:right w:val="single" w:color="auto" w:sz="4" w:space="0"/>
            </w:tcBorders>
            <w:noWrap w:val="0"/>
            <w:vAlign w:val="top"/>
          </w:tcPr>
          <w:p w14:paraId="261A4428">
            <w:pPr>
              <w:spacing w:before="120"/>
              <w:rPr>
                <w:rFonts w:hint="eastAsia" w:ascii="宋体" w:hAnsi="宋体" w:cs="宋体"/>
                <w:color w:val="auto"/>
                <w:sz w:val="24"/>
                <w:highlight w:val="none"/>
                <w:u w:val="single"/>
              </w:rPr>
            </w:pPr>
          </w:p>
        </w:tc>
        <w:tc>
          <w:tcPr>
            <w:tcW w:w="2198" w:type="dxa"/>
            <w:tcBorders>
              <w:top w:val="single" w:color="auto" w:sz="4" w:space="0"/>
              <w:left w:val="single" w:color="auto" w:sz="4" w:space="0"/>
              <w:bottom w:val="single" w:color="auto" w:sz="4" w:space="0"/>
              <w:right w:val="single" w:color="auto" w:sz="4" w:space="0"/>
            </w:tcBorders>
            <w:noWrap w:val="0"/>
            <w:vAlign w:val="top"/>
          </w:tcPr>
          <w:p w14:paraId="1904012C">
            <w:pPr>
              <w:spacing w:before="120"/>
              <w:ind w:left="43"/>
              <w:jc w:val="center"/>
              <w:rPr>
                <w:rFonts w:hint="eastAsia" w:ascii="宋体" w:hAnsi="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E383F40">
            <w:pPr>
              <w:spacing w:before="120"/>
              <w:ind w:left="43"/>
              <w:jc w:val="center"/>
              <w:rPr>
                <w:rFonts w:hint="eastAsia" w:ascii="宋体" w:hAnsi="宋体" w:cs="宋体"/>
                <w:color w:val="auto"/>
                <w:sz w:val="24"/>
                <w:highlight w:val="none"/>
              </w:rPr>
            </w:pPr>
          </w:p>
        </w:tc>
      </w:tr>
      <w:tr w14:paraId="23C59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val="0"/>
            <w:vAlign w:val="top"/>
          </w:tcPr>
          <w:p w14:paraId="27B94836">
            <w:pPr>
              <w:spacing w:before="120"/>
              <w:jc w:val="center"/>
              <w:rPr>
                <w:rFonts w:hint="eastAsia" w:ascii="宋体" w:hAnsi="宋体" w:cs="宋体"/>
                <w:color w:val="auto"/>
                <w:sz w:val="24"/>
                <w:highlight w:val="none"/>
              </w:rPr>
            </w:pPr>
          </w:p>
        </w:tc>
        <w:tc>
          <w:tcPr>
            <w:tcW w:w="2898" w:type="dxa"/>
            <w:tcBorders>
              <w:top w:val="single" w:color="auto" w:sz="4" w:space="0"/>
              <w:left w:val="single" w:color="auto" w:sz="4" w:space="0"/>
              <w:bottom w:val="single" w:color="auto" w:sz="4" w:space="0"/>
              <w:right w:val="single" w:color="auto" w:sz="4" w:space="0"/>
            </w:tcBorders>
            <w:noWrap w:val="0"/>
            <w:vAlign w:val="top"/>
          </w:tcPr>
          <w:p w14:paraId="7C097332">
            <w:pPr>
              <w:spacing w:before="120"/>
              <w:jc w:val="center"/>
              <w:rPr>
                <w:rFonts w:hint="eastAsia" w:ascii="宋体" w:hAnsi="宋体" w:cs="宋体"/>
                <w:color w:val="auto"/>
                <w:sz w:val="24"/>
                <w:highlight w:val="none"/>
              </w:rPr>
            </w:pPr>
          </w:p>
        </w:tc>
        <w:tc>
          <w:tcPr>
            <w:tcW w:w="2198" w:type="dxa"/>
            <w:tcBorders>
              <w:top w:val="single" w:color="auto" w:sz="4" w:space="0"/>
              <w:left w:val="single" w:color="auto" w:sz="4" w:space="0"/>
              <w:bottom w:val="single" w:color="auto" w:sz="4" w:space="0"/>
              <w:right w:val="single" w:color="auto" w:sz="4" w:space="0"/>
            </w:tcBorders>
            <w:noWrap w:val="0"/>
            <w:vAlign w:val="top"/>
          </w:tcPr>
          <w:p w14:paraId="493F17E9">
            <w:pPr>
              <w:spacing w:before="120"/>
              <w:jc w:val="center"/>
              <w:rPr>
                <w:rFonts w:hint="eastAsia" w:ascii="宋体" w:hAnsi="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26EEF26">
            <w:pPr>
              <w:spacing w:before="120"/>
              <w:jc w:val="center"/>
              <w:rPr>
                <w:rFonts w:hint="eastAsia" w:ascii="宋体" w:hAnsi="宋体" w:cs="宋体"/>
                <w:color w:val="auto"/>
                <w:sz w:val="24"/>
                <w:highlight w:val="none"/>
              </w:rPr>
            </w:pPr>
          </w:p>
        </w:tc>
      </w:tr>
    </w:tbl>
    <w:p w14:paraId="2FC2F2B6">
      <w:pPr>
        <w:pStyle w:val="219"/>
        <w:ind w:firstLine="482"/>
        <w:rPr>
          <w:rFonts w:hint="eastAsia" w:ascii="宋体" w:hAnsi="宋体" w:cs="宋体"/>
          <w:color w:val="auto"/>
          <w:highlight w:val="none"/>
        </w:rPr>
      </w:pPr>
      <w:r>
        <w:rPr>
          <w:rFonts w:hint="eastAsia" w:ascii="宋体" w:hAnsi="宋体" w:cs="宋体"/>
          <w:color w:val="auto"/>
          <w:highlight w:val="none"/>
        </w:rPr>
        <w:t>注：</w:t>
      </w:r>
    </w:p>
    <w:p w14:paraId="5F6C8EF0">
      <w:pPr>
        <w:pStyle w:val="225"/>
        <w:spacing w:line="520" w:lineRule="exact"/>
        <w:ind w:firstLine="480"/>
        <w:rPr>
          <w:rFonts w:hint="eastAsia" w:ascii="宋体" w:hAnsi="宋体" w:eastAsia="宋体" w:cs="宋体"/>
          <w:color w:val="auto"/>
          <w:szCs w:val="32"/>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highlight w:val="none"/>
        </w:rPr>
        <w:t xml:space="preserve"> </w:t>
      </w:r>
      <w:r>
        <w:rPr>
          <w:rFonts w:hint="eastAsia" w:ascii="宋体" w:hAnsi="宋体" w:eastAsia="宋体" w:cs="宋体"/>
          <w:color w:val="auto"/>
          <w:sz w:val="24"/>
          <w:szCs w:val="24"/>
          <w:highlight w:val="none"/>
        </w:rPr>
        <w:t>说明：应对照招标文件“第二章 采购需求”中的商务要求逐条作明确的投标响应，并作出偏离说明。</w:t>
      </w:r>
    </w:p>
    <w:p w14:paraId="75D8B21B">
      <w:pPr>
        <w:pStyle w:val="219"/>
        <w:ind w:firstLine="480"/>
        <w:rPr>
          <w:rFonts w:hint="eastAsia" w:ascii="宋体" w:hAnsi="宋体" w:cs="宋体"/>
          <w:b w:val="0"/>
          <w:bCs w:val="0"/>
          <w:color w:val="auto"/>
          <w:highlight w:val="none"/>
        </w:rPr>
      </w:pPr>
      <w:r>
        <w:rPr>
          <w:rFonts w:hint="eastAsia" w:ascii="宋体" w:hAnsi="宋体" w:cs="宋体"/>
          <w:b w:val="0"/>
          <w:bCs w:val="0"/>
          <w:color w:val="auto"/>
          <w:highlight w:val="none"/>
        </w:rPr>
        <w:t>2.投标人应根据自身的承诺，对照招标文件要求在“偏离说明”中注明“</w:t>
      </w:r>
      <w:r>
        <w:rPr>
          <w:rFonts w:hint="eastAsia" w:ascii="宋体" w:hAnsi="宋体" w:cs="宋体"/>
          <w:color w:val="auto"/>
          <w:highlight w:val="none"/>
        </w:rPr>
        <w:t>正偏离</w:t>
      </w:r>
      <w:r>
        <w:rPr>
          <w:rFonts w:hint="eastAsia" w:ascii="宋体" w:hAnsi="宋体" w:cs="宋体"/>
          <w:b w:val="0"/>
          <w:bCs w:val="0"/>
          <w:color w:val="auto"/>
          <w:highlight w:val="none"/>
        </w:rPr>
        <w:t>”、“</w:t>
      </w:r>
      <w:r>
        <w:rPr>
          <w:rFonts w:hint="eastAsia" w:ascii="宋体" w:hAnsi="宋体" w:cs="宋体"/>
          <w:color w:val="auto"/>
          <w:highlight w:val="none"/>
        </w:rPr>
        <w:t>负偏离</w:t>
      </w:r>
      <w:r>
        <w:rPr>
          <w:rFonts w:hint="eastAsia" w:ascii="宋体" w:hAnsi="宋体" w:cs="宋体"/>
          <w:b w:val="0"/>
          <w:bCs w:val="0"/>
          <w:color w:val="auto"/>
          <w:highlight w:val="none"/>
        </w:rPr>
        <w:t>”或者“</w:t>
      </w:r>
      <w:r>
        <w:rPr>
          <w:rFonts w:hint="eastAsia" w:ascii="宋体" w:hAnsi="宋体" w:cs="宋体"/>
          <w:color w:val="auto"/>
          <w:highlight w:val="none"/>
        </w:rPr>
        <w:t>无偏离</w:t>
      </w:r>
      <w:r>
        <w:rPr>
          <w:rFonts w:hint="eastAsia" w:ascii="宋体" w:hAnsi="宋体" w:cs="宋体"/>
          <w:b w:val="0"/>
          <w:bCs w:val="0"/>
          <w:color w:val="auto"/>
          <w:highlight w:val="none"/>
        </w:rPr>
        <w:t>”。既不属于“</w:t>
      </w:r>
      <w:r>
        <w:rPr>
          <w:rFonts w:hint="eastAsia" w:ascii="宋体" w:hAnsi="宋体" w:cs="宋体"/>
          <w:color w:val="auto"/>
          <w:highlight w:val="none"/>
        </w:rPr>
        <w:t>正偏离</w:t>
      </w:r>
      <w:r>
        <w:rPr>
          <w:rFonts w:hint="eastAsia" w:ascii="宋体" w:hAnsi="宋体" w:cs="宋体"/>
          <w:b w:val="0"/>
          <w:bCs w:val="0"/>
          <w:color w:val="auto"/>
          <w:highlight w:val="none"/>
        </w:rPr>
        <w:t>”也不属于“</w:t>
      </w:r>
      <w:r>
        <w:rPr>
          <w:rFonts w:hint="eastAsia" w:ascii="宋体" w:hAnsi="宋体" w:cs="宋体"/>
          <w:color w:val="auto"/>
          <w:highlight w:val="none"/>
        </w:rPr>
        <w:t>负偏离</w:t>
      </w:r>
      <w:r>
        <w:rPr>
          <w:rFonts w:hint="eastAsia" w:ascii="宋体" w:hAnsi="宋体" w:cs="宋体"/>
          <w:b w:val="0"/>
          <w:bCs w:val="0"/>
          <w:color w:val="auto"/>
          <w:highlight w:val="none"/>
        </w:rPr>
        <w:t>”即为“</w:t>
      </w:r>
      <w:r>
        <w:rPr>
          <w:rFonts w:hint="eastAsia" w:ascii="宋体" w:hAnsi="宋体" w:cs="宋体"/>
          <w:color w:val="auto"/>
          <w:highlight w:val="none"/>
        </w:rPr>
        <w:t>无偏离</w:t>
      </w:r>
      <w:r>
        <w:rPr>
          <w:rFonts w:hint="eastAsia" w:ascii="宋体" w:hAnsi="宋体" w:cs="宋体"/>
          <w:b w:val="0"/>
          <w:bCs w:val="0"/>
          <w:color w:val="auto"/>
          <w:highlight w:val="none"/>
        </w:rPr>
        <w:t>”。</w:t>
      </w:r>
    </w:p>
    <w:p w14:paraId="7E60C184">
      <w:pPr>
        <w:spacing w:before="50" w:after="50"/>
        <w:ind w:firstLine="480"/>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5A94EE5F">
      <w:pPr>
        <w:spacing w:before="120"/>
        <w:ind w:firstLine="560"/>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4F0EB94E">
      <w:pPr>
        <w:spacing w:before="120"/>
        <w:ind w:firstLine="560"/>
        <w:rPr>
          <w:rFonts w:hint="eastAsia"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7FD33D2D">
      <w:pPr>
        <w:spacing w:before="120" w:after="50"/>
        <w:ind w:firstLine="480"/>
        <w:jc w:val="left"/>
        <w:rPr>
          <w:rFonts w:hint="eastAsia" w:ascii="宋体" w:hAnsi="宋体" w:cs="宋体"/>
          <w:b/>
          <w:color w:val="auto"/>
          <w:sz w:val="24"/>
          <w:highlight w:val="none"/>
        </w:rPr>
      </w:pPr>
      <w:r>
        <w:rPr>
          <w:rFonts w:hint="eastAsia" w:ascii="宋体" w:hAnsi="宋体" w:cs="宋体"/>
          <w:color w:val="auto"/>
          <w:sz w:val="24"/>
          <w:szCs w:val="20"/>
          <w:highlight w:val="none"/>
        </w:rPr>
        <w:br w:type="page" w:clear="all"/>
      </w:r>
      <w:r>
        <w:rPr>
          <w:rFonts w:hint="eastAsia" w:ascii="宋体" w:hAnsi="宋体" w:cs="宋体"/>
          <w:b/>
          <w:color w:val="auto"/>
          <w:sz w:val="24"/>
          <w:highlight w:val="none"/>
        </w:rPr>
        <w:t>7.投标人业绩证明材料</w:t>
      </w:r>
    </w:p>
    <w:p w14:paraId="348E9C1C">
      <w:pPr>
        <w:pStyle w:val="249"/>
        <w:ind w:left="480" w:firstLine="480"/>
        <w:rPr>
          <w:rFonts w:hint="eastAsia" w:ascii="宋体" w:hAnsi="宋体" w:cs="宋体"/>
          <w:color w:val="auto"/>
          <w:sz w:val="24"/>
          <w:highlight w:val="none"/>
        </w:rPr>
      </w:pPr>
      <w:r>
        <w:rPr>
          <w:rFonts w:hint="eastAsia" w:ascii="宋体" w:hAnsi="宋体" w:cs="宋体"/>
          <w:color w:val="auto"/>
          <w:sz w:val="24"/>
          <w:highlight w:val="none"/>
        </w:rPr>
        <w:t xml:space="preserve">投标人业绩情况一览表格式： </w:t>
      </w:r>
    </w:p>
    <w:tbl>
      <w:tblPr>
        <w:tblStyle w:val="30"/>
        <w:tblW w:w="5000" w:type="pct"/>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3AF5AD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6A139619">
            <w:pPr>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792E34E5">
            <w:pPr>
              <w:spacing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5C0C444C">
            <w:pPr>
              <w:spacing w:line="240" w:lineRule="exact"/>
              <w:ind w:firstLine="480"/>
              <w:jc w:val="center"/>
              <w:rPr>
                <w:rFonts w:hint="eastAsia" w:ascii="宋体" w:hAnsi="宋体" w:cs="宋体"/>
                <w:color w:val="auto"/>
                <w:sz w:val="24"/>
                <w:highlight w:val="none"/>
              </w:rPr>
            </w:pPr>
            <w:r>
              <w:rPr>
                <w:rFonts w:hint="eastAsia" w:ascii="宋体" w:hAnsi="宋体" w:cs="宋体"/>
                <w:color w:val="auto"/>
                <w:sz w:val="24"/>
                <w:highlight w:val="none"/>
              </w:rPr>
              <w:t>合同金额</w:t>
            </w:r>
          </w:p>
          <w:p w14:paraId="44F220BA">
            <w:pPr>
              <w:spacing w:line="240" w:lineRule="exact"/>
              <w:ind w:firstLine="480"/>
              <w:jc w:val="center"/>
              <w:rPr>
                <w:rFonts w:hint="eastAsia" w:ascii="宋体" w:hAnsi="宋体" w:cs="宋体"/>
                <w:color w:val="auto"/>
                <w:sz w:val="24"/>
                <w:highlight w:val="none"/>
              </w:rPr>
            </w:pPr>
            <w:r>
              <w:rPr>
                <w:rFonts w:hint="eastAsia" w:ascii="宋体" w:hAnsi="宋体" w:cs="宋体"/>
                <w:color w:val="auto"/>
                <w:sz w:val="24"/>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22F3854F">
            <w:pPr>
              <w:spacing w:line="240" w:lineRule="exact"/>
              <w:ind w:firstLine="480"/>
              <w:jc w:val="center"/>
              <w:rPr>
                <w:rFonts w:hint="eastAsia" w:ascii="宋体" w:hAnsi="宋体" w:cs="宋体"/>
                <w:color w:val="auto"/>
                <w:sz w:val="24"/>
                <w:highlight w:val="none"/>
              </w:rPr>
            </w:pPr>
            <w:r>
              <w:rPr>
                <w:rFonts w:hint="eastAsia" w:ascii="宋体" w:hAnsi="宋体" w:cs="宋体"/>
                <w:color w:val="auto"/>
                <w:sz w:val="24"/>
                <w:highlight w:val="none"/>
              </w:rPr>
              <w:t>采购人联系人及</w:t>
            </w:r>
          </w:p>
          <w:p w14:paraId="3CC6250E">
            <w:pPr>
              <w:spacing w:line="240" w:lineRule="exact"/>
              <w:ind w:firstLine="480"/>
              <w:jc w:val="center"/>
              <w:rPr>
                <w:rFonts w:hint="eastAsia" w:ascii="宋体" w:hAnsi="宋体" w:cs="宋体"/>
                <w:color w:val="auto"/>
                <w:sz w:val="24"/>
                <w:highlight w:val="none"/>
              </w:rPr>
            </w:pPr>
            <w:r>
              <w:rPr>
                <w:rFonts w:hint="eastAsia" w:ascii="宋体" w:hAnsi="宋体" w:cs="宋体"/>
                <w:color w:val="auto"/>
                <w:sz w:val="24"/>
                <w:highlight w:val="none"/>
              </w:rPr>
              <w:t>联系电话</w:t>
            </w:r>
          </w:p>
        </w:tc>
      </w:tr>
      <w:tr w14:paraId="65C97D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5CACBD25">
            <w:pPr>
              <w:spacing w:line="24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76C60E7">
            <w:pPr>
              <w:spacing w:line="24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86AD25A">
            <w:pPr>
              <w:spacing w:line="24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7F87A94">
            <w:pPr>
              <w:spacing w:line="240" w:lineRule="exact"/>
              <w:jc w:val="left"/>
              <w:rPr>
                <w:rFonts w:hint="eastAsia" w:ascii="宋体" w:hAnsi="宋体" w:cs="宋体"/>
                <w:color w:val="auto"/>
                <w:sz w:val="24"/>
                <w:highlight w:val="none"/>
              </w:rPr>
            </w:pPr>
          </w:p>
        </w:tc>
      </w:tr>
      <w:tr w14:paraId="32554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65940FC2">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3FA09C3">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B349C79">
            <w:pPr>
              <w:spacing w:before="50" w:after="120" w:line="40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6A323630">
            <w:pPr>
              <w:spacing w:before="50" w:after="120" w:line="400" w:lineRule="exact"/>
              <w:jc w:val="left"/>
              <w:rPr>
                <w:rFonts w:hint="eastAsia" w:ascii="宋体" w:hAnsi="宋体" w:cs="宋体"/>
                <w:color w:val="auto"/>
                <w:sz w:val="24"/>
                <w:highlight w:val="none"/>
              </w:rPr>
            </w:pPr>
          </w:p>
        </w:tc>
      </w:tr>
      <w:tr w14:paraId="532B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46A6022C">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02E2371">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C39F13F">
            <w:pPr>
              <w:spacing w:before="50" w:after="120" w:line="40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07353D9">
            <w:pPr>
              <w:spacing w:before="50" w:after="120" w:line="400" w:lineRule="exact"/>
              <w:jc w:val="left"/>
              <w:rPr>
                <w:rFonts w:hint="eastAsia" w:ascii="宋体" w:hAnsi="宋体" w:cs="宋体"/>
                <w:color w:val="auto"/>
                <w:sz w:val="24"/>
                <w:highlight w:val="none"/>
              </w:rPr>
            </w:pPr>
          </w:p>
        </w:tc>
      </w:tr>
      <w:tr w14:paraId="1397D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90D0F77">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9FD815D">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2DE606B">
            <w:pPr>
              <w:spacing w:before="50" w:after="120" w:line="40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ECE8938">
            <w:pPr>
              <w:spacing w:before="50" w:after="120" w:line="400" w:lineRule="exact"/>
              <w:jc w:val="left"/>
              <w:rPr>
                <w:rFonts w:hint="eastAsia" w:ascii="宋体" w:hAnsi="宋体" w:cs="宋体"/>
                <w:color w:val="auto"/>
                <w:sz w:val="24"/>
                <w:highlight w:val="none"/>
              </w:rPr>
            </w:pPr>
          </w:p>
        </w:tc>
      </w:tr>
      <w:tr w14:paraId="7D45C2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3F3E511">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39BFCF3">
            <w:pPr>
              <w:spacing w:before="50" w:after="120" w:line="400" w:lineRule="exact"/>
              <w:jc w:val="left"/>
              <w:rPr>
                <w:rFonts w:hint="eastAsia"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3891063">
            <w:pPr>
              <w:spacing w:before="50" w:after="120" w:line="400" w:lineRule="exact"/>
              <w:jc w:val="left"/>
              <w:rPr>
                <w:rFonts w:hint="eastAsia"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B4A7F41">
            <w:pPr>
              <w:spacing w:before="50" w:after="120" w:line="400" w:lineRule="exact"/>
              <w:jc w:val="left"/>
              <w:rPr>
                <w:rFonts w:hint="eastAsia" w:ascii="宋体" w:hAnsi="宋体" w:cs="宋体"/>
                <w:color w:val="auto"/>
                <w:sz w:val="24"/>
                <w:highlight w:val="none"/>
              </w:rPr>
            </w:pPr>
          </w:p>
        </w:tc>
      </w:tr>
    </w:tbl>
    <w:p w14:paraId="36FC6F53">
      <w:pPr>
        <w:pStyle w:val="214"/>
        <w:spacing w:before="0" w:after="0" w:line="360" w:lineRule="auto"/>
        <w:ind w:firstLine="480"/>
        <w:contextualSpacing/>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highlight w:val="none"/>
        </w:rPr>
        <w:t>投标人根据评标标准具体要求附业绩证明材料。</w:t>
      </w:r>
    </w:p>
    <w:p w14:paraId="7FF08D50">
      <w:pPr>
        <w:rPr>
          <w:rFonts w:hint="eastAsia" w:ascii="宋体" w:hAnsi="宋体" w:eastAsia="宋体" w:cs="宋体"/>
          <w:color w:val="auto"/>
          <w:sz w:val="24"/>
          <w:highlight w:val="none"/>
        </w:rPr>
      </w:pPr>
    </w:p>
    <w:p w14:paraId="36FB889B">
      <w:pPr>
        <w:pStyle w:val="221"/>
        <w:rPr>
          <w:rFonts w:hint="eastAsia"/>
          <w:color w:val="auto"/>
          <w:highlight w:val="none"/>
        </w:rPr>
      </w:pPr>
    </w:p>
    <w:p w14:paraId="5BCB844B">
      <w:pPr>
        <w:pStyle w:val="214"/>
        <w:spacing w:before="0" w:after="0" w:line="360" w:lineRule="auto"/>
        <w:ind w:firstLine="480"/>
        <w:contextualSpacing/>
        <w:jc w:val="righ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法定代表人或者委托代理人（签字或者电子签名）：</w:t>
      </w:r>
      <w:r>
        <w:rPr>
          <w:rFonts w:hint="eastAsia" w:ascii="宋体" w:hAnsi="宋体" w:eastAsia="宋体" w:cs="宋体"/>
          <w:color w:val="auto"/>
          <w:sz w:val="24"/>
          <w:szCs w:val="24"/>
          <w:highlight w:val="none"/>
          <w:u w:val="single"/>
        </w:rPr>
        <w:t>　　　　　</w:t>
      </w:r>
    </w:p>
    <w:p w14:paraId="4497C7E1">
      <w:pPr>
        <w:spacing w:line="360" w:lineRule="auto"/>
        <w:ind w:right="480" w:firstLine="480"/>
        <w:contextualSpacing/>
        <w:jc w:val="right"/>
        <w:rPr>
          <w:rFonts w:hint="eastAsia" w:ascii="宋体" w:hAnsi="宋体" w:cs="宋体"/>
          <w:color w:val="auto"/>
          <w:sz w:val="24"/>
          <w:szCs w:val="20"/>
          <w:highlight w:val="none"/>
        </w:rPr>
      </w:pPr>
      <w:r>
        <w:rPr>
          <w:rFonts w:hint="eastAsia" w:ascii="宋体" w:hAnsi="宋体" w:cs="宋体"/>
          <w:color w:val="auto"/>
          <w:sz w:val="24"/>
          <w:highlight w:val="none"/>
        </w:rPr>
        <w:t xml:space="preserve">投标人名称（电子签章）：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年    月    日</w:t>
      </w:r>
    </w:p>
    <w:p w14:paraId="49355E59">
      <w:pPr>
        <w:spacing w:before="120" w:after="50"/>
        <w:ind w:firstLine="480"/>
        <w:jc w:val="left"/>
        <w:rPr>
          <w:rFonts w:hint="eastAsia" w:ascii="宋体" w:hAnsi="宋体" w:cs="宋体"/>
          <w:bCs/>
          <w:color w:val="auto"/>
          <w:szCs w:val="21"/>
          <w:highlight w:val="none"/>
        </w:rPr>
      </w:pPr>
      <w:r>
        <w:rPr>
          <w:rFonts w:hint="eastAsia" w:ascii="宋体" w:hAnsi="宋体" w:cs="宋体"/>
          <w:color w:val="auto"/>
          <w:sz w:val="24"/>
          <w:highlight w:val="none"/>
        </w:rPr>
        <w:br w:type="page" w:clear="all"/>
      </w:r>
      <w:r>
        <w:rPr>
          <w:rFonts w:hint="eastAsia" w:ascii="宋体" w:hAnsi="宋体" w:cs="宋体"/>
          <w:color w:val="auto"/>
          <w:sz w:val="24"/>
          <w:highlight w:val="none"/>
        </w:rPr>
        <w:t>8.</w:t>
      </w:r>
      <w:r>
        <w:rPr>
          <w:rFonts w:hint="eastAsia" w:ascii="宋体" w:hAnsi="宋体" w:cs="宋体"/>
          <w:bCs/>
          <w:color w:val="auto"/>
          <w:szCs w:val="21"/>
          <w:highlight w:val="none"/>
        </w:rPr>
        <w:t xml:space="preserve"> 代理服务费承诺书（如本项目为采购人支付代理服务费的，无需提供）</w:t>
      </w:r>
    </w:p>
    <w:p w14:paraId="42DB2A5B">
      <w:pPr>
        <w:spacing w:before="120" w:after="50"/>
        <w:ind w:firstLine="883"/>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代理服务费承诺书</w:t>
      </w:r>
    </w:p>
    <w:p w14:paraId="6085C407">
      <w:pPr>
        <w:spacing w:line="360" w:lineRule="auto"/>
        <w:ind w:firstLine="480"/>
        <w:rPr>
          <w:rFonts w:hint="eastAsia" w:ascii="宋体" w:hAnsi="宋体" w:cs="宋体"/>
          <w:b/>
          <w:bCs/>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招标代理机构名称</w:t>
      </w:r>
      <w:r>
        <w:rPr>
          <w:rFonts w:hint="eastAsia" w:ascii="宋体" w:hAnsi="宋体" w:cs="宋体"/>
          <w:color w:val="auto"/>
          <w:sz w:val="24"/>
          <w:highlight w:val="none"/>
        </w:rPr>
        <w:t>：</w:t>
      </w:r>
    </w:p>
    <w:p w14:paraId="7EFAF353">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本单位参加了贵方组织的</w:t>
      </w:r>
      <w:r>
        <w:rPr>
          <w:rFonts w:hint="eastAsia" w:ascii="宋体" w:hAnsi="宋体" w:cs="宋体"/>
          <w:color w:val="auto"/>
          <w:sz w:val="24"/>
          <w:highlight w:val="none"/>
          <w:u w:val="single"/>
        </w:rPr>
        <w:t xml:space="preserve">  项目名称（项目编号）  </w:t>
      </w:r>
      <w:r>
        <w:rPr>
          <w:rFonts w:hint="eastAsia" w:ascii="宋体" w:hAnsi="宋体" w:cs="宋体"/>
          <w:color w:val="auto"/>
          <w:sz w:val="24"/>
          <w:highlight w:val="none"/>
        </w:rPr>
        <w:t>项目， 在此说明如下：</w:t>
      </w:r>
    </w:p>
    <w:p w14:paraId="22D846FA">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1.我方承诺，若本单位中标，保证在发出中标通知书之后，按本项目招标文件的规定标准向贵单位一次性足额支付代理服务费。</w:t>
      </w:r>
    </w:p>
    <w:p w14:paraId="7DCF6386">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2.本单位选择第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种方式作为代理服务费开票类型：</w:t>
      </w:r>
    </w:p>
    <w:p w14:paraId="2D3520A6">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第一种方式：开具增值税普通发票。开票信息如下：</w:t>
      </w:r>
    </w:p>
    <w:p w14:paraId="645EB20C">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（1）公司名称</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01D36705">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（2）纳税人识别号</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5D3FEE07">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第二种方式：开具增值税专用发票，开票信息如下：</w:t>
      </w:r>
    </w:p>
    <w:p w14:paraId="4A177FAC">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（1）公司名称</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09EA6B61">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（2）纳税人识别号</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642D293C">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（3）在</w:t>
      </w:r>
      <w:r>
        <w:rPr>
          <w:rFonts w:hint="eastAsia" w:ascii="宋体" w:hAnsi="宋体" w:cs="宋体"/>
          <w:color w:val="auto"/>
          <w:sz w:val="24"/>
          <w:highlight w:val="none"/>
          <w:lang w:eastAsia="zh-CN"/>
        </w:rPr>
        <w:t>税务局</w:t>
      </w:r>
      <w:r>
        <w:rPr>
          <w:rFonts w:hint="eastAsia" w:ascii="宋体" w:hAnsi="宋体" w:cs="宋体"/>
          <w:color w:val="auto"/>
          <w:sz w:val="24"/>
          <w:highlight w:val="none"/>
        </w:rPr>
        <w:t>登记的地址</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6C405D51">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（4）在</w:t>
      </w:r>
      <w:r>
        <w:rPr>
          <w:rFonts w:hint="eastAsia" w:ascii="宋体" w:hAnsi="宋体" w:cs="宋体"/>
          <w:color w:val="auto"/>
          <w:sz w:val="24"/>
          <w:highlight w:val="none"/>
          <w:lang w:eastAsia="zh-CN"/>
        </w:rPr>
        <w:t>税务局</w:t>
      </w:r>
      <w:r>
        <w:rPr>
          <w:rFonts w:hint="eastAsia" w:ascii="宋体" w:hAnsi="宋体" w:cs="宋体"/>
          <w:color w:val="auto"/>
          <w:sz w:val="24"/>
          <w:highlight w:val="none"/>
        </w:rPr>
        <w:t>登记的电话</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48C0C8B4">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（5）开户银行</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712C700B">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（6）银行账户</w:t>
      </w:r>
      <w:r>
        <w:rPr>
          <w:rFonts w:hint="eastAsia" w:ascii="宋体" w:hAnsi="宋体" w:cs="宋体"/>
          <w:color w:val="auto"/>
          <w:sz w:val="24"/>
          <w:highlight w:val="none"/>
          <w:u w:val="single"/>
        </w:rPr>
        <w:t xml:space="preserve">_                           </w:t>
      </w:r>
      <w:r>
        <w:rPr>
          <w:rFonts w:hint="eastAsia" w:ascii="宋体" w:hAnsi="宋体" w:cs="宋体"/>
          <w:color w:val="auto"/>
          <w:sz w:val="24"/>
          <w:highlight w:val="none"/>
        </w:rPr>
        <w:t>。</w:t>
      </w:r>
    </w:p>
    <w:p w14:paraId="37CBFB8E">
      <w:pPr>
        <w:spacing w:line="360" w:lineRule="auto"/>
        <w:ind w:left="-2" w:right="-817" w:firstLine="480"/>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1CDBAAEC">
      <w:pPr>
        <w:spacing w:line="360" w:lineRule="auto"/>
        <w:ind w:left="-31" w:right="-817" w:firstLine="480"/>
        <w:rPr>
          <w:rFonts w:hint="eastAsia" w:ascii="宋体" w:hAnsi="宋体" w:cs="宋体"/>
          <w:color w:val="auto"/>
          <w:sz w:val="24"/>
          <w:highlight w:val="none"/>
        </w:rPr>
      </w:pPr>
      <w:r>
        <w:rPr>
          <w:rFonts w:hint="eastAsia" w:ascii="宋体" w:hAnsi="宋体" w:cs="宋体"/>
          <w:color w:val="auto"/>
          <w:sz w:val="24"/>
          <w:highlight w:val="none"/>
        </w:rPr>
        <w:t>供应商公章（电子签章）：</w:t>
      </w:r>
    </w:p>
    <w:p w14:paraId="4289E691">
      <w:pPr>
        <w:spacing w:line="360" w:lineRule="auto"/>
        <w:ind w:right="480" w:firstLine="480"/>
        <w:jc w:val="left"/>
        <w:rPr>
          <w:rFonts w:hint="eastAsia" w:ascii="宋体" w:hAnsi="宋体" w:cs="宋体"/>
          <w:color w:val="auto"/>
          <w:szCs w:val="21"/>
          <w:highlight w:val="none"/>
        </w:rPr>
      </w:pPr>
      <w:r>
        <w:rPr>
          <w:rFonts w:hint="eastAsia" w:ascii="宋体" w:hAnsi="宋体" w:cs="宋体"/>
          <w:color w:val="auto"/>
          <w:sz w:val="24"/>
          <w:highlight w:val="none"/>
        </w:rPr>
        <w:t>日期：    年   月   日</w:t>
      </w:r>
    </w:p>
    <w:p w14:paraId="4B9CC2E2">
      <w:pPr>
        <w:spacing w:before="120"/>
        <w:rPr>
          <w:rFonts w:hint="eastAsia" w:ascii="宋体" w:hAnsi="宋体" w:cs="宋体"/>
          <w:color w:val="auto"/>
          <w:sz w:val="24"/>
          <w:szCs w:val="20"/>
          <w:highlight w:val="none"/>
        </w:rPr>
        <w:sectPr>
          <w:pgSz w:w="11906" w:h="16838"/>
          <w:pgMar w:top="1440" w:right="1797" w:bottom="1440" w:left="1797" w:header="851" w:footer="992" w:gutter="0"/>
          <w:pgNumType w:fmt="decimal"/>
          <w:cols w:space="1701" w:num="1"/>
        </w:sectPr>
      </w:pPr>
    </w:p>
    <w:p w14:paraId="5F94CFA8">
      <w:pPr>
        <w:spacing w:before="120" w:after="50"/>
        <w:ind w:firstLine="482"/>
        <w:jc w:val="left"/>
        <w:rPr>
          <w:rFonts w:hint="eastAsia" w:ascii="宋体" w:hAnsi="宋体" w:cs="宋体"/>
          <w:b/>
          <w:color w:val="auto"/>
          <w:sz w:val="24"/>
          <w:highlight w:val="none"/>
        </w:rPr>
      </w:pPr>
      <w:r>
        <w:rPr>
          <w:rFonts w:hint="eastAsia" w:ascii="宋体" w:hAnsi="宋体" w:cs="宋体"/>
          <w:b/>
          <w:color w:val="auto"/>
          <w:sz w:val="24"/>
          <w:highlight w:val="none"/>
        </w:rPr>
        <w:t>9. 设备性能配置清单格式</w:t>
      </w:r>
    </w:p>
    <w:p w14:paraId="3A56523B">
      <w:pPr>
        <w:spacing w:before="120" w:after="50"/>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设备性能配置清单</w:t>
      </w:r>
    </w:p>
    <w:tbl>
      <w:tblPr>
        <w:tblStyle w:val="3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6"/>
        <w:gridCol w:w="1495"/>
        <w:gridCol w:w="992"/>
        <w:gridCol w:w="708"/>
        <w:gridCol w:w="1561"/>
        <w:gridCol w:w="1187"/>
        <w:gridCol w:w="703"/>
        <w:gridCol w:w="1426"/>
      </w:tblGrid>
      <w:tr w14:paraId="0B106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7BDCE2B4">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877" w:type="pct"/>
            <w:tcBorders>
              <w:top w:val="single" w:color="auto" w:sz="4" w:space="0"/>
              <w:left w:val="single" w:color="auto" w:sz="4" w:space="0"/>
              <w:bottom w:val="single" w:color="auto" w:sz="4" w:space="0"/>
              <w:right w:val="single" w:color="auto" w:sz="4" w:space="0"/>
            </w:tcBorders>
            <w:noWrap w:val="0"/>
            <w:vAlign w:val="center"/>
          </w:tcPr>
          <w:p w14:paraId="27530704">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标的的名称</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2BE1BE47">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数量及单位</w:t>
            </w:r>
          </w:p>
        </w:tc>
        <w:tc>
          <w:tcPr>
            <w:tcW w:w="415" w:type="pct"/>
            <w:tcBorders>
              <w:top w:val="single" w:color="auto" w:sz="4" w:space="0"/>
              <w:left w:val="single" w:color="auto" w:sz="4" w:space="0"/>
              <w:bottom w:val="single" w:color="auto" w:sz="4" w:space="0"/>
              <w:right w:val="single" w:color="auto" w:sz="4" w:space="0"/>
            </w:tcBorders>
            <w:noWrap w:val="0"/>
            <w:vAlign w:val="center"/>
          </w:tcPr>
          <w:p w14:paraId="55F7B3B3">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品牌</w:t>
            </w:r>
          </w:p>
        </w:tc>
        <w:tc>
          <w:tcPr>
            <w:tcW w:w="915" w:type="pct"/>
            <w:tcBorders>
              <w:top w:val="single" w:color="auto" w:sz="4" w:space="0"/>
              <w:left w:val="single" w:color="auto" w:sz="4" w:space="0"/>
              <w:bottom w:val="single" w:color="auto" w:sz="4" w:space="0"/>
              <w:right w:val="single" w:color="auto" w:sz="4" w:space="0"/>
            </w:tcBorders>
            <w:noWrap w:val="0"/>
            <w:vAlign w:val="top"/>
          </w:tcPr>
          <w:p w14:paraId="33B9B21A">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72A5A904">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7D7EA238">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255AA863">
            <w:pPr>
              <w:spacing w:before="50" w:after="50"/>
              <w:jc w:val="center"/>
              <w:rPr>
                <w:rFonts w:hint="eastAsia" w:ascii="宋体" w:hAnsi="宋体" w:cs="宋体"/>
                <w:color w:val="auto"/>
                <w:sz w:val="24"/>
                <w:highlight w:val="none"/>
              </w:rPr>
            </w:pPr>
            <w:r>
              <w:rPr>
                <w:rFonts w:hint="eastAsia" w:ascii="宋体" w:hAnsi="宋体" w:cs="宋体"/>
                <w:color w:val="auto"/>
                <w:sz w:val="24"/>
                <w:highlight w:val="none"/>
              </w:rPr>
              <w:t>参数性能、指标及配置</w:t>
            </w:r>
          </w:p>
        </w:tc>
      </w:tr>
      <w:tr w14:paraId="74B642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2BF96624">
            <w:pPr>
              <w:spacing w:before="50" w:after="50"/>
              <w:jc w:val="center"/>
              <w:rPr>
                <w:rFonts w:hint="eastAsia" w:ascii="宋体" w:hAnsi="宋体" w:cs="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39C2980A">
            <w:pPr>
              <w:spacing w:before="50" w:after="50"/>
              <w:jc w:val="center"/>
              <w:rPr>
                <w:rFonts w:hint="eastAsia" w:ascii="宋体" w:hAnsi="宋体" w:cs="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67AD6FD5">
            <w:pPr>
              <w:spacing w:before="50" w:after="50"/>
              <w:jc w:val="center"/>
              <w:rPr>
                <w:rFonts w:hint="eastAsia" w:ascii="宋体" w:hAnsi="宋体" w:cs="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71573FAF">
            <w:pPr>
              <w:spacing w:before="50" w:after="50"/>
              <w:jc w:val="center"/>
              <w:rPr>
                <w:rFonts w:hint="eastAsia" w:ascii="宋体" w:hAnsi="宋体" w:cs="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20D5A8B7">
            <w:pPr>
              <w:spacing w:before="50" w:after="50"/>
              <w:jc w:val="center"/>
              <w:rPr>
                <w:rFonts w:hint="eastAsia"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D7353A7">
            <w:pPr>
              <w:spacing w:before="50" w:after="50"/>
              <w:jc w:val="center"/>
              <w:rPr>
                <w:rFonts w:hint="eastAsia"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249A4B42">
            <w:pPr>
              <w:spacing w:before="50" w:after="50"/>
              <w:jc w:val="center"/>
              <w:rPr>
                <w:rFonts w:hint="eastAsia"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BE57E94">
            <w:pPr>
              <w:spacing w:before="50" w:after="50"/>
              <w:jc w:val="center"/>
              <w:rPr>
                <w:rFonts w:hint="eastAsia" w:ascii="宋体" w:hAnsi="宋体" w:cs="宋体"/>
                <w:color w:val="auto"/>
                <w:sz w:val="24"/>
                <w:highlight w:val="none"/>
              </w:rPr>
            </w:pPr>
          </w:p>
        </w:tc>
      </w:tr>
      <w:tr w14:paraId="4EAAC1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349C5A6A">
            <w:pPr>
              <w:spacing w:before="50" w:after="50"/>
              <w:jc w:val="center"/>
              <w:rPr>
                <w:rFonts w:hint="eastAsia" w:ascii="宋体" w:hAnsi="宋体" w:cs="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5EEB158F">
            <w:pPr>
              <w:spacing w:before="50" w:after="50"/>
              <w:jc w:val="center"/>
              <w:rPr>
                <w:rFonts w:hint="eastAsia" w:ascii="宋体" w:hAnsi="宋体" w:cs="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55637424">
            <w:pPr>
              <w:spacing w:before="50" w:after="50"/>
              <w:jc w:val="center"/>
              <w:rPr>
                <w:rFonts w:hint="eastAsia" w:ascii="宋体" w:hAnsi="宋体" w:cs="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0132A824">
            <w:pPr>
              <w:spacing w:before="50" w:after="50"/>
              <w:jc w:val="center"/>
              <w:rPr>
                <w:rFonts w:hint="eastAsia" w:ascii="宋体" w:hAnsi="宋体" w:cs="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39E6B11A">
            <w:pPr>
              <w:spacing w:before="50" w:after="50"/>
              <w:jc w:val="center"/>
              <w:rPr>
                <w:rFonts w:hint="eastAsia"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2FA5F56">
            <w:pPr>
              <w:spacing w:before="50" w:after="50"/>
              <w:jc w:val="center"/>
              <w:rPr>
                <w:rFonts w:hint="eastAsia"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133C7D88">
            <w:pPr>
              <w:spacing w:before="50" w:after="50"/>
              <w:jc w:val="center"/>
              <w:rPr>
                <w:rFonts w:hint="eastAsia"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57A5CC0B">
            <w:pPr>
              <w:spacing w:before="50" w:after="50"/>
              <w:jc w:val="center"/>
              <w:rPr>
                <w:rFonts w:hint="eastAsia" w:ascii="宋体" w:hAnsi="宋体" w:cs="宋体"/>
                <w:color w:val="auto"/>
                <w:sz w:val="24"/>
                <w:highlight w:val="none"/>
              </w:rPr>
            </w:pPr>
          </w:p>
        </w:tc>
      </w:tr>
      <w:tr w14:paraId="6FD036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6A82B0D4">
            <w:pPr>
              <w:spacing w:before="50" w:after="50"/>
              <w:jc w:val="center"/>
              <w:rPr>
                <w:rFonts w:hint="eastAsia" w:ascii="宋体" w:hAnsi="宋体" w:cs="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19CA94CC">
            <w:pPr>
              <w:spacing w:before="50" w:after="50"/>
              <w:jc w:val="center"/>
              <w:rPr>
                <w:rFonts w:hint="eastAsia" w:ascii="宋体" w:hAnsi="宋体" w:cs="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664AEC8D">
            <w:pPr>
              <w:spacing w:before="50" w:after="50"/>
              <w:jc w:val="center"/>
              <w:rPr>
                <w:rFonts w:hint="eastAsia" w:ascii="宋体" w:hAnsi="宋体" w:cs="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0A4A4E6E">
            <w:pPr>
              <w:spacing w:before="50" w:after="50"/>
              <w:jc w:val="center"/>
              <w:rPr>
                <w:rFonts w:hint="eastAsia" w:ascii="宋体" w:hAnsi="宋体" w:cs="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noWrap w:val="0"/>
            <w:vAlign w:val="top"/>
          </w:tcPr>
          <w:p w14:paraId="064BADCF">
            <w:pPr>
              <w:spacing w:before="50" w:after="50"/>
              <w:jc w:val="center"/>
              <w:rPr>
                <w:rFonts w:hint="eastAsia"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36FC3796">
            <w:pPr>
              <w:spacing w:before="50" w:after="50"/>
              <w:jc w:val="center"/>
              <w:rPr>
                <w:rFonts w:hint="eastAsia"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1DCAD2DA">
            <w:pPr>
              <w:spacing w:before="50" w:after="50"/>
              <w:jc w:val="center"/>
              <w:rPr>
                <w:rFonts w:hint="eastAsia"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04537F9">
            <w:pPr>
              <w:spacing w:before="50" w:after="50"/>
              <w:jc w:val="center"/>
              <w:rPr>
                <w:rFonts w:hint="eastAsia" w:ascii="宋体" w:hAnsi="宋体" w:cs="宋体"/>
                <w:color w:val="auto"/>
                <w:sz w:val="24"/>
                <w:highlight w:val="none"/>
              </w:rPr>
            </w:pPr>
          </w:p>
        </w:tc>
      </w:tr>
    </w:tbl>
    <w:p w14:paraId="0358D09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备注：</w:t>
      </w:r>
    </w:p>
    <w:p w14:paraId="5E19415A">
      <w:pPr>
        <w:spacing w:line="360" w:lineRule="auto"/>
        <w:ind w:firstLine="480"/>
        <w:contextualSpacing/>
        <w:rPr>
          <w:rFonts w:hint="eastAsia" w:ascii="宋体" w:hAnsi="宋体" w:cs="宋体"/>
          <w:b/>
          <w:color w:val="auto"/>
          <w:sz w:val="24"/>
          <w:highlight w:val="none"/>
        </w:rPr>
      </w:pPr>
      <w:r>
        <w:rPr>
          <w:rFonts w:hint="eastAsia" w:ascii="宋体" w:hAnsi="宋体" w:cs="宋体"/>
          <w:color w:val="auto"/>
          <w:sz w:val="24"/>
          <w:highlight w:val="none"/>
        </w:rPr>
        <w:t>以上设备性能配置清单中“货物名称、数量及单位、品牌、规格型号、制造商、原产地、参数性能、指标及配置”必须如实填写完整，品牌、规格型号没有则填无，填写有缺漏</w:t>
      </w:r>
      <w:r>
        <w:rPr>
          <w:rFonts w:hint="eastAsia" w:ascii="宋体" w:hAnsi="宋体" w:cs="宋体"/>
          <w:bCs/>
          <w:color w:val="auto"/>
          <w:sz w:val="24"/>
          <w:highlight w:val="none"/>
        </w:rPr>
        <w:t>的，</w:t>
      </w:r>
      <w:r>
        <w:rPr>
          <w:rFonts w:hint="eastAsia" w:ascii="宋体" w:hAnsi="宋体" w:cs="宋体"/>
          <w:b/>
          <w:color w:val="auto"/>
          <w:sz w:val="24"/>
          <w:highlight w:val="none"/>
        </w:rPr>
        <w:t>作无效投标处理。</w:t>
      </w:r>
      <w:r>
        <w:rPr>
          <w:rFonts w:hint="eastAsia" w:ascii="宋体" w:hAnsi="宋体" w:cs="宋体"/>
          <w:color w:val="auto"/>
          <w:sz w:val="24"/>
          <w:highlight w:val="none"/>
        </w:rPr>
        <w:t>标的的名称、数量及单位、品牌必须与“开标一览表”一致，</w:t>
      </w:r>
      <w:r>
        <w:rPr>
          <w:rFonts w:hint="eastAsia" w:ascii="宋体" w:hAnsi="宋体" w:cs="宋体"/>
          <w:b/>
          <w:color w:val="auto"/>
          <w:sz w:val="24"/>
          <w:highlight w:val="none"/>
        </w:rPr>
        <w:t>否则按无效投标处理。</w:t>
      </w:r>
    </w:p>
    <w:p w14:paraId="56CEE98A">
      <w:pPr>
        <w:spacing w:line="360" w:lineRule="auto"/>
        <w:ind w:firstLine="480"/>
        <w:contextualSpacing/>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7DACCBB5">
      <w:pPr>
        <w:spacing w:line="360" w:lineRule="auto"/>
        <w:ind w:firstLine="560"/>
        <w:contextualSpacing/>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1ED186B7">
      <w:pPr>
        <w:spacing w:line="360" w:lineRule="auto"/>
        <w:ind w:firstLine="560"/>
        <w:contextualSpacing/>
        <w:rPr>
          <w:rFonts w:hint="eastAsia"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0EBC8E43">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10. 技术要求偏离表格式</w:t>
      </w:r>
    </w:p>
    <w:p w14:paraId="4A857FC8">
      <w:pPr>
        <w:spacing w:before="120" w:after="50"/>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技术要求偏离表</w:t>
      </w:r>
    </w:p>
    <w:tbl>
      <w:tblPr>
        <w:tblStyle w:val="30"/>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1409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tcBorders>
              <w:top w:val="single" w:color="auto" w:sz="4" w:space="0"/>
              <w:left w:val="single" w:color="auto" w:sz="4" w:space="0"/>
              <w:bottom w:val="single" w:color="auto" w:sz="4" w:space="0"/>
              <w:right w:val="single" w:color="auto" w:sz="4" w:space="0"/>
            </w:tcBorders>
            <w:noWrap w:val="0"/>
            <w:vAlign w:val="center"/>
          </w:tcPr>
          <w:p w14:paraId="2FC56D17">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项号</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355A1621">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标的的名称</w:t>
            </w:r>
          </w:p>
        </w:tc>
        <w:tc>
          <w:tcPr>
            <w:tcW w:w="1834" w:type="dxa"/>
            <w:tcBorders>
              <w:top w:val="single" w:color="auto" w:sz="4" w:space="0"/>
              <w:left w:val="single" w:color="auto" w:sz="4" w:space="0"/>
              <w:bottom w:val="single" w:color="auto" w:sz="4" w:space="0"/>
              <w:right w:val="single" w:color="auto" w:sz="4" w:space="0"/>
            </w:tcBorders>
            <w:noWrap w:val="0"/>
            <w:vAlign w:val="center"/>
          </w:tcPr>
          <w:p w14:paraId="06F6009E">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技术要求</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1055E50F">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投标响应</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19482FBD">
            <w:pPr>
              <w:pStyle w:val="231"/>
              <w:spacing w:line="400" w:lineRule="exact"/>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偏离说明</w:t>
            </w:r>
          </w:p>
        </w:tc>
      </w:tr>
      <w:tr w14:paraId="3725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5E964439">
            <w:pPr>
              <w:pStyle w:val="231"/>
              <w:spacing w:line="600" w:lineRule="exact"/>
              <w:jc w:val="center"/>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center"/>
          </w:tcPr>
          <w:p w14:paraId="3716BA7A">
            <w:pPr>
              <w:pStyle w:val="231"/>
              <w:spacing w:line="600" w:lineRule="exact"/>
              <w:jc w:val="center"/>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center"/>
          </w:tcPr>
          <w:p w14:paraId="39A57AB8">
            <w:pPr>
              <w:pStyle w:val="231"/>
              <w:spacing w:line="600" w:lineRule="exact"/>
              <w:jc w:val="center"/>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center"/>
          </w:tcPr>
          <w:p w14:paraId="09E6C1B8">
            <w:pPr>
              <w:pStyle w:val="231"/>
              <w:spacing w:line="600" w:lineRule="exact"/>
              <w:jc w:val="center"/>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1A0C51DC">
            <w:pPr>
              <w:pStyle w:val="231"/>
              <w:spacing w:line="600" w:lineRule="exact"/>
              <w:jc w:val="center"/>
              <w:rPr>
                <w:rFonts w:hint="eastAsia" w:hAnsi="宋体" w:cs="宋体"/>
                <w:color w:val="auto"/>
                <w:sz w:val="24"/>
                <w:szCs w:val="24"/>
                <w:highlight w:val="none"/>
                <w:lang w:val="en-US" w:eastAsia="zh-CN"/>
              </w:rPr>
            </w:pPr>
          </w:p>
        </w:tc>
      </w:tr>
      <w:tr w14:paraId="3CBB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32C18CE5">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379F4D27">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25E18568">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01F008C1">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506DFC17">
            <w:pPr>
              <w:pStyle w:val="231"/>
              <w:spacing w:line="600" w:lineRule="exact"/>
              <w:rPr>
                <w:rFonts w:hint="eastAsia" w:hAnsi="宋体" w:cs="宋体"/>
                <w:color w:val="auto"/>
                <w:sz w:val="24"/>
                <w:szCs w:val="24"/>
                <w:highlight w:val="none"/>
                <w:lang w:val="en-US" w:eastAsia="zh-CN"/>
              </w:rPr>
            </w:pPr>
          </w:p>
        </w:tc>
      </w:tr>
      <w:tr w14:paraId="4301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41881D5C">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D1E9542">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27EA8278">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1FFEE60B">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76D6557">
            <w:pPr>
              <w:pStyle w:val="231"/>
              <w:spacing w:line="600" w:lineRule="exact"/>
              <w:rPr>
                <w:rFonts w:hint="eastAsia" w:hAnsi="宋体" w:cs="宋体"/>
                <w:color w:val="auto"/>
                <w:sz w:val="24"/>
                <w:szCs w:val="24"/>
                <w:highlight w:val="none"/>
                <w:lang w:val="en-US" w:eastAsia="zh-CN"/>
              </w:rPr>
            </w:pPr>
          </w:p>
        </w:tc>
      </w:tr>
      <w:tr w14:paraId="064F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45F6EDD">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1D458413">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4075AB40">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2CC03AB0">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18ACE616">
            <w:pPr>
              <w:pStyle w:val="231"/>
              <w:spacing w:line="600" w:lineRule="exact"/>
              <w:rPr>
                <w:rFonts w:hint="eastAsia" w:hAnsi="宋体" w:cs="宋体"/>
                <w:color w:val="auto"/>
                <w:sz w:val="24"/>
                <w:szCs w:val="24"/>
                <w:highlight w:val="none"/>
                <w:lang w:val="en-US" w:eastAsia="zh-CN"/>
              </w:rPr>
            </w:pPr>
          </w:p>
        </w:tc>
      </w:tr>
      <w:tr w14:paraId="2B8A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F0A4E6E">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700514DA">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389300CD">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79197694">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5E5B0B6">
            <w:pPr>
              <w:pStyle w:val="231"/>
              <w:spacing w:line="600" w:lineRule="exact"/>
              <w:rPr>
                <w:rFonts w:hint="eastAsia" w:hAnsi="宋体" w:cs="宋体"/>
                <w:color w:val="auto"/>
                <w:sz w:val="24"/>
                <w:szCs w:val="24"/>
                <w:highlight w:val="none"/>
                <w:lang w:val="en-US" w:eastAsia="zh-CN"/>
              </w:rPr>
            </w:pPr>
          </w:p>
        </w:tc>
      </w:tr>
      <w:tr w14:paraId="126C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65BF75B">
            <w:pPr>
              <w:pStyle w:val="231"/>
              <w:spacing w:line="600" w:lineRule="exact"/>
              <w:rPr>
                <w:rFonts w:hint="eastAsia" w:hAnsi="宋体" w:cs="宋体"/>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7B599770">
            <w:pPr>
              <w:pStyle w:val="231"/>
              <w:spacing w:line="600" w:lineRule="exact"/>
              <w:rPr>
                <w:rFonts w:hint="eastAsia" w:hAnsi="宋体" w:cs="宋体"/>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6746A48C">
            <w:pPr>
              <w:pStyle w:val="231"/>
              <w:spacing w:line="600" w:lineRule="exact"/>
              <w:rPr>
                <w:rFonts w:hint="eastAsia" w:hAnsi="宋体" w:cs="宋体"/>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7909A41A">
            <w:pPr>
              <w:pStyle w:val="231"/>
              <w:spacing w:line="600" w:lineRule="exact"/>
              <w:rPr>
                <w:rFonts w:hint="eastAsia" w:hAnsi="宋体" w:cs="宋体"/>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BC89F00">
            <w:pPr>
              <w:pStyle w:val="231"/>
              <w:spacing w:line="600" w:lineRule="exact"/>
              <w:rPr>
                <w:rFonts w:hint="eastAsia" w:hAnsi="宋体" w:cs="宋体"/>
                <w:color w:val="auto"/>
                <w:sz w:val="24"/>
                <w:szCs w:val="24"/>
                <w:highlight w:val="none"/>
                <w:lang w:val="en-US" w:eastAsia="zh-CN"/>
              </w:rPr>
            </w:pPr>
          </w:p>
        </w:tc>
      </w:tr>
    </w:tbl>
    <w:p w14:paraId="66C60699">
      <w:pPr>
        <w:pStyle w:val="219"/>
        <w:ind w:firstLine="482"/>
        <w:rPr>
          <w:rFonts w:hint="eastAsia" w:ascii="宋体" w:hAnsi="宋体" w:cs="宋体"/>
          <w:color w:val="auto"/>
          <w:highlight w:val="none"/>
        </w:rPr>
      </w:pPr>
      <w:r>
        <w:rPr>
          <w:rFonts w:hint="eastAsia" w:ascii="宋体" w:hAnsi="宋体" w:cs="宋体"/>
          <w:color w:val="auto"/>
          <w:highlight w:val="none"/>
        </w:rPr>
        <w:t>注：</w:t>
      </w:r>
    </w:p>
    <w:p w14:paraId="5A44EA37">
      <w:pPr>
        <w:pStyle w:val="225"/>
        <w:spacing w:line="360" w:lineRule="auto"/>
        <w:ind w:firstLine="480"/>
        <w:rPr>
          <w:rFonts w:hint="eastAsia" w:ascii="宋体" w:hAnsi="宋体" w:eastAsia="宋体" w:cs="宋体"/>
          <w:color w:val="auto"/>
          <w:szCs w:val="32"/>
          <w:highlight w:val="none"/>
        </w:rPr>
      </w:pPr>
      <w:r>
        <w:rPr>
          <w:rFonts w:hint="eastAsia" w:ascii="宋体" w:hAnsi="宋体" w:eastAsia="宋体" w:cs="宋体"/>
          <w:color w:val="auto"/>
          <w:sz w:val="24"/>
          <w:szCs w:val="24"/>
          <w:highlight w:val="none"/>
        </w:rPr>
        <w:t>1. 说明：应对照招标文件“第二章 采购需求”中的“技术要求”逐条作明确的投标响应，并作出偏离说明。</w:t>
      </w:r>
    </w:p>
    <w:p w14:paraId="6E3C224C">
      <w:pPr>
        <w:pStyle w:val="219"/>
        <w:spacing w:line="360" w:lineRule="auto"/>
        <w:ind w:firstLine="480"/>
        <w:rPr>
          <w:rFonts w:hint="eastAsia" w:ascii="宋体" w:hAnsi="宋体" w:cs="宋体"/>
          <w:b w:val="0"/>
          <w:bCs w:val="0"/>
          <w:color w:val="auto"/>
          <w:highlight w:val="none"/>
        </w:rPr>
      </w:pPr>
      <w:r>
        <w:rPr>
          <w:rFonts w:hint="eastAsia" w:ascii="宋体" w:hAnsi="宋体" w:cs="宋体"/>
          <w:b w:val="0"/>
          <w:bCs w:val="0"/>
          <w:color w:val="auto"/>
          <w:highlight w:val="none"/>
        </w:rPr>
        <w:t>2.投标人根据投标货物的性能指标，对照招标文件技术要求，在“偏离说明”中注明“</w:t>
      </w:r>
      <w:r>
        <w:rPr>
          <w:rFonts w:hint="eastAsia" w:ascii="宋体" w:hAnsi="宋体" w:cs="宋体"/>
          <w:color w:val="auto"/>
          <w:highlight w:val="none"/>
        </w:rPr>
        <w:t>正偏离</w:t>
      </w:r>
      <w:r>
        <w:rPr>
          <w:rFonts w:hint="eastAsia" w:ascii="宋体" w:hAnsi="宋体" w:cs="宋体"/>
          <w:b w:val="0"/>
          <w:bCs w:val="0"/>
          <w:color w:val="auto"/>
          <w:highlight w:val="none"/>
        </w:rPr>
        <w:t>”、“</w:t>
      </w:r>
      <w:r>
        <w:rPr>
          <w:rFonts w:hint="eastAsia" w:ascii="宋体" w:hAnsi="宋体" w:cs="宋体"/>
          <w:color w:val="auto"/>
          <w:highlight w:val="none"/>
        </w:rPr>
        <w:t>负偏离</w:t>
      </w:r>
      <w:r>
        <w:rPr>
          <w:rFonts w:hint="eastAsia" w:ascii="宋体" w:hAnsi="宋体" w:cs="宋体"/>
          <w:b w:val="0"/>
          <w:bCs w:val="0"/>
          <w:color w:val="auto"/>
          <w:highlight w:val="none"/>
        </w:rPr>
        <w:t>”或者“</w:t>
      </w:r>
      <w:r>
        <w:rPr>
          <w:rFonts w:hint="eastAsia" w:ascii="宋体" w:hAnsi="宋体" w:cs="宋体"/>
          <w:color w:val="auto"/>
          <w:highlight w:val="none"/>
        </w:rPr>
        <w:t>无偏离</w:t>
      </w:r>
      <w:r>
        <w:rPr>
          <w:rFonts w:hint="eastAsia" w:ascii="宋体" w:hAnsi="宋体" w:cs="宋体"/>
          <w:b w:val="0"/>
          <w:bCs w:val="0"/>
          <w:color w:val="auto"/>
          <w:highlight w:val="none"/>
        </w:rPr>
        <w:t>”。既不属于“</w:t>
      </w:r>
      <w:r>
        <w:rPr>
          <w:rFonts w:hint="eastAsia" w:ascii="宋体" w:hAnsi="宋体" w:cs="宋体"/>
          <w:color w:val="auto"/>
          <w:highlight w:val="none"/>
        </w:rPr>
        <w:t>正偏离</w:t>
      </w:r>
      <w:r>
        <w:rPr>
          <w:rFonts w:hint="eastAsia" w:ascii="宋体" w:hAnsi="宋体" w:cs="宋体"/>
          <w:b w:val="0"/>
          <w:bCs w:val="0"/>
          <w:color w:val="auto"/>
          <w:highlight w:val="none"/>
        </w:rPr>
        <w:t>”也不属于“</w:t>
      </w:r>
      <w:r>
        <w:rPr>
          <w:rFonts w:hint="eastAsia" w:ascii="宋体" w:hAnsi="宋体" w:cs="宋体"/>
          <w:color w:val="auto"/>
          <w:highlight w:val="none"/>
        </w:rPr>
        <w:t>负偏离</w:t>
      </w:r>
      <w:r>
        <w:rPr>
          <w:rFonts w:hint="eastAsia" w:ascii="宋体" w:hAnsi="宋体" w:cs="宋体"/>
          <w:b w:val="0"/>
          <w:bCs w:val="0"/>
          <w:color w:val="auto"/>
          <w:highlight w:val="none"/>
        </w:rPr>
        <w:t>”即为“</w:t>
      </w:r>
      <w:r>
        <w:rPr>
          <w:rFonts w:hint="eastAsia" w:ascii="宋体" w:hAnsi="宋体" w:cs="宋体"/>
          <w:color w:val="auto"/>
          <w:highlight w:val="none"/>
        </w:rPr>
        <w:t>无偏离</w:t>
      </w:r>
      <w:r>
        <w:rPr>
          <w:rFonts w:hint="eastAsia" w:ascii="宋体" w:hAnsi="宋体" w:cs="宋体"/>
          <w:b w:val="0"/>
          <w:bCs w:val="0"/>
          <w:color w:val="auto"/>
          <w:highlight w:val="none"/>
        </w:rPr>
        <w:t>”。</w:t>
      </w:r>
    </w:p>
    <w:p w14:paraId="67020DDB">
      <w:pPr>
        <w:pStyle w:val="225"/>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如技术要求偏离表中的投标响应与佐证材料不一致的，以佐证材料为准。</w:t>
      </w:r>
    </w:p>
    <w:p w14:paraId="7AA4EEA9">
      <w:pPr>
        <w:spacing w:before="50" w:after="50" w:line="360" w:lineRule="auto"/>
        <w:ind w:firstLine="480"/>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1693BE4A">
      <w:pPr>
        <w:spacing w:before="50" w:after="50" w:line="360" w:lineRule="auto"/>
        <w:ind w:firstLine="560"/>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005AACAF">
      <w:pPr>
        <w:spacing w:before="50" w:after="50" w:line="360" w:lineRule="auto"/>
        <w:ind w:firstLine="56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79636509">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11. 项目实施人员一览表格式</w:t>
      </w:r>
    </w:p>
    <w:p w14:paraId="3B27AB18">
      <w:pPr>
        <w:spacing w:before="120" w:after="50"/>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项目实施人员一览表</w:t>
      </w: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2CC5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775DE7F0">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姓名</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B3340AB">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职务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D07E4B3">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专业技术资格（职称）或者职业资格或者执业资格证或者其他证书</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5F1297DB">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证书编号</w:t>
            </w:r>
          </w:p>
        </w:tc>
        <w:tc>
          <w:tcPr>
            <w:tcW w:w="1698" w:type="dxa"/>
            <w:tcBorders>
              <w:top w:val="single" w:color="auto" w:sz="4" w:space="0"/>
              <w:left w:val="single" w:color="auto" w:sz="4" w:space="0"/>
              <w:bottom w:val="single" w:color="auto" w:sz="4" w:space="0"/>
              <w:right w:val="single" w:color="auto" w:sz="4" w:space="0"/>
            </w:tcBorders>
            <w:noWrap w:val="0"/>
            <w:vAlign w:val="center"/>
          </w:tcPr>
          <w:p w14:paraId="4E7ADC4F">
            <w:pPr>
              <w:spacing w:before="50" w:after="120"/>
              <w:ind w:firstLine="48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参加本单位</w:t>
            </w:r>
          </w:p>
          <w:p w14:paraId="7CC5020B">
            <w:pPr>
              <w:spacing w:before="50" w:after="120"/>
              <w:ind w:firstLine="48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工作时间</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13B1D30">
            <w:pPr>
              <w:spacing w:before="50" w:after="120"/>
              <w:jc w:val="center"/>
              <w:rPr>
                <w:rFonts w:hint="eastAsia" w:ascii="宋体" w:hAnsi="宋体" w:cs="宋体"/>
                <w:color w:val="auto"/>
                <w:sz w:val="24"/>
                <w:szCs w:val="20"/>
                <w:highlight w:val="none"/>
              </w:rPr>
            </w:pPr>
            <w:r>
              <w:rPr>
                <w:rFonts w:hint="eastAsia" w:ascii="宋体" w:hAnsi="宋体" w:cs="宋体"/>
                <w:color w:val="auto"/>
                <w:sz w:val="24"/>
                <w:szCs w:val="20"/>
                <w:highlight w:val="none"/>
              </w:rPr>
              <w:t>劳动合同编号</w:t>
            </w:r>
          </w:p>
        </w:tc>
      </w:tr>
      <w:tr w14:paraId="516A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4D289061">
            <w:pPr>
              <w:spacing w:before="50" w:after="120"/>
              <w:jc w:val="center"/>
              <w:rPr>
                <w:rFonts w:hint="eastAsia" w:ascii="宋体" w:hAnsi="宋体" w:cs="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46CAD9B1">
            <w:pPr>
              <w:spacing w:before="50" w:after="120"/>
              <w:jc w:val="center"/>
              <w:rPr>
                <w:rFonts w:hint="eastAsia" w:ascii="宋体" w:hAnsi="宋体" w:cs="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6B837F4">
            <w:pPr>
              <w:spacing w:before="50" w:after="120"/>
              <w:jc w:val="center"/>
              <w:rPr>
                <w:rFonts w:hint="eastAsia" w:ascii="宋体" w:hAnsi="宋体" w:cs="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5A9B6032">
            <w:pPr>
              <w:spacing w:before="50" w:after="120"/>
              <w:jc w:val="center"/>
              <w:rPr>
                <w:rFonts w:hint="eastAsia" w:ascii="宋体" w:hAnsi="宋体" w:cs="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3A8ABB20">
            <w:pPr>
              <w:spacing w:before="50" w:after="120"/>
              <w:jc w:val="center"/>
              <w:rPr>
                <w:rFonts w:hint="eastAsia" w:ascii="宋体" w:hAnsi="宋体" w:cs="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649ECA1">
            <w:pPr>
              <w:spacing w:before="50" w:after="120"/>
              <w:jc w:val="center"/>
              <w:rPr>
                <w:rFonts w:hint="eastAsia" w:ascii="宋体" w:hAnsi="宋体" w:cs="宋体"/>
                <w:color w:val="auto"/>
                <w:sz w:val="24"/>
                <w:szCs w:val="20"/>
                <w:highlight w:val="none"/>
              </w:rPr>
            </w:pPr>
          </w:p>
        </w:tc>
      </w:tr>
      <w:tr w14:paraId="5E92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02051769">
            <w:pPr>
              <w:spacing w:before="50" w:after="120"/>
              <w:jc w:val="center"/>
              <w:rPr>
                <w:rFonts w:hint="eastAsia" w:ascii="宋体" w:hAnsi="宋体" w:cs="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7D0F0687">
            <w:pPr>
              <w:spacing w:before="50" w:after="120"/>
              <w:jc w:val="center"/>
              <w:rPr>
                <w:rFonts w:hint="eastAsia" w:ascii="宋体" w:hAnsi="宋体" w:cs="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6B7B35D">
            <w:pPr>
              <w:spacing w:before="50" w:after="120"/>
              <w:jc w:val="center"/>
              <w:rPr>
                <w:rFonts w:hint="eastAsia" w:ascii="宋体" w:hAnsi="宋体" w:cs="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6566C9AA">
            <w:pPr>
              <w:spacing w:before="50" w:after="120"/>
              <w:jc w:val="center"/>
              <w:rPr>
                <w:rFonts w:hint="eastAsia" w:ascii="宋体" w:hAnsi="宋体" w:cs="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16B21B8C">
            <w:pPr>
              <w:spacing w:before="50" w:after="120"/>
              <w:jc w:val="center"/>
              <w:rPr>
                <w:rFonts w:hint="eastAsia" w:ascii="宋体" w:hAnsi="宋体" w:cs="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1615F00">
            <w:pPr>
              <w:spacing w:before="50" w:after="120"/>
              <w:jc w:val="center"/>
              <w:rPr>
                <w:rFonts w:hint="eastAsia" w:ascii="宋体" w:hAnsi="宋体" w:cs="宋体"/>
                <w:color w:val="auto"/>
                <w:sz w:val="24"/>
                <w:szCs w:val="20"/>
                <w:highlight w:val="none"/>
              </w:rPr>
            </w:pPr>
          </w:p>
        </w:tc>
      </w:tr>
      <w:tr w14:paraId="0680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5B69E7E8">
            <w:pPr>
              <w:spacing w:before="50" w:after="120"/>
              <w:jc w:val="center"/>
              <w:rPr>
                <w:rFonts w:hint="eastAsia" w:ascii="宋体" w:hAnsi="宋体" w:cs="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2B7AF2B5">
            <w:pPr>
              <w:spacing w:before="50" w:after="120"/>
              <w:jc w:val="center"/>
              <w:rPr>
                <w:rFonts w:hint="eastAsia" w:ascii="宋体" w:hAnsi="宋体" w:cs="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AC06433">
            <w:pPr>
              <w:spacing w:before="50" w:after="120"/>
              <w:jc w:val="center"/>
              <w:rPr>
                <w:rFonts w:hint="eastAsia" w:ascii="宋体" w:hAnsi="宋体" w:cs="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2D6420A6">
            <w:pPr>
              <w:spacing w:before="50" w:after="120"/>
              <w:jc w:val="center"/>
              <w:rPr>
                <w:rFonts w:hint="eastAsia" w:ascii="宋体" w:hAnsi="宋体" w:cs="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5F0A6EE6">
            <w:pPr>
              <w:spacing w:before="50" w:after="120"/>
              <w:jc w:val="center"/>
              <w:rPr>
                <w:rFonts w:hint="eastAsia" w:ascii="宋体" w:hAnsi="宋体" w:cs="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0C013C4">
            <w:pPr>
              <w:spacing w:before="50" w:after="120"/>
              <w:jc w:val="center"/>
              <w:rPr>
                <w:rFonts w:hint="eastAsia" w:ascii="宋体" w:hAnsi="宋体" w:cs="宋体"/>
                <w:color w:val="auto"/>
                <w:sz w:val="24"/>
                <w:szCs w:val="20"/>
                <w:highlight w:val="none"/>
              </w:rPr>
            </w:pPr>
          </w:p>
        </w:tc>
      </w:tr>
    </w:tbl>
    <w:p w14:paraId="0BAED59A">
      <w:pPr>
        <w:spacing w:line="360" w:lineRule="auto"/>
        <w:ind w:firstLine="480"/>
        <w:contextualSpacing/>
        <w:jc w:val="left"/>
        <w:rPr>
          <w:rFonts w:hint="eastAsia" w:ascii="宋体" w:hAnsi="宋体" w:cs="宋体"/>
          <w:color w:val="auto"/>
          <w:sz w:val="24"/>
          <w:szCs w:val="20"/>
          <w:highlight w:val="none"/>
        </w:rPr>
      </w:pPr>
      <w:r>
        <w:rPr>
          <w:rFonts w:hint="eastAsia" w:ascii="宋体" w:hAnsi="宋体" w:cs="宋体"/>
          <w:color w:val="auto"/>
          <w:sz w:val="24"/>
          <w:szCs w:val="20"/>
          <w:highlight w:val="none"/>
        </w:rPr>
        <w:t>注：</w:t>
      </w:r>
    </w:p>
    <w:p w14:paraId="3BCE24C0">
      <w:pPr>
        <w:spacing w:line="360" w:lineRule="auto"/>
        <w:ind w:firstLine="480"/>
        <w:contextualSpacing/>
        <w:jc w:val="left"/>
        <w:rPr>
          <w:rFonts w:hint="eastAsia" w:ascii="宋体" w:hAnsi="宋体" w:cs="宋体"/>
          <w:color w:val="auto"/>
          <w:sz w:val="24"/>
          <w:szCs w:val="20"/>
          <w:highlight w:val="none"/>
        </w:rPr>
      </w:pPr>
      <w:r>
        <w:rPr>
          <w:rFonts w:hint="eastAsia" w:ascii="宋体" w:hAnsi="宋体" w:cs="宋体"/>
          <w:color w:val="auto"/>
          <w:sz w:val="24"/>
          <w:szCs w:val="20"/>
          <w:highlight w:val="none"/>
        </w:rPr>
        <w:t>1.在填写时，如本表格不适合投标单位的实际情况，可根据本表格式自行制表填写。</w:t>
      </w:r>
    </w:p>
    <w:p w14:paraId="7DAC5788">
      <w:pPr>
        <w:spacing w:line="360" w:lineRule="auto"/>
        <w:ind w:firstLine="480"/>
        <w:contextualSpacing/>
        <w:jc w:val="left"/>
        <w:rPr>
          <w:rFonts w:hint="eastAsia" w:ascii="宋体" w:hAnsi="宋体" w:cs="宋体"/>
          <w:color w:val="auto"/>
          <w:sz w:val="24"/>
          <w:szCs w:val="20"/>
          <w:highlight w:val="none"/>
        </w:rPr>
      </w:pPr>
      <w:r>
        <w:rPr>
          <w:rFonts w:hint="eastAsia" w:ascii="宋体" w:hAnsi="宋体" w:cs="宋体"/>
          <w:color w:val="auto"/>
          <w:sz w:val="24"/>
          <w:szCs w:val="20"/>
          <w:highlight w:val="none"/>
        </w:rPr>
        <w:t>2.投标人应当附本表所列证书的复印件或扫描件并加盖投标人电子签章。</w:t>
      </w:r>
    </w:p>
    <w:p w14:paraId="4400C6D2">
      <w:pPr>
        <w:spacing w:line="360" w:lineRule="auto"/>
        <w:ind w:firstLine="480"/>
        <w:contextualSpacing/>
        <w:rPr>
          <w:rFonts w:hint="eastAsia" w:ascii="宋体" w:hAnsi="宋体" w:cs="宋体"/>
          <w:color w:val="auto"/>
          <w:spacing w:val="20"/>
          <w:sz w:val="24"/>
          <w:szCs w:val="20"/>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5D01ED4D">
      <w:pPr>
        <w:spacing w:line="360" w:lineRule="auto"/>
        <w:ind w:firstLine="560"/>
        <w:contextualSpacing/>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2C13DC14">
      <w:pPr>
        <w:spacing w:line="360" w:lineRule="auto"/>
        <w:ind w:firstLine="560"/>
        <w:contextualSpacing/>
        <w:jc w:val="left"/>
        <w:rPr>
          <w:rFonts w:hint="eastAsia"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352A148E">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12. 选配件、专用耗材、售后服务优惠表格式（注：按项目需求表具体项目修改）</w:t>
      </w:r>
    </w:p>
    <w:p w14:paraId="1681CF5E">
      <w:pPr>
        <w:spacing w:before="120" w:after="50"/>
        <w:ind w:left="142" w:firstLine="643"/>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选配件、专用耗材、售后服务优惠表</w:t>
      </w:r>
    </w:p>
    <w:tbl>
      <w:tblPr>
        <w:tblStyle w:val="30"/>
        <w:tblW w:w="0" w:type="auto"/>
        <w:tblInd w:w="-1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0" w:type="dxa"/>
          <w:right w:w="15" w:type="dxa"/>
        </w:tblCellMar>
      </w:tblPr>
      <w:tblGrid>
        <w:gridCol w:w="735"/>
        <w:gridCol w:w="2700"/>
        <w:gridCol w:w="1440"/>
        <w:gridCol w:w="1440"/>
        <w:gridCol w:w="2340"/>
      </w:tblGrid>
      <w:tr w14:paraId="1FE728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0246B90">
            <w:pPr>
              <w:pStyle w:val="231"/>
              <w:spacing w:before="295" w:after="295"/>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序号</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3C6AEE10">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优惠内容</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B9AF61C">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适用机型</w:t>
            </w: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00AD004">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单价</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62CCEA33">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比市场价优惠率</w:t>
            </w:r>
          </w:p>
        </w:tc>
      </w:tr>
      <w:tr w14:paraId="6F7824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417904F">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1</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83E5C2F">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10D5AEF">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004279D">
            <w:pPr>
              <w:pStyle w:val="231"/>
              <w:spacing w:before="295" w:after="295"/>
              <w:jc w:val="center"/>
              <w:rPr>
                <w:rFonts w:hint="eastAsia" w:hAnsi="宋体" w:cs="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1C49466A">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w:t>
            </w:r>
          </w:p>
        </w:tc>
      </w:tr>
      <w:tr w14:paraId="3E7A99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439D34D">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2</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5F28C4DC">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6273F26">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8A8CDD0">
            <w:pPr>
              <w:pStyle w:val="231"/>
              <w:spacing w:before="295" w:after="295"/>
              <w:jc w:val="center"/>
              <w:rPr>
                <w:rFonts w:hint="eastAsia" w:hAnsi="宋体" w:cs="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2DEFA2A5">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w:t>
            </w:r>
          </w:p>
        </w:tc>
      </w:tr>
      <w:tr w14:paraId="60F5F2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D7BE38C">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3</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135A1D54">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43A6D511">
            <w:pPr>
              <w:pStyle w:val="231"/>
              <w:spacing w:before="295" w:after="295"/>
              <w:jc w:val="center"/>
              <w:rPr>
                <w:rFonts w:hint="eastAsia" w:hAnsi="宋体" w:cs="宋体"/>
                <w:color w:val="auto"/>
                <w:sz w:val="24"/>
                <w:szCs w:val="24"/>
                <w:highlight w:val="none"/>
                <w:lang w:val="en-US" w:eastAsia="zh-CN"/>
              </w:rPr>
            </w:pPr>
          </w:p>
        </w:tc>
        <w:tc>
          <w:tcPr>
            <w:tcW w:w="144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1187491">
            <w:pPr>
              <w:pStyle w:val="231"/>
              <w:spacing w:before="295" w:after="295"/>
              <w:jc w:val="center"/>
              <w:rPr>
                <w:rFonts w:hint="eastAsia" w:hAnsi="宋体" w:cs="宋体"/>
                <w:color w:val="auto"/>
                <w:sz w:val="24"/>
                <w:szCs w:val="24"/>
                <w:highlight w:val="none"/>
                <w:lang w:val="en-US" w:eastAsia="zh-CN"/>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14:paraId="0D46F0D0">
            <w:pPr>
              <w:pStyle w:val="231"/>
              <w:spacing w:before="295" w:after="295"/>
              <w:jc w:val="center"/>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w:t>
            </w:r>
          </w:p>
        </w:tc>
      </w:tr>
    </w:tbl>
    <w:p w14:paraId="3C360E43">
      <w:pPr>
        <w:spacing w:line="360" w:lineRule="auto"/>
        <w:ind w:firstLine="480"/>
        <w:contextualSpacing/>
        <w:rPr>
          <w:rFonts w:hint="eastAsia"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2BDD9888">
      <w:pPr>
        <w:spacing w:line="360" w:lineRule="auto"/>
        <w:ind w:firstLine="560"/>
        <w:contextualSpacing/>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2554864D">
      <w:pPr>
        <w:spacing w:line="360" w:lineRule="auto"/>
        <w:ind w:firstLine="560"/>
        <w:contextualSpacing/>
        <w:jc w:val="left"/>
        <w:rPr>
          <w:rFonts w:hint="eastAsia"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39F66EC8">
      <w:pPr>
        <w:ind w:firstLine="482"/>
        <w:rPr>
          <w:rFonts w:hint="eastAsia" w:ascii="宋体" w:hAnsi="宋体" w:cs="宋体"/>
          <w:b/>
          <w:color w:val="auto"/>
          <w:sz w:val="28"/>
          <w:szCs w:val="28"/>
          <w:highlight w:val="none"/>
        </w:rPr>
      </w:pPr>
      <w:r>
        <w:rPr>
          <w:rFonts w:hint="eastAsia" w:ascii="宋体" w:hAnsi="宋体" w:cs="宋体"/>
          <w:b/>
          <w:bCs/>
          <w:color w:val="auto"/>
          <w:sz w:val="24"/>
          <w:highlight w:val="none"/>
        </w:rPr>
        <w:br w:type="page" w:clear="all"/>
      </w:r>
      <w:r>
        <w:rPr>
          <w:rFonts w:hint="eastAsia" w:ascii="宋体" w:hAnsi="宋体" w:cs="宋体"/>
          <w:b/>
          <w:color w:val="auto"/>
          <w:sz w:val="28"/>
          <w:szCs w:val="28"/>
          <w:highlight w:val="none"/>
        </w:rPr>
        <w:t>四、其他文书、文件格式</w:t>
      </w:r>
    </w:p>
    <w:p w14:paraId="4C1FCC6C">
      <w:pPr>
        <w:spacing w:before="120" w:after="50"/>
        <w:ind w:firstLine="562"/>
        <w:jc w:val="left"/>
        <w:rPr>
          <w:rFonts w:hint="eastAsia" w:ascii="宋体" w:hAnsi="宋体" w:cs="宋体"/>
          <w:color w:val="auto"/>
          <w:highlight w:val="none"/>
        </w:rPr>
      </w:pPr>
      <w:r>
        <w:rPr>
          <w:rFonts w:hint="eastAsia" w:ascii="宋体" w:hAnsi="宋体" w:cs="宋体"/>
          <w:b/>
          <w:color w:val="auto"/>
          <w:spacing w:val="20"/>
          <w:sz w:val="24"/>
          <w:highlight w:val="none"/>
        </w:rPr>
        <w:t>1</w:t>
      </w:r>
      <w:r>
        <w:rPr>
          <w:rFonts w:hint="eastAsia" w:ascii="宋体" w:hAnsi="宋体" w:cs="宋体"/>
          <w:b/>
          <w:color w:val="auto"/>
          <w:sz w:val="24"/>
          <w:highlight w:val="none"/>
        </w:rPr>
        <w:t>.中小企业声明函格式</w:t>
      </w:r>
    </w:p>
    <w:p w14:paraId="086A6FA2">
      <w:pPr>
        <w:ind w:firstLine="88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中小企业声明函（货物）</w:t>
      </w:r>
    </w:p>
    <w:p w14:paraId="637E4EFB">
      <w:pPr>
        <w:pStyle w:val="221"/>
        <w:spacing w:line="360" w:lineRule="auto"/>
        <w:ind w:left="-426" w:right="142" w:firstLine="480"/>
        <w:contextualSpacing/>
        <w:rPr>
          <w:rFonts w:hint="eastAsia" w:ascii="宋体" w:hAnsi="宋体" w:cs="宋体"/>
          <w:color w:val="auto"/>
          <w:highlight w:val="none"/>
        </w:rPr>
      </w:pPr>
      <w:r>
        <w:rPr>
          <w:rFonts w:hint="eastAsia" w:ascii="宋体" w:hAnsi="宋体" w:cs="宋体"/>
          <w:color w:val="auto"/>
          <w:highlight w:val="none"/>
        </w:rPr>
        <w:t>本公司（联合体）郑重声明，根据《政府采购促进中小企业发展管理办法》（财库﹝2020﹞46号）的规定，本公司（联合体）参加</w:t>
      </w:r>
      <w:r>
        <w:rPr>
          <w:rFonts w:hint="eastAsia" w:ascii="宋体" w:hAnsi="宋体" w:cs="宋体"/>
          <w:color w:val="auto"/>
          <w:highlight w:val="none"/>
          <w:u w:val="single"/>
        </w:rPr>
        <w:t>（单位名称）</w:t>
      </w:r>
      <w:r>
        <w:rPr>
          <w:rFonts w:hint="eastAsia" w:ascii="宋体" w:hAnsi="宋体" w:cs="宋体"/>
          <w:color w:val="auto"/>
          <w:highlight w:val="none"/>
        </w:rPr>
        <w:t>的</w:t>
      </w:r>
      <w:r>
        <w:rPr>
          <w:rFonts w:hint="eastAsia" w:ascii="宋体" w:hAnsi="宋体" w:cs="宋体"/>
          <w:color w:val="auto"/>
          <w:highlight w:val="none"/>
          <w:u w:val="single"/>
        </w:rPr>
        <w:t>（项目名称）</w:t>
      </w:r>
      <w:r>
        <w:rPr>
          <w:rFonts w:hint="eastAsia" w:ascii="宋体" w:hAnsi="宋体" w:cs="宋体"/>
          <w:color w:val="auto"/>
          <w:highlight w:val="none"/>
        </w:rPr>
        <w:t>采购活动，提供的货物全部由符合政策要求的中小企业制造。相关企业（含联合体中的中小企业、签订分包意向协议的中小企业）的具体情况如下：</w:t>
      </w:r>
    </w:p>
    <w:p w14:paraId="2C67AE3F">
      <w:pPr>
        <w:tabs>
          <w:tab w:val="left" w:pos="1384"/>
          <w:tab w:val="left" w:pos="4562"/>
          <w:tab w:val="left" w:pos="6803"/>
        </w:tabs>
        <w:spacing w:line="360" w:lineRule="auto"/>
        <w:ind w:left="-426" w:right="-58" w:firstLine="480"/>
        <w:contextualSpacing/>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7CDBFC99">
      <w:pPr>
        <w:tabs>
          <w:tab w:val="left" w:pos="1065"/>
          <w:tab w:val="left" w:pos="6477"/>
        </w:tabs>
        <w:spacing w:line="360" w:lineRule="auto"/>
        <w:ind w:left="-426" w:right="-58" w:firstLine="48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05357DFF">
      <w:pPr>
        <w:pStyle w:val="221"/>
        <w:spacing w:line="360" w:lineRule="auto"/>
        <w:ind w:left="142" w:right="142" w:firstLine="480"/>
        <w:contextualSpacing/>
        <w:rPr>
          <w:rFonts w:hint="eastAsia" w:ascii="宋体" w:hAnsi="宋体" w:cs="宋体"/>
          <w:color w:val="auto"/>
          <w:highlight w:val="none"/>
        </w:rPr>
      </w:pPr>
      <w:r>
        <w:rPr>
          <w:rFonts w:hint="eastAsia" w:ascii="宋体" w:hAnsi="宋体" w:cs="宋体"/>
          <w:color w:val="auto"/>
          <w:highlight w:val="none"/>
        </w:rPr>
        <w:t xml:space="preserve">…… </w:t>
      </w:r>
    </w:p>
    <w:p w14:paraId="0A698F52">
      <w:pPr>
        <w:pStyle w:val="221"/>
        <w:spacing w:line="360" w:lineRule="auto"/>
        <w:ind w:left="-405" w:right="142" w:firstLine="480"/>
        <w:contextualSpacing/>
        <w:rPr>
          <w:rFonts w:hint="eastAsia" w:ascii="宋体" w:hAnsi="宋体" w:cs="宋体"/>
          <w:color w:val="auto"/>
          <w:highlight w:val="none"/>
        </w:rPr>
      </w:pPr>
      <w:r>
        <w:rPr>
          <w:rFonts w:hint="eastAsia" w:ascii="宋体" w:hAnsi="宋体" w:cs="宋体"/>
          <w:color w:val="auto"/>
          <w:highlight w:val="none"/>
        </w:rPr>
        <w:t>以上企业，不属于大企业的分支机构，不存在控股股东为大企业的情形，也不存在与大企业的负责人为同一人的情形。</w:t>
      </w:r>
    </w:p>
    <w:p w14:paraId="76CA0B4B">
      <w:pPr>
        <w:pStyle w:val="221"/>
        <w:spacing w:line="360" w:lineRule="auto"/>
        <w:ind w:left="-426" w:right="142" w:firstLine="480"/>
        <w:contextualSpacing/>
        <w:rPr>
          <w:rFonts w:hint="eastAsia" w:ascii="宋体" w:hAnsi="宋体" w:cs="宋体"/>
          <w:color w:val="auto"/>
          <w:highlight w:val="none"/>
        </w:rPr>
      </w:pPr>
      <w:r>
        <w:rPr>
          <w:rFonts w:hint="eastAsia" w:ascii="宋体" w:hAnsi="宋体" w:cs="宋体"/>
          <w:color w:val="auto"/>
          <w:highlight w:val="none"/>
        </w:rPr>
        <w:t>本企业对上述声明内容的真实性负责。如有虚假，将依法承担相应责任。</w:t>
      </w:r>
    </w:p>
    <w:p w14:paraId="1BE72394">
      <w:pPr>
        <w:pStyle w:val="221"/>
        <w:spacing w:line="360" w:lineRule="auto"/>
        <w:ind w:right="1808"/>
        <w:contextualSpacing/>
        <w:jc w:val="right"/>
        <w:rPr>
          <w:rFonts w:hint="eastAsia" w:ascii="宋体" w:hAnsi="宋体" w:cs="宋体"/>
          <w:color w:val="auto"/>
          <w:highlight w:val="none"/>
        </w:rPr>
      </w:pPr>
      <w:r>
        <w:rPr>
          <w:rFonts w:hint="eastAsia" w:ascii="宋体" w:hAnsi="宋体" w:cs="宋体"/>
          <w:color w:val="auto"/>
          <w:highlight w:val="none"/>
        </w:rPr>
        <w:t xml:space="preserve">企业名称（电子签章）： </w:t>
      </w:r>
    </w:p>
    <w:p w14:paraId="4700F1B1">
      <w:pPr>
        <w:pStyle w:val="221"/>
        <w:spacing w:line="360" w:lineRule="auto"/>
        <w:ind w:left="3960" w:right="1808" w:firstLine="480"/>
        <w:contextualSpacing/>
        <w:rPr>
          <w:rFonts w:hint="eastAsia" w:ascii="宋体" w:hAnsi="宋体" w:cs="宋体"/>
          <w:color w:val="auto"/>
          <w:highlight w:val="none"/>
        </w:rPr>
      </w:pPr>
      <w:r>
        <w:rPr>
          <w:rFonts w:hint="eastAsia" w:ascii="宋体" w:hAnsi="宋体" w:cs="宋体"/>
          <w:color w:val="auto"/>
          <w:highlight w:val="none"/>
        </w:rPr>
        <w:t>日 期：</w:t>
      </w:r>
    </w:p>
    <w:p w14:paraId="6A7B4456">
      <w:pPr>
        <w:pStyle w:val="221"/>
        <w:spacing w:line="360" w:lineRule="auto"/>
        <w:ind w:left="-426" w:right="142" w:firstLine="480"/>
        <w:contextualSpacing/>
        <w:rPr>
          <w:rFonts w:hint="eastAsia" w:ascii="宋体" w:hAnsi="宋体" w:cs="宋体"/>
          <w:color w:val="auto"/>
          <w:highlight w:val="none"/>
        </w:rPr>
      </w:pPr>
      <w:r>
        <w:rPr>
          <w:rFonts w:hint="eastAsia" w:ascii="宋体" w:hAnsi="宋体" w:cs="宋体"/>
          <w:color w:val="auto"/>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6138E0C8">
      <w:pPr>
        <w:spacing w:before="120" w:after="50"/>
        <w:ind w:left="142" w:firstLine="482"/>
        <w:jc w:val="left"/>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2.残疾人福利性单位声明函格式</w:t>
      </w:r>
    </w:p>
    <w:p w14:paraId="6427BF93">
      <w:pPr>
        <w:spacing w:line="588" w:lineRule="exact"/>
        <w:ind w:firstLine="904"/>
        <w:jc w:val="center"/>
        <w:rPr>
          <w:rFonts w:hint="eastAsia" w:ascii="宋体" w:hAnsi="宋体" w:cs="宋体"/>
          <w:bCs/>
          <w:color w:val="auto"/>
          <w:spacing w:val="6"/>
          <w:sz w:val="44"/>
          <w:szCs w:val="44"/>
          <w:highlight w:val="none"/>
        </w:rPr>
      </w:pPr>
      <w:r>
        <w:rPr>
          <w:rFonts w:hint="eastAsia" w:ascii="宋体" w:hAnsi="宋体" w:cs="宋体"/>
          <w:bCs/>
          <w:color w:val="auto"/>
          <w:spacing w:val="6"/>
          <w:sz w:val="44"/>
          <w:szCs w:val="44"/>
          <w:highlight w:val="none"/>
        </w:rPr>
        <w:t>残疾人福利性单位声明函</w:t>
      </w:r>
    </w:p>
    <w:p w14:paraId="15CEEF3B">
      <w:pPr>
        <w:spacing w:line="360" w:lineRule="auto"/>
        <w:ind w:firstLine="504"/>
        <w:contextualSpacing/>
        <w:rPr>
          <w:rFonts w:hint="eastAsia" w:ascii="宋体" w:hAnsi="宋体" w:cs="宋体"/>
          <w:color w:val="auto"/>
          <w:spacing w:val="6"/>
          <w:sz w:val="24"/>
          <w:highlight w:val="none"/>
        </w:rPr>
      </w:pPr>
      <w:r>
        <w:rPr>
          <w:rFonts w:hint="eastAsia" w:ascii="宋体" w:hAnsi="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cs="宋体"/>
          <w:color w:val="auto"/>
          <w:sz w:val="24"/>
          <w:highlight w:val="none"/>
        </w:rPr>
        <w:t>〔2017〕141</w:t>
      </w:r>
      <w:r>
        <w:rPr>
          <w:rFonts w:hint="eastAsia" w:ascii="宋体" w:hAnsi="宋体" w:cs="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 w:val="24"/>
          <w:highlight w:val="none"/>
        </w:rPr>
        <w:t>疾人福利性单位制造的货物（不包括使用非残疾人福利性单位注册商标的货物）。</w:t>
      </w:r>
    </w:p>
    <w:p w14:paraId="4965648A">
      <w:pPr>
        <w:spacing w:line="360" w:lineRule="auto"/>
        <w:ind w:firstLine="504"/>
        <w:contextualSpacing/>
        <w:rPr>
          <w:rFonts w:hint="eastAsia" w:ascii="宋体" w:hAnsi="宋体" w:cs="宋体"/>
          <w:color w:val="auto"/>
          <w:spacing w:val="6"/>
          <w:sz w:val="24"/>
          <w:highlight w:val="none"/>
        </w:rPr>
      </w:pPr>
      <w:r>
        <w:rPr>
          <w:rFonts w:hint="eastAsia" w:ascii="宋体" w:hAnsi="宋体" w:cs="宋体"/>
          <w:color w:val="auto"/>
          <w:spacing w:val="6"/>
          <w:sz w:val="24"/>
          <w:highlight w:val="none"/>
        </w:rPr>
        <w:t>本单位对上述声明的真实性负责。如有虚假，将依法承担相应责任。</w:t>
      </w:r>
    </w:p>
    <w:p w14:paraId="382D2539">
      <w:pPr>
        <w:tabs>
          <w:tab w:val="left" w:pos="4860"/>
        </w:tabs>
        <w:spacing w:line="360" w:lineRule="auto"/>
        <w:ind w:right="1560" w:firstLine="504"/>
        <w:contextualSpacing/>
        <w:jc w:val="center"/>
        <w:rPr>
          <w:rFonts w:hint="eastAsia" w:ascii="宋体" w:hAnsi="宋体" w:cs="宋体"/>
          <w:color w:val="auto"/>
          <w:spacing w:val="6"/>
          <w:sz w:val="24"/>
          <w:highlight w:val="none"/>
        </w:rPr>
      </w:pPr>
      <w:r>
        <w:rPr>
          <w:rFonts w:hint="eastAsia" w:ascii="宋体" w:hAnsi="宋体" w:cs="宋体"/>
          <w:color w:val="auto"/>
          <w:spacing w:val="6"/>
          <w:sz w:val="24"/>
          <w:highlight w:val="none"/>
        </w:rPr>
        <w:t>单位名称（电子签章）：</w:t>
      </w:r>
    </w:p>
    <w:p w14:paraId="43EC9275">
      <w:pPr>
        <w:tabs>
          <w:tab w:val="left" w:pos="4860"/>
        </w:tabs>
        <w:spacing w:line="360" w:lineRule="auto"/>
        <w:ind w:right="1560" w:firstLine="504"/>
        <w:contextualSpacing/>
        <w:jc w:val="center"/>
        <w:rPr>
          <w:rFonts w:hint="eastAsia" w:ascii="宋体" w:hAnsi="宋体" w:cs="宋体"/>
          <w:color w:val="auto"/>
          <w:spacing w:val="6"/>
          <w:sz w:val="24"/>
          <w:highlight w:val="none"/>
        </w:rPr>
      </w:pPr>
      <w:r>
        <w:rPr>
          <w:rFonts w:hint="eastAsia" w:ascii="宋体" w:hAnsi="宋体" w:cs="宋体"/>
          <w:color w:val="auto"/>
          <w:spacing w:val="6"/>
          <w:sz w:val="24"/>
          <w:highlight w:val="none"/>
        </w:rPr>
        <w:t>日  期：</w:t>
      </w:r>
    </w:p>
    <w:p w14:paraId="2126A0D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6B57B007">
      <w:pPr>
        <w:pStyle w:val="221"/>
        <w:rPr>
          <w:rFonts w:ascii="宋体" w:hAnsi="宋体"/>
          <w:b/>
          <w:color w:val="auto"/>
          <w:highlight w:val="none"/>
        </w:rPr>
      </w:pPr>
      <w:r>
        <w:rPr>
          <w:rFonts w:hint="eastAsia" w:ascii="宋体" w:hAnsi="宋体" w:cs="宋体"/>
          <w:color w:val="auto"/>
          <w:sz w:val="24"/>
          <w:highlight w:val="none"/>
        </w:rPr>
        <w:br w:type="page" w:clear="all"/>
      </w:r>
      <w:r>
        <w:rPr>
          <w:rFonts w:hint="eastAsia" w:ascii="宋体" w:hAnsi="宋体"/>
          <w:b/>
          <w:color w:val="auto"/>
          <w:highlight w:val="none"/>
          <w:lang w:val="en-US" w:eastAsia="zh-CN"/>
        </w:rPr>
        <w:t>3</w:t>
      </w:r>
      <w:r>
        <w:rPr>
          <w:rFonts w:hint="eastAsia" w:ascii="宋体" w:hAnsi="宋体"/>
          <w:b/>
          <w:color w:val="auto"/>
          <w:highlight w:val="none"/>
        </w:rPr>
        <w:t>.</w:t>
      </w:r>
      <w:r>
        <w:rPr>
          <w:rFonts w:hint="eastAsia"/>
          <w:color w:val="auto"/>
          <w:highlight w:val="none"/>
        </w:rPr>
        <w:t xml:space="preserve"> </w:t>
      </w:r>
      <w:r>
        <w:rPr>
          <w:rFonts w:hint="eastAsia" w:ascii="宋体" w:hAnsi="宋体"/>
          <w:b/>
          <w:color w:val="auto"/>
          <w:highlight w:val="none"/>
        </w:rPr>
        <w:t>关于符合本国产品标准的声明函格式</w:t>
      </w:r>
    </w:p>
    <w:p w14:paraId="4ADC1500">
      <w:pPr>
        <w:pStyle w:val="221"/>
        <w:rPr>
          <w:color w:val="auto"/>
          <w:highlight w:val="none"/>
        </w:rPr>
      </w:pPr>
    </w:p>
    <w:p w14:paraId="3CFB3967">
      <w:pPr>
        <w:widowControl/>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0367A89E">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3E1DCA73">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63EFD07F">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5E41870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132CD2C7">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790FC26D">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0F99BB65">
      <w:pPr>
        <w:widowControl/>
        <w:shd w:val="clear" w:color="auto" w:fill="FFFFFF"/>
        <w:spacing w:before="30" w:after="30" w:line="360" w:lineRule="auto"/>
        <w:jc w:val="left"/>
        <w:rPr>
          <w:rFonts w:hint="eastAsia" w:ascii="宋体" w:hAnsi="宋体" w:cs="宋体"/>
          <w:color w:val="auto"/>
          <w:sz w:val="24"/>
          <w:highlight w:val="none"/>
        </w:rPr>
      </w:pPr>
      <w:r>
        <w:rPr>
          <w:rFonts w:hint="eastAsia" w:ascii="宋体" w:hAnsi="宋体" w:cs="宋体"/>
          <w:color w:val="auto"/>
          <w:sz w:val="24"/>
          <w:highlight w:val="none"/>
        </w:rPr>
        <w:t> </w:t>
      </w:r>
    </w:p>
    <w:p w14:paraId="592659DF">
      <w:pPr>
        <w:widowControl/>
        <w:shd w:val="clear" w:color="auto" w:fill="FFFFFF"/>
        <w:spacing w:before="30" w:after="30" w:line="360" w:lineRule="auto"/>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7295E2B8">
      <w:pPr>
        <w:widowControl/>
        <w:shd w:val="clear" w:color="auto" w:fill="FFFFFF"/>
        <w:spacing w:line="360" w:lineRule="auto"/>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44982438">
      <w:pPr>
        <w:widowControl/>
        <w:shd w:val="clear" w:color="auto" w:fill="FFFFFF"/>
        <w:spacing w:before="30" w:after="30" w:line="360" w:lineRule="auto"/>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52171A9D">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3C7865C2">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407F2E2F">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DE77FB3">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C4F843B">
      <w:pPr>
        <w:widowControl/>
        <w:shd w:val="clear" w:color="auto" w:fill="FFFFFF"/>
        <w:spacing w:line="360" w:lineRule="auto"/>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D285720">
      <w:pPr>
        <w:pStyle w:val="221"/>
        <w:spacing w:line="360" w:lineRule="auto"/>
        <w:rPr>
          <w:color w:val="auto"/>
          <w:highlight w:val="none"/>
          <w:lang w:val="en-US"/>
        </w:rPr>
      </w:pPr>
    </w:p>
    <w:p w14:paraId="559AF215">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br w:type="page" w:clear="all"/>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.质疑函（格式）</w:t>
      </w:r>
    </w:p>
    <w:p w14:paraId="4D9CB28A">
      <w:pPr>
        <w:spacing w:line="360" w:lineRule="auto"/>
        <w:ind w:firstLine="88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质疑函（格式）</w:t>
      </w:r>
    </w:p>
    <w:p w14:paraId="594384BE">
      <w:pPr>
        <w:pStyle w:val="23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6D7DA9BC">
      <w:pPr>
        <w:pStyle w:val="23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8A23FBC">
      <w:pPr>
        <w:pStyle w:val="23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20BADD2">
      <w:pPr>
        <w:pStyle w:val="23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27BB3B8">
      <w:pPr>
        <w:pStyle w:val="23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17F9D081">
      <w:pPr>
        <w:pStyle w:val="23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38E0CBF9">
      <w:pPr>
        <w:pStyle w:val="231"/>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07ABAF2">
      <w:pPr>
        <w:pStyle w:val="23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124EF52F">
      <w:pPr>
        <w:pStyle w:val="231"/>
        <w:spacing w:line="360" w:lineRule="auto"/>
        <w:ind w:left="25" w:firstLine="480"/>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1E343738">
      <w:pPr>
        <w:pStyle w:val="231"/>
        <w:spacing w:line="360" w:lineRule="auto"/>
        <w:ind w:left="25" w:firstLine="480"/>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7F62102F">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05335A82">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质疑事项：</w:t>
      </w:r>
    </w:p>
    <w:p w14:paraId="5658D559">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w:t>
      </w:r>
      <w:r>
        <w:rPr>
          <w:rFonts w:hint="eastAsia" w:hAnsi="宋体" w:cs="宋体"/>
          <w:color w:val="auto"/>
          <w:sz w:val="24"/>
          <w:szCs w:val="24"/>
          <w:highlight w:val="none"/>
          <w:lang w:eastAsia="zh-CN"/>
        </w:rPr>
        <w:t>招标</w:t>
      </w:r>
      <w:r>
        <w:rPr>
          <w:rFonts w:hint="eastAsia" w:hAnsi="宋体" w:cs="宋体"/>
          <w:color w:val="auto"/>
          <w:sz w:val="24"/>
          <w:szCs w:val="24"/>
          <w:highlight w:val="none"/>
        </w:rPr>
        <w:t xml:space="preserve">文件   </w:t>
      </w:r>
      <w:r>
        <w:rPr>
          <w:rFonts w:hint="eastAsia" w:hAnsi="宋体" w:cs="宋体"/>
          <w:color w:val="auto"/>
          <w:sz w:val="24"/>
          <w:szCs w:val="24"/>
          <w:highlight w:val="none"/>
          <w:lang w:eastAsia="zh-CN"/>
        </w:rPr>
        <w:t>招标</w:t>
      </w:r>
      <w:r>
        <w:rPr>
          <w:rFonts w:hint="eastAsia" w:hAnsi="宋体" w:cs="宋体"/>
          <w:color w:val="auto"/>
          <w:sz w:val="24"/>
          <w:szCs w:val="24"/>
          <w:highlight w:val="none"/>
        </w:rPr>
        <w:t>文件获取日期：</w:t>
      </w:r>
      <w:r>
        <w:rPr>
          <w:rFonts w:hint="eastAsia" w:hAnsi="宋体" w:cs="宋体"/>
          <w:bCs/>
          <w:color w:val="auto"/>
          <w:sz w:val="24"/>
          <w:szCs w:val="24"/>
          <w:highlight w:val="none"/>
          <w:u w:val="single"/>
        </w:rPr>
        <w:t xml:space="preserve">                                   </w:t>
      </w:r>
    </w:p>
    <w:p w14:paraId="030F881C">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w:t>
      </w:r>
      <w:r>
        <w:rPr>
          <w:rFonts w:hint="eastAsia" w:hAnsi="宋体" w:cs="宋体"/>
          <w:color w:val="auto"/>
          <w:sz w:val="24"/>
          <w:szCs w:val="24"/>
          <w:highlight w:val="none"/>
          <w:lang w:eastAsia="zh-CN"/>
        </w:rPr>
        <w:t>招标</w:t>
      </w:r>
      <w:r>
        <w:rPr>
          <w:rFonts w:hint="eastAsia" w:hAnsi="宋体" w:cs="宋体"/>
          <w:color w:val="auto"/>
          <w:sz w:val="24"/>
          <w:szCs w:val="24"/>
          <w:highlight w:val="none"/>
        </w:rPr>
        <w:t xml:space="preserve">过程   </w:t>
      </w:r>
    </w:p>
    <w:p w14:paraId="41155896">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rPr>
        <w:t>□</w:t>
      </w:r>
      <w:r>
        <w:rPr>
          <w:rFonts w:hint="eastAsia" w:hAnsi="宋体" w:cs="宋体"/>
          <w:color w:val="auto"/>
          <w:sz w:val="24"/>
          <w:szCs w:val="24"/>
          <w:highlight w:val="none"/>
          <w:lang w:eastAsia="zh-CN"/>
        </w:rPr>
        <w:t>招标</w:t>
      </w:r>
      <w:r>
        <w:rPr>
          <w:rFonts w:hint="eastAsia" w:hAnsi="宋体" w:cs="宋体"/>
          <w:color w:val="auto"/>
          <w:sz w:val="24"/>
          <w:szCs w:val="24"/>
          <w:highlight w:val="none"/>
        </w:rPr>
        <w:t xml:space="preserve">结果   </w:t>
      </w:r>
    </w:p>
    <w:p w14:paraId="67DE1CBB">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35F7A361">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6968B351">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0C4C81BE">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6A4D384C">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质疑事项2</w:t>
      </w:r>
    </w:p>
    <w:p w14:paraId="4C3DD37A">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w:t>
      </w:r>
    </w:p>
    <w:p w14:paraId="21A90CEF">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184A37A4">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40E80689">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613E0EBF">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日期：</w:t>
      </w:r>
    </w:p>
    <w:p w14:paraId="2E79387C">
      <w:pPr>
        <w:pStyle w:val="231"/>
        <w:spacing w:line="360" w:lineRule="auto"/>
        <w:ind w:firstLine="482"/>
        <w:rPr>
          <w:rFonts w:hint="eastAsia" w:hAnsi="宋体" w:cs="宋体"/>
          <w:b/>
          <w:color w:val="auto"/>
          <w:sz w:val="24"/>
          <w:szCs w:val="24"/>
          <w:highlight w:val="none"/>
        </w:rPr>
      </w:pPr>
      <w:r>
        <w:rPr>
          <w:rFonts w:hint="eastAsia" w:hAnsi="宋体" w:cs="宋体"/>
          <w:b/>
          <w:color w:val="auto"/>
          <w:sz w:val="24"/>
          <w:szCs w:val="24"/>
          <w:highlight w:val="none"/>
        </w:rPr>
        <w:t>说明：</w:t>
      </w:r>
    </w:p>
    <w:p w14:paraId="6B2DA51B">
      <w:pPr>
        <w:pStyle w:val="231"/>
        <w:spacing w:line="360" w:lineRule="auto"/>
        <w:ind w:left="25" w:firstLine="482"/>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531CEFFC">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EF12C60">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ADF9AFC">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2C3DE305">
      <w:pPr>
        <w:pStyle w:val="231"/>
        <w:spacing w:line="360" w:lineRule="auto"/>
        <w:ind w:left="25" w:firstLine="482"/>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2B643656">
      <w:pPr>
        <w:spacing w:line="360" w:lineRule="auto"/>
        <w:ind w:firstLine="880"/>
        <w:jc w:val="left"/>
        <w:rPr>
          <w:rFonts w:hint="eastAsia" w:ascii="宋体" w:hAnsi="宋体" w:cs="宋体"/>
          <w:b/>
          <w:bCs/>
          <w:color w:val="auto"/>
          <w:sz w:val="32"/>
          <w:szCs w:val="32"/>
          <w:highlight w:val="none"/>
        </w:rPr>
      </w:pPr>
      <w:r>
        <w:rPr>
          <w:rFonts w:hint="eastAsia" w:ascii="宋体" w:hAnsi="宋体" w:cs="宋体"/>
          <w:color w:val="auto"/>
          <w:sz w:val="44"/>
          <w:highlight w:val="none"/>
        </w:rPr>
        <w:br w:type="page" w:clear="all"/>
      </w:r>
      <w:r>
        <w:rPr>
          <w:rFonts w:hint="eastAsia" w:ascii="宋体" w:hAnsi="宋体" w:cs="宋体"/>
          <w:b/>
          <w:color w:val="auto"/>
          <w:sz w:val="24"/>
          <w:highlight w:val="none"/>
        </w:rPr>
        <w:t>4.投诉书（格式）</w:t>
      </w:r>
    </w:p>
    <w:p w14:paraId="4902BFE8">
      <w:pPr>
        <w:spacing w:line="360" w:lineRule="auto"/>
        <w:ind w:firstLine="88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投诉书（格式）</w:t>
      </w:r>
    </w:p>
    <w:p w14:paraId="72DC52B8">
      <w:pPr>
        <w:pStyle w:val="23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FD1F8F1">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投标人：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E1BEE25">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C3541A6">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3D5AD2C0">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004DABB">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36D7FAD9">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6A5EAD0F">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2B477BC">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30235C86">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854CD52">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7272F6B">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8A95FF5">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51D8A784">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w:t>
      </w:r>
    </w:p>
    <w:p w14:paraId="47A04A6D">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73C37B87">
      <w:pPr>
        <w:pStyle w:val="231"/>
        <w:spacing w:line="360" w:lineRule="auto"/>
        <w:ind w:firstLine="480"/>
        <w:jc w:val="left"/>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5647D558">
      <w:pPr>
        <w:pStyle w:val="231"/>
        <w:spacing w:line="360" w:lineRule="auto"/>
        <w:ind w:firstLine="480"/>
        <w:jc w:val="left"/>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B03B75C">
      <w:pPr>
        <w:pStyle w:val="231"/>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468D5D34">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lang w:eastAsia="zh-CN"/>
        </w:rPr>
        <w:t>招标</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1AFA5EBF">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lang w:eastAsia="zh-CN"/>
        </w:rPr>
        <w:t>招标</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65C00477">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524BE196">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3BAE210E">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lang w:eastAsia="zh-CN"/>
        </w:rPr>
        <w:t>招标</w:t>
      </w:r>
      <w:r>
        <w:rPr>
          <w:rFonts w:hint="eastAsia" w:hAnsi="宋体" w:cs="宋体"/>
          <w:bCs/>
          <w:color w:val="auto"/>
          <w:sz w:val="24"/>
          <w:szCs w:val="24"/>
          <w:highlight w:val="none"/>
        </w:rPr>
        <w:t>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20CBACA1">
      <w:pPr>
        <w:pStyle w:val="231"/>
        <w:spacing w:line="360" w:lineRule="auto"/>
        <w:ind w:left="25" w:firstLine="480"/>
        <w:rPr>
          <w:rFonts w:hint="eastAsia" w:hAnsi="宋体" w:cs="宋体"/>
          <w:b/>
          <w:color w:val="auto"/>
          <w:sz w:val="24"/>
          <w:szCs w:val="24"/>
          <w:highlight w:val="none"/>
        </w:rPr>
      </w:pPr>
      <w:r>
        <w:rPr>
          <w:rFonts w:hint="eastAsia" w:hAnsi="宋体" w:cs="宋体"/>
          <w:color w:val="auto"/>
          <w:sz w:val="24"/>
          <w:szCs w:val="24"/>
          <w:highlight w:val="none"/>
          <w:lang w:eastAsia="zh-CN"/>
        </w:rPr>
        <w:t>招标</w:t>
      </w:r>
      <w:r>
        <w:rPr>
          <w:rFonts w:hint="eastAsia" w:hAnsi="宋体" w:cs="宋体"/>
          <w:bCs/>
          <w:color w:val="auto"/>
          <w:sz w:val="24"/>
          <w:szCs w:val="24"/>
          <w:highlight w:val="none"/>
        </w:rPr>
        <w:t>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3EEAD760">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734BBDD">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03DDD658">
      <w:pPr>
        <w:pStyle w:val="231"/>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53F22737">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6EE62751">
      <w:pPr>
        <w:pStyle w:val="231"/>
        <w:spacing w:line="360" w:lineRule="auto"/>
        <w:ind w:left="25" w:firstLine="480"/>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68942B9D">
      <w:pPr>
        <w:pStyle w:val="23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1E35B505">
      <w:pPr>
        <w:pStyle w:val="231"/>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44B4A869">
      <w:pPr>
        <w:pStyle w:val="231"/>
        <w:spacing w:line="360" w:lineRule="auto"/>
        <w:ind w:left="25" w:firstLine="480"/>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0C8E263F">
      <w:pPr>
        <w:pStyle w:val="231"/>
        <w:spacing w:line="360" w:lineRule="auto"/>
        <w:ind w:left="25"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3BD11580">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68804CF8">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1464C3BD">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签字（签章）：                                       公章：</w:t>
      </w:r>
    </w:p>
    <w:p w14:paraId="38E337E8">
      <w:pPr>
        <w:pStyle w:val="231"/>
        <w:spacing w:line="360" w:lineRule="auto"/>
        <w:ind w:left="25" w:firstLine="480"/>
        <w:rPr>
          <w:rFonts w:hint="eastAsia" w:hAnsi="宋体" w:cs="宋体"/>
          <w:color w:val="auto"/>
          <w:sz w:val="24"/>
          <w:szCs w:val="24"/>
          <w:highlight w:val="none"/>
        </w:rPr>
      </w:pPr>
      <w:r>
        <w:rPr>
          <w:rFonts w:hint="eastAsia" w:hAnsi="宋体" w:cs="宋体"/>
          <w:color w:val="auto"/>
          <w:sz w:val="24"/>
          <w:szCs w:val="24"/>
          <w:highlight w:val="none"/>
        </w:rPr>
        <w:t>日期：</w:t>
      </w:r>
    </w:p>
    <w:p w14:paraId="61C9CA4F">
      <w:pPr>
        <w:pStyle w:val="231"/>
        <w:spacing w:line="360" w:lineRule="auto"/>
        <w:ind w:firstLine="482"/>
        <w:rPr>
          <w:rFonts w:hint="eastAsia" w:hAnsi="宋体" w:cs="宋体"/>
          <w:b/>
          <w:color w:val="auto"/>
          <w:sz w:val="24"/>
          <w:szCs w:val="24"/>
          <w:highlight w:val="none"/>
        </w:rPr>
      </w:pPr>
      <w:r>
        <w:rPr>
          <w:rFonts w:hint="eastAsia" w:hAnsi="宋体" w:cs="宋体"/>
          <w:b/>
          <w:color w:val="auto"/>
          <w:sz w:val="24"/>
          <w:szCs w:val="24"/>
          <w:highlight w:val="none"/>
        </w:rPr>
        <w:t>说明：</w:t>
      </w:r>
    </w:p>
    <w:p w14:paraId="32263D83">
      <w:pPr>
        <w:pStyle w:val="231"/>
        <w:spacing w:line="360" w:lineRule="auto"/>
        <w:ind w:left="25" w:firstLine="482"/>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0C59EAAC">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E4A01D3">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28350212">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6EC469BC">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3091EFA2">
      <w:pPr>
        <w:pStyle w:val="231"/>
        <w:spacing w:line="360" w:lineRule="auto"/>
        <w:ind w:left="25" w:firstLine="482"/>
        <w:rPr>
          <w:rFonts w:hint="eastAsia" w:hAnsi="宋体" w:cs="宋体"/>
          <w:b/>
          <w:color w:val="auto"/>
          <w:sz w:val="24"/>
          <w:szCs w:val="24"/>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sectPr>
      <w:footerReference r:id="rId11" w:type="first"/>
      <w:headerReference r:id="rId8" w:type="default"/>
      <w:footerReference r:id="rId9" w:type="default"/>
      <w:footerReference r:id="rId10" w:type="even"/>
      <w:pgSz w:w="11906" w:h="16838"/>
      <w:pgMar w:top="1440" w:right="1797" w:bottom="1440" w:left="1797" w:header="851" w:footer="992" w:gutter="0"/>
      <w:pgNumType w:fmt="decimal"/>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auto"/>
    <w:pitch w:val="default"/>
    <w:sig w:usb0="00000000" w:usb1="00000000" w:usb2="00000000" w:usb3="00000000" w:csb0="2000009F" w:csb1="DFD70000"/>
  </w:font>
  <w:font w:name="Nyala">
    <w:panose1 w:val="02000504070300020003"/>
    <w:charset w:val="00"/>
    <w:family w:val="auto"/>
    <w:pitch w:val="default"/>
    <w:sig w:usb0="A000006F" w:usb1="00000000" w:usb2="00000800" w:usb3="00000000" w:csb0="00000093"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Arial Unicode MS">
    <w:altName w:val="Arial"/>
    <w:panose1 w:val="020B0604020202020204"/>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B9A02">
    <w:pPr>
      <w:pStyle w:val="242"/>
      <w:framePr w:wrap="around" w:vAnchor="text" w:hAnchor="margin" w:xAlign="center" w:y="1"/>
      <w:rPr>
        <w:rStyle w:val="266"/>
      </w:rPr>
    </w:pPr>
    <w:r>
      <w:fldChar w:fldCharType="begin"/>
    </w:r>
    <w:r>
      <w:rPr>
        <w:rStyle w:val="266"/>
      </w:rPr>
      <w:instrText xml:space="preserve">PAGE  </w:instrText>
    </w:r>
    <w:r>
      <w:fldChar w:fldCharType="end"/>
    </w:r>
  </w:p>
  <w:p w14:paraId="5D0DD3FE">
    <w:pPr>
      <w:pStyle w:val="24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7752B">
    <w:pPr>
      <w:pStyle w:val="242"/>
      <w:ind w:right="360"/>
      <w:jc w:val="both"/>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E7B98">
    <w:pPr>
      <w:pStyle w:val="242"/>
      <w:jc w:val="center"/>
    </w:pPr>
    <w:r>
      <w:rPr>
        <w:sz w:val="1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9C102FA">
                <w:pPr>
                  <w:pStyle w:val="19"/>
                </w:pPr>
                <w:r>
                  <w:fldChar w:fldCharType="begin"/>
                </w:r>
                <w:r>
                  <w:instrText xml:space="preserve"> PAGE  \* MERGEFORMAT </w:instrText>
                </w:r>
                <w:r>
                  <w:fldChar w:fldCharType="separate"/>
                </w:r>
                <w:r>
                  <w:t>1</w:t>
                </w:r>
                <w:r>
                  <w:fldChar w:fldCharType="end"/>
                </w:r>
              </w:p>
            </w:txbxContent>
          </v:textbox>
        </v:shape>
      </w:pict>
    </w:r>
  </w:p>
  <w:p w14:paraId="51D7C7EF">
    <w:pPr>
      <w:pStyle w:val="24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892B9">
    <w:pPr>
      <w:pStyle w:val="24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205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6978C10">
                          <w:pPr>
                            <w:pStyle w:val="242"/>
                            <w:jc w:val="center"/>
                          </w:pPr>
                          <w:r>
                            <w:fldChar w:fldCharType="begin"/>
                          </w:r>
                          <w:r>
                            <w:instrText xml:space="preserve">PAGE   \* MERGEFORMAT</w:instrText>
                          </w:r>
                          <w:r>
                            <w:fldChar w:fldCharType="separate"/>
                          </w:r>
                          <w:r>
                            <w:rPr>
                              <w:lang w:val="zh-CN"/>
                            </w:rPr>
                            <w:t>1</w:t>
                          </w:r>
                          <w:r>
                            <w:fldChar w:fldCharType="end"/>
                          </w:r>
                        </w:p>
                      </w:txbxContent>
                    </wps:txbx>
                    <wps:bodyPr wrap="none" lIns="0" tIns="0" rIns="0" bIns="0" upright="1">
                      <a:spAutoFit/>
                    </wps:bodyPr>
                  </wps:wsp>
                </a:graphicData>
              </a:graphic>
            </wp:anchor>
          </w:drawing>
        </mc:Choice>
        <mc:Fallback>
          <w:pict>
            <v:shape id="_x0000_s205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Xg/AhccBAACoAwAADgAAAAAAAAABACAAAAAeAQAAZHJzL2Uyb0RvYy54&#10;bWxQSwUGAAAAAAYABgBZAQAAVwUAAAAA&#10;">
              <v:fill on="f" focussize="0,0"/>
              <v:stroke on="f"/>
              <v:imagedata o:title=""/>
              <o:lock v:ext="edit" aspectratio="f"/>
              <v:textbox inset="0mm,0mm,0mm,0mm" style="mso-fit-shape-to-text:t;">
                <w:txbxContent>
                  <w:p w14:paraId="56978C10">
                    <w:pPr>
                      <w:pStyle w:val="242"/>
                      <w:jc w:val="center"/>
                    </w:pPr>
                    <w:r>
                      <w:fldChar w:fldCharType="begin"/>
                    </w:r>
                    <w:r>
                      <w:instrText xml:space="preserve">PAGE   \* MERGEFORMAT</w:instrText>
                    </w:r>
                    <w:r>
                      <w:fldChar w:fldCharType="separate"/>
                    </w:r>
                    <w:r>
                      <w:rPr>
                        <w:lang w:val="zh-CN"/>
                      </w:rPr>
                      <w:t>1</w:t>
                    </w:r>
                    <w:r>
                      <w:fldChar w:fldCharType="end"/>
                    </w:r>
                  </w:p>
                </w:txbxContent>
              </v:textbox>
            </v:shape>
          </w:pict>
        </mc:Fallback>
      </mc:AlternateContent>
    </w:r>
  </w:p>
  <w:p w14:paraId="1EE2E7B0">
    <w:pPr>
      <w:pStyle w:val="242"/>
      <w:ind w:right="360"/>
      <w:jc w:val="both"/>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D5CB5">
    <w:pPr>
      <w:pStyle w:val="242"/>
      <w:jc w:val="center"/>
    </w:pPr>
    <w:r>
      <w:rPr>
        <w:sz w:val="18"/>
      </w:rPr>
      <w:pict>
        <v:shape id="_x0000_s4098" o:spid="_x0000_s409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67D9FD51">
                <w:pPr>
                  <w:pStyle w:val="19"/>
                </w:pPr>
                <w:r>
                  <w:fldChar w:fldCharType="begin"/>
                </w:r>
                <w:r>
                  <w:instrText xml:space="preserve"> PAGE  \* MERGEFORMAT </w:instrText>
                </w:r>
                <w:r>
                  <w:fldChar w:fldCharType="separate"/>
                </w:r>
                <w:r>
                  <w:t>1</w:t>
                </w:r>
                <w:r>
                  <w:fldChar w:fldCharType="end"/>
                </w:r>
              </w:p>
            </w:txbxContent>
          </v:textbox>
        </v:shape>
      </w:pict>
    </w:r>
  </w:p>
  <w:p w14:paraId="3841AD01">
    <w:pPr>
      <w:pStyle w:val="24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60519">
    <w:pPr>
      <w:pStyle w:val="242"/>
      <w:framePr w:wrap="around" w:vAnchor="text" w:hAnchor="margin" w:xAlign="center" w:y="1"/>
      <w:rPr>
        <w:rStyle w:val="266"/>
      </w:rPr>
    </w:pPr>
    <w:r>
      <w:fldChar w:fldCharType="begin"/>
    </w:r>
    <w:r>
      <w:rPr>
        <w:rStyle w:val="266"/>
      </w:rPr>
      <w:instrText xml:space="preserve">PAGE  </w:instrText>
    </w:r>
    <w:r>
      <w:fldChar w:fldCharType="end"/>
    </w:r>
  </w:p>
  <w:p w14:paraId="6CBA6C47">
    <w:pPr>
      <w:pStyle w:val="24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43AED">
    <w:pPr>
      <w:pStyle w:val="242"/>
      <w:ind w:right="360"/>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40396">
    <w:pPr>
      <w:pStyle w:val="244"/>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AFEE7">
    <w:pPr>
      <w:pStyle w:val="244"/>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multilevel"/>
    <w:tmpl w:val="BF6BC116"/>
    <w:lvl w:ilvl="0" w:tentative="0">
      <w:start w:val="16"/>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CFE7C3F8"/>
    <w:multiLevelType w:val="multilevel"/>
    <w:tmpl w:val="CFE7C3F8"/>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DDECD3BC"/>
    <w:multiLevelType w:val="multilevel"/>
    <w:tmpl w:val="DDECD3BC"/>
    <w:lvl w:ilvl="0" w:tentative="0">
      <w:start w:val="6"/>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DE759F4B"/>
    <w:multiLevelType w:val="multilevel"/>
    <w:tmpl w:val="DE759F4B"/>
    <w:lvl w:ilvl="0" w:tentative="0">
      <w:start w:val="2"/>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DEABE1DB"/>
    <w:multiLevelType w:val="multilevel"/>
    <w:tmpl w:val="DEABE1DB"/>
    <w:lvl w:ilvl="0" w:tentative="0">
      <w:start w:val="23"/>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FFEFC674"/>
    <w:multiLevelType w:val="multilevel"/>
    <w:tmpl w:val="FFEFC674"/>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FFFFFF7E"/>
    <w:multiLevelType w:val="multilevel"/>
    <w:tmpl w:val="FFFFFF7E"/>
    <w:lvl w:ilvl="0" w:tentative="0">
      <w:start w:val="1"/>
      <w:numFmt w:val="decimal"/>
      <w:pStyle w:val="227"/>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7">
    <w:nsid w:val="1D790D68"/>
    <w:multiLevelType w:val="multilevel"/>
    <w:tmpl w:val="1D790D68"/>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8">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suff w:val="nothing"/>
      <w:lvlText w:val=""/>
      <w:lvlJc w:val="left"/>
      <w:pPr>
        <w:ind w:left="0" w:firstLine="0"/>
      </w:pPr>
      <w:rPr>
        <w:rFonts w:hint="eastAsia"/>
      </w:rPr>
    </w:lvl>
    <w:lvl w:ilvl="4" w:tentative="0">
      <w:start w:val="1"/>
      <w:numFmt w:val="decimal"/>
      <w:pStyle w:val="196"/>
      <w:suff w:val="nothing"/>
      <w:lvlText w:val=""/>
      <w:lvlJc w:val="left"/>
      <w:pPr>
        <w:ind w:left="0" w:firstLine="0"/>
      </w:pPr>
      <w:rPr>
        <w:rFonts w:hint="eastAsia"/>
      </w:rPr>
    </w:lvl>
    <w:lvl w:ilvl="5" w:tentative="0">
      <w:start w:val="1"/>
      <w:numFmt w:val="decimal"/>
      <w:pStyle w:val="198"/>
      <w:suff w:val="nothing"/>
      <w:lvlText w:val=""/>
      <w:lvlJc w:val="left"/>
      <w:pPr>
        <w:ind w:left="0" w:firstLine="0"/>
      </w:pPr>
      <w:rPr>
        <w:rFonts w:hint="eastAsia"/>
      </w:rPr>
    </w:lvl>
    <w:lvl w:ilvl="6" w:tentative="0">
      <w:start w:val="1"/>
      <w:numFmt w:val="decimal"/>
      <w:pStyle w:val="199"/>
      <w:suff w:val="nothing"/>
      <w:lvlText w:val=""/>
      <w:lvlJc w:val="left"/>
      <w:pPr>
        <w:ind w:left="0" w:firstLine="0"/>
      </w:pPr>
      <w:rPr>
        <w:rFonts w:hint="eastAsia"/>
      </w:rPr>
    </w:lvl>
    <w:lvl w:ilvl="7" w:tentative="0">
      <w:start w:val="1"/>
      <w:numFmt w:val="decimal"/>
      <w:pStyle w:val="200"/>
      <w:suff w:val="nothing"/>
      <w:lvlText w:val=""/>
      <w:lvlJc w:val="left"/>
      <w:pPr>
        <w:ind w:left="0" w:firstLine="0"/>
      </w:pPr>
      <w:rPr>
        <w:rFonts w:hint="eastAsia"/>
      </w:rPr>
    </w:lvl>
    <w:lvl w:ilvl="8" w:tentative="0">
      <w:start w:val="1"/>
      <w:numFmt w:val="decimal"/>
      <w:pStyle w:val="201"/>
      <w:suff w:val="nothing"/>
      <w:lvlText w:val=""/>
      <w:lvlJc w:val="left"/>
      <w:pPr>
        <w:ind w:left="0" w:firstLine="0"/>
      </w:pPr>
      <w:rPr>
        <w:rFonts w:hint="eastAsia"/>
      </w:rPr>
    </w:lvl>
  </w:abstractNum>
  <w:abstractNum w:abstractNumId="9">
    <w:nsid w:val="4C601917"/>
    <w:multiLevelType w:val="multilevel"/>
    <w:tmpl w:val="4C601917"/>
    <w:lvl w:ilvl="0" w:tentative="0">
      <w:start w:val="1"/>
      <w:numFmt w:val="decimal"/>
      <w:suff w:val="nothing"/>
      <w:lvlText w:val="（%1）"/>
      <w:lvlJc w:val="left"/>
      <w:pPr>
        <w:ind w:left="-2"/>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0">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1">
    <w:nsid w:val="7670B815"/>
    <w:multiLevelType w:val="multilevel"/>
    <w:tmpl w:val="7670B815"/>
    <w:lvl w:ilvl="0" w:tentative="0">
      <w:start w:val="1"/>
      <w:numFmt w:val="chineseCounting"/>
      <w:suff w:val="nothing"/>
      <w:lvlText w:val="第%1章 "/>
      <w:lvlJc w:val="left"/>
      <w:pPr>
        <w:ind w:left="432" w:hanging="432"/>
      </w:pPr>
      <w:rPr>
        <w:rFonts w:hint="eastAsia"/>
      </w:rPr>
    </w:lvl>
    <w:lvl w:ilvl="1" w:tentative="0">
      <w:start w:val="1"/>
      <w:numFmt w:val="decimal"/>
      <w:lvlText w:val="%1.%2."/>
      <w:lvlJc w:val="left"/>
      <w:pPr>
        <w:ind w:left="575" w:hanging="575"/>
      </w:pPr>
      <w:rPr>
        <w:rFonts w:hint="eastAsia"/>
      </w:rPr>
    </w:lvl>
    <w:lvl w:ilvl="2" w:tentative="0">
      <w:start w:val="1"/>
      <w:numFmt w:val="decimal"/>
      <w:lvlText w:val="%1.%2.%3."/>
      <w:lvlJc w:val="left"/>
      <w:pPr>
        <w:ind w:left="720" w:hanging="720"/>
      </w:pPr>
      <w:rPr>
        <w:rFonts w:hint="eastAsia"/>
      </w:rPr>
    </w:lvl>
    <w:lvl w:ilvl="3" w:tentative="0">
      <w:start w:val="1"/>
      <w:numFmt w:val="decimal"/>
      <w:pStyle w:val="195"/>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12">
    <w:nsid w:val="7A0F6431"/>
    <w:multiLevelType w:val="multilevel"/>
    <w:tmpl w:val="7A0F6431"/>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1"/>
  </w:num>
  <w:num w:numId="2">
    <w:abstractNumId w:val="8"/>
  </w:num>
  <w:num w:numId="3">
    <w:abstractNumId w:val="6"/>
  </w:num>
  <w:num w:numId="4">
    <w:abstractNumId w:val="9"/>
  </w:num>
  <w:num w:numId="5">
    <w:abstractNumId w:val="10"/>
  </w:num>
  <w:num w:numId="6">
    <w:abstractNumId w:val="12"/>
  </w:num>
  <w:num w:numId="7">
    <w:abstractNumId w:val="1"/>
  </w:num>
  <w:num w:numId="8">
    <w:abstractNumId w:val="7"/>
  </w:num>
  <w:num w:numId="9">
    <w:abstractNumId w:val="5"/>
  </w:num>
  <w:num w:numId="10">
    <w:abstractNumId w:val="3"/>
  </w:num>
  <w:num w:numId="11">
    <w:abstractNumId w:val="2"/>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3,4"/>
    </o:shapelayout>
  </w:hdrShapeDefaults>
  <w:compat>
    <w:balanceSingleByteDoubleByteWidth/>
    <w:ulTrailSpace/>
    <w:doNotExpandShiftReturn/>
    <w:doNotWrapTextWithPunct/>
    <w:doNotUseEastAsianBreakRules/>
    <w:useFELayout/>
    <w:useAltKinsokuLineBreakRules/>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9062C"/>
    <w:rsid w:val="164027CC"/>
    <w:rsid w:val="16B030D1"/>
    <w:rsid w:val="1C7B47A6"/>
    <w:rsid w:val="20784D41"/>
    <w:rsid w:val="2225345A"/>
    <w:rsid w:val="226630E8"/>
    <w:rsid w:val="22A30F19"/>
    <w:rsid w:val="28BA7E1C"/>
    <w:rsid w:val="29455AB0"/>
    <w:rsid w:val="32FF256F"/>
    <w:rsid w:val="352300D9"/>
    <w:rsid w:val="38CB20CF"/>
    <w:rsid w:val="430B5EC2"/>
    <w:rsid w:val="49A21F81"/>
    <w:rsid w:val="49FB2AE7"/>
    <w:rsid w:val="4A8D400E"/>
    <w:rsid w:val="4B014DB7"/>
    <w:rsid w:val="4EFC5F14"/>
    <w:rsid w:val="4FA35CE3"/>
    <w:rsid w:val="4FF67678"/>
    <w:rsid w:val="527C299C"/>
    <w:rsid w:val="52D9353C"/>
    <w:rsid w:val="583848AE"/>
    <w:rsid w:val="5F75325A"/>
    <w:rsid w:val="60A54AAB"/>
    <w:rsid w:val="612E5A12"/>
    <w:rsid w:val="62C92566"/>
    <w:rsid w:val="63E63410"/>
    <w:rsid w:val="6B035BA2"/>
    <w:rsid w:val="6D825033"/>
    <w:rsid w:val="6E424930"/>
    <w:rsid w:val="704C5F68"/>
    <w:rsid w:val="745A7F19"/>
    <w:rsid w:val="79660514"/>
    <w:rsid w:val="7B74448B"/>
    <w:rsid w:val="7D0D48A9"/>
    <w:rsid w:val="7D8B1081"/>
    <w:rsid w:val="7E8448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17"/>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4"/>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3">
    <w:name w:val="heading 2"/>
    <w:basedOn w:val="1"/>
    <w:next w:val="1"/>
    <w:link w:val="165"/>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4">
    <w:name w:val="heading 3"/>
    <w:basedOn w:val="1"/>
    <w:next w:val="1"/>
    <w:link w:val="166"/>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5">
    <w:name w:val="heading 4"/>
    <w:basedOn w:val="1"/>
    <w:next w:val="1"/>
    <w:link w:val="167"/>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6">
    <w:name w:val="heading 5"/>
    <w:basedOn w:val="1"/>
    <w:next w:val="1"/>
    <w:link w:val="168"/>
    <w:unhideWhenUsed/>
    <w:qFormat/>
    <w:uiPriority w:val="9"/>
    <w:pPr>
      <w:keepNext/>
      <w:keepLines/>
      <w:spacing w:before="80" w:after="40"/>
      <w:outlineLvl w:val="4"/>
    </w:pPr>
    <w:rPr>
      <w:rFonts w:ascii="Arial" w:hAnsi="Arial" w:eastAsia="Arial" w:cs="Arial"/>
      <w:color w:val="366091" w:themeColor="accent1" w:themeShade="BF"/>
    </w:rPr>
  </w:style>
  <w:style w:type="paragraph" w:styleId="7">
    <w:name w:val="heading 6"/>
    <w:basedOn w:val="1"/>
    <w:next w:val="1"/>
    <w:link w:val="169"/>
    <w:unhideWhenUsed/>
    <w:qFormat/>
    <w:uiPriority w:val="9"/>
    <w:pPr>
      <w:keepNext/>
      <w:keepLines/>
      <w:spacing w:before="40" w:after="0"/>
      <w:outlineLvl w:val="5"/>
    </w:pPr>
    <w:rPr>
      <w:rFonts w:ascii="Arial" w:hAnsi="Arial" w:eastAsia="Arial" w:cs="Arial"/>
      <w:i/>
      <w:iCs/>
      <w:color w:val="585858" w:themeColor="text1" w:themeTint="A6"/>
    </w:rPr>
  </w:style>
  <w:style w:type="paragraph" w:styleId="8">
    <w:name w:val="heading 7"/>
    <w:basedOn w:val="1"/>
    <w:next w:val="1"/>
    <w:link w:val="170"/>
    <w:unhideWhenUsed/>
    <w:qFormat/>
    <w:uiPriority w:val="9"/>
    <w:pPr>
      <w:keepNext/>
      <w:keepLines/>
      <w:spacing w:before="40" w:after="0"/>
      <w:outlineLvl w:val="6"/>
    </w:pPr>
    <w:rPr>
      <w:rFonts w:ascii="Arial" w:hAnsi="Arial" w:eastAsia="Arial" w:cs="Arial"/>
      <w:color w:val="585858" w:themeColor="text1" w:themeTint="A6"/>
    </w:rPr>
  </w:style>
  <w:style w:type="paragraph" w:styleId="9">
    <w:name w:val="heading 8"/>
    <w:basedOn w:val="1"/>
    <w:next w:val="1"/>
    <w:link w:val="171"/>
    <w:unhideWhenUsed/>
    <w:qFormat/>
    <w:uiPriority w:val="9"/>
    <w:pPr>
      <w:keepNext/>
      <w:keepLines/>
      <w:spacing w:after="0"/>
      <w:outlineLvl w:val="7"/>
    </w:pPr>
    <w:rPr>
      <w:rFonts w:ascii="Arial" w:hAnsi="Arial" w:eastAsia="Arial" w:cs="Arial"/>
      <w:i/>
      <w:iCs/>
      <w:color w:val="262626" w:themeColor="text1" w:themeTint="D8"/>
    </w:rPr>
  </w:style>
  <w:style w:type="paragraph" w:styleId="10">
    <w:name w:val="heading 9"/>
    <w:basedOn w:val="1"/>
    <w:next w:val="1"/>
    <w:link w:val="172"/>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rPr>
  </w:style>
  <w:style w:type="paragraph" w:styleId="13">
    <w:name w:val="annotation text"/>
    <w:basedOn w:val="1"/>
    <w:semiHidden/>
    <w:unhideWhenUsed/>
    <w:qFormat/>
    <w:uiPriority w:val="99"/>
    <w:pPr>
      <w:jc w:val="left"/>
    </w:pPr>
  </w:style>
  <w:style w:type="paragraph" w:styleId="14">
    <w:name w:val="toc 5"/>
    <w:basedOn w:val="1"/>
    <w:next w:val="1"/>
    <w:unhideWhenUsed/>
    <w:qFormat/>
    <w:uiPriority w:val="39"/>
    <w:pPr>
      <w:spacing w:after="100"/>
      <w:ind w:left="880"/>
    </w:pPr>
  </w:style>
  <w:style w:type="paragraph" w:styleId="15">
    <w:name w:val="toc 3"/>
    <w:basedOn w:val="1"/>
    <w:next w:val="1"/>
    <w:unhideWhenUsed/>
    <w:qFormat/>
    <w:uiPriority w:val="39"/>
    <w:pPr>
      <w:spacing w:after="100"/>
      <w:ind w:left="440"/>
    </w:pPr>
  </w:style>
  <w:style w:type="paragraph" w:styleId="16">
    <w:name w:val="Plain Text"/>
    <w:basedOn w:val="1"/>
    <w:qFormat/>
    <w:uiPriority w:val="0"/>
    <w:rPr>
      <w:rFonts w:ascii="宋体" w:hAnsi="Courier New" w:cs="Century"/>
      <w:szCs w:val="21"/>
    </w:rPr>
  </w:style>
  <w:style w:type="paragraph" w:styleId="17">
    <w:name w:val="toc 8"/>
    <w:basedOn w:val="1"/>
    <w:next w:val="1"/>
    <w:unhideWhenUsed/>
    <w:qFormat/>
    <w:uiPriority w:val="39"/>
    <w:pPr>
      <w:spacing w:after="100"/>
      <w:ind w:left="1540"/>
    </w:pPr>
  </w:style>
  <w:style w:type="paragraph" w:styleId="18">
    <w:name w:val="endnote text"/>
    <w:basedOn w:val="1"/>
    <w:link w:val="189"/>
    <w:semiHidden/>
    <w:unhideWhenUsed/>
    <w:qFormat/>
    <w:uiPriority w:val="99"/>
    <w:pPr>
      <w:spacing w:after="0" w:line="240" w:lineRule="auto"/>
    </w:pPr>
    <w:rPr>
      <w:sz w:val="20"/>
      <w:szCs w:val="20"/>
    </w:rPr>
  </w:style>
  <w:style w:type="paragraph" w:styleId="19">
    <w:name w:val="footer"/>
    <w:basedOn w:val="1"/>
    <w:link w:val="187"/>
    <w:unhideWhenUsed/>
    <w:qFormat/>
    <w:uiPriority w:val="99"/>
    <w:pPr>
      <w:tabs>
        <w:tab w:val="center" w:pos="4844"/>
        <w:tab w:val="right" w:pos="9689"/>
      </w:tabs>
      <w:spacing w:after="0" w:line="240" w:lineRule="auto"/>
    </w:pPr>
  </w:style>
  <w:style w:type="paragraph" w:styleId="20">
    <w:name w:val="header"/>
    <w:basedOn w:val="1"/>
    <w:link w:val="186"/>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4"/>
    <w:qFormat/>
    <w:uiPriority w:val="11"/>
    <w:rPr>
      <w:color w:val="585858" w:themeColor="text1" w:themeTint="A6"/>
      <w:spacing w:val="15"/>
      <w:sz w:val="28"/>
      <w:szCs w:val="28"/>
    </w:rPr>
  </w:style>
  <w:style w:type="paragraph" w:styleId="24">
    <w:name w:val="footnote text"/>
    <w:basedOn w:val="1"/>
    <w:link w:val="188"/>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Title"/>
    <w:basedOn w:val="1"/>
    <w:next w:val="1"/>
    <w:link w:val="173"/>
    <w:qFormat/>
    <w:uiPriority w:val="10"/>
    <w:pPr>
      <w:spacing w:after="80" w:line="240" w:lineRule="auto"/>
      <w:contextualSpacing/>
    </w:pPr>
    <w:rPr>
      <w:rFonts w:ascii="Arial" w:hAnsi="Arial" w:eastAsia="Arial" w:cs="Arial"/>
      <w:spacing w:val="-10"/>
      <w:sz w:val="56"/>
      <w:szCs w:val="56"/>
    </w:rPr>
  </w:style>
  <w:style w:type="table" w:styleId="31">
    <w:name w:val="Table Grid"/>
    <w:basedOn w:val="3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3">
    <w:name w:val="Strong"/>
    <w:basedOn w:val="32"/>
    <w:qFormat/>
    <w:uiPriority w:val="22"/>
    <w:rPr>
      <w:b/>
      <w:bCs/>
    </w:rPr>
  </w:style>
  <w:style w:type="character" w:styleId="34">
    <w:name w:val="endnote reference"/>
    <w:basedOn w:val="32"/>
    <w:semiHidden/>
    <w:unhideWhenUsed/>
    <w:qFormat/>
    <w:uiPriority w:val="99"/>
    <w:rPr>
      <w:vertAlign w:val="superscript"/>
    </w:rPr>
  </w:style>
  <w:style w:type="character" w:styleId="35">
    <w:name w:val="FollowedHyperlink"/>
    <w:basedOn w:val="32"/>
    <w:semiHidden/>
    <w:unhideWhenUsed/>
    <w:qFormat/>
    <w:uiPriority w:val="99"/>
    <w:rPr>
      <w:color w:val="800080" w:themeColor="followedHyperlink"/>
      <w:u w:val="single"/>
    </w:rPr>
  </w:style>
  <w:style w:type="character" w:styleId="36">
    <w:name w:val="Emphasis"/>
    <w:basedOn w:val="32"/>
    <w:qFormat/>
    <w:uiPriority w:val="20"/>
    <w:rPr>
      <w:i/>
      <w:iCs/>
    </w:rPr>
  </w:style>
  <w:style w:type="character" w:styleId="37">
    <w:name w:val="Hyperlink"/>
    <w:basedOn w:val="32"/>
    <w:unhideWhenUsed/>
    <w:qFormat/>
    <w:uiPriority w:val="99"/>
    <w:rPr>
      <w:color w:val="0000FF" w:themeColor="hyperlink"/>
      <w:u w:val="single"/>
    </w:rPr>
  </w:style>
  <w:style w:type="character" w:styleId="38">
    <w:name w:val="footnote reference"/>
    <w:basedOn w:val="32"/>
    <w:semiHidden/>
    <w:unhideWhenUsed/>
    <w:qFormat/>
    <w:uiPriority w:val="99"/>
    <w:rPr>
      <w:vertAlign w:val="superscript"/>
    </w:rPr>
  </w:style>
  <w:style w:type="table" w:customStyle="1" w:styleId="39">
    <w:name w:val="Table Grid Light"/>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0">
    <w:name w:val="Plain Table 1"/>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1">
    <w:name w:val="Plain Table 2"/>
    <w:basedOn w:val="3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2">
    <w:name w:val="Plain Table 3"/>
    <w:basedOn w:val="30"/>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4"/>
    <w:basedOn w:val="30"/>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5"/>
    <w:basedOn w:val="30"/>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Grid Table 1 Light"/>
    <w:basedOn w:val="3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6">
    <w:name w:val="Grid Table 1 Light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7">
    <w:name w:val="Grid Table 1 Light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8">
    <w:name w:val="Grid Table 1 Light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49">
    <w:name w:val="Grid Table 1 Light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0">
    <w:name w:val="Grid Table 1 Light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1">
    <w:name w:val="Grid Table 1 Light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2">
    <w:name w:val="Grid Table 2"/>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3">
    <w:name w:val="Grid Table 2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4">
    <w:name w:val="Grid Table 2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5">
    <w:name w:val="Grid Table 2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6">
    <w:name w:val="Grid Table 2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7">
    <w:name w:val="Grid Table 2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8">
    <w:name w:val="Grid Table 2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59">
    <w:name w:val="Grid Table 3"/>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0">
    <w:name w:val="Grid Table 3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1">
    <w:name w:val="Grid Table 3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2">
    <w:name w:val="Grid Table 3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3">
    <w:name w:val="Grid Table 3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4">
    <w:name w:val="Grid Table 3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5">
    <w:name w:val="Grid Table 3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6">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7">
    <w:name w:val="Grid Table 4 - Accent 1"/>
    <w:basedOn w:val="30"/>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8">
    <w:name w:val="Grid Table 4 - Accent 2"/>
    <w:basedOn w:val="30"/>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9">
    <w:name w:val="Grid Table 4 - Accent 3"/>
    <w:basedOn w:val="30"/>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0">
    <w:name w:val="Grid Table 4 - Accent 4"/>
    <w:basedOn w:val="30"/>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1">
    <w:name w:val="Grid Table 4 - Accent 5"/>
    <w:basedOn w:val="30"/>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2">
    <w:name w:val="Grid Table 4 - Accent 6"/>
    <w:basedOn w:val="30"/>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3">
    <w:name w:val="Grid Table 5 Dark"/>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4">
    <w:name w:val="Grid Table 5 Dark- Accent 1"/>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5">
    <w:name w:val="Grid Table 5 Dark - Accent 2"/>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6">
    <w:name w:val="Grid Table 5 Dark - Accent 3"/>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7">
    <w:name w:val="Grid Table 5 Dark- Accent 4"/>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8">
    <w:name w:val="Grid Table 5 Dark - Accent 5"/>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79">
    <w:name w:val="Grid Table 5 Dark - Accent 6"/>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0">
    <w:name w:val="Grid Table 6 Colorful"/>
    <w:basedOn w:val="30"/>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1">
    <w:name w:val="Grid Table 6 Colorful - Accent 1"/>
    <w:basedOn w:val="30"/>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2">
    <w:name w:val="Grid Table 6 Colorful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3">
    <w:name w:val="Grid Table 6 Colorful - Accent 3"/>
    <w:basedOn w:val="30"/>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4">
    <w:name w:val="Grid Table 6 Colorful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5">
    <w:name w:val="Grid Table 6 Colorful - Accent 5"/>
    <w:basedOn w:val="30"/>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6">
    <w:name w:val="Grid Table 6 Colorful - Accent 6"/>
    <w:basedOn w:val="3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7">
    <w:name w:val="Grid Table 7 Colorful"/>
    <w:basedOn w:val="3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8">
    <w:name w:val="Grid Table 7 Colorful - Accent 1"/>
    <w:basedOn w:val="3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9">
    <w:name w:val="Grid Table 7 Colorful - Accent 2"/>
    <w:basedOn w:val="30"/>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0">
    <w:name w:val="Grid Table 7 Colorful - Accent 3"/>
    <w:basedOn w:val="30"/>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1">
    <w:name w:val="Grid Table 7 Colorful - Accent 4"/>
    <w:basedOn w:val="30"/>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2">
    <w:name w:val="Grid Table 7 Colorful - Accent 5"/>
    <w:basedOn w:val="30"/>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3">
    <w:name w:val="Grid Table 7 Colorful - Accent 6"/>
    <w:basedOn w:val="30"/>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4">
    <w:name w:val="List Table 1 Light"/>
    <w:basedOn w:val="30"/>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5">
    <w:name w:val="List Table 1 Light - Accent 1"/>
    <w:basedOn w:val="30"/>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6">
    <w:name w:val="List Table 1 Light - Accent 2"/>
    <w:basedOn w:val="30"/>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7">
    <w:name w:val="List Table 1 Light - Accent 3"/>
    <w:basedOn w:val="30"/>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8">
    <w:name w:val="List Table 1 Light - Accent 4"/>
    <w:basedOn w:val="30"/>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99">
    <w:name w:val="List Table 1 Light - Accent 5"/>
    <w:basedOn w:val="3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0">
    <w:name w:val="List Table 1 Light - Accent 6"/>
    <w:basedOn w:val="30"/>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1">
    <w:name w:val="List Table 2"/>
    <w:basedOn w:val="3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2">
    <w:name w:val="List Table 2 - Accent 1"/>
    <w:basedOn w:val="30"/>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3">
    <w:name w:val="List Table 2 - Accent 2"/>
    <w:basedOn w:val="30"/>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4">
    <w:name w:val="List Table 2 - Accent 3"/>
    <w:basedOn w:val="30"/>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5">
    <w:name w:val="List Table 2 - Accent 4"/>
    <w:basedOn w:val="30"/>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6">
    <w:name w:val="List Table 2 - Accent 5"/>
    <w:basedOn w:val="30"/>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7">
    <w:name w:val="List Table 2 - Accent 6"/>
    <w:basedOn w:val="3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8">
    <w:name w:val="List Table 3"/>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09">
    <w:name w:val="List Table 3 - Accent 1"/>
    <w:basedOn w:val="3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0">
    <w:name w:val="List Table 3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1">
    <w:name w:val="List Table 3 - Accent 3"/>
    <w:basedOn w:val="30"/>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2">
    <w:name w:val="List Table 3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3">
    <w:name w:val="List Table 3 - Accent 5"/>
    <w:basedOn w:val="30"/>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4">
    <w:name w:val="List Table 3 - Accent 6"/>
    <w:basedOn w:val="30"/>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5">
    <w:name w:val="List Table 4"/>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6">
    <w:name w:val="List Table 4 - Accent 1"/>
    <w:basedOn w:val="30"/>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7">
    <w:name w:val="List Table 4 - Accent 2"/>
    <w:basedOn w:val="30"/>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8">
    <w:name w:val="List Table 4 - Accent 3"/>
    <w:basedOn w:val="30"/>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9">
    <w:name w:val="List Table 4 - Accent 4"/>
    <w:basedOn w:val="3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0">
    <w:name w:val="List Table 4 - Accent 5"/>
    <w:basedOn w:val="30"/>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1">
    <w:name w:val="List Table 4 - Accent 6"/>
    <w:basedOn w:val="30"/>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2">
    <w:name w:val="List Table 5 Dark"/>
    <w:basedOn w:val="3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3">
    <w:name w:val="List Table 5 Dark - Accent 1"/>
    <w:basedOn w:val="30"/>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4">
    <w:name w:val="List Table 5 Dark - Accent 2"/>
    <w:basedOn w:val="30"/>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5">
    <w:name w:val="List Table 5 Dark - Accent 3"/>
    <w:basedOn w:val="30"/>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6">
    <w:name w:val="List Table 5 Dark - Accent 4"/>
    <w:basedOn w:val="30"/>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7">
    <w:name w:val="List Table 5 Dark - Accent 5"/>
    <w:basedOn w:val="30"/>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8">
    <w:name w:val="List Table 5 Dark - Accent 6"/>
    <w:basedOn w:val="30"/>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29">
    <w:name w:val="List Table 6 Colorful"/>
    <w:basedOn w:val="30"/>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0">
    <w:name w:val="List Table 6 Colorful - Accent 1"/>
    <w:basedOn w:val="30"/>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1">
    <w:name w:val="List Table 6 Colorful - Accent 2"/>
    <w:basedOn w:val="30"/>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2">
    <w:name w:val="List Table 6 Colorful - Accent 3"/>
    <w:basedOn w:val="30"/>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3">
    <w:name w:val="List Table 6 Colorful - Accent 4"/>
    <w:basedOn w:val="30"/>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4">
    <w:name w:val="List Table 6 Colorful - Accent 5"/>
    <w:basedOn w:val="30"/>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5">
    <w:name w:val="List Table 6 Colorful - Accent 6"/>
    <w:basedOn w:val="30"/>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6">
    <w:name w:val="List Table 7 Colorful"/>
    <w:basedOn w:val="30"/>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37">
    <w:name w:val="List Table 7 Colorful - Accent 1"/>
    <w:basedOn w:val="30"/>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8">
    <w:name w:val="List Table 7 Colorful - Accent 2"/>
    <w:basedOn w:val="30"/>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9">
    <w:name w:val="List Table 7 Colorful - Accent 3"/>
    <w:basedOn w:val="30"/>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0">
    <w:name w:val="List Table 7 Colorful - Accent 4"/>
    <w:basedOn w:val="30"/>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1">
    <w:name w:val="List Table 7 Colorful - Accent 5"/>
    <w:basedOn w:val="30"/>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2">
    <w:name w:val="List Table 7 Colorful - Accent 6"/>
    <w:basedOn w:val="3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3">
    <w:name w:val="Lined - Accent"/>
    <w:basedOn w:val="30"/>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4">
    <w:name w:val="Lined - Accent 1"/>
    <w:basedOn w:val="30"/>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5">
    <w:name w:val="Lined - Accent 2"/>
    <w:basedOn w:val="30"/>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6">
    <w:name w:val="Lined - Accent 3"/>
    <w:basedOn w:val="30"/>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7">
    <w:name w:val="Lined - Accent 4"/>
    <w:basedOn w:val="30"/>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8">
    <w:name w:val="Lined - Accent 5"/>
    <w:basedOn w:val="30"/>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49">
    <w:name w:val="Lined - Accent 6"/>
    <w:basedOn w:val="3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0">
    <w:name w:val="Bordered &amp; Lined - Accent"/>
    <w:basedOn w:val="30"/>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1">
    <w:name w:val="Bordered &amp; Lined - Accent 1"/>
    <w:basedOn w:val="3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2">
    <w:name w:val="Bordered &amp; Lined - Accent 2"/>
    <w:basedOn w:val="30"/>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3">
    <w:name w:val="Bordered &amp; Lined - Accent 3"/>
    <w:basedOn w:val="30"/>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4">
    <w:name w:val="Bordered &amp; Lined - Accent 4"/>
    <w:basedOn w:val="30"/>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5">
    <w:name w:val="Bordered &amp; Lined - Accent 5"/>
    <w:basedOn w:val="30"/>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6">
    <w:name w:val="Bordered &amp; Lined - Accent 6"/>
    <w:basedOn w:val="30"/>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7">
    <w:name w:val="Bordered"/>
    <w:basedOn w:val="3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8">
    <w:name w:val="Bordered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59">
    <w:name w:val="Bordered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0">
    <w:name w:val="Bordered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1">
    <w:name w:val="Bordered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2">
    <w:name w:val="Bordered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3">
    <w:name w:val="Bordered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4">
    <w:name w:val="Heading 1 Char"/>
    <w:basedOn w:val="32"/>
    <w:link w:val="2"/>
    <w:qFormat/>
    <w:uiPriority w:val="9"/>
    <w:rPr>
      <w:rFonts w:ascii="Arial" w:hAnsi="Arial" w:eastAsia="Arial" w:cs="Arial"/>
      <w:color w:val="366091" w:themeColor="accent1" w:themeShade="BF"/>
      <w:sz w:val="40"/>
      <w:szCs w:val="40"/>
    </w:rPr>
  </w:style>
  <w:style w:type="character" w:customStyle="1" w:styleId="165">
    <w:name w:val="Heading 2 Char"/>
    <w:basedOn w:val="32"/>
    <w:link w:val="3"/>
    <w:qFormat/>
    <w:uiPriority w:val="9"/>
    <w:rPr>
      <w:rFonts w:ascii="Arial" w:hAnsi="Arial" w:eastAsia="Arial" w:cs="Arial"/>
      <w:color w:val="366091" w:themeColor="accent1" w:themeShade="BF"/>
      <w:sz w:val="32"/>
      <w:szCs w:val="32"/>
    </w:rPr>
  </w:style>
  <w:style w:type="character" w:customStyle="1" w:styleId="166">
    <w:name w:val="Heading 3 Char"/>
    <w:basedOn w:val="32"/>
    <w:link w:val="4"/>
    <w:qFormat/>
    <w:uiPriority w:val="9"/>
    <w:rPr>
      <w:rFonts w:ascii="Arial" w:hAnsi="Arial" w:eastAsia="Arial" w:cs="Arial"/>
      <w:color w:val="366091" w:themeColor="accent1" w:themeShade="BF"/>
      <w:sz w:val="28"/>
      <w:szCs w:val="28"/>
    </w:rPr>
  </w:style>
  <w:style w:type="character" w:customStyle="1" w:styleId="167">
    <w:name w:val="Heading 4 Char"/>
    <w:basedOn w:val="32"/>
    <w:link w:val="5"/>
    <w:qFormat/>
    <w:uiPriority w:val="9"/>
    <w:rPr>
      <w:rFonts w:ascii="Arial" w:hAnsi="Arial" w:eastAsia="Arial" w:cs="Arial"/>
      <w:i/>
      <w:iCs/>
      <w:color w:val="366091" w:themeColor="accent1" w:themeShade="BF"/>
    </w:rPr>
  </w:style>
  <w:style w:type="character" w:customStyle="1" w:styleId="168">
    <w:name w:val="Heading 5 Char"/>
    <w:basedOn w:val="32"/>
    <w:link w:val="6"/>
    <w:qFormat/>
    <w:uiPriority w:val="9"/>
    <w:rPr>
      <w:rFonts w:ascii="Arial" w:hAnsi="Arial" w:eastAsia="Arial" w:cs="Arial"/>
      <w:color w:val="366091" w:themeColor="accent1" w:themeShade="BF"/>
    </w:rPr>
  </w:style>
  <w:style w:type="character" w:customStyle="1" w:styleId="169">
    <w:name w:val="Heading 6 Char"/>
    <w:basedOn w:val="32"/>
    <w:link w:val="7"/>
    <w:qFormat/>
    <w:uiPriority w:val="9"/>
    <w:rPr>
      <w:rFonts w:ascii="Arial" w:hAnsi="Arial" w:eastAsia="Arial" w:cs="Arial"/>
      <w:i/>
      <w:iCs/>
      <w:color w:val="585858" w:themeColor="text1" w:themeTint="A6"/>
    </w:rPr>
  </w:style>
  <w:style w:type="character" w:customStyle="1" w:styleId="170">
    <w:name w:val="Heading 7 Char"/>
    <w:basedOn w:val="32"/>
    <w:link w:val="8"/>
    <w:qFormat/>
    <w:uiPriority w:val="9"/>
    <w:rPr>
      <w:rFonts w:ascii="Arial" w:hAnsi="Arial" w:eastAsia="Arial" w:cs="Arial"/>
      <w:color w:val="585858" w:themeColor="text1" w:themeTint="A6"/>
    </w:rPr>
  </w:style>
  <w:style w:type="character" w:customStyle="1" w:styleId="171">
    <w:name w:val="Heading 8 Char"/>
    <w:basedOn w:val="32"/>
    <w:link w:val="9"/>
    <w:qFormat/>
    <w:uiPriority w:val="9"/>
    <w:rPr>
      <w:rFonts w:ascii="Arial" w:hAnsi="Arial" w:eastAsia="Arial" w:cs="Arial"/>
      <w:i/>
      <w:iCs/>
      <w:color w:val="262626" w:themeColor="text1" w:themeTint="D8"/>
    </w:rPr>
  </w:style>
  <w:style w:type="character" w:customStyle="1" w:styleId="172">
    <w:name w:val="Heading 9 Char"/>
    <w:basedOn w:val="32"/>
    <w:link w:val="10"/>
    <w:qFormat/>
    <w:uiPriority w:val="9"/>
    <w:rPr>
      <w:rFonts w:ascii="Arial" w:hAnsi="Arial" w:eastAsia="Arial" w:cs="Arial"/>
      <w:i/>
      <w:iCs/>
      <w:color w:val="262626" w:themeColor="text1" w:themeTint="D8"/>
    </w:rPr>
  </w:style>
  <w:style w:type="character" w:customStyle="1" w:styleId="173">
    <w:name w:val="Title Char"/>
    <w:basedOn w:val="32"/>
    <w:link w:val="29"/>
    <w:qFormat/>
    <w:uiPriority w:val="10"/>
    <w:rPr>
      <w:rFonts w:ascii="Arial" w:hAnsi="Arial" w:eastAsia="Arial" w:cs="Arial"/>
      <w:spacing w:val="-10"/>
      <w:sz w:val="56"/>
      <w:szCs w:val="56"/>
    </w:rPr>
  </w:style>
  <w:style w:type="character" w:customStyle="1" w:styleId="174">
    <w:name w:val="Subtitle Char"/>
    <w:basedOn w:val="32"/>
    <w:link w:val="23"/>
    <w:qFormat/>
    <w:uiPriority w:val="11"/>
    <w:rPr>
      <w:color w:val="585858" w:themeColor="text1" w:themeTint="A6"/>
      <w:spacing w:val="15"/>
      <w:sz w:val="28"/>
      <w:szCs w:val="28"/>
    </w:rPr>
  </w:style>
  <w:style w:type="paragraph" w:styleId="175">
    <w:name w:val="Quote"/>
    <w:basedOn w:val="1"/>
    <w:next w:val="1"/>
    <w:link w:val="176"/>
    <w:qFormat/>
    <w:uiPriority w:val="29"/>
    <w:pPr>
      <w:spacing w:before="160"/>
      <w:jc w:val="center"/>
    </w:pPr>
    <w:rPr>
      <w:i/>
      <w:iCs/>
      <w:color w:val="3F3F3F" w:themeColor="text1" w:themeTint="BF"/>
    </w:rPr>
  </w:style>
  <w:style w:type="character" w:customStyle="1" w:styleId="176">
    <w:name w:val="Quote Char"/>
    <w:basedOn w:val="32"/>
    <w:link w:val="175"/>
    <w:qFormat/>
    <w:uiPriority w:val="29"/>
    <w:rPr>
      <w:i/>
      <w:iCs/>
      <w:color w:val="3F3F3F" w:themeColor="text1" w:themeTint="BF"/>
    </w:rPr>
  </w:style>
  <w:style w:type="paragraph" w:styleId="177">
    <w:name w:val="List Paragraph"/>
    <w:basedOn w:val="1"/>
    <w:qFormat/>
    <w:uiPriority w:val="34"/>
    <w:pPr>
      <w:ind w:left="720"/>
      <w:contextualSpacing/>
    </w:pPr>
  </w:style>
  <w:style w:type="character" w:customStyle="1" w:styleId="178">
    <w:name w:val="Intense Emphasis"/>
    <w:basedOn w:val="32"/>
    <w:qFormat/>
    <w:uiPriority w:val="21"/>
    <w:rPr>
      <w:i/>
      <w:iCs/>
      <w:color w:val="366091" w:themeColor="accent1" w:themeShade="BF"/>
    </w:rPr>
  </w:style>
  <w:style w:type="paragraph" w:styleId="179">
    <w:name w:val="Intense Quote"/>
    <w:basedOn w:val="1"/>
    <w:next w:val="1"/>
    <w:link w:val="18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0">
    <w:name w:val="Intense Quote Char"/>
    <w:basedOn w:val="32"/>
    <w:link w:val="179"/>
    <w:qFormat/>
    <w:uiPriority w:val="30"/>
    <w:rPr>
      <w:i/>
      <w:iCs/>
      <w:color w:val="366091" w:themeColor="accent1" w:themeShade="BF"/>
    </w:rPr>
  </w:style>
  <w:style w:type="character" w:customStyle="1" w:styleId="181">
    <w:name w:val="Intense Reference"/>
    <w:basedOn w:val="32"/>
    <w:qFormat/>
    <w:uiPriority w:val="32"/>
    <w:rPr>
      <w:b/>
      <w:bCs/>
      <w:smallCaps/>
      <w:color w:val="366091" w:themeColor="accent1" w:themeShade="BF"/>
      <w:spacing w:val="5"/>
    </w:rPr>
  </w:style>
  <w:style w:type="paragraph" w:styleId="182">
    <w:name w:val="No Spacing"/>
    <w:basedOn w:val="1"/>
    <w:qFormat/>
    <w:uiPriority w:val="1"/>
    <w:pPr>
      <w:spacing w:after="0" w:line="240" w:lineRule="auto"/>
    </w:pPr>
  </w:style>
  <w:style w:type="character" w:customStyle="1" w:styleId="183">
    <w:name w:val="Subtle Emphasis"/>
    <w:basedOn w:val="32"/>
    <w:qFormat/>
    <w:uiPriority w:val="19"/>
    <w:rPr>
      <w:i/>
      <w:iCs/>
      <w:color w:val="3F3F3F" w:themeColor="text1" w:themeTint="BF"/>
    </w:rPr>
  </w:style>
  <w:style w:type="character" w:customStyle="1" w:styleId="184">
    <w:name w:val="Subtle Reference"/>
    <w:basedOn w:val="32"/>
    <w:qFormat/>
    <w:uiPriority w:val="31"/>
    <w:rPr>
      <w:smallCaps/>
      <w:color w:val="595959" w:themeColor="text1" w:themeTint="A5"/>
    </w:rPr>
  </w:style>
  <w:style w:type="character" w:customStyle="1" w:styleId="185">
    <w:name w:val="Book Title"/>
    <w:basedOn w:val="32"/>
    <w:qFormat/>
    <w:uiPriority w:val="33"/>
    <w:rPr>
      <w:b/>
      <w:bCs/>
      <w:i/>
      <w:iCs/>
      <w:spacing w:val="5"/>
    </w:rPr>
  </w:style>
  <w:style w:type="character" w:customStyle="1" w:styleId="186">
    <w:name w:val="Header Char"/>
    <w:basedOn w:val="32"/>
    <w:link w:val="20"/>
    <w:qFormat/>
    <w:uiPriority w:val="99"/>
  </w:style>
  <w:style w:type="character" w:customStyle="1" w:styleId="187">
    <w:name w:val="Footer Char"/>
    <w:basedOn w:val="32"/>
    <w:link w:val="19"/>
    <w:qFormat/>
    <w:uiPriority w:val="99"/>
  </w:style>
  <w:style w:type="character" w:customStyle="1" w:styleId="188">
    <w:name w:val="Footnote Text Char"/>
    <w:basedOn w:val="32"/>
    <w:link w:val="24"/>
    <w:semiHidden/>
    <w:qFormat/>
    <w:uiPriority w:val="99"/>
    <w:rPr>
      <w:sz w:val="20"/>
      <w:szCs w:val="20"/>
    </w:rPr>
  </w:style>
  <w:style w:type="character" w:customStyle="1" w:styleId="189">
    <w:name w:val="Endnote Text Char"/>
    <w:basedOn w:val="32"/>
    <w:link w:val="18"/>
    <w:semiHidden/>
    <w:qFormat/>
    <w:uiPriority w:val="99"/>
    <w:rPr>
      <w:sz w:val="20"/>
      <w:szCs w:val="20"/>
    </w:rPr>
  </w:style>
  <w:style w:type="character" w:styleId="190">
    <w:name w:val="Placeholder Text"/>
    <w:basedOn w:val="32"/>
    <w:semiHidden/>
    <w:qFormat/>
    <w:uiPriority w:val="99"/>
    <w:rPr>
      <w:color w:val="666666"/>
    </w:rPr>
  </w:style>
  <w:style w:type="paragraph" w:customStyle="1" w:styleId="191">
    <w:name w:val="TOC Heading"/>
    <w:unhideWhenUsed/>
    <w:qFormat/>
    <w:uiPriority w:val="39"/>
    <w:rPr>
      <w:rFonts w:hint="default" w:ascii="Times New Roman" w:hAnsi="Times New Roman" w:eastAsia="宋体" w:cs="Times New Roman"/>
    </w:rPr>
  </w:style>
  <w:style w:type="paragraph" w:customStyle="1" w:styleId="192">
    <w:name w:val="标题 11"/>
    <w:basedOn w:val="1"/>
    <w:next w:val="1"/>
    <w:link w:val="204"/>
    <w:qFormat/>
    <w:uiPriority w:val="0"/>
    <w:pPr>
      <w:keepNext/>
      <w:keepLines/>
      <w:spacing w:before="340" w:after="330" w:line="578" w:lineRule="auto"/>
      <w:outlineLvl w:val="0"/>
    </w:pPr>
    <w:rPr>
      <w:b/>
      <w:bCs/>
      <w:sz w:val="44"/>
      <w:szCs w:val="44"/>
    </w:rPr>
  </w:style>
  <w:style w:type="paragraph" w:customStyle="1" w:styleId="193">
    <w:name w:val="标题 21"/>
    <w:basedOn w:val="1"/>
    <w:next w:val="1"/>
    <w:link w:val="205"/>
    <w:qFormat/>
    <w:uiPriority w:val="0"/>
    <w:pPr>
      <w:keepNext/>
      <w:keepLines/>
      <w:spacing w:before="260" w:after="260" w:line="416" w:lineRule="auto"/>
      <w:outlineLvl w:val="1"/>
    </w:pPr>
    <w:rPr>
      <w:rFonts w:ascii="Arial" w:hAnsi="Arial" w:eastAsia="黑体"/>
      <w:b/>
      <w:bCs/>
      <w:sz w:val="32"/>
      <w:szCs w:val="32"/>
    </w:rPr>
  </w:style>
  <w:style w:type="paragraph" w:customStyle="1" w:styleId="194">
    <w:name w:val="标题 31"/>
    <w:basedOn w:val="1"/>
    <w:next w:val="1"/>
    <w:link w:val="206"/>
    <w:qFormat/>
    <w:uiPriority w:val="0"/>
    <w:pPr>
      <w:keepNext/>
      <w:keepLines/>
      <w:spacing w:before="260" w:after="260" w:line="416" w:lineRule="auto"/>
      <w:outlineLvl w:val="2"/>
    </w:pPr>
    <w:rPr>
      <w:b/>
      <w:bCs/>
      <w:sz w:val="32"/>
      <w:szCs w:val="32"/>
    </w:rPr>
  </w:style>
  <w:style w:type="paragraph" w:customStyle="1" w:styleId="195">
    <w:name w:val="标题 41"/>
    <w:basedOn w:val="1"/>
    <w:next w:val="1"/>
    <w:qFormat/>
    <w:uiPriority w:val="0"/>
    <w:pPr>
      <w:numPr>
        <w:ilvl w:val="3"/>
        <w:numId w:val="1"/>
      </w:numPr>
      <w:outlineLvl w:val="3"/>
    </w:pPr>
    <w:rPr>
      <w:rFonts w:ascii="宋体"/>
      <w:sz w:val="28"/>
      <w:szCs w:val="20"/>
    </w:rPr>
  </w:style>
  <w:style w:type="paragraph" w:customStyle="1" w:styleId="196">
    <w:name w:val="标题 51"/>
    <w:basedOn w:val="1"/>
    <w:next w:val="197"/>
    <w:link w:val="207"/>
    <w:qFormat/>
    <w:uiPriority w:val="0"/>
    <w:pPr>
      <w:keepNext/>
      <w:keepLines/>
      <w:numPr>
        <w:ilvl w:val="4"/>
        <w:numId w:val="2"/>
      </w:numPr>
      <w:spacing w:before="280" w:after="290" w:line="376" w:lineRule="auto"/>
      <w:outlineLvl w:val="4"/>
    </w:pPr>
    <w:rPr>
      <w:b/>
      <w:sz w:val="28"/>
    </w:rPr>
  </w:style>
  <w:style w:type="paragraph" w:customStyle="1" w:styleId="197">
    <w:name w:val="正文缩进1"/>
    <w:basedOn w:val="1"/>
    <w:qFormat/>
    <w:uiPriority w:val="0"/>
    <w:pPr>
      <w:ind w:firstLine="420"/>
    </w:pPr>
    <w:rPr>
      <w:szCs w:val="20"/>
    </w:rPr>
  </w:style>
  <w:style w:type="paragraph" w:customStyle="1" w:styleId="198">
    <w:name w:val="标题 61"/>
    <w:basedOn w:val="1"/>
    <w:next w:val="197"/>
    <w:link w:val="208"/>
    <w:qFormat/>
    <w:uiPriority w:val="0"/>
    <w:pPr>
      <w:keepNext/>
      <w:keepLines/>
      <w:numPr>
        <w:ilvl w:val="5"/>
        <w:numId w:val="2"/>
      </w:numPr>
      <w:spacing w:before="240" w:after="64" w:line="320" w:lineRule="auto"/>
      <w:outlineLvl w:val="5"/>
    </w:pPr>
    <w:rPr>
      <w:rFonts w:ascii="Arial" w:hAnsi="Arial" w:eastAsia="黑体"/>
      <w:b/>
      <w:sz w:val="24"/>
    </w:rPr>
  </w:style>
  <w:style w:type="paragraph" w:customStyle="1" w:styleId="199">
    <w:name w:val="标题 71"/>
    <w:basedOn w:val="1"/>
    <w:next w:val="197"/>
    <w:link w:val="209"/>
    <w:qFormat/>
    <w:uiPriority w:val="0"/>
    <w:pPr>
      <w:keepNext/>
      <w:keepLines/>
      <w:numPr>
        <w:ilvl w:val="6"/>
        <w:numId w:val="2"/>
      </w:numPr>
      <w:spacing w:before="240" w:after="64" w:line="320" w:lineRule="auto"/>
      <w:outlineLvl w:val="6"/>
    </w:pPr>
    <w:rPr>
      <w:b/>
      <w:sz w:val="24"/>
    </w:rPr>
  </w:style>
  <w:style w:type="paragraph" w:customStyle="1" w:styleId="200">
    <w:name w:val="标题 81"/>
    <w:basedOn w:val="1"/>
    <w:next w:val="197"/>
    <w:link w:val="210"/>
    <w:qFormat/>
    <w:uiPriority w:val="0"/>
    <w:pPr>
      <w:keepNext/>
      <w:keepLines/>
      <w:numPr>
        <w:ilvl w:val="7"/>
        <w:numId w:val="2"/>
      </w:numPr>
      <w:spacing w:before="240" w:after="64" w:line="320" w:lineRule="auto"/>
      <w:outlineLvl w:val="7"/>
    </w:pPr>
    <w:rPr>
      <w:rFonts w:ascii="Arial" w:hAnsi="Arial" w:eastAsia="黑体"/>
      <w:sz w:val="24"/>
    </w:rPr>
  </w:style>
  <w:style w:type="paragraph" w:customStyle="1" w:styleId="201">
    <w:name w:val="标题 91"/>
    <w:basedOn w:val="1"/>
    <w:next w:val="197"/>
    <w:link w:val="211"/>
    <w:qFormat/>
    <w:uiPriority w:val="0"/>
    <w:pPr>
      <w:keepNext/>
      <w:keepLines/>
      <w:numPr>
        <w:ilvl w:val="8"/>
        <w:numId w:val="2"/>
      </w:numPr>
      <w:spacing w:before="240" w:after="64" w:line="320" w:lineRule="auto"/>
      <w:outlineLvl w:val="8"/>
    </w:pPr>
    <w:rPr>
      <w:rFonts w:ascii="Arial" w:hAnsi="Arial" w:eastAsia="黑体"/>
    </w:rPr>
  </w:style>
  <w:style w:type="character" w:customStyle="1" w:styleId="202">
    <w:name w:val="默认段落字体1"/>
    <w:link w:val="1"/>
    <w:unhideWhenUsed/>
    <w:qFormat/>
    <w:uiPriority w:val="1"/>
  </w:style>
  <w:style w:type="table" w:customStyle="1" w:styleId="203">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4">
    <w:name w:val="标题 1 Char"/>
    <w:link w:val="192"/>
    <w:qFormat/>
    <w:uiPriority w:val="0"/>
    <w:rPr>
      <w:rFonts w:ascii="Times New Roman" w:hAnsi="Times New Roman" w:eastAsia="宋体" w:cs="Times New Roman"/>
      <w:b/>
      <w:bCs/>
      <w:sz w:val="44"/>
      <w:szCs w:val="44"/>
    </w:rPr>
  </w:style>
  <w:style w:type="character" w:customStyle="1" w:styleId="205">
    <w:name w:val="标题 2 Char"/>
    <w:link w:val="193"/>
    <w:qFormat/>
    <w:uiPriority w:val="0"/>
    <w:rPr>
      <w:rFonts w:ascii="Arial" w:hAnsi="Arial" w:eastAsia="黑体" w:cs="Times New Roman"/>
      <w:b/>
      <w:bCs/>
      <w:sz w:val="32"/>
      <w:szCs w:val="32"/>
    </w:rPr>
  </w:style>
  <w:style w:type="character" w:customStyle="1" w:styleId="206">
    <w:name w:val="标题 3 Char"/>
    <w:link w:val="194"/>
    <w:qFormat/>
    <w:uiPriority w:val="0"/>
    <w:rPr>
      <w:rFonts w:ascii="Times New Roman" w:hAnsi="Times New Roman" w:eastAsia="宋体" w:cs="Times New Roman"/>
      <w:b/>
      <w:bCs/>
      <w:sz w:val="32"/>
      <w:szCs w:val="32"/>
    </w:rPr>
  </w:style>
  <w:style w:type="character" w:customStyle="1" w:styleId="207">
    <w:name w:val="标题 5 Char1"/>
    <w:link w:val="196"/>
    <w:qFormat/>
    <w:uiPriority w:val="0"/>
    <w:rPr>
      <w:b/>
      <w:sz w:val="28"/>
      <w:szCs w:val="24"/>
    </w:rPr>
  </w:style>
  <w:style w:type="character" w:customStyle="1" w:styleId="208">
    <w:name w:val="标题 6 Char"/>
    <w:link w:val="198"/>
    <w:qFormat/>
    <w:uiPriority w:val="0"/>
    <w:rPr>
      <w:rFonts w:ascii="Arial" w:hAnsi="Arial" w:eastAsia="黑体"/>
      <w:b/>
      <w:sz w:val="24"/>
      <w:szCs w:val="24"/>
    </w:rPr>
  </w:style>
  <w:style w:type="character" w:customStyle="1" w:styleId="209">
    <w:name w:val="标题 7 Char"/>
    <w:link w:val="199"/>
    <w:qFormat/>
    <w:uiPriority w:val="0"/>
    <w:rPr>
      <w:rFonts w:ascii="Times New Roman" w:hAnsi="Times New Roman"/>
      <w:b/>
      <w:sz w:val="24"/>
      <w:szCs w:val="24"/>
    </w:rPr>
  </w:style>
  <w:style w:type="character" w:customStyle="1" w:styleId="210">
    <w:name w:val="标题 8 Char"/>
    <w:link w:val="200"/>
    <w:qFormat/>
    <w:uiPriority w:val="0"/>
    <w:rPr>
      <w:rFonts w:ascii="Arial" w:hAnsi="Arial" w:eastAsia="黑体"/>
      <w:sz w:val="24"/>
      <w:szCs w:val="24"/>
    </w:rPr>
  </w:style>
  <w:style w:type="character" w:customStyle="1" w:styleId="211">
    <w:name w:val="标题 9 Char"/>
    <w:link w:val="201"/>
    <w:qFormat/>
    <w:uiPriority w:val="0"/>
    <w:rPr>
      <w:rFonts w:ascii="Arial" w:hAnsi="Arial" w:eastAsia="黑体"/>
      <w:sz w:val="21"/>
      <w:szCs w:val="24"/>
    </w:rPr>
  </w:style>
  <w:style w:type="paragraph" w:customStyle="1" w:styleId="212">
    <w:name w:val="目录 71"/>
    <w:basedOn w:val="1"/>
    <w:next w:val="1"/>
    <w:unhideWhenUsed/>
    <w:qFormat/>
    <w:uiPriority w:val="39"/>
    <w:pPr>
      <w:ind w:left="2520"/>
    </w:pPr>
    <w:rPr>
      <w:rFonts w:ascii="Calibri" w:hAnsi="Calibri" w:eastAsia="宋体" w:cs="Times New Roman"/>
      <w:szCs w:val="22"/>
    </w:rPr>
  </w:style>
  <w:style w:type="paragraph" w:customStyle="1" w:styleId="213">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4">
    <w:name w:val="题注1"/>
    <w:basedOn w:val="1"/>
    <w:next w:val="1"/>
    <w:qFormat/>
    <w:uiPriority w:val="0"/>
    <w:pPr>
      <w:spacing w:before="152" w:after="160"/>
    </w:pPr>
    <w:rPr>
      <w:rFonts w:ascii="Arial" w:hAnsi="Arial" w:eastAsia="黑体" w:cs="Arial"/>
      <w:sz w:val="20"/>
      <w:szCs w:val="20"/>
    </w:rPr>
  </w:style>
  <w:style w:type="paragraph" w:customStyle="1" w:styleId="215">
    <w:name w:val="文档结构图1"/>
    <w:basedOn w:val="1"/>
    <w:link w:val="216"/>
    <w:unhideWhenUsed/>
    <w:qFormat/>
    <w:uiPriority w:val="0"/>
    <w:pPr>
      <w:shd w:val="clear" w:color="auto" w:fill="000080"/>
    </w:pPr>
    <w:rPr>
      <w:rFonts w:hint="eastAsia" w:ascii="宋体" w:hAnsi="宋体"/>
      <w:sz w:val="20"/>
      <w:szCs w:val="20"/>
    </w:rPr>
  </w:style>
  <w:style w:type="character" w:customStyle="1" w:styleId="216">
    <w:name w:val="文档结构图 Char"/>
    <w:link w:val="215"/>
    <w:qFormat/>
    <w:uiPriority w:val="0"/>
    <w:rPr>
      <w:rFonts w:hint="eastAsia" w:ascii="宋体" w:hAnsi="宋体" w:eastAsia="宋体" w:cs="宋体"/>
    </w:rPr>
  </w:style>
  <w:style w:type="paragraph" w:customStyle="1" w:styleId="217">
    <w:name w:val="批注文字1"/>
    <w:basedOn w:val="1"/>
    <w:link w:val="218"/>
    <w:unhideWhenUsed/>
    <w:qFormat/>
    <w:uiPriority w:val="0"/>
    <w:pPr>
      <w:jc w:val="left"/>
    </w:pPr>
  </w:style>
  <w:style w:type="character" w:customStyle="1" w:styleId="218">
    <w:name w:val="批注文字 Char2"/>
    <w:link w:val="217"/>
    <w:qFormat/>
    <w:uiPriority w:val="0"/>
    <w:rPr>
      <w:rFonts w:ascii="Times New Roman" w:hAnsi="Times New Roman"/>
      <w:sz w:val="21"/>
      <w:szCs w:val="24"/>
    </w:rPr>
  </w:style>
  <w:style w:type="paragraph" w:customStyle="1" w:styleId="219">
    <w:name w:val="正文文本 31"/>
    <w:basedOn w:val="1"/>
    <w:link w:val="220"/>
    <w:qFormat/>
    <w:uiPriority w:val="0"/>
    <w:pPr>
      <w:spacing w:line="500" w:lineRule="exact"/>
    </w:pPr>
    <w:rPr>
      <w:b/>
      <w:bCs/>
      <w:sz w:val="24"/>
    </w:rPr>
  </w:style>
  <w:style w:type="character" w:customStyle="1" w:styleId="220">
    <w:name w:val="正文文本 3 Char"/>
    <w:link w:val="219"/>
    <w:qFormat/>
    <w:uiPriority w:val="0"/>
    <w:rPr>
      <w:rFonts w:ascii="Times New Roman" w:hAnsi="Times New Roman" w:eastAsia="宋体" w:cs="Times New Roman"/>
      <w:b/>
      <w:bCs/>
      <w:sz w:val="24"/>
      <w:szCs w:val="24"/>
    </w:rPr>
  </w:style>
  <w:style w:type="paragraph" w:customStyle="1" w:styleId="221">
    <w:name w:val="正文文本1"/>
    <w:basedOn w:val="1"/>
    <w:next w:val="222"/>
    <w:link w:val="223"/>
    <w:qFormat/>
    <w:uiPriority w:val="99"/>
    <w:pPr>
      <w:spacing w:line="380" w:lineRule="exact"/>
    </w:pPr>
    <w:rPr>
      <w:sz w:val="24"/>
    </w:rPr>
  </w:style>
  <w:style w:type="paragraph" w:customStyle="1" w:styleId="222">
    <w:name w:val="正文文本 21"/>
    <w:basedOn w:val="1"/>
    <w:link w:val="224"/>
    <w:qFormat/>
    <w:uiPriority w:val="0"/>
    <w:pPr>
      <w:spacing w:after="120" w:line="480" w:lineRule="auto"/>
    </w:pPr>
    <w:rPr>
      <w:sz w:val="20"/>
    </w:rPr>
  </w:style>
  <w:style w:type="character" w:customStyle="1" w:styleId="223">
    <w:name w:val="正文文本 Char"/>
    <w:link w:val="221"/>
    <w:qFormat/>
    <w:uiPriority w:val="99"/>
    <w:rPr>
      <w:rFonts w:ascii="Times New Roman" w:hAnsi="Times New Roman" w:eastAsia="宋体" w:cs="Times New Roman"/>
      <w:sz w:val="24"/>
      <w:szCs w:val="24"/>
    </w:rPr>
  </w:style>
  <w:style w:type="character" w:customStyle="1" w:styleId="224">
    <w:name w:val="正文文本 2 Char"/>
    <w:link w:val="222"/>
    <w:qFormat/>
    <w:uiPriority w:val="0"/>
    <w:rPr>
      <w:rFonts w:ascii="Times New Roman" w:hAnsi="Times New Roman" w:eastAsia="宋体" w:cs="Times New Roman"/>
      <w:szCs w:val="24"/>
    </w:rPr>
  </w:style>
  <w:style w:type="paragraph" w:customStyle="1" w:styleId="225">
    <w:name w:val="正文文本缩进1"/>
    <w:basedOn w:val="1"/>
    <w:link w:val="226"/>
    <w:qFormat/>
    <w:uiPriority w:val="0"/>
    <w:pPr>
      <w:ind w:firstLine="830"/>
    </w:pPr>
    <w:rPr>
      <w:rFonts w:ascii="仿宋_GB2312" w:eastAsia="仿宋_GB2312"/>
      <w:sz w:val="32"/>
      <w:szCs w:val="20"/>
    </w:rPr>
  </w:style>
  <w:style w:type="character" w:customStyle="1" w:styleId="226">
    <w:name w:val="正文文本缩进 Char"/>
    <w:link w:val="225"/>
    <w:qFormat/>
    <w:uiPriority w:val="0"/>
    <w:rPr>
      <w:rFonts w:ascii="仿宋_GB2312" w:hAnsi="Times New Roman" w:eastAsia="仿宋_GB2312" w:cs="Times New Roman"/>
      <w:sz w:val="32"/>
      <w:szCs w:val="20"/>
    </w:rPr>
  </w:style>
  <w:style w:type="paragraph" w:customStyle="1" w:styleId="227">
    <w:name w:val="列表编号 31"/>
    <w:basedOn w:val="1"/>
    <w:qFormat/>
    <w:uiPriority w:val="0"/>
    <w:pPr>
      <w:numPr>
        <w:ilvl w:val="0"/>
        <w:numId w:val="3"/>
      </w:numPr>
    </w:pPr>
  </w:style>
  <w:style w:type="paragraph" w:customStyle="1" w:styleId="228">
    <w:name w:val="列表 21"/>
    <w:basedOn w:val="1"/>
    <w:qFormat/>
    <w:uiPriority w:val="0"/>
    <w:pPr>
      <w:ind w:left="100" w:hanging="200"/>
    </w:pPr>
    <w:rPr>
      <w:sz w:val="28"/>
    </w:rPr>
  </w:style>
  <w:style w:type="paragraph" w:customStyle="1" w:styleId="229">
    <w:name w:val="目录 51"/>
    <w:basedOn w:val="1"/>
    <w:next w:val="1"/>
    <w:unhideWhenUsed/>
    <w:qFormat/>
    <w:uiPriority w:val="39"/>
    <w:pPr>
      <w:ind w:left="1680"/>
    </w:pPr>
    <w:rPr>
      <w:rFonts w:ascii="Calibri" w:hAnsi="Calibri" w:eastAsia="宋体" w:cs="Times New Roman"/>
      <w:szCs w:val="22"/>
    </w:rPr>
  </w:style>
  <w:style w:type="paragraph" w:customStyle="1" w:styleId="230">
    <w:name w:val="目录 31"/>
    <w:basedOn w:val="1"/>
    <w:next w:val="1"/>
    <w:unhideWhenUsed/>
    <w:qFormat/>
    <w:uiPriority w:val="39"/>
    <w:pPr>
      <w:ind w:left="840"/>
    </w:pPr>
    <w:rPr>
      <w:rFonts w:ascii="Calibri" w:hAnsi="Calibri" w:eastAsia="宋体" w:cs="Times New Roman"/>
      <w:szCs w:val="22"/>
    </w:rPr>
  </w:style>
  <w:style w:type="paragraph" w:customStyle="1" w:styleId="231">
    <w:name w:val="纯文本1"/>
    <w:basedOn w:val="1"/>
    <w:link w:val="232"/>
    <w:qFormat/>
    <w:uiPriority w:val="0"/>
    <w:rPr>
      <w:rFonts w:ascii="宋体" w:hAnsi="Courier New"/>
      <w:sz w:val="20"/>
      <w:szCs w:val="21"/>
    </w:rPr>
  </w:style>
  <w:style w:type="character" w:customStyle="1" w:styleId="232">
    <w:name w:val="纯文本 Char1"/>
    <w:link w:val="231"/>
    <w:qFormat/>
    <w:uiPriority w:val="0"/>
    <w:rPr>
      <w:rFonts w:ascii="宋体" w:hAnsi="Courier New" w:eastAsia="宋体" w:cs="Courier New"/>
      <w:szCs w:val="21"/>
    </w:rPr>
  </w:style>
  <w:style w:type="paragraph" w:customStyle="1" w:styleId="233">
    <w:name w:val="目录 81"/>
    <w:basedOn w:val="1"/>
    <w:next w:val="1"/>
    <w:unhideWhenUsed/>
    <w:qFormat/>
    <w:uiPriority w:val="39"/>
    <w:pPr>
      <w:ind w:left="2940"/>
    </w:pPr>
    <w:rPr>
      <w:rFonts w:ascii="Calibri" w:hAnsi="Calibri" w:eastAsia="宋体" w:cs="Times New Roman"/>
      <w:szCs w:val="22"/>
    </w:rPr>
  </w:style>
  <w:style w:type="paragraph" w:customStyle="1" w:styleId="234">
    <w:name w:val="日期1"/>
    <w:basedOn w:val="1"/>
    <w:next w:val="1"/>
    <w:link w:val="235"/>
    <w:qFormat/>
    <w:uiPriority w:val="0"/>
    <w:pPr>
      <w:ind w:left="100"/>
    </w:pPr>
    <w:rPr>
      <w:rFonts w:ascii="宋体" w:hAnsi="Courier New"/>
      <w:sz w:val="20"/>
      <w:szCs w:val="21"/>
    </w:rPr>
  </w:style>
  <w:style w:type="character" w:customStyle="1" w:styleId="235">
    <w:name w:val="日期 Char"/>
    <w:link w:val="234"/>
    <w:qFormat/>
    <w:uiPriority w:val="0"/>
    <w:rPr>
      <w:rFonts w:ascii="宋体" w:hAnsi="Courier New" w:eastAsia="宋体" w:cs="Courier New"/>
      <w:szCs w:val="21"/>
    </w:rPr>
  </w:style>
  <w:style w:type="paragraph" w:customStyle="1" w:styleId="236">
    <w:name w:val="正文文本缩进 21"/>
    <w:basedOn w:val="1"/>
    <w:link w:val="237"/>
    <w:qFormat/>
    <w:uiPriority w:val="0"/>
    <w:pPr>
      <w:ind w:firstLine="630"/>
    </w:pPr>
    <w:rPr>
      <w:sz w:val="32"/>
      <w:szCs w:val="20"/>
    </w:rPr>
  </w:style>
  <w:style w:type="character" w:customStyle="1" w:styleId="237">
    <w:name w:val="正文文本缩进 2 Char"/>
    <w:link w:val="236"/>
    <w:qFormat/>
    <w:uiPriority w:val="0"/>
    <w:rPr>
      <w:rFonts w:ascii="Times New Roman" w:hAnsi="Times New Roman" w:eastAsia="宋体" w:cs="Times New Roman"/>
      <w:sz w:val="32"/>
      <w:szCs w:val="20"/>
    </w:rPr>
  </w:style>
  <w:style w:type="paragraph" w:customStyle="1" w:styleId="238">
    <w:name w:val="尾注文本1"/>
    <w:basedOn w:val="1"/>
    <w:link w:val="239"/>
    <w:unhideWhenUsed/>
    <w:qFormat/>
    <w:uiPriority w:val="99"/>
    <w:pPr>
      <w:jc w:val="left"/>
    </w:pPr>
  </w:style>
  <w:style w:type="character" w:customStyle="1" w:styleId="239">
    <w:name w:val="尾注文本 Char"/>
    <w:link w:val="238"/>
    <w:semiHidden/>
    <w:qFormat/>
    <w:uiPriority w:val="99"/>
    <w:rPr>
      <w:rFonts w:ascii="Times New Roman" w:hAnsi="Times New Roman"/>
      <w:sz w:val="21"/>
      <w:szCs w:val="24"/>
    </w:rPr>
  </w:style>
  <w:style w:type="paragraph" w:customStyle="1" w:styleId="240">
    <w:name w:val="批注框文本1"/>
    <w:basedOn w:val="1"/>
    <w:link w:val="241"/>
    <w:semiHidden/>
    <w:qFormat/>
    <w:uiPriority w:val="0"/>
    <w:rPr>
      <w:sz w:val="18"/>
      <w:szCs w:val="18"/>
    </w:rPr>
  </w:style>
  <w:style w:type="character" w:customStyle="1" w:styleId="241">
    <w:name w:val="批注框文本 Char"/>
    <w:link w:val="240"/>
    <w:semiHidden/>
    <w:qFormat/>
    <w:uiPriority w:val="0"/>
    <w:rPr>
      <w:rFonts w:ascii="Times New Roman" w:hAnsi="Times New Roman" w:eastAsia="宋体" w:cs="Times New Roman"/>
      <w:sz w:val="18"/>
      <w:szCs w:val="18"/>
    </w:rPr>
  </w:style>
  <w:style w:type="paragraph" w:customStyle="1" w:styleId="242">
    <w:name w:val="页脚1"/>
    <w:basedOn w:val="1"/>
    <w:link w:val="243"/>
    <w:unhideWhenUsed/>
    <w:qFormat/>
    <w:uiPriority w:val="99"/>
    <w:pPr>
      <w:tabs>
        <w:tab w:val="center" w:pos="4153"/>
        <w:tab w:val="right" w:pos="8306"/>
      </w:tabs>
      <w:jc w:val="left"/>
    </w:pPr>
    <w:rPr>
      <w:sz w:val="18"/>
      <w:szCs w:val="18"/>
    </w:rPr>
  </w:style>
  <w:style w:type="character" w:customStyle="1" w:styleId="243">
    <w:name w:val="页脚 Char"/>
    <w:link w:val="242"/>
    <w:qFormat/>
    <w:uiPriority w:val="99"/>
    <w:rPr>
      <w:sz w:val="18"/>
      <w:szCs w:val="18"/>
    </w:rPr>
  </w:style>
  <w:style w:type="paragraph" w:customStyle="1" w:styleId="244">
    <w:name w:val="页眉1"/>
    <w:basedOn w:val="1"/>
    <w:link w:val="245"/>
    <w:unhideWhenUsed/>
    <w:qFormat/>
    <w:uiPriority w:val="99"/>
    <w:pPr>
      <w:pBdr>
        <w:bottom w:val="single" w:color="000000" w:sz="6" w:space="1"/>
      </w:pBdr>
      <w:tabs>
        <w:tab w:val="center" w:pos="0"/>
        <w:tab w:val="left" w:pos="8306"/>
      </w:tabs>
      <w:jc w:val="center"/>
    </w:pPr>
    <w:rPr>
      <w:sz w:val="18"/>
      <w:szCs w:val="18"/>
    </w:rPr>
  </w:style>
  <w:style w:type="character" w:customStyle="1" w:styleId="245">
    <w:name w:val="页眉 Char"/>
    <w:link w:val="244"/>
    <w:qFormat/>
    <w:uiPriority w:val="99"/>
    <w:rPr>
      <w:rFonts w:ascii="Times New Roman" w:hAnsi="Times New Roman"/>
      <w:sz w:val="18"/>
      <w:szCs w:val="18"/>
    </w:rPr>
  </w:style>
  <w:style w:type="paragraph" w:customStyle="1" w:styleId="246">
    <w:name w:val="目录 11"/>
    <w:basedOn w:val="1"/>
    <w:next w:val="1"/>
    <w:qFormat/>
    <w:uiPriority w:val="39"/>
    <w:pPr>
      <w:tabs>
        <w:tab w:val="right" w:leader="dot" w:pos="8398"/>
      </w:tabs>
      <w:spacing w:before="120" w:after="120"/>
      <w:ind w:firstLine="240"/>
      <w:jc w:val="left"/>
    </w:pPr>
    <w:rPr>
      <w:rFonts w:ascii="宋体" w:hAnsi="宋体"/>
      <w:b/>
      <w:bCs/>
      <w:caps/>
      <w:sz w:val="24"/>
    </w:rPr>
  </w:style>
  <w:style w:type="paragraph" w:customStyle="1" w:styleId="247">
    <w:name w:val="目录 41"/>
    <w:basedOn w:val="1"/>
    <w:next w:val="1"/>
    <w:unhideWhenUsed/>
    <w:qFormat/>
    <w:uiPriority w:val="39"/>
    <w:pPr>
      <w:ind w:left="1260"/>
    </w:pPr>
    <w:rPr>
      <w:rFonts w:ascii="Calibri" w:hAnsi="Calibri" w:eastAsia="宋体" w:cs="Times New Roman"/>
      <w:szCs w:val="22"/>
    </w:rPr>
  </w:style>
  <w:style w:type="paragraph" w:customStyle="1" w:styleId="248">
    <w:name w:val="副标题1"/>
    <w:basedOn w:val="1"/>
    <w:next w:val="1"/>
    <w:qFormat/>
    <w:uiPriority w:val="0"/>
    <w:pPr>
      <w:spacing w:before="240" w:after="60"/>
      <w:jc w:val="center"/>
      <w:outlineLvl w:val="1"/>
    </w:pPr>
    <w:rPr>
      <w:rFonts w:ascii="Arial" w:hAnsi="Arial" w:eastAsia="微软雅黑"/>
      <w:sz w:val="36"/>
    </w:rPr>
  </w:style>
  <w:style w:type="paragraph" w:customStyle="1" w:styleId="249">
    <w:name w:val="列表1"/>
    <w:basedOn w:val="1"/>
    <w:qFormat/>
    <w:uiPriority w:val="0"/>
    <w:pPr>
      <w:ind w:left="200" w:hanging="200"/>
    </w:pPr>
    <w:rPr>
      <w:sz w:val="28"/>
    </w:rPr>
  </w:style>
  <w:style w:type="paragraph" w:customStyle="1" w:styleId="250">
    <w:name w:val="脚注文本1"/>
    <w:basedOn w:val="1"/>
    <w:link w:val="251"/>
    <w:unhideWhenUsed/>
    <w:qFormat/>
    <w:uiPriority w:val="99"/>
    <w:pPr>
      <w:jc w:val="left"/>
    </w:pPr>
    <w:rPr>
      <w:sz w:val="18"/>
      <w:szCs w:val="18"/>
    </w:rPr>
  </w:style>
  <w:style w:type="character" w:customStyle="1" w:styleId="251">
    <w:name w:val="脚注文本 Char"/>
    <w:link w:val="250"/>
    <w:semiHidden/>
    <w:qFormat/>
    <w:uiPriority w:val="99"/>
    <w:rPr>
      <w:rFonts w:ascii="Times New Roman" w:hAnsi="Times New Roman"/>
      <w:sz w:val="18"/>
      <w:szCs w:val="18"/>
    </w:rPr>
  </w:style>
  <w:style w:type="paragraph" w:customStyle="1" w:styleId="252">
    <w:name w:val="目录 61"/>
    <w:basedOn w:val="1"/>
    <w:next w:val="1"/>
    <w:unhideWhenUsed/>
    <w:qFormat/>
    <w:uiPriority w:val="39"/>
    <w:pPr>
      <w:ind w:left="2100"/>
    </w:pPr>
    <w:rPr>
      <w:rFonts w:ascii="Calibri" w:hAnsi="Calibri" w:eastAsia="宋体" w:cs="Times New Roman"/>
      <w:szCs w:val="22"/>
    </w:rPr>
  </w:style>
  <w:style w:type="paragraph" w:customStyle="1" w:styleId="253">
    <w:name w:val="正文文本缩进 31"/>
    <w:basedOn w:val="1"/>
    <w:link w:val="254"/>
    <w:qFormat/>
    <w:uiPriority w:val="0"/>
    <w:pPr>
      <w:spacing w:after="120"/>
      <w:ind w:left="420"/>
    </w:pPr>
    <w:rPr>
      <w:sz w:val="16"/>
      <w:szCs w:val="16"/>
    </w:rPr>
  </w:style>
  <w:style w:type="character" w:customStyle="1" w:styleId="254">
    <w:name w:val="正文文本缩进 3 Char"/>
    <w:link w:val="253"/>
    <w:qFormat/>
    <w:uiPriority w:val="0"/>
    <w:rPr>
      <w:rFonts w:ascii="Times New Roman" w:hAnsi="Times New Roman" w:eastAsia="宋体" w:cs="Times New Roman"/>
      <w:sz w:val="16"/>
      <w:szCs w:val="16"/>
    </w:rPr>
  </w:style>
  <w:style w:type="paragraph" w:customStyle="1" w:styleId="255">
    <w:name w:val="目录 21"/>
    <w:basedOn w:val="1"/>
    <w:next w:val="1"/>
    <w:unhideWhenUsed/>
    <w:qFormat/>
    <w:uiPriority w:val="39"/>
    <w:pPr>
      <w:ind w:left="420"/>
    </w:pPr>
  </w:style>
  <w:style w:type="paragraph" w:customStyle="1" w:styleId="256">
    <w:name w:val="目录 91"/>
    <w:basedOn w:val="1"/>
    <w:next w:val="1"/>
    <w:unhideWhenUsed/>
    <w:qFormat/>
    <w:uiPriority w:val="39"/>
    <w:pPr>
      <w:ind w:left="3360"/>
    </w:pPr>
    <w:rPr>
      <w:rFonts w:ascii="Calibri" w:hAnsi="Calibri" w:eastAsia="宋体" w:cs="Times New Roman"/>
      <w:szCs w:val="22"/>
    </w:rPr>
  </w:style>
  <w:style w:type="paragraph" w:customStyle="1" w:styleId="257">
    <w:name w:val="普通(网站)1"/>
    <w:basedOn w:val="1"/>
    <w:qFormat/>
    <w:uiPriority w:val="99"/>
    <w:pPr>
      <w:widowControl/>
      <w:spacing w:before="100" w:beforeAutospacing="1" w:after="100" w:afterAutospacing="1"/>
      <w:jc w:val="left"/>
    </w:pPr>
    <w:rPr>
      <w:rFonts w:ascii="宋体" w:hAnsi="宋体"/>
      <w:sz w:val="24"/>
    </w:rPr>
  </w:style>
  <w:style w:type="paragraph" w:customStyle="1" w:styleId="258">
    <w:name w:val="索引 11"/>
    <w:basedOn w:val="1"/>
    <w:next w:val="1"/>
    <w:semiHidden/>
    <w:qFormat/>
    <w:uiPriority w:val="0"/>
    <w:pPr>
      <w:spacing w:line="400" w:lineRule="exact"/>
      <w:ind w:firstLine="420"/>
    </w:pPr>
    <w:rPr>
      <w:rFonts w:ascii="宋体" w:hAnsi="Courier New"/>
      <w:b/>
      <w:szCs w:val="20"/>
    </w:rPr>
  </w:style>
  <w:style w:type="paragraph" w:customStyle="1" w:styleId="259">
    <w:name w:val="标题1"/>
    <w:basedOn w:val="1"/>
    <w:next w:val="1"/>
    <w:link w:val="260"/>
    <w:qFormat/>
    <w:uiPriority w:val="10"/>
    <w:pPr>
      <w:spacing w:before="240" w:after="60"/>
      <w:jc w:val="center"/>
      <w:outlineLvl w:val="0"/>
    </w:pPr>
    <w:rPr>
      <w:rFonts w:ascii="Cambria" w:hAnsi="Cambria"/>
      <w:b/>
      <w:bCs/>
      <w:sz w:val="32"/>
      <w:szCs w:val="32"/>
    </w:rPr>
  </w:style>
  <w:style w:type="character" w:customStyle="1" w:styleId="260">
    <w:name w:val="标题 Char"/>
    <w:link w:val="259"/>
    <w:qFormat/>
    <w:uiPriority w:val="10"/>
    <w:rPr>
      <w:rFonts w:ascii="Cambria" w:hAnsi="Cambria" w:cs="Times New Roman"/>
      <w:b/>
      <w:bCs/>
      <w:sz w:val="32"/>
      <w:szCs w:val="32"/>
    </w:rPr>
  </w:style>
  <w:style w:type="paragraph" w:customStyle="1" w:styleId="261">
    <w:name w:val="批注主题1"/>
    <w:basedOn w:val="217"/>
    <w:next w:val="217"/>
    <w:link w:val="262"/>
    <w:unhideWhenUsed/>
    <w:qFormat/>
    <w:uiPriority w:val="99"/>
    <w:rPr>
      <w:b/>
      <w:bCs/>
    </w:rPr>
  </w:style>
  <w:style w:type="character" w:customStyle="1" w:styleId="262">
    <w:name w:val="批注主题 Char"/>
    <w:link w:val="261"/>
    <w:semiHidden/>
    <w:qFormat/>
    <w:uiPriority w:val="99"/>
    <w:rPr>
      <w:rFonts w:ascii="Times New Roman" w:hAnsi="Times New Roman"/>
      <w:b/>
      <w:bCs/>
      <w:sz w:val="21"/>
      <w:szCs w:val="24"/>
    </w:rPr>
  </w:style>
  <w:style w:type="table" w:customStyle="1" w:styleId="263">
    <w:name w:val="网格型1"/>
    <w:basedOn w:val="203"/>
    <w:qFormat/>
    <w:uiPriority w:val="59"/>
    <w:pPr>
      <w:widowControl w:val="0"/>
      <w:jc w:val="both"/>
    </w:pPr>
    <w:rPr>
      <w:rFonts w:ascii="Times New Roman" w:hAnsi="Times New Roman" w:eastAsia="宋体"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64">
    <w:name w:val="要点1"/>
    <w:basedOn w:val="202"/>
    <w:link w:val="1"/>
    <w:qFormat/>
    <w:uiPriority w:val="0"/>
    <w:rPr>
      <w:b/>
    </w:rPr>
  </w:style>
  <w:style w:type="character" w:customStyle="1" w:styleId="265">
    <w:name w:val="尾注引用1"/>
    <w:link w:val="1"/>
    <w:unhideWhenUsed/>
    <w:qFormat/>
    <w:uiPriority w:val="99"/>
    <w:rPr>
      <w:vertAlign w:val="superscript"/>
    </w:rPr>
  </w:style>
  <w:style w:type="character" w:customStyle="1" w:styleId="266">
    <w:name w:val="页码1"/>
    <w:link w:val="1"/>
    <w:qFormat/>
    <w:uiPriority w:val="0"/>
  </w:style>
  <w:style w:type="character" w:customStyle="1" w:styleId="267">
    <w:name w:val="已访问的超链接1"/>
    <w:link w:val="1"/>
    <w:qFormat/>
    <w:uiPriority w:val="0"/>
    <w:rPr>
      <w:color w:val="800080"/>
      <w:u w:val="single"/>
    </w:rPr>
  </w:style>
  <w:style w:type="character" w:customStyle="1" w:styleId="268">
    <w:name w:val="超链接1"/>
    <w:link w:val="1"/>
    <w:qFormat/>
    <w:uiPriority w:val="99"/>
    <w:rPr>
      <w:color w:val="0000FF"/>
      <w:u w:val="single"/>
    </w:rPr>
  </w:style>
  <w:style w:type="character" w:customStyle="1" w:styleId="269">
    <w:name w:val="批注引用1"/>
    <w:link w:val="1"/>
    <w:unhideWhenUsed/>
    <w:qFormat/>
    <w:uiPriority w:val="0"/>
    <w:rPr>
      <w:sz w:val="21"/>
      <w:szCs w:val="21"/>
    </w:rPr>
  </w:style>
  <w:style w:type="character" w:customStyle="1" w:styleId="270">
    <w:name w:val="脚注引用1"/>
    <w:link w:val="1"/>
    <w:unhideWhenUsed/>
    <w:qFormat/>
    <w:uiPriority w:val="99"/>
    <w:rPr>
      <w:vertAlign w:val="superscript"/>
    </w:rPr>
  </w:style>
  <w:style w:type="paragraph" w:customStyle="1" w:styleId="271">
    <w:name w:val="表格文字"/>
    <w:basedOn w:val="1"/>
    <w:link w:val="272"/>
    <w:qFormat/>
    <w:uiPriority w:val="0"/>
    <w:pPr>
      <w:spacing w:before="25" w:after="25"/>
      <w:jc w:val="left"/>
    </w:pPr>
    <w:rPr>
      <w:bCs/>
      <w:spacing w:val="10"/>
      <w:sz w:val="24"/>
      <w:szCs w:val="20"/>
    </w:rPr>
  </w:style>
  <w:style w:type="character" w:customStyle="1" w:styleId="272">
    <w:name w:val="表格文字 Char1"/>
    <w:link w:val="271"/>
    <w:qFormat/>
    <w:uiPriority w:val="0"/>
    <w:rPr>
      <w:bCs/>
      <w:spacing w:val="10"/>
      <w:sz w:val="24"/>
    </w:rPr>
  </w:style>
  <w:style w:type="paragraph" w:customStyle="1" w:styleId="273">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274">
    <w:name w:val="批注文字 Char1"/>
    <w:link w:val="1"/>
    <w:semiHidden/>
    <w:qFormat/>
    <w:uiPriority w:val="0"/>
    <w:rPr>
      <w:rFonts w:ascii="Times New Roman" w:hAnsi="Times New Roman"/>
      <w:sz w:val="21"/>
      <w:szCs w:val="24"/>
    </w:rPr>
  </w:style>
  <w:style w:type="character" w:customStyle="1" w:styleId="275">
    <w:name w:val="case31"/>
    <w:link w:val="1"/>
    <w:qFormat/>
    <w:uiPriority w:val="0"/>
    <w:rPr>
      <w:sz w:val="21"/>
      <w:szCs w:val="21"/>
    </w:rPr>
  </w:style>
  <w:style w:type="character" w:customStyle="1" w:styleId="276">
    <w:name w:val="批注文字 Char"/>
    <w:link w:val="1"/>
    <w:qFormat/>
    <w:uiPriority w:val="99"/>
    <w:rPr>
      <w:rFonts w:ascii="Times New Roman" w:hAnsi="Times New Roman"/>
      <w:sz w:val="21"/>
      <w:szCs w:val="24"/>
    </w:rPr>
  </w:style>
  <w:style w:type="character" w:customStyle="1" w:styleId="277">
    <w:name w:val="纯文本 Char"/>
    <w:link w:val="1"/>
    <w:qFormat/>
    <w:uiPriority w:val="0"/>
    <w:rPr>
      <w:rFonts w:ascii="宋体" w:hAnsi="Courier New" w:eastAsia="宋体"/>
      <w:sz w:val="21"/>
      <w:lang w:val="en-US" w:eastAsia="zh-CN" w:bidi="ar-SA"/>
    </w:rPr>
  </w:style>
  <w:style w:type="character" w:customStyle="1" w:styleId="278">
    <w:name w:val="纯文本 字符1"/>
    <w:link w:val="1"/>
    <w:qFormat/>
    <w:uiPriority w:val="0"/>
    <w:rPr>
      <w:rFonts w:ascii="宋体" w:hAnsi="Courier New"/>
    </w:rPr>
  </w:style>
  <w:style w:type="character" w:customStyle="1" w:styleId="279">
    <w:name w:val="批注文字 字符1"/>
    <w:link w:val="1"/>
    <w:qFormat/>
    <w:uiPriority w:val="0"/>
    <w:rPr>
      <w:rFonts w:ascii="Times New Roman" w:hAnsi="Times New Roman"/>
      <w:sz w:val="21"/>
      <w:szCs w:val="24"/>
    </w:rPr>
  </w:style>
  <w:style w:type="character" w:customStyle="1" w:styleId="280">
    <w:name w:val="正文文本 Char1"/>
    <w:link w:val="1"/>
    <w:semiHidden/>
    <w:qFormat/>
    <w:uiPriority w:val="99"/>
    <w:rPr>
      <w:sz w:val="24"/>
      <w:szCs w:val="24"/>
    </w:rPr>
  </w:style>
  <w:style w:type="character" w:customStyle="1" w:styleId="281">
    <w:name w:val="apple-style-span"/>
    <w:link w:val="1"/>
    <w:qFormat/>
    <w:uiPriority w:val="0"/>
  </w:style>
  <w:style w:type="character" w:customStyle="1" w:styleId="282">
    <w:name w:val="textcontents"/>
    <w:link w:val="1"/>
    <w:qFormat/>
    <w:uiPriority w:val="0"/>
  </w:style>
  <w:style w:type="character" w:customStyle="1" w:styleId="283">
    <w:name w:val="普通文字 Char Char2"/>
    <w:link w:val="1"/>
    <w:qFormat/>
    <w:uiPriority w:val="0"/>
    <w:rPr>
      <w:rFonts w:ascii="宋体" w:hAnsi="Courier New" w:eastAsia="宋体"/>
      <w:sz w:val="21"/>
      <w:lang w:val="en-US" w:eastAsia="zh-CN" w:bidi="ar-SA"/>
    </w:rPr>
  </w:style>
  <w:style w:type="character" w:customStyle="1" w:styleId="284">
    <w:name w:val="标题 5 Char"/>
    <w:link w:val="1"/>
    <w:qFormat/>
    <w:uiPriority w:val="0"/>
    <w:rPr>
      <w:b/>
      <w:sz w:val="28"/>
      <w:szCs w:val="24"/>
    </w:rPr>
  </w:style>
  <w:style w:type="character" w:customStyle="1" w:styleId="285">
    <w:name w:val="批注文字 字符"/>
    <w:link w:val="1"/>
    <w:qFormat/>
    <w:uiPriority w:val="0"/>
    <w:rPr>
      <w:rFonts w:ascii="Times New Roman" w:hAnsi="Times New Roman"/>
      <w:sz w:val="21"/>
      <w:szCs w:val="24"/>
    </w:rPr>
  </w:style>
  <w:style w:type="character" w:customStyle="1" w:styleId="286">
    <w:name w:val="标题 1 字符"/>
    <w:link w:val="1"/>
    <w:qFormat/>
    <w:uiPriority w:val="9"/>
    <w:rPr>
      <w:rFonts w:ascii="Times New Roman" w:hAnsi="Times New Roman" w:eastAsia="宋体" w:cs="Times New Roman"/>
      <w:b/>
      <w:bCs/>
      <w:sz w:val="44"/>
      <w:szCs w:val="44"/>
    </w:rPr>
  </w:style>
  <w:style w:type="character" w:customStyle="1" w:styleId="287">
    <w:name w:val="纯文本 字符"/>
    <w:link w:val="1"/>
    <w:qFormat/>
    <w:uiPriority w:val="0"/>
    <w:rPr>
      <w:rFonts w:ascii="宋体" w:hAnsi="Courier New" w:eastAsia="宋体" w:cs="Courier New"/>
      <w:szCs w:val="21"/>
    </w:rPr>
  </w:style>
  <w:style w:type="character" w:customStyle="1" w:styleId="288">
    <w:name w:val="headline-content4"/>
    <w:link w:val="1"/>
    <w:qFormat/>
    <w:uiPriority w:val="0"/>
  </w:style>
  <w:style w:type="character" w:customStyle="1" w:styleId="289">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character" w:customStyle="1" w:styleId="290">
    <w:name w:val="正文文本缩进 字符"/>
    <w:link w:val="1"/>
    <w:qFormat/>
    <w:uiPriority w:val="0"/>
    <w:rPr>
      <w:rFonts w:ascii="仿宋_GB2312" w:hAnsi="Times New Roman" w:eastAsia="仿宋_GB2312" w:cs="Times New Roman"/>
      <w:sz w:val="32"/>
      <w:szCs w:val="20"/>
    </w:rPr>
  </w:style>
  <w:style w:type="paragraph" w:customStyle="1" w:styleId="291">
    <w:name w:val="Char1"/>
    <w:basedOn w:val="1"/>
    <w:qFormat/>
    <w:uiPriority w:val="0"/>
    <w:rPr>
      <w:szCs w:val="21"/>
    </w:rPr>
  </w:style>
  <w:style w:type="paragraph" w:customStyle="1" w:styleId="292">
    <w:name w:val="列出段落"/>
    <w:basedOn w:val="1"/>
    <w:qFormat/>
    <w:uiPriority w:val="34"/>
    <w:pPr>
      <w:ind w:firstLine="420"/>
    </w:pPr>
  </w:style>
  <w:style w:type="paragraph" w:customStyle="1" w:styleId="293">
    <w:name w:val="样式 标题 2 + Times New Roman 四号 非加粗 段前: 5 磅 段后: 0 磅 行距: 固定值 20..."/>
    <w:basedOn w:val="193"/>
    <w:qFormat/>
    <w:uiPriority w:val="0"/>
    <w:pPr>
      <w:spacing w:before="100" w:after="0" w:line="400" w:lineRule="exact"/>
    </w:pPr>
    <w:rPr>
      <w:rFonts w:ascii="Times New Roman" w:hAnsi="Times New Roman" w:cs="宋体"/>
      <w:b w:val="0"/>
      <w:bCs w:val="0"/>
      <w:sz w:val="28"/>
      <w:szCs w:val="20"/>
    </w:rPr>
  </w:style>
  <w:style w:type="paragraph" w:customStyle="1" w:styleId="294">
    <w:name w:val="默认段落字体 Para Char Char Char Char Char Char Char Char Char1 Char Char Char Char"/>
    <w:basedOn w:val="1"/>
    <w:qFormat/>
    <w:uiPriority w:val="0"/>
    <w:rPr>
      <w:rFonts w:ascii="Tahoma" w:hAnsi="Tahoma"/>
      <w:sz w:val="24"/>
      <w:szCs w:val="20"/>
    </w:rPr>
  </w:style>
  <w:style w:type="paragraph" w:customStyle="1" w:styleId="295">
    <w:name w:val="样式"/>
    <w:qFormat/>
    <w:uiPriority w:val="0"/>
    <w:pPr>
      <w:widowControl w:val="0"/>
      <w:jc w:val="center"/>
    </w:pPr>
    <w:rPr>
      <w:rFonts w:hint="default" w:ascii="宋体" w:hAnsi="宋体" w:eastAsia="宋体" w:cs="宋体"/>
      <w:sz w:val="24"/>
      <w:szCs w:val="24"/>
      <w:lang w:val="en-US" w:eastAsia="zh-CN" w:bidi="ar-SA"/>
    </w:rPr>
  </w:style>
  <w:style w:type="paragraph" w:customStyle="1" w:styleId="296">
    <w:name w:val="Table Paragraph"/>
    <w:basedOn w:val="1"/>
    <w:qFormat/>
    <w:uiPriority w:val="1"/>
    <w:pPr>
      <w:jc w:val="left"/>
    </w:pPr>
    <w:rPr>
      <w:rFonts w:ascii="Calibri" w:hAnsi="Calibri" w:eastAsia="宋体" w:cs="Times New Roman"/>
      <w:sz w:val="22"/>
      <w:szCs w:val="22"/>
      <w:lang w:eastAsia="en-US"/>
    </w:rPr>
  </w:style>
  <w:style w:type="paragraph" w:customStyle="1" w:styleId="297">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98">
    <w:name w:val="表格"/>
    <w:basedOn w:val="1"/>
    <w:qFormat/>
    <w:uiPriority w:val="0"/>
    <w:pPr>
      <w:spacing w:line="400" w:lineRule="exact"/>
    </w:pPr>
    <w:rPr>
      <w:sz w:val="24"/>
    </w:rPr>
  </w:style>
  <w:style w:type="paragraph" w:customStyle="1" w:styleId="299">
    <w:name w:val="样式 首行缩进:  2 字符"/>
    <w:basedOn w:val="1"/>
    <w:qFormat/>
    <w:uiPriority w:val="0"/>
    <w:pPr>
      <w:spacing w:line="400" w:lineRule="exact"/>
      <w:ind w:firstLine="200"/>
    </w:pPr>
    <w:rPr>
      <w:rFonts w:cs="宋体"/>
      <w:sz w:val="24"/>
    </w:rPr>
  </w:style>
  <w:style w:type="paragraph" w:customStyle="1" w:styleId="300">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301">
    <w:name w:val="样式 标题 3 + (中文) 黑体 小四 非加粗 段前: 7.8 磅 段后: 0 磅 行距: 固定值 20 磅"/>
    <w:basedOn w:val="194"/>
    <w:qFormat/>
    <w:uiPriority w:val="0"/>
    <w:pPr>
      <w:spacing w:before="0" w:after="0" w:line="400" w:lineRule="exact"/>
    </w:pPr>
    <w:rPr>
      <w:rFonts w:eastAsia="黑体" w:cs="宋体"/>
      <w:b w:val="0"/>
      <w:bCs w:val="0"/>
      <w:sz w:val="24"/>
      <w:szCs w:val="20"/>
    </w:rPr>
  </w:style>
  <w:style w:type="paragraph" w:customStyle="1" w:styleId="302">
    <w:name w:val="正文首行缩进两字符"/>
    <w:basedOn w:val="1"/>
    <w:qFormat/>
    <w:uiPriority w:val="0"/>
    <w:pPr>
      <w:spacing w:line="360" w:lineRule="auto"/>
      <w:ind w:firstLine="200"/>
    </w:pPr>
  </w:style>
  <w:style w:type="paragraph" w:customStyle="1" w:styleId="303">
    <w:name w:val="正文段"/>
    <w:basedOn w:val="1"/>
    <w:qFormat/>
    <w:uiPriority w:val="0"/>
    <w:pPr>
      <w:widowControl/>
      <w:spacing w:after="50"/>
      <w:ind w:firstLine="200"/>
    </w:pPr>
    <w:rPr>
      <w:sz w:val="24"/>
      <w:szCs w:val="20"/>
    </w:rPr>
  </w:style>
  <w:style w:type="table" w:customStyle="1" w:styleId="304">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305">
    <w:name w:val="页脚 字符"/>
    <w:link w:val="1"/>
    <w:qFormat/>
    <w:uiPriority w:val="99"/>
  </w:style>
  <w:style w:type="character" w:customStyle="1" w:styleId="306">
    <w:name w:val="正文2 Char Char"/>
    <w:link w:val="307"/>
    <w:qFormat/>
    <w:uiPriority w:val="0"/>
    <w:rPr>
      <w:sz w:val="24"/>
    </w:rPr>
  </w:style>
  <w:style w:type="paragraph" w:customStyle="1" w:styleId="307">
    <w:name w:val="正文2"/>
    <w:basedOn w:val="1"/>
    <w:link w:val="306"/>
    <w:qFormat/>
    <w:uiPriority w:val="0"/>
    <w:pPr>
      <w:spacing w:before="156" w:line="360" w:lineRule="auto"/>
      <w:ind w:firstLine="510"/>
    </w:pPr>
    <w:rPr>
      <w:sz w:val="24"/>
      <w:szCs w:val="20"/>
    </w:rPr>
  </w:style>
  <w:style w:type="paragraph" w:customStyle="1" w:styleId="308">
    <w:name w:val="修订"/>
    <w:unhideWhenUsed/>
    <w:qFormat/>
    <w:uiPriority w:val="99"/>
    <w:rPr>
      <w:rFonts w:hint="default" w:ascii="Times New Roman" w:hAnsi="Times New Roman" w:eastAsia="宋体" w:cs="Times New Roman"/>
      <w:sz w:val="21"/>
      <w:szCs w:val="24"/>
      <w:lang w:val="en-US" w:eastAsia="zh-CN" w:bidi="ar-SA"/>
    </w:rPr>
  </w:style>
  <w:style w:type="character" w:customStyle="1" w:styleId="309">
    <w:name w:val="font51"/>
    <w:basedOn w:val="202"/>
    <w:link w:val="1"/>
    <w:qFormat/>
    <w:uiPriority w:val="0"/>
    <w:rPr>
      <w:rFonts w:ascii="Times New Roman" w:hAnsi="Times New Roman" w:cs="Times New Roman"/>
      <w:color w:val="000000"/>
      <w:sz w:val="20"/>
      <w:szCs w:val="20"/>
      <w:u w:val="none"/>
    </w:rPr>
  </w:style>
  <w:style w:type="character" w:customStyle="1" w:styleId="310">
    <w:name w:val="font31"/>
    <w:basedOn w:val="202"/>
    <w:link w:val="1"/>
    <w:qFormat/>
    <w:uiPriority w:val="0"/>
    <w:rPr>
      <w:rFonts w:ascii="Times New Roman" w:hAnsi="Times New Roman" w:cs="Times New Roman"/>
      <w:color w:val="000000"/>
      <w:sz w:val="20"/>
      <w:szCs w:val="20"/>
      <w:u w:val="none"/>
    </w:rPr>
  </w:style>
  <w:style w:type="character" w:customStyle="1" w:styleId="311">
    <w:name w:val="font41"/>
    <w:basedOn w:val="202"/>
    <w:link w:val="1"/>
    <w:qFormat/>
    <w:uiPriority w:val="0"/>
    <w:rPr>
      <w:rFonts w:hint="eastAsia" w:ascii="宋体" w:hAnsi="宋体" w:eastAsia="宋体" w:cs="宋体"/>
      <w:color w:val="000000"/>
      <w:sz w:val="20"/>
      <w:szCs w:val="20"/>
      <w:u w:val="none"/>
    </w:rPr>
  </w:style>
  <w:style w:type="character" w:customStyle="1" w:styleId="312">
    <w:name w:val="font61"/>
    <w:basedOn w:val="202"/>
    <w:link w:val="1"/>
    <w:qFormat/>
    <w:uiPriority w:val="0"/>
    <w:rPr>
      <w:rFonts w:ascii="Calibri" w:hAnsi="Calibri" w:cs="Calibri"/>
      <w:color w:val="000000"/>
      <w:sz w:val="21"/>
      <w:szCs w:val="21"/>
      <w:u w:val="none"/>
    </w:rPr>
  </w:style>
  <w:style w:type="character" w:customStyle="1" w:styleId="313">
    <w:name w:val="font71"/>
    <w:basedOn w:val="202"/>
    <w:link w:val="1"/>
    <w:qFormat/>
    <w:uiPriority w:val="0"/>
    <w:rPr>
      <w:rFonts w:hint="eastAsia" w:ascii="宋体" w:hAnsi="宋体" w:eastAsia="宋体" w:cs="宋体"/>
      <w:color w:val="000000"/>
      <w:sz w:val="24"/>
      <w:szCs w:val="24"/>
      <w:u w:val="none"/>
    </w:rPr>
  </w:style>
  <w:style w:type="character" w:customStyle="1" w:styleId="314">
    <w:name w:val="NormalCharacter1"/>
    <w:basedOn w:val="202"/>
    <w:link w:val="1"/>
    <w:qFormat/>
    <w:uiPriority w:val="0"/>
  </w:style>
  <w:style w:type="character" w:customStyle="1" w:styleId="315">
    <w:name w:val="15"/>
    <w:basedOn w:val="202"/>
    <w:link w:val="1"/>
    <w:qFormat/>
    <w:uiPriority w:val="0"/>
    <w:rPr>
      <w:rFonts w:ascii="Times New Roman" w:hAnsi="Times New Roman" w:cs="Times New Roman"/>
      <w:sz w:val="24"/>
      <w:szCs w:val="24"/>
    </w:rPr>
  </w:style>
  <w:style w:type="paragraph" w:customStyle="1" w:styleId="316">
    <w:name w:val="列出段落1"/>
    <w:basedOn w:val="1"/>
    <w:qFormat/>
    <w:uiPriority w:val="0"/>
    <w:pPr>
      <w:ind w:firstLine="420"/>
    </w:pPr>
    <w:rPr>
      <w:rFonts w:ascii="Calibri" w:hAnsi="Calibri"/>
      <w:szCs w:val="22"/>
    </w:rPr>
  </w:style>
  <w:style w:type="character" w:customStyle="1" w:styleId="317">
    <w:name w:val="font21"/>
    <w:basedOn w:val="202"/>
    <w:link w:val="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Info spid="_x0000_s1026"/>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Pages>106</Pages>
  <Words>38150</Words>
  <Characters>41068</Characters>
  <TotalTime>17</TotalTime>
  <ScaleCrop>false</ScaleCrop>
  <LinksUpToDate>false</LinksUpToDate>
  <CharactersWithSpaces>41343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2021-11-22T03:15:00Z</dcterms:created>
  <dc:creator>番茄</dc:creator>
  <cp:lastModifiedBy>WPS_1528036308</cp:lastModifiedBy>
  <dcterms:modified xsi:type="dcterms:W3CDTF">2026-07-20T03:17:13Z</dcterms:modified>
  <dc:title>公开招标采</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eyJoZGlkIjoiZmJmMDM4MmMwMTRjNWY0ZDI3NjNkNjAxZTkxYmEyMGMiLCJ1c2VySWQiOiIzNzU3OTEzNTQifQ==</vt:lpwstr>
  </property>
  <property fmtid="{D5CDD505-2E9C-101B-9397-08002B2CF9AE}" pid="3" name="KSOProductBuildVer">
    <vt:lpwstr>2052-12.1.0.26375</vt:lpwstr>
  </property>
  <property fmtid="{D5CDD505-2E9C-101B-9397-08002B2CF9AE}" pid="4" name="ICV">
    <vt:lpwstr>0F35A47864C14B25BAC890C16A3A531E_12</vt:lpwstr>
  </property>
</Properties>
</file>