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C70A4">
      <w:pPr>
        <w:rPr>
          <w:rFonts w:hint="default" w:asciiTheme="majorEastAsia" w:hAnsiTheme="majorEastAsia" w:eastAsiaTheme="majorEastAsia" w:cstheme="majorEastAsia"/>
          <w:color w:val="auto"/>
          <w:highlight w:val="none"/>
          <w:lang w:val="en-US" w:eastAsia="zh-CN"/>
        </w:rPr>
      </w:pPr>
      <w:bookmarkStart w:id="1169" w:name="_GoBack"/>
      <w:bookmarkEnd w:id="1169"/>
      <w:r>
        <w:rPr>
          <w:rFonts w:hint="eastAsia" w:asciiTheme="majorEastAsia" w:hAnsiTheme="majorEastAsia" w:eastAsiaTheme="majorEastAsia" w:cstheme="majorEastAsia"/>
          <w:color w:val="auto"/>
          <w:highlight w:val="none"/>
          <w:lang w:val="en-US" w:eastAsia="zh-CN"/>
        </w:rPr>
        <w:t xml:space="preserve">                      </w:t>
      </w:r>
    </w:p>
    <w:p w14:paraId="4E5DB625">
      <w:pPr>
        <w:jc w:val="left"/>
        <w:outlineLvl w:val="0"/>
        <w:rPr>
          <w:rFonts w:hint="eastAsia" w:ascii="宋体" w:hAnsi="宋体" w:eastAsia="宋体" w:cs="宋体"/>
          <w:color w:val="auto"/>
          <w:highlight w:val="none"/>
        </w:rPr>
      </w:pPr>
    </w:p>
    <w:p w14:paraId="51E3C56E">
      <w:pPr>
        <w:jc w:val="center"/>
        <w:outlineLvl w:val="0"/>
        <w:rPr>
          <w:rFonts w:hint="eastAsia" w:asciiTheme="majorEastAsia" w:hAnsiTheme="majorEastAsia" w:eastAsiaTheme="majorEastAsia" w:cstheme="majorEastAsia"/>
          <w:b/>
          <w:bCs/>
          <w:color w:val="auto"/>
          <w:sz w:val="48"/>
          <w:szCs w:val="48"/>
          <w:lang w:eastAsia="zh-CN"/>
        </w:rPr>
      </w:pPr>
      <w:r>
        <w:rPr>
          <w:rFonts w:hint="eastAsia" w:asciiTheme="majorEastAsia" w:hAnsiTheme="majorEastAsia" w:eastAsiaTheme="majorEastAsia" w:cstheme="majorEastAsia"/>
          <w:b/>
          <w:bCs/>
          <w:color w:val="auto"/>
          <w:sz w:val="48"/>
          <w:szCs w:val="48"/>
          <w:lang w:eastAsia="zh-CN"/>
        </w:rPr>
        <w:t>广西建汇工程咨询有限公司</w:t>
      </w:r>
    </w:p>
    <w:p w14:paraId="7EE2A865">
      <w:pPr>
        <w:pStyle w:val="11"/>
        <w:rPr>
          <w:rFonts w:hint="eastAsia"/>
          <w:color w:val="auto"/>
        </w:rPr>
      </w:pPr>
    </w:p>
    <w:p w14:paraId="70D42FC4">
      <w:pPr>
        <w:pStyle w:val="21"/>
        <w:rPr>
          <w:rFonts w:hint="eastAsia"/>
          <w:color w:val="auto"/>
        </w:rPr>
      </w:pPr>
      <w:bookmarkStart w:id="0" w:name="_Toc12839"/>
      <w:bookmarkStart w:id="1" w:name="_Toc8546"/>
      <w:r>
        <w:rPr>
          <w:rFonts w:hint="eastAsia" w:ascii="宋体" w:hAnsi="宋体" w:cs="宋体"/>
          <w:iCs/>
          <w:color w:val="auto"/>
          <w:sz w:val="48"/>
          <w:szCs w:val="48"/>
        </w:rPr>
        <w:drawing>
          <wp:inline distT="0" distB="0" distL="114300" distR="114300">
            <wp:extent cx="1640205" cy="1140460"/>
            <wp:effectExtent l="0" t="0" r="17145" b="2540"/>
            <wp:docPr id="1" name="图片 1" descr="72e7eabc668db03e627e8490b74e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e7eabc668db03e627e8490b74e2c7"/>
                    <pic:cNvPicPr>
                      <a:picLocks noChangeAspect="1"/>
                    </pic:cNvPicPr>
                  </pic:nvPicPr>
                  <pic:blipFill>
                    <a:blip r:embed="rId18"/>
                    <a:stretch>
                      <a:fillRect/>
                    </a:stretch>
                  </pic:blipFill>
                  <pic:spPr>
                    <a:xfrm>
                      <a:off x="0" y="0"/>
                      <a:ext cx="1640205" cy="1140460"/>
                    </a:xfrm>
                    <a:prstGeom prst="rect">
                      <a:avLst/>
                    </a:prstGeom>
                  </pic:spPr>
                </pic:pic>
              </a:graphicData>
            </a:graphic>
          </wp:inline>
        </w:drawing>
      </w:r>
      <w:bookmarkEnd w:id="0"/>
      <w:bookmarkEnd w:id="1"/>
    </w:p>
    <w:p w14:paraId="1FB87F0D">
      <w:pPr>
        <w:rPr>
          <w:rFonts w:hint="eastAsia"/>
          <w:color w:val="auto"/>
        </w:rPr>
      </w:pPr>
    </w:p>
    <w:p w14:paraId="5C197B18">
      <w:pPr>
        <w:rPr>
          <w:rFonts w:hint="eastAsia"/>
          <w:color w:val="auto"/>
        </w:rPr>
      </w:pPr>
    </w:p>
    <w:p w14:paraId="67887234">
      <w:pPr>
        <w:jc w:val="center"/>
        <w:outlineLvl w:val="0"/>
        <w:rPr>
          <w:rFonts w:hint="eastAsia" w:asciiTheme="majorEastAsia" w:hAnsiTheme="majorEastAsia" w:eastAsiaTheme="majorEastAsia" w:cstheme="majorEastAsia"/>
          <w:color w:val="auto"/>
          <w:sz w:val="72"/>
          <w:szCs w:val="72"/>
        </w:rPr>
      </w:pPr>
      <w:bookmarkStart w:id="2" w:name="_Toc30928"/>
      <w:bookmarkStart w:id="3" w:name="_Toc2565"/>
      <w:r>
        <w:rPr>
          <w:rFonts w:hint="eastAsia" w:asciiTheme="majorEastAsia" w:hAnsiTheme="majorEastAsia" w:eastAsiaTheme="majorEastAsia" w:cstheme="majorEastAsia"/>
          <w:color w:val="auto"/>
          <w:sz w:val="72"/>
          <w:szCs w:val="72"/>
        </w:rPr>
        <w:t>竞争性</w:t>
      </w:r>
      <w:r>
        <w:rPr>
          <w:rFonts w:hint="eastAsia" w:asciiTheme="majorEastAsia" w:hAnsiTheme="majorEastAsia" w:eastAsiaTheme="majorEastAsia" w:cstheme="majorEastAsia"/>
          <w:color w:val="auto"/>
          <w:sz w:val="72"/>
          <w:szCs w:val="72"/>
          <w:lang w:eastAsia="zh-CN"/>
        </w:rPr>
        <w:t>磋商</w:t>
      </w:r>
      <w:r>
        <w:rPr>
          <w:rFonts w:hint="eastAsia" w:asciiTheme="majorEastAsia" w:hAnsiTheme="majorEastAsia" w:eastAsiaTheme="majorEastAsia" w:cstheme="majorEastAsia"/>
          <w:color w:val="auto"/>
          <w:sz w:val="72"/>
          <w:szCs w:val="72"/>
        </w:rPr>
        <w:t>文件</w:t>
      </w:r>
      <w:bookmarkEnd w:id="2"/>
      <w:bookmarkEnd w:id="3"/>
    </w:p>
    <w:p w14:paraId="108AD7E5">
      <w:pPr>
        <w:snapToGrid w:val="0"/>
        <w:spacing w:before="120" w:beforeLines="50" w:line="360" w:lineRule="auto"/>
        <w:rPr>
          <w:rFonts w:hint="eastAsia" w:asciiTheme="majorEastAsia" w:hAnsiTheme="majorEastAsia" w:eastAsiaTheme="majorEastAsia" w:cstheme="majorEastAsia"/>
          <w:b/>
          <w:bCs/>
          <w:color w:val="auto"/>
          <w:sz w:val="84"/>
          <w:szCs w:val="84"/>
          <w:highlight w:val="none"/>
        </w:rPr>
      </w:pPr>
      <w:r>
        <w:rPr>
          <w:rFonts w:hint="eastAsia" w:asciiTheme="majorEastAsia" w:hAnsiTheme="majorEastAsia" w:eastAsiaTheme="majorEastAsia" w:cstheme="majorEastAsia"/>
          <w:b/>
          <w:bCs/>
          <w:color w:val="auto"/>
          <w:sz w:val="84"/>
          <w:szCs w:val="84"/>
          <w:highlight w:val="none"/>
        </w:rPr>
        <w:t xml:space="preserve"> </w:t>
      </w:r>
    </w:p>
    <w:p w14:paraId="76305CC2">
      <w:pPr>
        <w:pStyle w:val="34"/>
        <w:rPr>
          <w:rFonts w:hint="eastAsia"/>
          <w:color w:val="auto"/>
        </w:rPr>
      </w:pPr>
    </w:p>
    <w:p w14:paraId="6FA41CBF">
      <w:pPr>
        <w:ind w:left="2876" w:leftChars="608" w:hanging="1600" w:hangingChars="500"/>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rPr>
        <w:t>项目名称</w:t>
      </w:r>
      <w:r>
        <w:rPr>
          <w:rFonts w:hint="eastAsia" w:asciiTheme="majorEastAsia" w:hAnsiTheme="majorEastAsia" w:eastAsiaTheme="majorEastAsia" w:cstheme="majorEastAsia"/>
          <w:b/>
          <w:bCs/>
          <w:color w:val="auto"/>
          <w:sz w:val="32"/>
          <w:szCs w:val="32"/>
          <w:lang w:eastAsia="zh-CN"/>
        </w:rPr>
        <w:t>：</w:t>
      </w:r>
      <w:r>
        <w:rPr>
          <w:rFonts w:hint="eastAsia" w:asciiTheme="majorEastAsia" w:hAnsiTheme="majorEastAsia" w:eastAsiaTheme="majorEastAsia" w:cstheme="majorEastAsia"/>
          <w:b/>
          <w:bCs/>
          <w:color w:val="auto"/>
          <w:sz w:val="32"/>
          <w:szCs w:val="32"/>
          <w:lang w:val="en-US" w:eastAsia="zh-CN"/>
        </w:rPr>
        <w:t>陆川中山纪念建筑群修缮工程</w:t>
      </w:r>
    </w:p>
    <w:p w14:paraId="036A6AC1">
      <w:pPr>
        <w:ind w:firstLine="1280" w:firstLineChars="400"/>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rPr>
        <w:t>项目编号：YLZC2026-C2-220080-GXJH</w:t>
      </w:r>
      <w:r>
        <w:rPr>
          <w:rFonts w:hint="eastAsia" w:asciiTheme="majorEastAsia" w:hAnsiTheme="majorEastAsia" w:eastAsiaTheme="majorEastAsia" w:cstheme="majorEastAsia"/>
          <w:b/>
          <w:bCs/>
          <w:color w:val="auto"/>
          <w:sz w:val="32"/>
          <w:szCs w:val="32"/>
        </w:rPr>
        <w:fldChar w:fldCharType="begin"/>
      </w:r>
      <w:r>
        <w:rPr>
          <w:rFonts w:hint="eastAsia" w:asciiTheme="majorEastAsia" w:hAnsiTheme="majorEastAsia" w:eastAsiaTheme="majorEastAsia" w:cstheme="majorEastAsia"/>
          <w:b/>
          <w:bCs/>
          <w:color w:val="auto"/>
          <w:sz w:val="32"/>
          <w:szCs w:val="32"/>
        </w:rPr>
        <w:instrText xml:space="preserve"> HYPERLINK "https://www.gcy.zfcg.gxzf.gov.cn/gaea/api/project/flow/redirect?projectId=7226756920841338885&amp;newUrl=https://www.gcy.zfcg.gxzf.gov.cn/micro-app-back-index/blank?_flow_type_=agency&amp;_flow_projectId_=7226756920841338885&amp;_jump_page_type_=project_procurement_management_flow&amp;_app_=zcy.procurement&amp;oldUrl=https://www.gcy.zfcg.gxzf.gov.cn/project-center/_procurement_/project-result-detail/7226756920841338885" \t "https://www.gcy.zfcg.gxzf.gov.cn/project-center/_procurement_/self-project/_blank" </w:instrText>
      </w:r>
      <w:r>
        <w:rPr>
          <w:rFonts w:hint="eastAsia" w:asciiTheme="majorEastAsia" w:hAnsiTheme="majorEastAsia" w:eastAsiaTheme="majorEastAsia" w:cstheme="majorEastAsia"/>
          <w:b/>
          <w:bCs/>
          <w:color w:val="auto"/>
          <w:sz w:val="32"/>
          <w:szCs w:val="32"/>
        </w:rPr>
        <w:fldChar w:fldCharType="separate"/>
      </w:r>
      <w:r>
        <w:rPr>
          <w:rFonts w:hint="eastAsia" w:asciiTheme="majorEastAsia" w:hAnsiTheme="majorEastAsia" w:eastAsiaTheme="majorEastAsia" w:cstheme="majorEastAsia"/>
          <w:b/>
          <w:bCs/>
          <w:color w:val="auto"/>
          <w:sz w:val="32"/>
          <w:szCs w:val="32"/>
          <w:lang w:eastAsia="zh-CN"/>
        </w:rPr>
        <w:t xml:space="preserve">   </w:t>
      </w:r>
      <w:r>
        <w:rPr>
          <w:rFonts w:hint="eastAsia" w:asciiTheme="majorEastAsia" w:hAnsiTheme="majorEastAsia" w:eastAsiaTheme="majorEastAsia" w:cstheme="majorEastAsia"/>
          <w:b/>
          <w:bCs/>
          <w:color w:val="auto"/>
          <w:sz w:val="32"/>
          <w:szCs w:val="32"/>
        </w:rPr>
        <w:fldChar w:fldCharType="end"/>
      </w:r>
    </w:p>
    <w:p w14:paraId="4FA6E45C">
      <w:pPr>
        <w:ind w:firstLine="1400" w:firstLineChars="500"/>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rPr>
        <w:t xml:space="preserve">                                                                        </w:t>
      </w:r>
    </w:p>
    <w:p w14:paraId="4E4FB37D">
      <w:pPr>
        <w:rPr>
          <w:rFonts w:hint="eastAsia"/>
          <w:color w:val="auto"/>
          <w:lang w:val="en-US" w:eastAsia="zh-CN"/>
        </w:rPr>
      </w:pPr>
    </w:p>
    <w:p w14:paraId="5A59C582">
      <w:pPr>
        <w:pStyle w:val="35"/>
        <w:rPr>
          <w:rFonts w:hint="eastAsia"/>
          <w:color w:val="auto"/>
          <w:lang w:val="en-US" w:eastAsia="zh-CN"/>
        </w:rPr>
      </w:pPr>
    </w:p>
    <w:p w14:paraId="06BE8216">
      <w:pPr>
        <w:pStyle w:val="35"/>
        <w:ind w:firstLine="1280" w:firstLineChars="400"/>
        <w:rPr>
          <w:rFonts w:hint="eastAsia" w:asciiTheme="majorEastAsia" w:hAnsiTheme="majorEastAsia" w:eastAsiaTheme="majorEastAsia" w:cstheme="majorEastAsia"/>
          <w:b/>
          <w:bCs/>
          <w:color w:val="auto"/>
          <w:kern w:val="0"/>
          <w:sz w:val="32"/>
          <w:szCs w:val="32"/>
          <w:lang w:val="en-US" w:eastAsia="zh-CN" w:bidi="ar-SA"/>
        </w:rPr>
      </w:pPr>
    </w:p>
    <w:p w14:paraId="0E60411D">
      <w:pPr>
        <w:pStyle w:val="35"/>
        <w:ind w:firstLine="1280" w:firstLineChars="400"/>
        <w:rPr>
          <w:rFonts w:hint="default" w:asciiTheme="majorEastAsia" w:hAnsiTheme="majorEastAsia" w:eastAsiaTheme="majorEastAsia" w:cstheme="majorEastAsia"/>
          <w:b/>
          <w:bCs/>
          <w:color w:val="auto"/>
          <w:kern w:val="0"/>
          <w:sz w:val="32"/>
          <w:szCs w:val="32"/>
          <w:lang w:val="en-US" w:eastAsia="zh-CN" w:bidi="ar-SA"/>
        </w:rPr>
      </w:pPr>
      <w:r>
        <w:rPr>
          <w:rFonts w:hint="eastAsia" w:asciiTheme="majorEastAsia" w:hAnsiTheme="majorEastAsia" w:eastAsiaTheme="majorEastAsia" w:cstheme="majorEastAsia"/>
          <w:b/>
          <w:bCs/>
          <w:color w:val="auto"/>
          <w:kern w:val="0"/>
          <w:sz w:val="32"/>
          <w:szCs w:val="32"/>
          <w:lang w:val="en-US" w:eastAsia="zh-CN" w:bidi="ar-SA"/>
        </w:rPr>
        <w:t>采购人：</w:t>
      </w:r>
      <w:r>
        <w:rPr>
          <w:rFonts w:hint="eastAsia" w:asciiTheme="majorEastAsia" w:hAnsiTheme="majorEastAsia" w:eastAsiaTheme="majorEastAsia" w:cstheme="majorEastAsia"/>
          <w:b/>
          <w:bCs/>
          <w:color w:val="auto"/>
          <w:sz w:val="32"/>
          <w:szCs w:val="32"/>
          <w:lang w:eastAsia="zh-CN"/>
        </w:rPr>
        <w:t>陆川县文物事务中心</w:t>
      </w:r>
    </w:p>
    <w:p w14:paraId="39BD1E1F">
      <w:pPr>
        <w:pStyle w:val="36"/>
        <w:rPr>
          <w:rFonts w:hint="eastAsia" w:asciiTheme="majorEastAsia" w:hAnsiTheme="majorEastAsia" w:eastAsiaTheme="majorEastAsia" w:cstheme="majorEastAsia"/>
          <w:b/>
          <w:bCs/>
          <w:color w:val="auto"/>
          <w:kern w:val="0"/>
          <w:sz w:val="32"/>
          <w:szCs w:val="32"/>
          <w:lang w:val="en-US" w:eastAsia="zh-CN" w:bidi="ar-SA"/>
        </w:rPr>
      </w:pPr>
    </w:p>
    <w:p w14:paraId="62EFE1D2">
      <w:pPr>
        <w:ind w:firstLine="1280" w:firstLineChars="400"/>
        <w:rPr>
          <w:rFonts w:hint="eastAsia" w:asciiTheme="majorEastAsia" w:hAnsiTheme="majorEastAsia" w:eastAsiaTheme="majorEastAsia" w:cstheme="majorEastAsia"/>
          <w:b/>
          <w:bCs/>
          <w:color w:val="auto"/>
          <w:kern w:val="0"/>
          <w:sz w:val="32"/>
          <w:szCs w:val="32"/>
          <w:lang w:val="en-US" w:eastAsia="zh-CN" w:bidi="ar-SA"/>
        </w:rPr>
      </w:pPr>
      <w:r>
        <w:rPr>
          <w:rFonts w:hint="eastAsia" w:asciiTheme="majorEastAsia" w:hAnsiTheme="majorEastAsia" w:eastAsiaTheme="majorEastAsia" w:cstheme="majorEastAsia"/>
          <w:b/>
          <w:bCs/>
          <w:color w:val="auto"/>
          <w:kern w:val="0"/>
          <w:sz w:val="32"/>
          <w:szCs w:val="32"/>
          <w:lang w:val="en-US" w:eastAsia="zh-CN" w:bidi="ar-SA"/>
        </w:rPr>
        <w:t>采购代理机构：广西建汇工程咨询有限公司</w:t>
      </w:r>
    </w:p>
    <w:p w14:paraId="71B41F79">
      <w:pPr>
        <w:pStyle w:val="14"/>
        <w:spacing w:before="120" w:after="120" w:line="360" w:lineRule="auto"/>
        <w:ind w:firstLine="3920" w:firstLineChars="1400"/>
        <w:jc w:val="both"/>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lang w:val="en-US" w:eastAsia="zh-CN"/>
        </w:rPr>
        <w:t>2026年4月</w:t>
      </w:r>
    </w:p>
    <w:p w14:paraId="46E4B95E">
      <w:pPr>
        <w:pStyle w:val="14"/>
        <w:spacing w:before="120" w:after="120" w:line="360" w:lineRule="auto"/>
        <w:jc w:val="both"/>
        <w:rPr>
          <w:rFonts w:hint="eastAsia" w:asciiTheme="majorEastAsia" w:hAnsiTheme="majorEastAsia" w:eastAsiaTheme="majorEastAsia" w:cstheme="majorEastAsia"/>
          <w:b/>
          <w:bCs/>
          <w:color w:val="auto"/>
          <w:sz w:val="28"/>
          <w:szCs w:val="28"/>
          <w:lang w:val="en-US" w:eastAsia="zh-CN"/>
        </w:rPr>
        <w:sectPr>
          <w:headerReference r:id="rId4" w:type="first"/>
          <w:footerReference r:id="rId5" w:type="first"/>
          <w:headerReference r:id="rId3" w:type="default"/>
          <w:pgSz w:w="11906" w:h="16838"/>
          <w:pgMar w:top="1440" w:right="1080" w:bottom="1440" w:left="1080" w:header="709" w:footer="709" w:gutter="0"/>
          <w:pgNumType w:fmt="decimal" w:start="1"/>
          <w:cols w:space="720" w:num="1"/>
          <w:titlePg/>
          <w:docGrid w:type="linesAndChars" w:linePitch="312" w:charSpace="0"/>
        </w:sectPr>
      </w:pPr>
    </w:p>
    <w:p w14:paraId="431E34BF">
      <w:pPr>
        <w:pStyle w:val="14"/>
        <w:spacing w:before="120" w:after="120" w:line="360" w:lineRule="auto"/>
        <w:jc w:val="both"/>
        <w:rPr>
          <w:rFonts w:hint="eastAsia" w:asciiTheme="majorEastAsia" w:hAnsiTheme="majorEastAsia" w:eastAsiaTheme="majorEastAsia" w:cstheme="majorEastAsia"/>
          <w:b/>
          <w:color w:val="auto"/>
          <w:sz w:val="44"/>
          <w:szCs w:val="44"/>
          <w:highlight w:val="none"/>
          <w:lang w:val="en-US" w:eastAsia="zh-CN"/>
        </w:rPr>
      </w:pPr>
    </w:p>
    <w:p w14:paraId="242DDD54">
      <w:pPr>
        <w:pStyle w:val="14"/>
        <w:spacing w:before="120" w:after="120" w:line="360" w:lineRule="auto"/>
        <w:ind w:firstLine="440" w:firstLineChars="100"/>
        <w:jc w:val="center"/>
        <w:rPr>
          <w:rFonts w:hint="eastAsia" w:asciiTheme="majorEastAsia" w:hAnsiTheme="majorEastAsia" w:eastAsiaTheme="majorEastAsia" w:cstheme="majorEastAsia"/>
          <w:b/>
          <w:color w:val="auto"/>
          <w:sz w:val="44"/>
          <w:szCs w:val="44"/>
          <w:highlight w:val="none"/>
          <w:lang w:val="en-US" w:eastAsia="zh-CN"/>
        </w:rPr>
      </w:pPr>
      <w:r>
        <w:rPr>
          <w:rFonts w:hint="eastAsia" w:asciiTheme="majorEastAsia" w:hAnsiTheme="majorEastAsia" w:eastAsiaTheme="majorEastAsia" w:cstheme="majorEastAsia"/>
          <w:b/>
          <w:color w:val="auto"/>
          <w:sz w:val="44"/>
          <w:szCs w:val="44"/>
          <w:highlight w:val="none"/>
          <w:lang w:val="en-US" w:eastAsia="zh-CN"/>
        </w:rPr>
        <w:t>目   录</w:t>
      </w:r>
    </w:p>
    <w:p w14:paraId="32F90E99">
      <w:pPr>
        <w:pStyle w:val="5"/>
        <w:rPr>
          <w:rFonts w:hint="eastAsia"/>
          <w:color w:val="auto"/>
          <w:lang w:val="en-US" w:eastAsia="zh-CN"/>
        </w:rPr>
      </w:pPr>
    </w:p>
    <w:sdt>
      <w:sdtPr>
        <w:rPr>
          <w:rFonts w:ascii="宋体" w:hAnsi="宋体" w:eastAsia="宋体" w:cs="Times New Roman"/>
          <w:color w:val="auto"/>
          <w:kern w:val="2"/>
          <w:sz w:val="21"/>
          <w:szCs w:val="24"/>
          <w:lang w:val="en-US" w:eastAsia="zh-CN" w:bidi="ar-SA"/>
        </w:rPr>
        <w:id w:val="147456129"/>
        <w15:color w:val="DBDBDB"/>
        <w:docPartObj>
          <w:docPartGallery w:val="Table of Contents"/>
          <w:docPartUnique/>
        </w:docPartObj>
      </w:sdtPr>
      <w:sdtEndPr>
        <w:rPr>
          <w:rFonts w:hint="eastAsia" w:ascii="Times New Roman" w:hAnsi="Times New Roman" w:eastAsia="宋体" w:cs="Calibri"/>
          <w:color w:val="auto"/>
          <w:kern w:val="2"/>
          <w:sz w:val="36"/>
          <w:szCs w:val="36"/>
          <w:lang w:val="en-US" w:eastAsia="zh-CN" w:bidi="ar-SA"/>
        </w:rPr>
      </w:sdtEndPr>
      <w:sdtContent>
        <w:p w14:paraId="3387877E">
          <w:pPr>
            <w:spacing w:before="0" w:beforeLines="0" w:after="0" w:afterLines="0" w:line="240" w:lineRule="auto"/>
            <w:ind w:left="0" w:leftChars="0" w:right="0" w:rightChars="0" w:firstLine="0" w:firstLineChars="0"/>
            <w:jc w:val="center"/>
            <w:rPr>
              <w:color w:val="auto"/>
            </w:rPr>
          </w:pPr>
        </w:p>
        <w:p w14:paraId="4452A152">
          <w:pPr>
            <w:pStyle w:val="20"/>
            <w:tabs>
              <w:tab w:val="right" w:leader="dot" w:pos="9626"/>
              <w:tab w:val="clear" w:pos="8398"/>
            </w:tabs>
            <w:rPr>
              <w:color w:val="auto"/>
            </w:rPr>
          </w:pPr>
          <w:r>
            <w:rPr>
              <w:rFonts w:hint="eastAsia"/>
              <w:color w:val="auto"/>
              <w:sz w:val="24"/>
              <w:szCs w:val="24"/>
              <w:lang w:val="en-US" w:eastAsia="zh-CN"/>
            </w:rPr>
            <w:fldChar w:fldCharType="begin"/>
          </w:r>
          <w:r>
            <w:rPr>
              <w:rFonts w:hint="eastAsia"/>
              <w:color w:val="auto"/>
              <w:sz w:val="24"/>
              <w:szCs w:val="24"/>
              <w:lang w:val="en-US" w:eastAsia="zh-CN"/>
            </w:rPr>
            <w:instrText xml:space="preserve">TOC \o "1-1" \h \u </w:instrText>
          </w:r>
          <w:r>
            <w:rPr>
              <w:rFonts w:hint="eastAsia"/>
              <w:color w:val="auto"/>
              <w:sz w:val="24"/>
              <w:szCs w:val="24"/>
              <w:lang w:val="en-US" w:eastAsia="zh-CN"/>
            </w:rPr>
            <w:fldChar w:fldCharType="separate"/>
          </w:r>
        </w:p>
        <w:p w14:paraId="793309AD">
          <w:pPr>
            <w:pStyle w:val="20"/>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_Toc12628 </w:instrText>
          </w:r>
          <w:r>
            <w:rPr>
              <w:rFonts w:hint="eastAsia"/>
              <w:color w:val="auto"/>
              <w:szCs w:val="36"/>
              <w:lang w:val="en-US" w:eastAsia="zh-CN"/>
            </w:rPr>
            <w:fldChar w:fldCharType="separate"/>
          </w:r>
          <w:r>
            <w:rPr>
              <w:rFonts w:hint="eastAsia" w:asciiTheme="majorEastAsia" w:hAnsiTheme="majorEastAsia" w:eastAsiaTheme="majorEastAsia" w:cstheme="majorEastAsia"/>
              <w:bCs w:val="0"/>
              <w:color w:val="auto"/>
              <w:kern w:val="2"/>
              <w:szCs w:val="52"/>
              <w:lang w:val="en-US" w:eastAsia="zh-CN" w:bidi="ar-SA"/>
            </w:rPr>
            <w:t>第一章 竞争性磋商公告</w:t>
          </w:r>
          <w:r>
            <w:rPr>
              <w:color w:val="auto"/>
            </w:rPr>
            <w:tab/>
          </w:r>
          <w:r>
            <w:rPr>
              <w:color w:val="auto"/>
            </w:rPr>
            <w:fldChar w:fldCharType="begin"/>
          </w:r>
          <w:r>
            <w:rPr>
              <w:color w:val="auto"/>
            </w:rPr>
            <w:instrText xml:space="preserve"> PAGEREF _Toc12628 \h </w:instrText>
          </w:r>
          <w:r>
            <w:rPr>
              <w:color w:val="auto"/>
            </w:rPr>
            <w:fldChar w:fldCharType="separate"/>
          </w:r>
          <w:r>
            <w:rPr>
              <w:color w:val="auto"/>
            </w:rPr>
            <w:t>3</w:t>
          </w:r>
          <w:r>
            <w:rPr>
              <w:color w:val="auto"/>
            </w:rPr>
            <w:fldChar w:fldCharType="end"/>
          </w:r>
          <w:r>
            <w:rPr>
              <w:rFonts w:hint="eastAsia"/>
              <w:color w:val="auto"/>
              <w:szCs w:val="36"/>
              <w:lang w:val="en-US" w:eastAsia="zh-CN"/>
            </w:rPr>
            <w:fldChar w:fldCharType="end"/>
          </w:r>
        </w:p>
        <w:p w14:paraId="7E1A6216">
          <w:pPr>
            <w:pStyle w:val="20"/>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_Toc2599 </w:instrText>
          </w:r>
          <w:r>
            <w:rPr>
              <w:rFonts w:hint="eastAsia"/>
              <w:color w:val="auto"/>
              <w:szCs w:val="36"/>
              <w:lang w:val="en-US" w:eastAsia="zh-CN"/>
            </w:rPr>
            <w:fldChar w:fldCharType="separate"/>
          </w:r>
          <w:r>
            <w:rPr>
              <w:rFonts w:hint="eastAsia" w:asciiTheme="majorEastAsia" w:hAnsiTheme="majorEastAsia" w:eastAsiaTheme="majorEastAsia" w:cstheme="majorEastAsia"/>
              <w:color w:val="auto"/>
              <w:highlight w:val="none"/>
            </w:rPr>
            <w:t>第二章 供应商须知</w:t>
          </w:r>
          <w:r>
            <w:rPr>
              <w:color w:val="auto"/>
            </w:rPr>
            <w:tab/>
          </w:r>
          <w:r>
            <w:rPr>
              <w:color w:val="auto"/>
            </w:rPr>
            <w:fldChar w:fldCharType="begin"/>
          </w:r>
          <w:r>
            <w:rPr>
              <w:color w:val="auto"/>
            </w:rPr>
            <w:instrText xml:space="preserve"> PAGEREF _Toc2599 \h </w:instrText>
          </w:r>
          <w:r>
            <w:rPr>
              <w:color w:val="auto"/>
            </w:rPr>
            <w:fldChar w:fldCharType="separate"/>
          </w:r>
          <w:r>
            <w:rPr>
              <w:color w:val="auto"/>
            </w:rPr>
            <w:t>7</w:t>
          </w:r>
          <w:r>
            <w:rPr>
              <w:color w:val="auto"/>
            </w:rPr>
            <w:fldChar w:fldCharType="end"/>
          </w:r>
          <w:r>
            <w:rPr>
              <w:rFonts w:hint="eastAsia"/>
              <w:color w:val="auto"/>
              <w:szCs w:val="36"/>
              <w:lang w:val="en-US" w:eastAsia="zh-CN"/>
            </w:rPr>
            <w:fldChar w:fldCharType="end"/>
          </w:r>
        </w:p>
        <w:p w14:paraId="1928009A">
          <w:pPr>
            <w:pStyle w:val="20"/>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_Toc10843 </w:instrText>
          </w:r>
          <w:r>
            <w:rPr>
              <w:rFonts w:hint="eastAsia"/>
              <w:color w:val="auto"/>
              <w:szCs w:val="36"/>
              <w:lang w:val="en-US" w:eastAsia="zh-CN"/>
            </w:rPr>
            <w:fldChar w:fldCharType="separate"/>
          </w:r>
          <w:r>
            <w:rPr>
              <w:rFonts w:hint="eastAsia" w:ascii="宋体" w:hAnsi="宋体"/>
              <w:bCs/>
              <w:color w:val="auto"/>
              <w:szCs w:val="32"/>
              <w:lang w:val="en-US" w:eastAsia="zh-CN"/>
            </w:rPr>
            <w:t>第三章</w:t>
          </w:r>
          <w:r>
            <w:rPr>
              <w:rFonts w:hint="eastAsia"/>
              <w:bCs/>
              <w:color w:val="auto"/>
              <w:szCs w:val="32"/>
              <w:lang w:val="en-US" w:eastAsia="zh-CN"/>
            </w:rPr>
            <w:t xml:space="preserve"> </w:t>
          </w:r>
          <w:r>
            <w:rPr>
              <w:rFonts w:hint="eastAsia" w:ascii="宋体" w:hAnsi="宋体"/>
              <w:bCs/>
              <w:color w:val="auto"/>
              <w:szCs w:val="32"/>
              <w:lang w:val="en-US" w:eastAsia="zh-CN"/>
            </w:rPr>
            <w:t>采购需求</w:t>
          </w:r>
          <w:r>
            <w:rPr>
              <w:color w:val="auto"/>
            </w:rPr>
            <w:tab/>
          </w:r>
          <w:r>
            <w:rPr>
              <w:color w:val="auto"/>
            </w:rPr>
            <w:fldChar w:fldCharType="begin"/>
          </w:r>
          <w:r>
            <w:rPr>
              <w:color w:val="auto"/>
            </w:rPr>
            <w:instrText xml:space="preserve"> PAGEREF _Toc10843 \h </w:instrText>
          </w:r>
          <w:r>
            <w:rPr>
              <w:color w:val="auto"/>
            </w:rPr>
            <w:fldChar w:fldCharType="separate"/>
          </w:r>
          <w:r>
            <w:rPr>
              <w:color w:val="auto"/>
            </w:rPr>
            <w:t>24</w:t>
          </w:r>
          <w:r>
            <w:rPr>
              <w:color w:val="auto"/>
            </w:rPr>
            <w:fldChar w:fldCharType="end"/>
          </w:r>
          <w:r>
            <w:rPr>
              <w:rFonts w:hint="eastAsia"/>
              <w:color w:val="auto"/>
              <w:szCs w:val="36"/>
              <w:lang w:val="en-US" w:eastAsia="zh-CN"/>
            </w:rPr>
            <w:fldChar w:fldCharType="end"/>
          </w:r>
        </w:p>
        <w:p w14:paraId="7867C951">
          <w:pPr>
            <w:pStyle w:val="20"/>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_Toc18051 </w:instrText>
          </w:r>
          <w:r>
            <w:rPr>
              <w:rFonts w:hint="eastAsia"/>
              <w:color w:val="auto"/>
              <w:szCs w:val="36"/>
              <w:lang w:val="en-US" w:eastAsia="zh-CN"/>
            </w:rPr>
            <w:fldChar w:fldCharType="separate"/>
          </w:r>
          <w:r>
            <w:rPr>
              <w:rFonts w:hint="eastAsia" w:ascii="宋体" w:hAnsi="宋体"/>
              <w:bCs/>
              <w:color w:val="auto"/>
              <w:szCs w:val="44"/>
            </w:rPr>
            <w:t>第四章 评审程序、评审方法和评审标准</w:t>
          </w:r>
          <w:r>
            <w:rPr>
              <w:color w:val="auto"/>
            </w:rPr>
            <w:tab/>
          </w:r>
          <w:r>
            <w:rPr>
              <w:color w:val="auto"/>
            </w:rPr>
            <w:fldChar w:fldCharType="begin"/>
          </w:r>
          <w:r>
            <w:rPr>
              <w:color w:val="auto"/>
            </w:rPr>
            <w:instrText xml:space="preserve"> PAGEREF _Toc18051 \h </w:instrText>
          </w:r>
          <w:r>
            <w:rPr>
              <w:color w:val="auto"/>
            </w:rPr>
            <w:fldChar w:fldCharType="separate"/>
          </w:r>
          <w:r>
            <w:rPr>
              <w:color w:val="auto"/>
            </w:rPr>
            <w:t>26</w:t>
          </w:r>
          <w:r>
            <w:rPr>
              <w:color w:val="auto"/>
            </w:rPr>
            <w:fldChar w:fldCharType="end"/>
          </w:r>
          <w:r>
            <w:rPr>
              <w:rFonts w:hint="eastAsia"/>
              <w:color w:val="auto"/>
              <w:szCs w:val="36"/>
              <w:lang w:val="en-US" w:eastAsia="zh-CN"/>
            </w:rPr>
            <w:fldChar w:fldCharType="end"/>
          </w:r>
        </w:p>
        <w:p w14:paraId="239324C6">
          <w:pPr>
            <w:pStyle w:val="20"/>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_Toc19821 </w:instrText>
          </w:r>
          <w:r>
            <w:rPr>
              <w:rFonts w:hint="eastAsia"/>
              <w:color w:val="auto"/>
              <w:szCs w:val="36"/>
              <w:lang w:val="en-US" w:eastAsia="zh-CN"/>
            </w:rPr>
            <w:fldChar w:fldCharType="separate"/>
          </w:r>
          <w:r>
            <w:rPr>
              <w:rFonts w:hint="eastAsia"/>
              <w:color w:val="auto"/>
              <w:szCs w:val="36"/>
              <w:lang w:val="en-US" w:eastAsia="zh-CN"/>
            </w:rPr>
            <w:t>第五章 工程量清单及图纸</w:t>
          </w:r>
          <w:r>
            <w:rPr>
              <w:color w:val="auto"/>
            </w:rPr>
            <w:tab/>
          </w:r>
          <w:r>
            <w:rPr>
              <w:color w:val="auto"/>
            </w:rPr>
            <w:fldChar w:fldCharType="begin"/>
          </w:r>
          <w:r>
            <w:rPr>
              <w:color w:val="auto"/>
            </w:rPr>
            <w:instrText xml:space="preserve"> PAGEREF _Toc19821 \h </w:instrText>
          </w:r>
          <w:r>
            <w:rPr>
              <w:color w:val="auto"/>
            </w:rPr>
            <w:fldChar w:fldCharType="separate"/>
          </w:r>
          <w:r>
            <w:rPr>
              <w:color w:val="auto"/>
            </w:rPr>
            <w:t>39</w:t>
          </w:r>
          <w:r>
            <w:rPr>
              <w:color w:val="auto"/>
            </w:rPr>
            <w:fldChar w:fldCharType="end"/>
          </w:r>
          <w:r>
            <w:rPr>
              <w:rFonts w:hint="eastAsia"/>
              <w:color w:val="auto"/>
              <w:szCs w:val="36"/>
              <w:lang w:val="en-US" w:eastAsia="zh-CN"/>
            </w:rPr>
            <w:fldChar w:fldCharType="end"/>
          </w:r>
        </w:p>
        <w:p w14:paraId="5580D544">
          <w:pPr>
            <w:pStyle w:val="20"/>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_Toc26975 </w:instrText>
          </w:r>
          <w:r>
            <w:rPr>
              <w:rFonts w:hint="eastAsia"/>
              <w:color w:val="auto"/>
              <w:szCs w:val="36"/>
              <w:lang w:val="en-US" w:eastAsia="zh-CN"/>
            </w:rPr>
            <w:fldChar w:fldCharType="separate"/>
          </w:r>
          <w:r>
            <w:rPr>
              <w:rFonts w:hint="eastAsia" w:ascii="宋体" w:hAnsi="宋体" w:eastAsia="宋体" w:cs="Times New Roman"/>
              <w:bCs/>
              <w:color w:val="auto"/>
              <w:szCs w:val="44"/>
            </w:rPr>
            <w:t>第</w:t>
          </w:r>
          <w:r>
            <w:rPr>
              <w:rFonts w:hint="eastAsia" w:ascii="宋体" w:hAnsi="宋体" w:cs="Times New Roman"/>
              <w:bCs/>
              <w:color w:val="auto"/>
              <w:szCs w:val="44"/>
              <w:lang w:val="en-US" w:eastAsia="zh-CN"/>
            </w:rPr>
            <w:t>六</w:t>
          </w:r>
          <w:r>
            <w:rPr>
              <w:rFonts w:hint="eastAsia" w:ascii="宋体" w:hAnsi="宋体" w:eastAsia="宋体" w:cs="Times New Roman"/>
              <w:bCs/>
              <w:color w:val="auto"/>
              <w:szCs w:val="44"/>
            </w:rPr>
            <w:t>章 响应文件格式</w:t>
          </w:r>
          <w:r>
            <w:rPr>
              <w:color w:val="auto"/>
            </w:rPr>
            <w:tab/>
          </w:r>
          <w:r>
            <w:rPr>
              <w:color w:val="auto"/>
            </w:rPr>
            <w:fldChar w:fldCharType="begin"/>
          </w:r>
          <w:r>
            <w:rPr>
              <w:color w:val="auto"/>
            </w:rPr>
            <w:instrText xml:space="preserve"> PAGEREF _Toc26975 \h </w:instrText>
          </w:r>
          <w:r>
            <w:rPr>
              <w:color w:val="auto"/>
            </w:rPr>
            <w:fldChar w:fldCharType="separate"/>
          </w:r>
          <w:r>
            <w:rPr>
              <w:color w:val="auto"/>
            </w:rPr>
            <w:t>40</w:t>
          </w:r>
          <w:r>
            <w:rPr>
              <w:color w:val="auto"/>
            </w:rPr>
            <w:fldChar w:fldCharType="end"/>
          </w:r>
          <w:r>
            <w:rPr>
              <w:rFonts w:hint="eastAsia"/>
              <w:color w:val="auto"/>
              <w:szCs w:val="36"/>
              <w:lang w:val="en-US" w:eastAsia="zh-CN"/>
            </w:rPr>
            <w:fldChar w:fldCharType="end"/>
          </w:r>
        </w:p>
        <w:p w14:paraId="030DE10E">
          <w:pPr>
            <w:pStyle w:val="20"/>
            <w:tabs>
              <w:tab w:val="right" w:leader="dot" w:pos="9626"/>
              <w:tab w:val="clear" w:pos="8398"/>
            </w:tabs>
            <w:rPr>
              <w:color w:val="auto"/>
            </w:rPr>
          </w:pPr>
          <w:r>
            <w:rPr>
              <w:rFonts w:hint="eastAsia"/>
              <w:color w:val="auto"/>
              <w:szCs w:val="36"/>
              <w:lang w:val="en-US" w:eastAsia="zh-CN"/>
            </w:rPr>
            <w:fldChar w:fldCharType="begin"/>
          </w:r>
          <w:r>
            <w:rPr>
              <w:rFonts w:hint="eastAsia"/>
              <w:color w:val="auto"/>
              <w:szCs w:val="36"/>
              <w:lang w:val="en-US" w:eastAsia="zh-CN"/>
            </w:rPr>
            <w:instrText xml:space="preserve"> HYPERLINK \l _Toc26675 </w:instrText>
          </w:r>
          <w:r>
            <w:rPr>
              <w:rFonts w:hint="eastAsia"/>
              <w:color w:val="auto"/>
              <w:szCs w:val="36"/>
              <w:lang w:val="en-US" w:eastAsia="zh-CN"/>
            </w:rPr>
            <w:fldChar w:fldCharType="separate"/>
          </w:r>
          <w:r>
            <w:rPr>
              <w:rFonts w:hint="eastAsia" w:asciiTheme="majorEastAsia" w:hAnsiTheme="majorEastAsia" w:eastAsiaTheme="majorEastAsia" w:cstheme="majorEastAsia"/>
              <w:bCs w:val="0"/>
              <w:color w:val="auto"/>
              <w:kern w:val="2"/>
              <w:szCs w:val="52"/>
              <w:lang w:val="en-US" w:eastAsia="zh-CN" w:bidi="ar-SA"/>
            </w:rPr>
            <w:t>第七章 合同文本</w:t>
          </w:r>
          <w:r>
            <w:rPr>
              <w:color w:val="auto"/>
            </w:rPr>
            <w:tab/>
          </w:r>
          <w:r>
            <w:rPr>
              <w:color w:val="auto"/>
            </w:rPr>
            <w:fldChar w:fldCharType="begin"/>
          </w:r>
          <w:r>
            <w:rPr>
              <w:color w:val="auto"/>
            </w:rPr>
            <w:instrText xml:space="preserve"> PAGEREF _Toc26675 \h </w:instrText>
          </w:r>
          <w:r>
            <w:rPr>
              <w:color w:val="auto"/>
            </w:rPr>
            <w:fldChar w:fldCharType="separate"/>
          </w:r>
          <w:r>
            <w:rPr>
              <w:color w:val="auto"/>
            </w:rPr>
            <w:t>69</w:t>
          </w:r>
          <w:r>
            <w:rPr>
              <w:color w:val="auto"/>
            </w:rPr>
            <w:fldChar w:fldCharType="end"/>
          </w:r>
          <w:r>
            <w:rPr>
              <w:rFonts w:hint="eastAsia"/>
              <w:color w:val="auto"/>
              <w:szCs w:val="36"/>
              <w:lang w:val="en-US" w:eastAsia="zh-CN"/>
            </w:rPr>
            <w:fldChar w:fldCharType="end"/>
          </w:r>
        </w:p>
        <w:p w14:paraId="2E358FA6">
          <w:pPr>
            <w:pStyle w:val="35"/>
            <w:keepNext w:val="0"/>
            <w:keepLines w:val="0"/>
            <w:pageBreakBefore w:val="0"/>
            <w:kinsoku/>
            <w:wordWrap/>
            <w:overflowPunct/>
            <w:topLinePunct w:val="0"/>
            <w:bidi w:val="0"/>
            <w:snapToGrid/>
            <w:spacing w:line="360" w:lineRule="auto"/>
            <w:textAlignment w:val="auto"/>
            <w:rPr>
              <w:rFonts w:hint="eastAsia"/>
              <w:color w:val="auto"/>
              <w:sz w:val="36"/>
              <w:szCs w:val="36"/>
              <w:lang w:val="en-US" w:eastAsia="zh-CN"/>
            </w:rPr>
          </w:pPr>
          <w:r>
            <w:rPr>
              <w:rFonts w:hint="eastAsia"/>
              <w:color w:val="auto"/>
              <w:szCs w:val="36"/>
              <w:lang w:val="en-US" w:eastAsia="zh-CN"/>
            </w:rPr>
            <w:fldChar w:fldCharType="end"/>
          </w:r>
        </w:p>
      </w:sdtContent>
    </w:sdt>
    <w:p w14:paraId="331E0335">
      <w:pPr>
        <w:pStyle w:val="20"/>
        <w:keepNext w:val="0"/>
        <w:keepLines w:val="0"/>
        <w:pageBreakBefore w:val="0"/>
        <w:tabs>
          <w:tab w:val="right" w:leader="dot" w:pos="9638"/>
          <w:tab w:val="clear" w:pos="8398"/>
        </w:tabs>
        <w:kinsoku/>
        <w:wordWrap/>
        <w:overflowPunct/>
        <w:topLinePunct w:val="0"/>
        <w:bidi w:val="0"/>
        <w:snapToGrid/>
        <w:spacing w:line="360" w:lineRule="auto"/>
        <w:ind w:firstLine="321"/>
        <w:textAlignment w:val="auto"/>
        <w:rPr>
          <w:rFonts w:hint="eastAsia" w:asciiTheme="majorEastAsia" w:hAnsiTheme="majorEastAsia" w:eastAsiaTheme="majorEastAsia" w:cstheme="majorEastAsia"/>
          <w:color w:val="auto"/>
          <w:sz w:val="36"/>
          <w:szCs w:val="36"/>
          <w:highlight w:val="none"/>
        </w:rPr>
      </w:pPr>
    </w:p>
    <w:p w14:paraId="22DEF8C8">
      <w:pPr>
        <w:pStyle w:val="14"/>
        <w:ind w:left="411" w:leftChars="196"/>
        <w:rPr>
          <w:rFonts w:hint="eastAsia" w:asciiTheme="majorEastAsia" w:hAnsiTheme="majorEastAsia" w:eastAsiaTheme="majorEastAsia" w:cstheme="majorEastAsia"/>
          <w:color w:val="auto"/>
          <w:sz w:val="32"/>
          <w:highlight w:val="none"/>
        </w:rPr>
      </w:pPr>
    </w:p>
    <w:p w14:paraId="2420264A">
      <w:pPr>
        <w:pStyle w:val="14"/>
        <w:ind w:left="411" w:leftChars="196"/>
        <w:rPr>
          <w:rFonts w:hint="eastAsia" w:asciiTheme="majorEastAsia" w:hAnsiTheme="majorEastAsia" w:eastAsiaTheme="majorEastAsia" w:cstheme="majorEastAsia"/>
          <w:color w:val="auto"/>
          <w:sz w:val="32"/>
          <w:highlight w:val="none"/>
        </w:rPr>
      </w:pPr>
    </w:p>
    <w:p w14:paraId="4E2B96B4">
      <w:pPr>
        <w:pStyle w:val="14"/>
        <w:ind w:left="411" w:leftChars="196"/>
        <w:rPr>
          <w:rFonts w:hint="eastAsia" w:asciiTheme="majorEastAsia" w:hAnsiTheme="majorEastAsia" w:eastAsiaTheme="majorEastAsia" w:cstheme="majorEastAsia"/>
          <w:color w:val="auto"/>
          <w:sz w:val="32"/>
          <w:highlight w:val="none"/>
        </w:rPr>
      </w:pPr>
    </w:p>
    <w:p w14:paraId="19D055D6">
      <w:pPr>
        <w:pStyle w:val="14"/>
        <w:ind w:left="411" w:leftChars="196"/>
        <w:rPr>
          <w:rFonts w:hint="eastAsia" w:asciiTheme="majorEastAsia" w:hAnsiTheme="majorEastAsia" w:eastAsiaTheme="majorEastAsia" w:cstheme="majorEastAsia"/>
          <w:color w:val="auto"/>
          <w:sz w:val="32"/>
          <w:highlight w:val="none"/>
        </w:rPr>
      </w:pPr>
    </w:p>
    <w:p w14:paraId="30B68865">
      <w:pPr>
        <w:tabs>
          <w:tab w:val="center" w:pos="4535"/>
          <w:tab w:val="left" w:pos="6945"/>
        </w:tabs>
        <w:spacing w:line="400" w:lineRule="exact"/>
        <w:jc w:val="left"/>
        <w:rPr>
          <w:rFonts w:hint="eastAsia" w:asciiTheme="majorEastAsia" w:hAnsiTheme="majorEastAsia" w:eastAsiaTheme="majorEastAsia" w:cstheme="majorEastAsia"/>
          <w:color w:val="auto"/>
          <w:sz w:val="36"/>
          <w:szCs w:val="36"/>
          <w:highlight w:val="none"/>
        </w:rPr>
      </w:pPr>
      <w:r>
        <w:rPr>
          <w:rFonts w:hint="eastAsia" w:asciiTheme="majorEastAsia" w:hAnsiTheme="majorEastAsia" w:eastAsiaTheme="majorEastAsia" w:cstheme="majorEastAsia"/>
          <w:color w:val="auto"/>
          <w:sz w:val="36"/>
          <w:szCs w:val="36"/>
          <w:highlight w:val="none"/>
        </w:rPr>
        <w:tab/>
      </w:r>
    </w:p>
    <w:p w14:paraId="5B0244CB">
      <w:pPr>
        <w:pStyle w:val="14"/>
        <w:spacing w:line="500" w:lineRule="exact"/>
        <w:jc w:val="center"/>
        <w:rPr>
          <w:rFonts w:hint="eastAsia" w:asciiTheme="majorEastAsia" w:hAnsiTheme="majorEastAsia" w:eastAsiaTheme="majorEastAsia" w:cstheme="majorEastAsia"/>
          <w:color w:val="auto"/>
          <w:sz w:val="36"/>
          <w:szCs w:val="36"/>
          <w:highlight w:val="none"/>
        </w:rPr>
        <w:sectPr>
          <w:headerReference r:id="rId7" w:type="first"/>
          <w:footerReference r:id="rId9" w:type="first"/>
          <w:headerReference r:id="rId6" w:type="default"/>
          <w:footerReference r:id="rId8" w:type="default"/>
          <w:pgSz w:w="11906" w:h="16838"/>
          <w:pgMar w:top="1134" w:right="1140" w:bottom="1134" w:left="1140" w:header="709" w:footer="709" w:gutter="0"/>
          <w:pgNumType w:fmt="decimal" w:start="2"/>
          <w:cols w:space="720" w:num="1"/>
          <w:titlePg/>
          <w:docGrid w:type="linesAndChars" w:linePitch="312" w:charSpace="0"/>
        </w:sectPr>
      </w:pPr>
    </w:p>
    <w:p w14:paraId="445E8383">
      <w:pPr>
        <w:pStyle w:val="15"/>
        <w:rPr>
          <w:rFonts w:hint="eastAsia"/>
          <w:color w:val="auto"/>
        </w:rPr>
      </w:pPr>
    </w:p>
    <w:p w14:paraId="4636B613">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793FDD38">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469EC6CE">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4E24C6A8">
      <w:pPr>
        <w:pStyle w:val="14"/>
        <w:spacing w:line="500" w:lineRule="exact"/>
        <w:jc w:val="center"/>
        <w:rPr>
          <w:rFonts w:hint="eastAsia" w:asciiTheme="majorEastAsia" w:hAnsiTheme="majorEastAsia" w:eastAsiaTheme="majorEastAsia" w:cstheme="majorEastAsia"/>
          <w:color w:val="auto"/>
          <w:sz w:val="36"/>
          <w:szCs w:val="36"/>
          <w:highlight w:val="none"/>
        </w:rPr>
      </w:pPr>
    </w:p>
    <w:p w14:paraId="2010CA68">
      <w:pPr>
        <w:pStyle w:val="2"/>
        <w:keepLines/>
        <w:spacing w:before="340" w:after="330" w:line="578" w:lineRule="auto"/>
        <w:jc w:val="center"/>
        <w:rPr>
          <w:rFonts w:hint="eastAsia" w:asciiTheme="majorEastAsia" w:hAnsiTheme="majorEastAsia" w:eastAsiaTheme="majorEastAsia" w:cstheme="majorEastAsia"/>
          <w:b/>
          <w:bCs w:val="0"/>
          <w:color w:val="auto"/>
          <w:kern w:val="2"/>
          <w:sz w:val="40"/>
          <w:szCs w:val="52"/>
          <w:lang w:val="en-US" w:eastAsia="zh-CN" w:bidi="ar-SA"/>
        </w:rPr>
      </w:pPr>
      <w:bookmarkStart w:id="4" w:name="_Toc11271"/>
      <w:bookmarkStart w:id="5" w:name="_Toc12628"/>
      <w:r>
        <w:rPr>
          <w:rFonts w:hint="eastAsia" w:asciiTheme="majorEastAsia" w:hAnsiTheme="majorEastAsia" w:eastAsiaTheme="majorEastAsia" w:cstheme="majorEastAsia"/>
          <w:b/>
          <w:bCs w:val="0"/>
          <w:color w:val="auto"/>
          <w:kern w:val="2"/>
          <w:sz w:val="40"/>
          <w:szCs w:val="52"/>
          <w:lang w:val="en-US" w:eastAsia="zh-CN" w:bidi="ar-SA"/>
        </w:rPr>
        <w:t>第一章  竞争性磋商公告</w:t>
      </w:r>
      <w:bookmarkEnd w:id="4"/>
      <w:bookmarkEnd w:id="5"/>
    </w:p>
    <w:p w14:paraId="19F50ACF">
      <w:pPr>
        <w:pStyle w:val="14"/>
        <w:spacing w:line="400" w:lineRule="exact"/>
        <w:jc w:val="center"/>
        <w:rPr>
          <w:rFonts w:hint="eastAsia" w:asciiTheme="majorEastAsia" w:hAnsiTheme="majorEastAsia" w:eastAsiaTheme="majorEastAsia" w:cstheme="majorEastAsia"/>
          <w:b/>
          <w:color w:val="auto"/>
          <w:sz w:val="32"/>
          <w:szCs w:val="32"/>
          <w:highlight w:val="none"/>
        </w:rPr>
      </w:pPr>
    </w:p>
    <w:p w14:paraId="4F7FD9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color w:val="auto"/>
          <w:szCs w:val="21"/>
          <w:highlight w:val="none"/>
          <w:lang w:eastAsia="zh-CN"/>
        </w:rPr>
        <w:br w:type="page"/>
      </w:r>
      <w:r>
        <w:rPr>
          <w:rFonts w:hint="eastAsia" w:asciiTheme="majorEastAsia" w:hAnsiTheme="majorEastAsia" w:eastAsiaTheme="majorEastAsia" w:cstheme="majorEastAsia"/>
          <w:b/>
          <w:bCs/>
          <w:color w:val="auto"/>
          <w:sz w:val="28"/>
          <w:szCs w:val="28"/>
          <w:highlight w:val="none"/>
          <w:lang w:eastAsia="zh-CN"/>
        </w:rPr>
        <w:t>广西建汇工程咨询有限公司</w:t>
      </w:r>
    </w:p>
    <w:p w14:paraId="3387D7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eastAsia="zh-CN"/>
        </w:rPr>
        <w:t>陆川中山纪念建筑群修缮工程</w:t>
      </w:r>
    </w:p>
    <w:p w14:paraId="3E790D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eastAsia="zh-CN"/>
        </w:rPr>
        <w:t>竞争性磋商公告</w:t>
      </w:r>
    </w:p>
    <w:p w14:paraId="52CF6B7F">
      <w:pPr>
        <w:keepNext w:val="0"/>
        <w:keepLines w:val="0"/>
        <w:pageBreakBefore w:val="0"/>
        <w:widowControl w:val="0"/>
        <w:pBdr>
          <w:top w:val="single" w:color="auto" w:sz="4" w:space="1"/>
          <w:left w:val="single" w:color="auto" w:sz="4" w:space="0"/>
          <w:bottom w:val="single" w:color="auto" w:sz="4" w:space="1"/>
          <w:right w:val="single" w:color="auto" w:sz="4" w:space="4"/>
        </w:pBdr>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项目概况</w:t>
      </w:r>
    </w:p>
    <w:p w14:paraId="01337B5C">
      <w:pPr>
        <w:keepNext w:val="0"/>
        <w:keepLines w:val="0"/>
        <w:pageBreakBefore w:val="0"/>
        <w:widowControl w:val="0"/>
        <w:pBdr>
          <w:top w:val="single" w:color="auto" w:sz="4" w:space="1"/>
          <w:left w:val="single" w:color="auto" w:sz="4" w:space="0"/>
          <w:bottom w:val="single" w:color="auto" w:sz="4" w:space="1"/>
          <w:right w:val="single" w:color="auto" w:sz="4" w:space="4"/>
        </w:pBdr>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u w:val="single"/>
          <w:lang w:eastAsia="zh-CN"/>
        </w:rPr>
        <w:t>陆川中山纪念建筑群修缮工程</w:t>
      </w:r>
      <w:r>
        <w:rPr>
          <w:rFonts w:hint="eastAsia" w:asciiTheme="majorEastAsia" w:hAnsiTheme="majorEastAsia" w:eastAsiaTheme="majorEastAsia" w:cstheme="majorEastAsia"/>
          <w:color w:val="auto"/>
          <w:sz w:val="21"/>
          <w:szCs w:val="21"/>
          <w:highlight w:val="none"/>
          <w:u w:val="none"/>
          <w:lang w:eastAsia="zh-CN"/>
        </w:rPr>
        <w:t>采购项目</w:t>
      </w:r>
      <w:r>
        <w:rPr>
          <w:rFonts w:hint="eastAsia" w:asciiTheme="majorEastAsia" w:hAnsiTheme="majorEastAsia" w:eastAsiaTheme="majorEastAsia" w:cstheme="majorEastAsia"/>
          <w:color w:val="auto"/>
          <w:sz w:val="21"/>
          <w:szCs w:val="21"/>
          <w:highlight w:val="none"/>
          <w:u w:val="none"/>
        </w:rPr>
        <w:t>的</w:t>
      </w:r>
      <w:r>
        <w:rPr>
          <w:rFonts w:hint="eastAsia" w:asciiTheme="majorEastAsia" w:hAnsiTheme="majorEastAsia" w:eastAsiaTheme="majorEastAsia" w:cstheme="majorEastAsia"/>
          <w:color w:val="auto"/>
          <w:sz w:val="21"/>
          <w:szCs w:val="21"/>
          <w:highlight w:val="none"/>
        </w:rPr>
        <w:t>潜在供应商应在</w:t>
      </w:r>
      <w:r>
        <w:rPr>
          <w:rFonts w:hint="eastAsia" w:ascii="宋体" w:hAnsi="宋体"/>
          <w:color w:val="auto"/>
          <w:szCs w:val="21"/>
          <w:u w:val="single"/>
        </w:rPr>
        <w:t>广西政府采购云平台（</w:t>
      </w:r>
      <w:r>
        <w:rPr>
          <w:rFonts w:ascii="宋体" w:hAnsi="宋体"/>
          <w:color w:val="auto"/>
          <w:szCs w:val="21"/>
          <w:u w:val="single"/>
        </w:rPr>
        <w:t>https://www.gcy.zfcg.gxzf.gov.cn</w:t>
      </w:r>
      <w:r>
        <w:rPr>
          <w:rFonts w:hint="eastAsia" w:ascii="宋体" w:hAnsi="宋体"/>
          <w:color w:val="auto"/>
          <w:szCs w:val="21"/>
          <w:u w:val="single"/>
          <w:lang w:eastAsia="zh-CN"/>
        </w:rPr>
        <w:t>）</w:t>
      </w:r>
      <w:r>
        <w:rPr>
          <w:rFonts w:hint="eastAsia" w:asciiTheme="majorEastAsia" w:hAnsiTheme="majorEastAsia" w:eastAsiaTheme="majorEastAsia" w:cstheme="majorEastAsia"/>
          <w:color w:val="auto"/>
          <w:sz w:val="21"/>
          <w:szCs w:val="21"/>
          <w:highlight w:val="none"/>
        </w:rPr>
        <w:t>获取竞争性磋商文件，并于</w:t>
      </w:r>
      <w:r>
        <w:rPr>
          <w:rFonts w:hint="eastAsia" w:asciiTheme="majorEastAsia" w:hAnsiTheme="majorEastAsia" w:eastAsiaTheme="majorEastAsia" w:cstheme="majorEastAsia"/>
          <w:color w:val="auto"/>
          <w:sz w:val="21"/>
          <w:szCs w:val="21"/>
          <w:highlight w:val="none"/>
          <w:u w:val="single"/>
        </w:rPr>
        <w:t>202</w:t>
      </w:r>
      <w:r>
        <w:rPr>
          <w:rFonts w:hint="eastAsia" w:asciiTheme="majorEastAsia" w:hAnsiTheme="majorEastAsia" w:eastAsiaTheme="majorEastAsia" w:cstheme="majorEastAsia"/>
          <w:color w:val="auto"/>
          <w:sz w:val="21"/>
          <w:szCs w:val="21"/>
          <w:highlight w:val="none"/>
          <w:u w:val="single"/>
          <w:lang w:val="en-US" w:eastAsia="zh-CN"/>
        </w:rPr>
        <w:t>6</w:t>
      </w:r>
      <w:r>
        <w:rPr>
          <w:rFonts w:hint="eastAsia" w:asciiTheme="majorEastAsia" w:hAnsiTheme="majorEastAsia" w:eastAsiaTheme="majorEastAsia" w:cstheme="majorEastAsia"/>
          <w:color w:val="auto"/>
          <w:sz w:val="21"/>
          <w:szCs w:val="21"/>
          <w:highlight w:val="none"/>
          <w:u w:val="single"/>
        </w:rPr>
        <w:t>年</w:t>
      </w:r>
      <w:r>
        <w:rPr>
          <w:rFonts w:hint="eastAsia" w:asciiTheme="majorEastAsia" w:hAnsiTheme="majorEastAsia" w:eastAsiaTheme="majorEastAsia" w:cstheme="majorEastAsia"/>
          <w:color w:val="auto"/>
          <w:sz w:val="21"/>
          <w:szCs w:val="21"/>
          <w:highlight w:val="none"/>
          <w:u w:val="single"/>
          <w:lang w:val="en-US" w:eastAsia="zh-CN"/>
        </w:rPr>
        <w:t>5</w:t>
      </w:r>
      <w:r>
        <w:rPr>
          <w:rFonts w:hint="eastAsia" w:asciiTheme="majorEastAsia" w:hAnsiTheme="majorEastAsia" w:eastAsiaTheme="majorEastAsia" w:cstheme="majorEastAsia"/>
          <w:color w:val="auto"/>
          <w:sz w:val="21"/>
          <w:szCs w:val="21"/>
          <w:highlight w:val="none"/>
          <w:u w:val="single"/>
        </w:rPr>
        <w:t>月</w:t>
      </w:r>
      <w:r>
        <w:rPr>
          <w:rFonts w:hint="eastAsia" w:asciiTheme="majorEastAsia" w:hAnsiTheme="majorEastAsia" w:eastAsiaTheme="majorEastAsia" w:cstheme="majorEastAsia"/>
          <w:color w:val="auto"/>
          <w:sz w:val="21"/>
          <w:szCs w:val="21"/>
          <w:highlight w:val="none"/>
          <w:u w:val="single"/>
          <w:lang w:val="en-US" w:eastAsia="zh-CN"/>
        </w:rPr>
        <w:t>13</w:t>
      </w:r>
      <w:r>
        <w:rPr>
          <w:rFonts w:hint="eastAsia" w:asciiTheme="majorEastAsia" w:hAnsiTheme="majorEastAsia" w:eastAsiaTheme="majorEastAsia" w:cstheme="majorEastAsia"/>
          <w:color w:val="auto"/>
          <w:sz w:val="21"/>
          <w:szCs w:val="21"/>
          <w:highlight w:val="none"/>
          <w:u w:val="single"/>
        </w:rPr>
        <w:t>日</w:t>
      </w:r>
      <w:r>
        <w:rPr>
          <w:rFonts w:hint="eastAsia" w:asciiTheme="majorEastAsia" w:hAnsiTheme="majorEastAsia" w:eastAsiaTheme="majorEastAsia" w:cstheme="majorEastAsia"/>
          <w:color w:val="auto"/>
          <w:sz w:val="21"/>
          <w:szCs w:val="21"/>
          <w:highlight w:val="none"/>
          <w:u w:val="single"/>
          <w:lang w:val="en-US" w:eastAsia="zh-CN"/>
        </w:rPr>
        <w:t>09</w:t>
      </w:r>
      <w:r>
        <w:rPr>
          <w:rFonts w:hint="eastAsia" w:asciiTheme="majorEastAsia" w:hAnsiTheme="majorEastAsia" w:eastAsiaTheme="majorEastAsia" w:cstheme="majorEastAsia"/>
          <w:color w:val="auto"/>
          <w:sz w:val="21"/>
          <w:szCs w:val="21"/>
          <w:highlight w:val="none"/>
          <w:u w:val="single"/>
        </w:rPr>
        <w:t>时</w:t>
      </w:r>
      <w:r>
        <w:rPr>
          <w:rFonts w:hint="eastAsia" w:asciiTheme="majorEastAsia" w:hAnsiTheme="majorEastAsia" w:eastAsiaTheme="majorEastAsia" w:cstheme="majorEastAsia"/>
          <w:color w:val="auto"/>
          <w:sz w:val="21"/>
          <w:szCs w:val="21"/>
          <w:highlight w:val="none"/>
          <w:u w:val="single"/>
          <w:lang w:val="en-US" w:eastAsia="zh-CN"/>
        </w:rPr>
        <w:t>00</w:t>
      </w:r>
      <w:r>
        <w:rPr>
          <w:rFonts w:hint="eastAsia" w:asciiTheme="majorEastAsia" w:hAnsiTheme="majorEastAsia" w:eastAsiaTheme="majorEastAsia" w:cstheme="majorEastAsia"/>
          <w:color w:val="auto"/>
          <w:sz w:val="21"/>
          <w:szCs w:val="21"/>
          <w:highlight w:val="none"/>
          <w:u w:val="single"/>
        </w:rPr>
        <w:t>分</w:t>
      </w:r>
      <w:r>
        <w:rPr>
          <w:rFonts w:hint="eastAsia" w:asciiTheme="majorEastAsia" w:hAnsiTheme="majorEastAsia" w:eastAsiaTheme="majorEastAsia" w:cstheme="majorEastAsia"/>
          <w:color w:val="auto"/>
          <w:sz w:val="21"/>
          <w:szCs w:val="21"/>
          <w:highlight w:val="none"/>
        </w:rPr>
        <w:t>（北京时间）前提交响应文件。</w:t>
      </w:r>
    </w:p>
    <w:p w14:paraId="35EC6CE0">
      <w:pPr>
        <w:pageBreakBefore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rPr>
      </w:pPr>
      <w:bookmarkStart w:id="6" w:name="_Toc28359012"/>
      <w:bookmarkStart w:id="7" w:name="_Toc28359089"/>
      <w:bookmarkStart w:id="8" w:name="_Toc35393798"/>
      <w:bookmarkStart w:id="9" w:name="_Toc35393629"/>
      <w:r>
        <w:rPr>
          <w:rFonts w:hint="eastAsia" w:asciiTheme="majorEastAsia" w:hAnsiTheme="majorEastAsia" w:eastAsiaTheme="majorEastAsia" w:cstheme="majorEastAsia"/>
          <w:b/>
          <w:color w:val="auto"/>
          <w:sz w:val="24"/>
          <w:szCs w:val="24"/>
          <w:highlight w:val="none"/>
        </w:rPr>
        <w:t>一、项目基本情况</w:t>
      </w:r>
      <w:bookmarkEnd w:id="6"/>
      <w:bookmarkEnd w:id="7"/>
      <w:bookmarkEnd w:id="8"/>
      <w:bookmarkEnd w:id="9"/>
    </w:p>
    <w:p w14:paraId="09B79868">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1.项目编号：YLZC2026-C2-220080-GXJH</w:t>
      </w:r>
      <w:r>
        <w:rPr>
          <w:rFonts w:hint="eastAsia" w:asciiTheme="majorEastAsia" w:hAnsiTheme="majorEastAsia" w:eastAsiaTheme="majorEastAsia" w:cstheme="majorEastAsia"/>
          <w:b w:val="0"/>
          <w:bCs/>
          <w:color w:val="auto"/>
          <w:sz w:val="21"/>
          <w:szCs w:val="21"/>
          <w:highlight w:val="none"/>
          <w:lang w:val="en-US" w:eastAsia="zh-CN"/>
        </w:rPr>
        <w:fldChar w:fldCharType="begin"/>
      </w:r>
      <w:r>
        <w:rPr>
          <w:rFonts w:hint="eastAsia" w:asciiTheme="majorEastAsia" w:hAnsiTheme="majorEastAsia" w:eastAsiaTheme="majorEastAsia" w:cstheme="majorEastAsia"/>
          <w:b w:val="0"/>
          <w:bCs/>
          <w:color w:val="auto"/>
          <w:sz w:val="21"/>
          <w:szCs w:val="21"/>
          <w:highlight w:val="none"/>
          <w:lang w:val="en-US" w:eastAsia="zh-CN"/>
        </w:rPr>
        <w:instrText xml:space="preserve"> HYPERLINK "https://www.gcy.zfcg.gxzf.gov.cn/gaea/api/project/flow/redirect?projectId=7226756920841338885&amp;newUrl=https://www.gcy.zfcg.gxzf.gov.cn/micro-app-back-index/blank?_flow_type_=agency&amp;_flow_projectId_=7226756920841338885&amp;_jump_page_type_=project_procurement_management_flow&amp;_app_=zcy.procurement&amp;oldUrl=https://www.gcy.zfcg.gxzf.gov.cn/project-center/_procurement_/project-result-detail/7226756920841338885" \t "https://www.gcy.zfcg.gxzf.gov.cn/project-center/_procurement_/self-project/_blank" </w:instrText>
      </w:r>
      <w:r>
        <w:rPr>
          <w:rFonts w:hint="eastAsia" w:asciiTheme="majorEastAsia" w:hAnsiTheme="majorEastAsia" w:eastAsiaTheme="majorEastAsia" w:cstheme="majorEastAsia"/>
          <w:b w:val="0"/>
          <w:bCs/>
          <w:color w:val="auto"/>
          <w:sz w:val="21"/>
          <w:szCs w:val="21"/>
          <w:highlight w:val="none"/>
          <w:lang w:val="en-US" w:eastAsia="zh-CN"/>
        </w:rPr>
        <w:fldChar w:fldCharType="separate"/>
      </w:r>
      <w:r>
        <w:rPr>
          <w:rFonts w:hint="eastAsia" w:asciiTheme="majorEastAsia" w:hAnsiTheme="majorEastAsia" w:eastAsiaTheme="majorEastAsia" w:cstheme="majorEastAsia"/>
          <w:b w:val="0"/>
          <w:bCs/>
          <w:color w:val="auto"/>
          <w:sz w:val="21"/>
          <w:szCs w:val="21"/>
          <w:highlight w:val="none"/>
          <w:lang w:val="en-US" w:eastAsia="zh-CN"/>
        </w:rPr>
        <w:t xml:space="preserve">   </w:t>
      </w:r>
      <w:r>
        <w:rPr>
          <w:rFonts w:hint="eastAsia" w:asciiTheme="majorEastAsia" w:hAnsiTheme="majorEastAsia" w:eastAsiaTheme="majorEastAsia" w:cstheme="majorEastAsia"/>
          <w:b w:val="0"/>
          <w:bCs/>
          <w:color w:val="auto"/>
          <w:sz w:val="21"/>
          <w:szCs w:val="21"/>
          <w:highlight w:val="none"/>
          <w:lang w:val="en-US" w:eastAsia="zh-CN"/>
        </w:rPr>
        <w:fldChar w:fldCharType="end"/>
      </w:r>
    </w:p>
    <w:p w14:paraId="73E3D614">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2.项目名称：陆川中山纪念建筑群修缮工程</w:t>
      </w:r>
    </w:p>
    <w:p w14:paraId="686340FD">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3.采购方式：竞争性磋商</w:t>
      </w:r>
    </w:p>
    <w:p w14:paraId="08E83DCE">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default"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4.预算金额（元）：1153760.13</w:t>
      </w:r>
    </w:p>
    <w:p w14:paraId="2BE389E0">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default" w:asciiTheme="majorEastAsia" w:hAnsiTheme="majorEastAsia" w:eastAsiaTheme="majorEastAsia" w:cstheme="majorEastAsia"/>
          <w:b w:val="0"/>
          <w:bCs/>
          <w:color w:val="auto"/>
          <w:sz w:val="21"/>
          <w:szCs w:val="21"/>
          <w:highlight w:val="none"/>
          <w:lang w:val="en-US" w:eastAsia="zh-CN"/>
        </w:rPr>
      </w:pPr>
      <w:r>
        <w:rPr>
          <w:rFonts w:hint="eastAsia" w:asciiTheme="majorEastAsia" w:hAnsiTheme="majorEastAsia" w:eastAsiaTheme="majorEastAsia" w:cstheme="majorEastAsia"/>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最高限价：</w:t>
      </w:r>
      <w:r>
        <w:rPr>
          <w:rFonts w:hint="eastAsia" w:ascii="宋体" w:hAnsi="宋体" w:cs="宋体"/>
          <w:b w:val="0"/>
          <w:bCs/>
          <w:color w:val="auto"/>
          <w:sz w:val="21"/>
          <w:szCs w:val="21"/>
          <w:highlight w:val="none"/>
          <w:lang w:val="en-US" w:eastAsia="zh-CN"/>
        </w:rPr>
        <w:t>/</w:t>
      </w:r>
    </w:p>
    <w:p w14:paraId="328567BF">
      <w:pPr>
        <w:keepNext w:val="0"/>
        <w:keepLines w:val="0"/>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rPr>
      </w:pP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rPr>
        <w:t>采购需求：</w:t>
      </w:r>
    </w:p>
    <w:p w14:paraId="5ABAC2A9">
      <w:pPr>
        <w:keepNext w:val="0"/>
        <w:keepLines w:val="0"/>
        <w:pageBreakBefore w:val="0"/>
        <w:kinsoku/>
        <w:wordWrap/>
        <w:overflowPunct/>
        <w:topLinePunct w:val="0"/>
        <w:autoSpaceDE/>
        <w:autoSpaceDN/>
        <w:bidi w:val="0"/>
        <w:adjustRightInd/>
        <w:snapToGrid/>
        <w:spacing w:line="420" w:lineRule="exact"/>
        <w:ind w:left="0" w:firstLine="420" w:firstLineChars="200"/>
        <w:textAlignment w:val="auto"/>
        <w:rPr>
          <w:rFonts w:hint="eastAsia" w:ascii="宋体" w:hAnsi="宋体"/>
          <w:color w:val="auto"/>
          <w:szCs w:val="21"/>
          <w:highlight w:val="none"/>
          <w:lang w:eastAsia="zh-CN"/>
        </w:rPr>
      </w:pPr>
      <w:bookmarkStart w:id="10" w:name="_Toc28359090"/>
      <w:bookmarkStart w:id="11" w:name="_Toc35393630"/>
      <w:bookmarkStart w:id="12" w:name="_Toc28359013"/>
      <w:bookmarkStart w:id="13" w:name="_Toc35393799"/>
      <w:r>
        <w:rPr>
          <w:rFonts w:hint="eastAsia" w:ascii="宋体" w:hAnsi="宋体"/>
          <w:color w:val="auto"/>
          <w:szCs w:val="21"/>
          <w:highlight w:val="none"/>
        </w:rPr>
        <w:t>标项名称：</w:t>
      </w:r>
      <w:r>
        <w:rPr>
          <w:rFonts w:hint="eastAsia" w:ascii="宋体" w:hAnsi="宋体"/>
          <w:color w:val="auto"/>
          <w:szCs w:val="21"/>
          <w:highlight w:val="none"/>
          <w:lang w:val="en-US" w:eastAsia="zh-CN"/>
        </w:rPr>
        <w:t>陆川中山纪念建筑群修缮工程</w:t>
      </w:r>
    </w:p>
    <w:p w14:paraId="75F34564">
      <w:pPr>
        <w:pStyle w:val="34"/>
        <w:keepNext w:val="0"/>
        <w:keepLines w:val="0"/>
        <w:pageBreakBefore w:val="0"/>
        <w:kinsoku/>
        <w:wordWrap/>
        <w:overflowPunct/>
        <w:topLinePunct w:val="0"/>
        <w:autoSpaceDE/>
        <w:autoSpaceDN/>
        <w:bidi w:val="0"/>
        <w:adjustRightInd/>
        <w:snapToGrid/>
        <w:spacing w:before="0" w:after="0" w:line="420" w:lineRule="exact"/>
        <w:ind w:left="0"/>
        <w:textAlignment w:val="auto"/>
        <w:rPr>
          <w:rFonts w:hint="default"/>
          <w:color w:val="auto"/>
          <w:lang w:val="en-US" w:eastAsia="zh-CN"/>
        </w:rPr>
      </w:pPr>
      <w:r>
        <w:rPr>
          <w:rFonts w:hint="eastAsia" w:ascii="宋体" w:hAnsi="宋体"/>
          <w:color w:val="auto"/>
          <w:szCs w:val="21"/>
          <w:highlight w:val="none"/>
          <w:lang w:val="en-US" w:eastAsia="zh-CN"/>
        </w:rPr>
        <w:t xml:space="preserve">   </w:t>
      </w:r>
      <w:r>
        <w:rPr>
          <w:rFonts w:hint="eastAsia" w:ascii="宋体" w:hAnsi="宋体" w:eastAsia="宋体" w:cs="Times New Roman"/>
          <w:bCs w:val="0"/>
          <w:color w:val="auto"/>
          <w:spacing w:val="0"/>
          <w:kern w:val="2"/>
          <w:sz w:val="21"/>
          <w:szCs w:val="21"/>
          <w:highlight w:val="none"/>
          <w:lang w:val="en-US" w:eastAsia="zh-CN" w:bidi="ar-SA"/>
        </w:rPr>
        <w:t>数量：1</w:t>
      </w:r>
    </w:p>
    <w:p w14:paraId="00378CAA">
      <w:pPr>
        <w:keepNext w:val="0"/>
        <w:keepLines w:val="0"/>
        <w:pageBreakBefore w:val="0"/>
        <w:kinsoku/>
        <w:wordWrap/>
        <w:overflowPunct/>
        <w:topLinePunct w:val="0"/>
        <w:autoSpaceDE/>
        <w:autoSpaceDN/>
        <w:bidi w:val="0"/>
        <w:adjustRightInd/>
        <w:snapToGrid/>
        <w:spacing w:line="420" w:lineRule="exact"/>
        <w:ind w:left="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预算金额（元）：</w:t>
      </w:r>
      <w:r>
        <w:rPr>
          <w:rFonts w:hint="eastAsia" w:asciiTheme="majorEastAsia" w:hAnsiTheme="majorEastAsia" w:eastAsiaTheme="majorEastAsia" w:cstheme="majorEastAsia"/>
          <w:b w:val="0"/>
          <w:bCs/>
          <w:color w:val="auto"/>
          <w:sz w:val="21"/>
          <w:szCs w:val="21"/>
          <w:highlight w:val="none"/>
          <w:lang w:val="en-US" w:eastAsia="zh-CN"/>
        </w:rPr>
        <w:t>1153760.13</w:t>
      </w:r>
    </w:p>
    <w:p w14:paraId="406DE76E">
      <w:pPr>
        <w:keepNext w:val="0"/>
        <w:keepLines w:val="0"/>
        <w:pageBreakBefore w:val="0"/>
        <w:kinsoku/>
        <w:wordWrap/>
        <w:overflowPunct/>
        <w:topLinePunct w:val="0"/>
        <w:autoSpaceDE/>
        <w:autoSpaceDN/>
        <w:bidi w:val="0"/>
        <w:adjustRightInd/>
        <w:snapToGrid/>
        <w:spacing w:line="420" w:lineRule="exact"/>
        <w:ind w:left="0" w:firstLine="420" w:firstLineChars="200"/>
        <w:textAlignment w:val="auto"/>
        <w:rPr>
          <w:rFonts w:hint="eastAsia" w:ascii="宋体" w:hAnsi="宋体"/>
          <w:color w:val="auto"/>
          <w:szCs w:val="21"/>
          <w:highlight w:val="none"/>
          <w:lang w:val="en-US" w:eastAsia="zh-CN"/>
        </w:rPr>
      </w:pPr>
      <w:r>
        <w:rPr>
          <w:rFonts w:hint="eastAsia" w:ascii="宋体" w:hAnsi="宋体"/>
          <w:color w:val="auto"/>
          <w:sz w:val="21"/>
          <w:szCs w:val="21"/>
          <w:highlight w:val="none"/>
        </w:rPr>
        <w:t>简要规格描述或项目基本概况介绍、用途</w:t>
      </w:r>
      <w:r>
        <w:rPr>
          <w:rFonts w:hint="eastAsia" w:ascii="宋体" w:hAnsi="宋体"/>
          <w:color w:val="auto"/>
          <w:szCs w:val="21"/>
          <w:highlight w:val="none"/>
          <w:lang w:val="en-US" w:eastAsia="zh-CN"/>
        </w:rPr>
        <w:t xml:space="preserve">：中山纪念亭建筑群位于玉林市陆川县中山公园内，总占地面积约1583 平方米，是1936年陆川县各方人士为纪念我国伟大的革命先行者孙中山先生而自捐资金建造，是玉林市唯一的纪念孙中山先生的纪念性建筑。建筑群包括纪念亭、附亭、艺文学舫（船厅）、超然亭及双十门组成。中山纪念亭是一座灰裹垄筒瓦庑殿顶戏台式亭子，建筑座东朝西，平面呈长方形布置，南、 </w:t>
      </w:r>
    </w:p>
    <w:p w14:paraId="2CE3DDC4">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北、西三面敞开，台面上方额题“中山纪念亭”，后壁两侧设券拱门，门额各题“和平”、“博爱”。附亭为一堡垒式四角攒尖顶亭子，在堡垒顶端由四根柱子支起。艺文学舫状似画舫，为歇山顶、灰沙脊、小青瓦合瓦屋面、砖木结构，建筑座西朝东，正面为三开间廊柱门，明间屋面稍高，突显中轴为主入口，券柱式门洞，上方额题“艺文学舫”。侧面面宽六间，第五进为两层，其余均为一层，东西两侧设檐廊，廊柱上饰对联。超然亭为八角攒尖顶亭子。双十门为砖砌四柱三开间纪念牌坊，两次间为柱枋“十”字结构，象征10月10日辛亥革命武昌起义纪念日，明间入口额题“双十门”，牌坊上方为三个三角形山花，中间山花饰国民党党徽。建筑群是为了纪念孙中山领导的辛亥革命武昌起义成功推翻了清政府，建立中华民国的丰功伟绩。本次维修内容为：陆川中山纪念建筑群建筑本体，工程规模：总占地面积约350.74平方米；总建筑面积:360.57平方米。具体详见工程量清单及图纸。</w:t>
      </w:r>
    </w:p>
    <w:p w14:paraId="3C2A84BA">
      <w:pPr>
        <w:keepNext w:val="0"/>
        <w:keepLines w:val="0"/>
        <w:pageBreakBefore w:val="0"/>
        <w:kinsoku/>
        <w:wordWrap/>
        <w:overflowPunct/>
        <w:topLinePunct w:val="0"/>
        <w:autoSpaceDE/>
        <w:autoSpaceDN/>
        <w:bidi w:val="0"/>
        <w:adjustRightInd/>
        <w:snapToGrid/>
        <w:spacing w:line="420" w:lineRule="exact"/>
        <w:ind w:left="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最高限价</w:t>
      </w:r>
      <w:r>
        <w:rPr>
          <w:rFonts w:hint="eastAsia" w:ascii="宋体" w:hAnsi="宋体"/>
          <w:color w:val="auto"/>
          <w:szCs w:val="21"/>
          <w:highlight w:val="none"/>
          <w:lang w:eastAsia="zh-CN"/>
        </w:rPr>
        <w:t>（</w:t>
      </w:r>
      <w:r>
        <w:rPr>
          <w:rFonts w:hint="eastAsia" w:ascii="宋体" w:hAnsi="宋体"/>
          <w:color w:val="auto"/>
          <w:szCs w:val="21"/>
          <w:highlight w:val="none"/>
        </w:rPr>
        <w:t>如有</w:t>
      </w:r>
      <w:r>
        <w:rPr>
          <w:rFonts w:hint="eastAsia" w:ascii="宋体" w:hAnsi="宋体"/>
          <w:color w:val="auto"/>
          <w:szCs w:val="21"/>
          <w:highlight w:val="none"/>
          <w:lang w:eastAsia="zh-CN"/>
        </w:rPr>
        <w:t>）</w:t>
      </w:r>
      <w:r>
        <w:rPr>
          <w:rFonts w:hint="eastAsia" w:ascii="宋体" w:hAnsi="宋体"/>
          <w:color w:val="auto"/>
          <w:szCs w:val="21"/>
          <w:highlight w:val="none"/>
        </w:rPr>
        <w:t>：/</w:t>
      </w:r>
    </w:p>
    <w:p w14:paraId="69650D28">
      <w:pPr>
        <w:keepNext w:val="0"/>
        <w:keepLines w:val="0"/>
        <w:pageBreakBefore w:val="0"/>
        <w:kinsoku/>
        <w:wordWrap/>
        <w:overflowPunct/>
        <w:topLinePunct w:val="0"/>
        <w:autoSpaceDE/>
        <w:autoSpaceDN/>
        <w:bidi w:val="0"/>
        <w:adjustRightInd/>
        <w:snapToGrid/>
        <w:spacing w:line="420" w:lineRule="exact"/>
        <w:ind w:left="0" w:firstLine="420" w:firstLineChars="200"/>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合同履行期限：</w:t>
      </w:r>
      <w:r>
        <w:rPr>
          <w:rFonts w:hint="eastAsia" w:ascii="宋体" w:hAnsi="宋体"/>
          <w:color w:val="auto"/>
          <w:szCs w:val="21"/>
          <w:highlight w:val="none"/>
          <w:lang w:val="en-US" w:eastAsia="zh-CN"/>
        </w:rPr>
        <w:t>210日历天</w:t>
      </w:r>
    </w:p>
    <w:p w14:paraId="6D665A4F">
      <w:pPr>
        <w:keepNext w:val="0"/>
        <w:keepLines w:val="0"/>
        <w:pageBreakBefore w:val="0"/>
        <w:kinsoku/>
        <w:wordWrap/>
        <w:overflowPunct/>
        <w:topLinePunct w:val="0"/>
        <w:autoSpaceDE/>
        <w:autoSpaceDN/>
        <w:bidi w:val="0"/>
        <w:adjustRightInd/>
        <w:snapToGrid/>
        <w:spacing w:line="420" w:lineRule="exact"/>
        <w:ind w:left="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本标项（否）接受联合体投标。</w:t>
      </w:r>
    </w:p>
    <w:p w14:paraId="6DE7B680">
      <w:pPr>
        <w:keepNext w:val="0"/>
        <w:keepLines w:val="0"/>
        <w:pageBreakBefore w:val="0"/>
        <w:kinsoku/>
        <w:wordWrap/>
        <w:overflowPunct/>
        <w:topLinePunct w:val="0"/>
        <w:autoSpaceDE/>
        <w:autoSpaceDN/>
        <w:bidi w:val="0"/>
        <w:adjustRightInd/>
        <w:snapToGrid/>
        <w:spacing w:line="420" w:lineRule="exact"/>
        <w:ind w:left="0"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备注：/</w:t>
      </w:r>
    </w:p>
    <w:p w14:paraId="364EB3C5">
      <w:pPr>
        <w:keepNext w:val="0"/>
        <w:keepLines w:val="0"/>
        <w:pageBreakBefore w:val="0"/>
        <w:widowControl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r>
        <w:rPr>
          <w:rFonts w:hint="eastAsia" w:asciiTheme="majorEastAsia" w:hAnsiTheme="majorEastAsia" w:eastAsiaTheme="majorEastAsia" w:cstheme="majorEastAsia"/>
          <w:b/>
          <w:color w:val="auto"/>
          <w:sz w:val="24"/>
          <w:szCs w:val="24"/>
          <w:highlight w:val="none"/>
          <w:lang w:eastAsia="zh-CN"/>
        </w:rPr>
        <w:t>二</w:t>
      </w:r>
      <w:r>
        <w:rPr>
          <w:rFonts w:hint="eastAsia" w:asciiTheme="majorEastAsia" w:hAnsiTheme="majorEastAsia" w:eastAsiaTheme="majorEastAsia" w:cstheme="majorEastAsia"/>
          <w:b/>
          <w:color w:val="auto"/>
          <w:sz w:val="24"/>
          <w:szCs w:val="24"/>
          <w:highlight w:val="none"/>
        </w:rPr>
        <w:t>、</w:t>
      </w:r>
      <w:bookmarkEnd w:id="10"/>
      <w:bookmarkEnd w:id="11"/>
      <w:bookmarkEnd w:id="12"/>
      <w:bookmarkEnd w:id="13"/>
      <w:r>
        <w:rPr>
          <w:rFonts w:hint="eastAsia" w:asciiTheme="majorEastAsia" w:hAnsiTheme="majorEastAsia" w:eastAsiaTheme="majorEastAsia" w:cstheme="majorEastAsia"/>
          <w:b/>
          <w:color w:val="auto"/>
          <w:sz w:val="24"/>
          <w:szCs w:val="24"/>
          <w:highlight w:val="none"/>
        </w:rPr>
        <w:t>申请人的资格要求</w:t>
      </w:r>
      <w:r>
        <w:rPr>
          <w:rFonts w:hint="eastAsia" w:asciiTheme="majorEastAsia" w:hAnsiTheme="majorEastAsia" w:eastAsiaTheme="majorEastAsia" w:cstheme="majorEastAsia"/>
          <w:b/>
          <w:color w:val="auto"/>
          <w:sz w:val="24"/>
          <w:szCs w:val="24"/>
          <w:highlight w:val="none"/>
          <w:lang w:eastAsia="zh-CN"/>
        </w:rPr>
        <w:t>：</w:t>
      </w:r>
    </w:p>
    <w:p w14:paraId="0D224EB0">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highlight w:val="none"/>
        </w:rPr>
      </w:pPr>
      <w:bookmarkStart w:id="14" w:name="_Toc28359014"/>
      <w:bookmarkStart w:id="15" w:name="_Toc35393631"/>
      <w:bookmarkStart w:id="16" w:name="_Toc28359091"/>
      <w:bookmarkStart w:id="17" w:name="_Toc35393800"/>
      <w:r>
        <w:rPr>
          <w:rFonts w:hint="eastAsia" w:ascii="宋体" w:hAnsi="宋体" w:eastAsia="宋体" w:cs="宋体"/>
          <w:color w:val="auto"/>
          <w:sz w:val="21"/>
          <w:szCs w:val="21"/>
          <w:highlight w:val="none"/>
        </w:rPr>
        <w:t>1.满足《中华人民共和国政府采购法》第二十二条规定；</w:t>
      </w:r>
    </w:p>
    <w:p w14:paraId="1DC72B48">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2.落实政府采购政策需满足的资格要求：</w:t>
      </w:r>
      <w:r>
        <w:rPr>
          <w:rFonts w:hint="eastAsia" w:ascii="宋体" w:hAnsi="宋体" w:eastAsia="宋体" w:cs="宋体"/>
          <w:color w:val="auto"/>
          <w:sz w:val="21"/>
          <w:szCs w:val="21"/>
          <w:highlight w:val="none"/>
          <w:lang w:val="en-US" w:eastAsia="zh-CN"/>
        </w:rPr>
        <w:t>本项目属于专门面向中小企业采购的项目，供应商应为中小微企业或者监狱企业或者残疾人福利性单位</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 </w:t>
      </w:r>
    </w:p>
    <w:p w14:paraId="782DD7E3">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本项目的特定资格要求：</w:t>
      </w:r>
    </w:p>
    <w:p w14:paraId="75D6287C">
      <w:pPr>
        <w:pageBreakBefore w:val="0"/>
        <w:kinsoku/>
        <w:overflowPunct/>
        <w:topLinePunct w:val="0"/>
        <w:autoSpaceDE/>
        <w:autoSpaceDN/>
        <w:bidi w:val="0"/>
        <w:adjustRightInd/>
        <w:snapToGrid/>
        <w:spacing w:line="42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（1）供应商须具备文物保护工程施工二级及以上资质（业务范围包含近现代重要史迹及代表性建筑）</w:t>
      </w:r>
      <w:r>
        <w:rPr>
          <w:rFonts w:hint="eastAsia"/>
          <w:color w:val="auto"/>
          <w:highlight w:val="none"/>
        </w:rPr>
        <w:t>，具备有效的安全生产许可证。</w:t>
      </w:r>
    </w:p>
    <w:p w14:paraId="3B3E61AA">
      <w:pPr>
        <w:keepNext w:val="0"/>
        <w:keepLines w:val="0"/>
        <w:pageBreakBefore w:val="0"/>
        <w:widowControl/>
        <w:suppressLineNumbers w:val="0"/>
        <w:kinsoku/>
        <w:overflowPunct/>
        <w:topLinePunct w:val="0"/>
        <w:autoSpaceDE/>
        <w:autoSpaceDN/>
        <w:bidi w:val="0"/>
        <w:adjustRightInd/>
        <w:snapToGrid/>
        <w:spacing w:line="420" w:lineRule="exact"/>
        <w:ind w:firstLine="420" w:firstLineChars="200"/>
        <w:jc w:val="left"/>
        <w:textAlignment w:val="auto"/>
        <w:rPr>
          <w:rFonts w:cs="宋体"/>
          <w:color w:val="auto"/>
          <w:highlight w:val="none"/>
        </w:rPr>
      </w:pPr>
      <w:r>
        <w:rPr>
          <w:rFonts w:hint="eastAsia" w:ascii="宋体" w:hAnsi="宋体"/>
          <w:color w:val="auto"/>
          <w:szCs w:val="21"/>
          <w:highlight w:val="none"/>
        </w:rPr>
        <w:t>（2）供应商拟派的项目经理</w:t>
      </w:r>
      <w:r>
        <w:rPr>
          <w:rStyle w:val="32"/>
          <w:rFonts w:hint="eastAsia"/>
          <w:color w:val="auto"/>
          <w:highlight w:val="none"/>
        </w:rPr>
        <w:t>须具有</w:t>
      </w:r>
      <w:r>
        <w:rPr>
          <w:rFonts w:hint="eastAsia"/>
          <w:color w:val="auto"/>
          <w:highlight w:val="none"/>
        </w:rPr>
        <w:t>文物保护工程责任工程师资格证书</w:t>
      </w:r>
      <w:r>
        <w:rPr>
          <w:rFonts w:hint="eastAsia"/>
          <w:color w:val="auto"/>
          <w:highlight w:val="none"/>
          <w:lang w:eastAsia="zh-CN"/>
        </w:rPr>
        <w:t>，</w:t>
      </w:r>
      <w:r>
        <w:rPr>
          <w:rFonts w:hint="eastAsia" w:ascii="宋体" w:hAnsi="宋体" w:eastAsia="宋体" w:cs="宋体"/>
          <w:color w:val="000000"/>
          <w:kern w:val="0"/>
          <w:sz w:val="21"/>
          <w:szCs w:val="21"/>
          <w:lang w:val="en-US" w:eastAsia="zh-CN" w:bidi="ar"/>
        </w:rPr>
        <w:t>且同时具备有中级（含）以上职称。</w:t>
      </w:r>
      <w:r>
        <w:rPr>
          <w:rFonts w:hint="eastAsia"/>
          <w:color w:val="auto"/>
          <w:highlight w:val="none"/>
        </w:rPr>
        <w:t>本项目不接受有在建、已中标（成交）未开工或已列为其他项目中标候选人第一名的责任工程师作为项目经理。</w:t>
      </w:r>
    </w:p>
    <w:p w14:paraId="68FA8DE1">
      <w:pPr>
        <w:pageBreakBefore w:val="0"/>
        <w:kinsoku/>
        <w:wordWrap w:val="0"/>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olor w:val="auto"/>
          <w:szCs w:val="21"/>
          <w:highlight w:val="none"/>
        </w:rPr>
        <w:t>（3）</w:t>
      </w:r>
      <w:r>
        <w:rPr>
          <w:rFonts w:hint="eastAsia" w:cs="宋体"/>
          <w:color w:val="auto"/>
          <w:highlight w:val="none"/>
        </w:rPr>
        <w:t>拟派</w:t>
      </w:r>
      <w:r>
        <w:rPr>
          <w:rFonts w:hint="eastAsia" w:cs="Tahoma"/>
          <w:color w:val="auto"/>
          <w:szCs w:val="21"/>
          <w:highlight w:val="none"/>
        </w:rPr>
        <w:t>专职安全生产管理人员须具备有效的安全生产考核合格证</w:t>
      </w:r>
      <w:r>
        <w:rPr>
          <w:rFonts w:hint="eastAsia" w:ascii="宋体" w:hAnsi="宋体" w:eastAsia="宋体" w:cs="宋体"/>
          <w:color w:val="auto"/>
          <w:szCs w:val="21"/>
          <w:highlight w:val="none"/>
        </w:rPr>
        <w:t>书（C类）</w:t>
      </w:r>
      <w:r>
        <w:rPr>
          <w:rFonts w:hint="eastAsia" w:cs="Tahoma"/>
          <w:color w:val="auto"/>
          <w:szCs w:val="21"/>
          <w:highlight w:val="none"/>
        </w:rPr>
        <w:t>，且不少</w:t>
      </w:r>
      <w:r>
        <w:rPr>
          <w:rFonts w:hint="eastAsia" w:ascii="宋体" w:hAnsi="宋体" w:eastAsia="宋体" w:cs="宋体"/>
          <w:color w:val="auto"/>
          <w:szCs w:val="21"/>
          <w:highlight w:val="none"/>
        </w:rPr>
        <w:t>于1人</w:t>
      </w:r>
      <w:r>
        <w:rPr>
          <w:rFonts w:hint="eastAsia" w:cs="Tahoma"/>
          <w:color w:val="auto"/>
          <w:szCs w:val="21"/>
          <w:highlight w:val="none"/>
        </w:rPr>
        <w:t>。</w:t>
      </w:r>
    </w:p>
    <w:p w14:paraId="317319A8">
      <w:pPr>
        <w:pageBreakBefore w:val="0"/>
        <w:tabs>
          <w:tab w:val="left" w:pos="284"/>
        </w:tabs>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r>
        <w:rPr>
          <w:rFonts w:hint="eastAsia" w:asciiTheme="majorEastAsia" w:hAnsiTheme="majorEastAsia" w:eastAsiaTheme="majorEastAsia" w:cstheme="majorEastAsia"/>
          <w:b/>
          <w:color w:val="auto"/>
          <w:sz w:val="24"/>
          <w:szCs w:val="24"/>
          <w:highlight w:val="none"/>
          <w:lang w:eastAsia="zh-CN"/>
        </w:rPr>
        <w:t>三、获取采购文件</w:t>
      </w:r>
      <w:bookmarkEnd w:id="14"/>
      <w:bookmarkEnd w:id="15"/>
      <w:bookmarkEnd w:id="16"/>
      <w:bookmarkEnd w:id="17"/>
      <w:r>
        <w:rPr>
          <w:rFonts w:hint="eastAsia" w:asciiTheme="majorEastAsia" w:hAnsiTheme="majorEastAsia" w:eastAsiaTheme="majorEastAsia" w:cstheme="majorEastAsia"/>
          <w:b/>
          <w:color w:val="auto"/>
          <w:sz w:val="24"/>
          <w:szCs w:val="24"/>
          <w:highlight w:val="none"/>
          <w:lang w:eastAsia="zh-CN"/>
        </w:rPr>
        <w:t>：</w:t>
      </w:r>
    </w:p>
    <w:p w14:paraId="6F70A441">
      <w:pPr>
        <w:pageBreakBefore w:val="0"/>
        <w:tabs>
          <w:tab w:val="left" w:pos="284"/>
        </w:tabs>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eastAsia="zh-CN"/>
        </w:rPr>
      </w:pPr>
      <w:bookmarkStart w:id="18" w:name="_Toc35393632"/>
      <w:bookmarkStart w:id="19" w:name="_Toc28359092"/>
      <w:bookmarkStart w:id="20" w:name="_Toc35393801"/>
      <w:bookmarkStart w:id="21" w:name="_Toc28359015"/>
      <w:r>
        <w:rPr>
          <w:rFonts w:hint="eastAsia" w:asciiTheme="majorEastAsia" w:hAnsiTheme="majorEastAsia" w:eastAsiaTheme="majorEastAsia" w:cstheme="majorEastAsia"/>
          <w:b w:val="0"/>
          <w:bCs/>
          <w:color w:val="auto"/>
          <w:sz w:val="21"/>
          <w:szCs w:val="21"/>
          <w:highlight w:val="none"/>
          <w:lang w:eastAsia="zh-CN"/>
        </w:rPr>
        <w:t>时间：</w:t>
      </w:r>
      <w:r>
        <w:rPr>
          <w:rFonts w:hint="eastAsia" w:asciiTheme="majorEastAsia" w:hAnsiTheme="majorEastAsia" w:eastAsiaTheme="majorEastAsia" w:cstheme="majorEastAsia"/>
          <w:b w:val="0"/>
          <w:bCs/>
          <w:color w:val="auto"/>
          <w:sz w:val="21"/>
          <w:szCs w:val="21"/>
          <w:highlight w:val="none"/>
          <w:lang w:val="en-US" w:eastAsia="zh-CN"/>
        </w:rPr>
        <w:t>2026年4月28日</w:t>
      </w:r>
      <w:r>
        <w:rPr>
          <w:rFonts w:hint="eastAsia" w:asciiTheme="majorEastAsia" w:hAnsiTheme="majorEastAsia" w:eastAsiaTheme="majorEastAsia" w:cstheme="majorEastAsia"/>
          <w:b w:val="0"/>
          <w:bCs/>
          <w:color w:val="auto"/>
          <w:sz w:val="21"/>
          <w:szCs w:val="21"/>
          <w:highlight w:val="none"/>
          <w:lang w:eastAsia="zh-CN"/>
        </w:rPr>
        <w:t>至202</w:t>
      </w: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lang w:eastAsia="zh-CN"/>
        </w:rPr>
        <w:t>年</w:t>
      </w:r>
      <w:r>
        <w:rPr>
          <w:rFonts w:hint="eastAsia" w:asciiTheme="majorEastAsia" w:hAnsiTheme="majorEastAsia" w:eastAsiaTheme="majorEastAsia" w:cstheme="majorEastAsia"/>
          <w:b w:val="0"/>
          <w:bCs/>
          <w:color w:val="auto"/>
          <w:sz w:val="21"/>
          <w:szCs w:val="21"/>
          <w:highlight w:val="none"/>
          <w:lang w:val="en-US" w:eastAsia="zh-CN"/>
        </w:rPr>
        <w:t>5</w:t>
      </w:r>
      <w:r>
        <w:rPr>
          <w:rFonts w:hint="eastAsia" w:asciiTheme="majorEastAsia" w:hAnsiTheme="majorEastAsia" w:eastAsiaTheme="majorEastAsia" w:cstheme="majorEastAsia"/>
          <w:b w:val="0"/>
          <w:bCs/>
          <w:color w:val="auto"/>
          <w:sz w:val="21"/>
          <w:szCs w:val="21"/>
          <w:highlight w:val="none"/>
          <w:lang w:eastAsia="zh-CN"/>
        </w:rPr>
        <w:t>月</w:t>
      </w:r>
      <w:r>
        <w:rPr>
          <w:rFonts w:hint="eastAsia" w:asciiTheme="majorEastAsia" w:hAnsiTheme="majorEastAsia" w:eastAsiaTheme="majorEastAsia" w:cstheme="majorEastAsia"/>
          <w:b w:val="0"/>
          <w:bCs/>
          <w:color w:val="auto"/>
          <w:sz w:val="21"/>
          <w:szCs w:val="21"/>
          <w:highlight w:val="none"/>
          <w:lang w:val="en-US" w:eastAsia="zh-CN"/>
        </w:rPr>
        <w:t>8</w:t>
      </w:r>
      <w:r>
        <w:rPr>
          <w:rFonts w:hint="eastAsia" w:asciiTheme="majorEastAsia" w:hAnsiTheme="majorEastAsia" w:eastAsiaTheme="majorEastAsia" w:cstheme="majorEastAsia"/>
          <w:b w:val="0"/>
          <w:bCs/>
          <w:color w:val="auto"/>
          <w:sz w:val="21"/>
          <w:szCs w:val="21"/>
          <w:highlight w:val="none"/>
          <w:lang w:eastAsia="zh-CN"/>
        </w:rPr>
        <w:t>日，每天上午08:00至12:00，下午</w:t>
      </w:r>
      <w:r>
        <w:rPr>
          <w:rFonts w:hint="eastAsia" w:asciiTheme="majorEastAsia" w:hAnsiTheme="majorEastAsia" w:eastAsiaTheme="majorEastAsia" w:cstheme="majorEastAsia"/>
          <w:b w:val="0"/>
          <w:bCs/>
          <w:color w:val="auto"/>
          <w:sz w:val="21"/>
          <w:szCs w:val="21"/>
          <w:highlight w:val="none"/>
          <w:lang w:val="en-US" w:eastAsia="zh-CN"/>
        </w:rPr>
        <w:t>3</w:t>
      </w:r>
      <w:r>
        <w:rPr>
          <w:rFonts w:hint="eastAsia" w:asciiTheme="majorEastAsia" w:hAnsiTheme="majorEastAsia" w:eastAsiaTheme="majorEastAsia" w:cstheme="majorEastAsia"/>
          <w:b w:val="0"/>
          <w:bCs/>
          <w:color w:val="auto"/>
          <w:sz w:val="21"/>
          <w:szCs w:val="21"/>
          <w:highlight w:val="none"/>
          <w:lang w:eastAsia="zh-CN"/>
        </w:rPr>
        <w:t>:00至</w:t>
      </w:r>
      <w:r>
        <w:rPr>
          <w:rFonts w:hint="eastAsia" w:asciiTheme="majorEastAsia" w:hAnsiTheme="majorEastAsia" w:eastAsiaTheme="majorEastAsia" w:cstheme="majorEastAsia"/>
          <w:b w:val="0"/>
          <w:bCs/>
          <w:color w:val="auto"/>
          <w:sz w:val="21"/>
          <w:szCs w:val="21"/>
          <w:highlight w:val="none"/>
          <w:lang w:val="en-US" w:eastAsia="zh-CN"/>
        </w:rPr>
        <w:t>6</w:t>
      </w:r>
      <w:r>
        <w:rPr>
          <w:rFonts w:hint="eastAsia" w:asciiTheme="majorEastAsia" w:hAnsiTheme="majorEastAsia" w:eastAsiaTheme="majorEastAsia" w:cstheme="majorEastAsia"/>
          <w:b w:val="0"/>
          <w:bCs/>
          <w:color w:val="auto"/>
          <w:sz w:val="21"/>
          <w:szCs w:val="21"/>
          <w:highlight w:val="none"/>
          <w:lang w:eastAsia="zh-CN"/>
        </w:rPr>
        <w:t>:00（北京时间，法定节假日除外）</w:t>
      </w:r>
    </w:p>
    <w:p w14:paraId="17422CBF">
      <w:pPr>
        <w:pageBreakBefore w:val="0"/>
        <w:tabs>
          <w:tab w:val="left" w:pos="284"/>
        </w:tabs>
        <w:kinsoku/>
        <w:wordWrap/>
        <w:overflowPunct/>
        <w:topLinePunct w:val="0"/>
        <w:autoSpaceDE/>
        <w:autoSpaceDN/>
        <w:bidi w:val="0"/>
        <w:adjustRightInd/>
        <w:snapToGrid/>
        <w:spacing w:line="420" w:lineRule="exact"/>
        <w:ind w:left="0" w:leftChars="0" w:right="0" w:firstLine="420" w:firstLineChars="200"/>
        <w:textAlignment w:val="auto"/>
        <w:rPr>
          <w:rFonts w:hint="eastAsia" w:asciiTheme="majorEastAsia" w:hAnsiTheme="majorEastAsia" w:eastAsiaTheme="majorEastAsia" w:cstheme="majorEastAsia"/>
          <w:b w:val="0"/>
          <w:bCs/>
          <w:color w:val="auto"/>
          <w:sz w:val="21"/>
          <w:szCs w:val="21"/>
          <w:highlight w:val="none"/>
          <w:lang w:eastAsia="zh-CN"/>
        </w:rPr>
      </w:pPr>
      <w:r>
        <w:rPr>
          <w:rFonts w:hint="eastAsia" w:asciiTheme="majorEastAsia" w:hAnsiTheme="majorEastAsia" w:eastAsiaTheme="majorEastAsia" w:cstheme="majorEastAsia"/>
          <w:b w:val="0"/>
          <w:bCs/>
          <w:color w:val="auto"/>
          <w:sz w:val="21"/>
          <w:szCs w:val="21"/>
          <w:highlight w:val="none"/>
          <w:lang w:eastAsia="zh-CN"/>
        </w:rPr>
        <w:t>地点：</w:t>
      </w:r>
      <w:bookmarkEnd w:id="18"/>
      <w:bookmarkEnd w:id="19"/>
      <w:bookmarkEnd w:id="20"/>
      <w:bookmarkEnd w:id="21"/>
      <w:r>
        <w:rPr>
          <w:rFonts w:hint="eastAsia" w:ascii="宋体" w:hAnsi="宋体" w:eastAsia="宋体" w:cs="宋体"/>
          <w:b w:val="0"/>
          <w:bCs/>
          <w:color w:val="auto"/>
          <w:sz w:val="21"/>
          <w:szCs w:val="21"/>
          <w:highlight w:val="none"/>
          <w:lang w:val="en-US" w:eastAsia="zh-CN"/>
        </w:rPr>
        <w:t>广西政府采购云平台（https://www.gcy.zfcg.gxzf.gov.cn</w:t>
      </w:r>
      <w:r>
        <w:rPr>
          <w:rFonts w:hint="eastAsia" w:ascii="宋体" w:hAnsi="宋体" w:cs="宋体"/>
          <w:b w:val="0"/>
          <w:bCs/>
          <w:color w:val="auto"/>
          <w:sz w:val="21"/>
          <w:szCs w:val="21"/>
          <w:highlight w:val="none"/>
          <w:lang w:val="en-US" w:eastAsia="zh-CN"/>
        </w:rPr>
        <w:t>）</w:t>
      </w:r>
    </w:p>
    <w:p w14:paraId="17056E27">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396" w:firstLineChars="200"/>
        <w:textAlignment w:val="auto"/>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kern w:val="2"/>
          <w:sz w:val="21"/>
          <w:szCs w:val="21"/>
          <w:highlight w:val="none"/>
          <w:lang w:val="en-US" w:eastAsia="zh-CN" w:bidi="ar-SA"/>
        </w:rPr>
        <w:t>方式：网上下载。本项目不提供纸质文件，潜在供应商需使用账号登录或者使用 CA 登录广西政府采购云平台（https://www.gcy.zfcg.gxzf.gov.cn</w:t>
      </w:r>
      <w:r>
        <w:rPr>
          <w:rFonts w:hint="eastAsia" w:ascii="宋体" w:hAnsi="宋体" w:cs="宋体"/>
          <w:color w:val="auto"/>
          <w:spacing w:val="-6"/>
          <w:kern w:val="2"/>
          <w:sz w:val="21"/>
          <w:szCs w:val="21"/>
          <w:highlight w:val="none"/>
          <w:lang w:val="en-US" w:eastAsia="zh-CN" w:bidi="ar-SA"/>
        </w:rPr>
        <w:t>）－</w:t>
      </w:r>
      <w:r>
        <w:rPr>
          <w:rFonts w:hint="eastAsia" w:ascii="宋体" w:hAnsi="宋体" w:eastAsia="宋体" w:cs="宋体"/>
          <w:color w:val="auto"/>
          <w:spacing w:val="-6"/>
          <w:kern w:val="2"/>
          <w:sz w:val="21"/>
          <w:szCs w:val="21"/>
          <w:highlight w:val="none"/>
          <w:lang w:val="en-US" w:eastAsia="zh-CN" w:bidi="ar-SA"/>
        </w:rPr>
        <w:t>进入“项目采购”应用，在获取采购文件菜单中选择项目，获取竞争性</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文件。电子响应文件制作需要基于广西政府采购云平台获取的</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文件编制，通过其他方式获取</w:t>
      </w:r>
      <w:r>
        <w:rPr>
          <w:rFonts w:hint="eastAsia" w:ascii="宋体" w:hAnsi="宋体" w:cs="宋体"/>
          <w:color w:val="auto"/>
          <w:spacing w:val="-6"/>
          <w:kern w:val="2"/>
          <w:sz w:val="21"/>
          <w:szCs w:val="21"/>
          <w:highlight w:val="none"/>
          <w:lang w:val="en-US" w:eastAsia="zh-CN" w:bidi="ar-SA"/>
        </w:rPr>
        <w:t>磋商</w:t>
      </w:r>
      <w:r>
        <w:rPr>
          <w:rFonts w:hint="eastAsia" w:ascii="宋体" w:hAnsi="宋体" w:eastAsia="宋体" w:cs="宋体"/>
          <w:color w:val="auto"/>
          <w:spacing w:val="-6"/>
          <w:kern w:val="2"/>
          <w:sz w:val="21"/>
          <w:szCs w:val="21"/>
          <w:highlight w:val="none"/>
          <w:lang w:val="en-US" w:eastAsia="zh-CN" w:bidi="ar-SA"/>
        </w:rPr>
        <w:t>文件的，将有可能导致供应商无法在广西政府采购云平台编制及上传响应文件。</w:t>
      </w:r>
    </w:p>
    <w:p w14:paraId="71733B8B">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售价（元）：0 </w:t>
      </w:r>
    </w:p>
    <w:p w14:paraId="4B379AD6">
      <w:pPr>
        <w:pageBreakBefore w:val="0"/>
        <w:numPr>
          <w:ilvl w:val="0"/>
          <w:numId w:val="4"/>
        </w:numPr>
        <w:kinsoku/>
        <w:wordWrap/>
        <w:overflowPunct/>
        <w:topLinePunct w:val="0"/>
        <w:autoSpaceDE/>
        <w:autoSpaceDN/>
        <w:bidi w:val="0"/>
        <w:adjustRightInd/>
        <w:snapToGrid/>
        <w:spacing w:line="420" w:lineRule="exact"/>
        <w:ind w:left="0" w:leftChars="0" w:right="0" w:firstLine="482" w:firstLineChars="200"/>
        <w:textAlignment w:val="auto"/>
        <w:rPr>
          <w:rFonts w:hint="eastAsia" w:asciiTheme="majorEastAsia" w:hAnsiTheme="majorEastAsia" w:eastAsiaTheme="majorEastAsia" w:cstheme="majorEastAsia"/>
          <w:b/>
          <w:color w:val="auto"/>
          <w:sz w:val="24"/>
          <w:szCs w:val="24"/>
          <w:highlight w:val="none"/>
          <w:lang w:eastAsia="zh-CN"/>
        </w:rPr>
      </w:pPr>
      <w:r>
        <w:rPr>
          <w:rFonts w:hint="eastAsia" w:asciiTheme="majorEastAsia" w:hAnsiTheme="majorEastAsia" w:eastAsiaTheme="majorEastAsia" w:cstheme="majorEastAsia"/>
          <w:b/>
          <w:color w:val="auto"/>
          <w:sz w:val="24"/>
          <w:szCs w:val="24"/>
          <w:highlight w:val="none"/>
          <w:lang w:eastAsia="zh-CN"/>
        </w:rPr>
        <w:t>响应文件提交</w:t>
      </w:r>
    </w:p>
    <w:p w14:paraId="6BD01499">
      <w:pPr>
        <w:pageBreakBefore w:val="0"/>
        <w:numPr>
          <w:ilvl w:val="0"/>
          <w:numId w:val="0"/>
        </w:numPr>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bCs/>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highlight w:val="none"/>
        </w:rPr>
        <w:t>首次响应文件提交截止时间</w:t>
      </w:r>
      <w:r>
        <w:rPr>
          <w:rFonts w:hint="eastAsia" w:ascii="宋体" w:hAnsi="宋体"/>
          <w:color w:val="auto"/>
          <w:szCs w:val="21"/>
        </w:rPr>
        <w:t>：</w:t>
      </w:r>
      <w:r>
        <w:rPr>
          <w:rFonts w:hint="eastAsia" w:ascii="宋体" w:hAnsi="宋体"/>
          <w:bCs/>
          <w:color w:val="auto"/>
          <w:szCs w:val="21"/>
          <w:u w:val="single"/>
        </w:rPr>
        <w:t>2</w:t>
      </w:r>
      <w:r>
        <w:rPr>
          <w:rFonts w:hint="eastAsia" w:ascii="宋体" w:hAnsi="宋体"/>
          <w:color w:val="auto"/>
          <w:szCs w:val="21"/>
          <w:u w:val="single"/>
        </w:rPr>
        <w:t>02</w:t>
      </w:r>
      <w:r>
        <w:rPr>
          <w:rFonts w:hint="eastAsia" w:ascii="宋体" w:hAnsi="宋体"/>
          <w:color w:val="auto"/>
          <w:szCs w:val="21"/>
          <w:u w:val="single"/>
          <w:lang w:val="en-US" w:eastAsia="zh-CN"/>
        </w:rPr>
        <w:t>6</w:t>
      </w:r>
      <w:r>
        <w:rPr>
          <w:rFonts w:hint="eastAsia" w:ascii="宋体" w:hAnsi="宋体"/>
          <w:bCs/>
          <w:color w:val="auto"/>
          <w:szCs w:val="21"/>
          <w:u w:val="single"/>
        </w:rPr>
        <w:t>年</w:t>
      </w:r>
      <w:r>
        <w:rPr>
          <w:rFonts w:hint="eastAsia" w:ascii="宋体" w:hAnsi="宋体"/>
          <w:bCs/>
          <w:color w:val="auto"/>
          <w:szCs w:val="21"/>
          <w:u w:val="single"/>
          <w:lang w:val="en-US" w:eastAsia="zh-CN"/>
        </w:rPr>
        <w:t>5</w:t>
      </w:r>
      <w:r>
        <w:rPr>
          <w:rFonts w:hint="eastAsia" w:ascii="宋体" w:hAnsi="宋体"/>
          <w:bCs/>
          <w:color w:val="auto"/>
          <w:szCs w:val="21"/>
          <w:u w:val="single"/>
        </w:rPr>
        <w:t>月</w:t>
      </w:r>
      <w:r>
        <w:rPr>
          <w:rFonts w:hint="eastAsia" w:ascii="宋体" w:hAnsi="宋体"/>
          <w:bCs/>
          <w:color w:val="auto"/>
          <w:szCs w:val="21"/>
          <w:u w:val="single"/>
          <w:lang w:val="en-US" w:eastAsia="zh-CN"/>
        </w:rPr>
        <w:t>13</w:t>
      </w:r>
      <w:r>
        <w:rPr>
          <w:rFonts w:hint="eastAsia" w:ascii="宋体" w:hAnsi="宋体"/>
          <w:bCs/>
          <w:color w:val="auto"/>
          <w:szCs w:val="21"/>
          <w:u w:val="single"/>
        </w:rPr>
        <w:t>日</w:t>
      </w:r>
      <w:r>
        <w:rPr>
          <w:rFonts w:hint="eastAsia" w:ascii="宋体" w:hAnsi="宋体"/>
          <w:bCs/>
          <w:color w:val="auto"/>
          <w:szCs w:val="21"/>
          <w:u w:val="single"/>
          <w:lang w:val="en-US" w:eastAsia="zh-CN"/>
        </w:rPr>
        <w:t>09</w:t>
      </w:r>
      <w:r>
        <w:rPr>
          <w:rFonts w:hint="eastAsia" w:ascii="宋体" w:hAnsi="宋体"/>
          <w:bCs/>
          <w:color w:val="auto"/>
          <w:szCs w:val="21"/>
          <w:u w:val="single"/>
        </w:rPr>
        <w:t>时</w:t>
      </w:r>
      <w:r>
        <w:rPr>
          <w:rFonts w:hint="eastAsia" w:ascii="宋体" w:hAnsi="宋体"/>
          <w:bCs/>
          <w:color w:val="auto"/>
          <w:szCs w:val="21"/>
          <w:u w:val="single"/>
          <w:lang w:val="en-US" w:eastAsia="zh-CN"/>
        </w:rPr>
        <w:t>0</w:t>
      </w:r>
      <w:r>
        <w:rPr>
          <w:rFonts w:hint="eastAsia" w:ascii="宋体" w:hAnsi="宋体"/>
          <w:bCs/>
          <w:color w:val="auto"/>
          <w:szCs w:val="21"/>
          <w:u w:val="single"/>
        </w:rPr>
        <w:t>0分</w:t>
      </w:r>
      <w:r>
        <w:rPr>
          <w:rFonts w:hint="eastAsia" w:ascii="宋体" w:hAnsi="宋体"/>
          <w:bCs/>
          <w:color w:val="auto"/>
          <w:szCs w:val="21"/>
        </w:rPr>
        <w:t>（北京时间）</w:t>
      </w:r>
    </w:p>
    <w:p w14:paraId="1DA0E8C7">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bCs/>
          <w:color w:val="auto"/>
          <w:szCs w:val="21"/>
          <w:lang w:val="en-US" w:eastAsia="zh-CN"/>
        </w:rPr>
        <w:t>2.</w:t>
      </w:r>
      <w:r>
        <w:rPr>
          <w:rFonts w:hint="eastAsia" w:ascii="宋体" w:hAnsi="宋体" w:eastAsia="宋体" w:cs="宋体"/>
          <w:color w:val="auto"/>
          <w:szCs w:val="21"/>
          <w:highlight w:val="none"/>
        </w:rPr>
        <w:t>首次响应文件提交地点</w:t>
      </w:r>
      <w:r>
        <w:rPr>
          <w:rFonts w:hint="eastAsia" w:ascii="宋体" w:hAnsi="宋体" w:eastAsia="宋体" w:cs="宋体"/>
          <w:b w:val="0"/>
          <w:bCs w:val="0"/>
          <w:color w:val="auto"/>
          <w:sz w:val="21"/>
          <w:szCs w:val="21"/>
          <w:highlight w:val="none"/>
        </w:rPr>
        <w:t>：广西政府采购云平台（https://www.gcy.zfcg.gxzf.gov.cn</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w:t>
      </w:r>
    </w:p>
    <w:p w14:paraId="72836A93">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firstLine="482" w:firstLineChars="200"/>
        <w:jc w:val="both"/>
        <w:textAlignment w:val="auto"/>
        <w:rPr>
          <w:rFonts w:hint="eastAsia" w:eastAsia="宋体"/>
          <w:color w:val="auto"/>
          <w:lang w:eastAsia="zh-CN"/>
        </w:rPr>
      </w:pPr>
      <w:r>
        <w:rPr>
          <w:rFonts w:hint="eastAsia" w:asciiTheme="majorEastAsia" w:hAnsiTheme="majorEastAsia" w:eastAsiaTheme="majorEastAsia" w:cstheme="majorEastAsia"/>
          <w:b/>
          <w:color w:val="auto"/>
          <w:kern w:val="2"/>
          <w:sz w:val="24"/>
          <w:szCs w:val="24"/>
          <w:highlight w:val="none"/>
          <w:lang w:val="en-US" w:eastAsia="zh-CN" w:bidi="ar-SA"/>
        </w:rPr>
        <w:t>五、响应文件开启</w:t>
      </w:r>
    </w:p>
    <w:p w14:paraId="744D58B5">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bCs/>
          <w:color w:val="auto"/>
          <w:szCs w:val="21"/>
          <w:u w:val="single"/>
        </w:rPr>
      </w:pPr>
      <w:r>
        <w:rPr>
          <w:rFonts w:hint="eastAsia" w:ascii="宋体" w:hAnsi="宋体"/>
          <w:bCs/>
          <w:color w:val="auto"/>
          <w:szCs w:val="21"/>
          <w:lang w:val="en-US" w:eastAsia="zh-CN"/>
        </w:rPr>
        <w:t>1</w:t>
      </w:r>
      <w:r>
        <w:rPr>
          <w:rFonts w:ascii="宋体" w:hAnsi="宋体"/>
          <w:bCs/>
          <w:color w:val="auto"/>
          <w:szCs w:val="21"/>
        </w:rPr>
        <w:t>.</w:t>
      </w:r>
      <w:r>
        <w:rPr>
          <w:rFonts w:hint="eastAsia" w:ascii="宋体" w:hAnsi="宋体"/>
          <w:bCs/>
          <w:color w:val="auto"/>
          <w:szCs w:val="21"/>
        </w:rPr>
        <w:t>开标时间</w:t>
      </w:r>
      <w:r>
        <w:rPr>
          <w:rFonts w:hint="eastAsia" w:ascii="宋体" w:hAnsi="宋体"/>
          <w:color w:val="auto"/>
          <w:szCs w:val="21"/>
        </w:rPr>
        <w:t>：</w:t>
      </w:r>
      <w:r>
        <w:rPr>
          <w:rFonts w:hint="eastAsia" w:ascii="宋体" w:hAnsi="宋体"/>
          <w:color w:val="auto"/>
          <w:szCs w:val="21"/>
          <w:u w:val="single"/>
        </w:rPr>
        <w:t>202</w:t>
      </w:r>
      <w:r>
        <w:rPr>
          <w:rFonts w:hint="eastAsia" w:ascii="宋体" w:hAnsi="宋体"/>
          <w:color w:val="auto"/>
          <w:szCs w:val="21"/>
          <w:u w:val="single"/>
          <w:lang w:val="en-US" w:eastAsia="zh-CN"/>
        </w:rPr>
        <w:t>6</w:t>
      </w:r>
      <w:r>
        <w:rPr>
          <w:rFonts w:hint="eastAsia" w:ascii="宋体" w:hAnsi="宋体"/>
          <w:bCs/>
          <w:color w:val="auto"/>
          <w:szCs w:val="21"/>
          <w:u w:val="single"/>
        </w:rPr>
        <w:t>年</w:t>
      </w:r>
      <w:r>
        <w:rPr>
          <w:rFonts w:hint="eastAsia" w:ascii="宋体" w:hAnsi="宋体"/>
          <w:bCs/>
          <w:color w:val="auto"/>
          <w:szCs w:val="21"/>
          <w:u w:val="single"/>
          <w:lang w:val="en-US" w:eastAsia="zh-CN"/>
        </w:rPr>
        <w:t>5</w:t>
      </w:r>
      <w:r>
        <w:rPr>
          <w:rFonts w:hint="eastAsia" w:ascii="宋体" w:hAnsi="宋体"/>
          <w:bCs/>
          <w:color w:val="auto"/>
          <w:szCs w:val="21"/>
          <w:u w:val="single"/>
        </w:rPr>
        <w:t>月</w:t>
      </w:r>
      <w:r>
        <w:rPr>
          <w:rFonts w:hint="eastAsia" w:ascii="宋体" w:hAnsi="宋体"/>
          <w:bCs/>
          <w:color w:val="auto"/>
          <w:szCs w:val="21"/>
          <w:u w:val="single"/>
          <w:lang w:val="en-US" w:eastAsia="zh-CN"/>
        </w:rPr>
        <w:t>13</w:t>
      </w:r>
      <w:r>
        <w:rPr>
          <w:rFonts w:hint="eastAsia" w:ascii="宋体" w:hAnsi="宋体"/>
          <w:bCs/>
          <w:color w:val="auto"/>
          <w:szCs w:val="21"/>
          <w:u w:val="single"/>
        </w:rPr>
        <w:t>日</w:t>
      </w:r>
      <w:r>
        <w:rPr>
          <w:rFonts w:hint="eastAsia" w:ascii="宋体" w:hAnsi="宋体"/>
          <w:bCs/>
          <w:color w:val="auto"/>
          <w:szCs w:val="21"/>
          <w:u w:val="single"/>
          <w:lang w:val="en-US" w:eastAsia="zh-CN"/>
        </w:rPr>
        <w:t>09</w:t>
      </w:r>
      <w:r>
        <w:rPr>
          <w:rFonts w:hint="eastAsia" w:ascii="宋体" w:hAnsi="宋体"/>
          <w:bCs/>
          <w:color w:val="auto"/>
          <w:szCs w:val="21"/>
          <w:u w:val="single"/>
        </w:rPr>
        <w:t>时</w:t>
      </w:r>
      <w:r>
        <w:rPr>
          <w:rFonts w:hint="eastAsia" w:ascii="宋体" w:hAnsi="宋体"/>
          <w:bCs/>
          <w:color w:val="auto"/>
          <w:szCs w:val="21"/>
          <w:u w:val="single"/>
          <w:lang w:val="en-US" w:eastAsia="zh-CN"/>
        </w:rPr>
        <w:t>0</w:t>
      </w:r>
      <w:r>
        <w:rPr>
          <w:rFonts w:hint="eastAsia" w:ascii="宋体" w:hAnsi="宋体"/>
          <w:bCs/>
          <w:color w:val="auto"/>
          <w:szCs w:val="21"/>
          <w:u w:val="single"/>
        </w:rPr>
        <w:t>0分</w:t>
      </w:r>
      <w:r>
        <w:rPr>
          <w:rFonts w:hint="eastAsia" w:ascii="宋体" w:hAnsi="宋体"/>
          <w:bCs/>
          <w:color w:val="auto"/>
          <w:szCs w:val="21"/>
        </w:rPr>
        <w:t>（北京时间）</w:t>
      </w:r>
    </w:p>
    <w:p w14:paraId="2343996B">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color w:val="auto"/>
          <w:szCs w:val="21"/>
        </w:rPr>
      </w:pPr>
      <w:r>
        <w:rPr>
          <w:rFonts w:hint="eastAsia" w:ascii="宋体" w:hAnsi="宋体"/>
          <w:color w:val="auto"/>
          <w:szCs w:val="21"/>
          <w:lang w:val="en-US" w:eastAsia="zh-CN"/>
        </w:rPr>
        <w:t>2</w:t>
      </w:r>
      <w:r>
        <w:rPr>
          <w:rFonts w:ascii="宋体" w:hAnsi="宋体"/>
          <w:color w:val="auto"/>
          <w:szCs w:val="21"/>
        </w:rPr>
        <w:t>.</w:t>
      </w:r>
      <w:r>
        <w:rPr>
          <w:rFonts w:hint="eastAsia" w:ascii="宋体" w:hAnsi="宋体"/>
          <w:color w:val="auto"/>
          <w:szCs w:val="21"/>
        </w:rPr>
        <w:t>开标地点：广西政府采购云平台（https://www.gcy.zfcg.gxzf.gov.cn</w:t>
      </w:r>
      <w:r>
        <w:rPr>
          <w:rFonts w:hint="eastAsia" w:ascii="宋体" w:hAnsi="宋体"/>
          <w:color w:val="auto"/>
          <w:szCs w:val="21"/>
          <w:lang w:eastAsia="zh-CN"/>
        </w:rPr>
        <w:t>）</w:t>
      </w:r>
      <w:r>
        <w:rPr>
          <w:rFonts w:hint="eastAsia" w:ascii="宋体" w:hAnsi="宋体"/>
          <w:color w:val="auto"/>
          <w:szCs w:val="21"/>
        </w:rPr>
        <w:t> </w:t>
      </w:r>
    </w:p>
    <w:p w14:paraId="7115217F">
      <w:pPr>
        <w:pStyle w:val="3"/>
        <w:pageBreakBefore w:val="0"/>
        <w:kinsoku/>
        <w:wordWrap/>
        <w:overflowPunct/>
        <w:topLinePunct w:val="0"/>
        <w:autoSpaceDE/>
        <w:autoSpaceDN/>
        <w:bidi w:val="0"/>
        <w:adjustRightInd/>
        <w:snapToGrid/>
        <w:spacing w:before="0" w:after="0" w:line="420" w:lineRule="exact"/>
        <w:ind w:left="0" w:leftChars="0" w:right="0" w:firstLine="482" w:firstLineChars="200"/>
        <w:textAlignment w:val="auto"/>
        <w:rPr>
          <w:rFonts w:ascii="宋体" w:hAnsi="宋体" w:cs="宋体"/>
          <w:bCs w:val="0"/>
          <w:color w:val="auto"/>
          <w:sz w:val="24"/>
          <w:szCs w:val="24"/>
        </w:rPr>
      </w:pPr>
      <w:bookmarkStart w:id="22" w:name="_Toc28359094"/>
      <w:bookmarkStart w:id="23" w:name="_Toc44229883"/>
      <w:bookmarkStart w:id="24" w:name="_Toc35393803"/>
      <w:bookmarkStart w:id="25" w:name="_Toc35393634"/>
      <w:bookmarkStart w:id="26" w:name="_Toc28359017"/>
      <w:r>
        <w:rPr>
          <w:rFonts w:hint="eastAsia" w:ascii="宋体" w:hAnsi="宋体" w:cs="宋体"/>
          <w:bCs w:val="0"/>
          <w:color w:val="auto"/>
          <w:sz w:val="24"/>
          <w:szCs w:val="24"/>
          <w:lang w:eastAsia="zh-CN"/>
        </w:rPr>
        <w:t>六</w:t>
      </w:r>
      <w:r>
        <w:rPr>
          <w:rFonts w:hint="eastAsia" w:ascii="宋体" w:hAnsi="宋体" w:cs="宋体"/>
          <w:bCs w:val="0"/>
          <w:color w:val="auto"/>
          <w:sz w:val="24"/>
          <w:szCs w:val="24"/>
        </w:rPr>
        <w:t>、公告期限</w:t>
      </w:r>
      <w:bookmarkEnd w:id="22"/>
      <w:bookmarkEnd w:id="23"/>
      <w:bookmarkEnd w:id="24"/>
      <w:bookmarkEnd w:id="25"/>
      <w:bookmarkEnd w:id="26"/>
    </w:p>
    <w:p w14:paraId="46988A80">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ascii="宋体" w:hAnsi="宋体" w:cs="宋体"/>
          <w:color w:val="auto"/>
          <w:kern w:val="0"/>
          <w:szCs w:val="21"/>
        </w:rPr>
      </w:pPr>
      <w:r>
        <w:rPr>
          <w:rFonts w:hint="eastAsia" w:ascii="宋体" w:hAnsi="宋体" w:cs="宋体"/>
          <w:color w:val="auto"/>
          <w:kern w:val="0"/>
          <w:szCs w:val="21"/>
        </w:rPr>
        <w:t>自本公告发布之日起</w:t>
      </w:r>
      <w:r>
        <w:rPr>
          <w:rFonts w:ascii="宋体" w:hAnsi="宋体" w:cs="宋体"/>
          <w:color w:val="auto"/>
          <w:kern w:val="0"/>
          <w:szCs w:val="21"/>
        </w:rPr>
        <w:t>5</w:t>
      </w:r>
      <w:r>
        <w:rPr>
          <w:rFonts w:hint="eastAsia" w:ascii="宋体" w:hAnsi="宋体" w:cs="宋体"/>
          <w:color w:val="auto"/>
          <w:kern w:val="0"/>
          <w:szCs w:val="21"/>
        </w:rPr>
        <w:t>个工作日。</w:t>
      </w:r>
    </w:p>
    <w:p w14:paraId="14A456DD">
      <w:pPr>
        <w:pStyle w:val="3"/>
        <w:pageBreakBefore w:val="0"/>
        <w:kinsoku/>
        <w:wordWrap/>
        <w:overflowPunct/>
        <w:topLinePunct w:val="0"/>
        <w:autoSpaceDE/>
        <w:autoSpaceDN/>
        <w:bidi w:val="0"/>
        <w:adjustRightInd/>
        <w:snapToGrid/>
        <w:spacing w:before="0" w:after="0" w:line="420" w:lineRule="exact"/>
        <w:ind w:left="0" w:leftChars="0" w:right="0" w:firstLine="482" w:firstLineChars="200"/>
        <w:textAlignment w:val="auto"/>
        <w:rPr>
          <w:rFonts w:ascii="宋体" w:hAnsi="宋体" w:cs="宋体"/>
          <w:bCs w:val="0"/>
          <w:color w:val="auto"/>
          <w:sz w:val="24"/>
          <w:szCs w:val="24"/>
        </w:rPr>
      </w:pPr>
      <w:bookmarkStart w:id="27" w:name="_Toc35393804"/>
      <w:bookmarkStart w:id="28" w:name="_Toc44229884"/>
      <w:bookmarkStart w:id="29" w:name="_Toc35393635"/>
      <w:r>
        <w:rPr>
          <w:rFonts w:hint="eastAsia" w:ascii="宋体" w:hAnsi="宋体" w:cs="宋体"/>
          <w:bCs w:val="0"/>
          <w:color w:val="auto"/>
          <w:sz w:val="24"/>
          <w:szCs w:val="24"/>
          <w:lang w:eastAsia="zh-CN"/>
        </w:rPr>
        <w:t>七</w:t>
      </w:r>
      <w:r>
        <w:rPr>
          <w:rFonts w:hint="eastAsia" w:ascii="宋体" w:hAnsi="宋体" w:cs="宋体"/>
          <w:bCs w:val="0"/>
          <w:color w:val="auto"/>
          <w:sz w:val="24"/>
          <w:szCs w:val="24"/>
        </w:rPr>
        <w:t>、其他补充事宜</w:t>
      </w:r>
      <w:bookmarkEnd w:id="27"/>
      <w:bookmarkEnd w:id="28"/>
      <w:bookmarkEnd w:id="29"/>
    </w:p>
    <w:p w14:paraId="4B29DFCE">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eastAsia="zh-CN"/>
        </w:rPr>
      </w:pPr>
      <w:bookmarkStart w:id="30" w:name="_Toc35393805"/>
      <w:bookmarkStart w:id="31" w:name="_Toc44229885"/>
      <w:bookmarkStart w:id="32" w:name="_Toc35393636"/>
      <w:bookmarkStart w:id="33" w:name="_Toc28359018"/>
      <w:bookmarkStart w:id="34" w:name="_Toc28359095"/>
      <w:r>
        <w:rPr>
          <w:rFonts w:hint="eastAsia" w:ascii="宋体" w:hAnsi="宋体" w:eastAsia="宋体" w:cs="宋体"/>
          <w:color w:val="auto"/>
          <w:kern w:val="0"/>
          <w:sz w:val="21"/>
          <w:szCs w:val="21"/>
          <w:highlight w:val="none"/>
        </w:rPr>
        <w:t>1.</w:t>
      </w:r>
      <w:r>
        <w:rPr>
          <w:rFonts w:hint="eastAsia" w:ascii="宋体" w:hAnsi="宋体" w:cs="宋体"/>
          <w:color w:val="auto"/>
          <w:kern w:val="0"/>
          <w:szCs w:val="21"/>
          <w:highlight w:val="none"/>
        </w:rPr>
        <w:t>磋商保证金</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无</w:t>
      </w:r>
    </w:p>
    <w:p w14:paraId="62FE79BB">
      <w:pPr>
        <w:pageBreakBefore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kern w:val="0"/>
          <w:sz w:val="21"/>
          <w:szCs w:val="21"/>
          <w:highlight w:val="none"/>
          <w:lang w:eastAsia="zh-CN"/>
        </w:rPr>
      </w:pPr>
      <w:bookmarkStart w:id="35" w:name="_Hlk37429585"/>
      <w:r>
        <w:rPr>
          <w:rFonts w:hint="eastAsia" w:ascii="宋体" w:hAnsi="宋体" w:eastAsia="宋体" w:cs="宋体"/>
          <w:color w:val="auto"/>
          <w:kern w:val="0"/>
          <w:sz w:val="21"/>
          <w:szCs w:val="21"/>
          <w:highlight w:val="none"/>
        </w:rPr>
        <w:t>2.</w:t>
      </w:r>
      <w:bookmarkStart w:id="36" w:name="_Hlk37429595"/>
      <w:r>
        <w:rPr>
          <w:rFonts w:hint="eastAsia" w:ascii="宋体" w:hAnsi="宋体" w:eastAsia="宋体" w:cs="宋体"/>
          <w:color w:val="auto"/>
          <w:kern w:val="0"/>
          <w:sz w:val="21"/>
          <w:szCs w:val="21"/>
          <w:highlight w:val="none"/>
        </w:rPr>
        <w:t>网上查询地址</w:t>
      </w:r>
      <w:bookmarkEnd w:id="35"/>
      <w:bookmarkEnd w:id="36"/>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中国政府采购网（http://www.ccgp.gov.cn ）、广西政府采购网（http://zfcg.gxzf.gov.cn）、全国公共资源交易平台（广西•玉林）（http://ggzy.jgswj.gxzf.gov.cn/ylggzy）、广西玉林陆川县人民政府门户网站（http://www.luchuan.gov.cn</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w:t>
      </w:r>
    </w:p>
    <w:p w14:paraId="369E3E0D">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3.本项目需要落实的政府采购政策</w:t>
      </w:r>
    </w:p>
    <w:p w14:paraId="05FD231B">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（1）政府采购促进中小企业发展。</w:t>
      </w:r>
    </w:p>
    <w:p w14:paraId="381A8079">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2）政府采购支持采用本国产品的政策。</w:t>
      </w:r>
    </w:p>
    <w:p w14:paraId="552C98EB">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（3）强制采购节能产品；优先采购节能产品、环境标志产品。</w:t>
      </w:r>
    </w:p>
    <w:p w14:paraId="16EC9A5D">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（4）政府采购促进残疾人就业政策。</w:t>
      </w:r>
    </w:p>
    <w:p w14:paraId="68E9DF67">
      <w:pPr>
        <w:pageBreakBefore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（5）政府采购支持监狱企业发展。</w:t>
      </w:r>
    </w:p>
    <w:p w14:paraId="403EEE8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20" w:lineRule="exact"/>
        <w:ind w:left="0" w:leftChars="0" w:right="0"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shd w:val="clear" w:fill="FFFFFF"/>
          <w:lang w:val="en-US" w:eastAsia="zh-CN" w:bidi="ar"/>
        </w:rPr>
        <w:t>4.监督部门：</w:t>
      </w:r>
      <w:r>
        <w:rPr>
          <w:rFonts w:hint="eastAsia" w:ascii="宋体" w:hAnsi="宋体" w:eastAsia="宋体" w:cs="宋体"/>
          <w:color w:val="auto"/>
          <w:kern w:val="0"/>
          <w:sz w:val="21"/>
          <w:szCs w:val="21"/>
          <w:highlight w:val="none"/>
          <w:lang w:val="en-US" w:eastAsia="zh-CN"/>
        </w:rPr>
        <w:t>陆川县财政局政府采购监督管理股</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shd w:val="clear" w:fill="FFFFFF"/>
          <w:lang w:val="en-US" w:eastAsia="zh-CN" w:bidi="ar"/>
        </w:rPr>
        <w:t>联系电话：</w:t>
      </w:r>
      <w:r>
        <w:rPr>
          <w:rFonts w:hint="eastAsia" w:ascii="宋体" w:hAnsi="宋体" w:eastAsia="宋体" w:cs="宋体"/>
          <w:color w:val="auto"/>
          <w:kern w:val="0"/>
          <w:sz w:val="21"/>
          <w:szCs w:val="21"/>
          <w:highlight w:val="none"/>
          <w:lang w:val="en-US" w:eastAsia="zh-CN"/>
        </w:rPr>
        <w:t>0775-7235528</w:t>
      </w:r>
    </w:p>
    <w:p w14:paraId="34E7C7A9">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单位负责人为同一人或者存在直接控股、管理关系的不同供应商，不得参加同一合同项下的政府采购活动。</w:t>
      </w:r>
    </w:p>
    <w:p w14:paraId="291FAE99">
      <w:pPr>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.对在“信用中国”网站</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www.creditchina.gov.cn</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、中国政府采购网</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www.ccgp.gov.cn</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等渠道列入失信被执行人、</w:t>
      </w:r>
      <w:r>
        <w:rPr>
          <w:rFonts w:hint="eastAsia" w:ascii="宋体" w:hAnsi="宋体" w:cs="宋体"/>
          <w:color w:val="auto"/>
          <w:sz w:val="21"/>
          <w:szCs w:val="21"/>
          <w:highlight w:val="none"/>
          <w:lang w:val="en-US" w:eastAsia="zh-CN"/>
        </w:rPr>
        <w:t>税收违法黑名单</w:t>
      </w:r>
      <w:r>
        <w:rPr>
          <w:rFonts w:hint="eastAsia" w:ascii="宋体" w:hAnsi="宋体" w:eastAsia="宋体" w:cs="宋体"/>
          <w:color w:val="auto"/>
          <w:sz w:val="21"/>
          <w:szCs w:val="21"/>
          <w:highlight w:val="none"/>
          <w:lang w:val="en-US" w:eastAsia="zh-CN"/>
        </w:rPr>
        <w:t>、政府采购严重违法失信行为记录名单及其他不符合《中华人民共和国政府采购法》第二十二条规定条件的供应商，不得参与政府采购活动</w:t>
      </w:r>
      <w:r>
        <w:rPr>
          <w:rFonts w:hint="eastAsia" w:ascii="宋体" w:hAnsi="宋体" w:eastAsia="宋体" w:cs="宋体"/>
          <w:color w:val="auto"/>
          <w:sz w:val="21"/>
          <w:szCs w:val="21"/>
          <w:highlight w:val="none"/>
        </w:rPr>
        <w:t>。</w:t>
      </w:r>
    </w:p>
    <w:p w14:paraId="75EA7525">
      <w:pPr>
        <w:pStyle w:val="34"/>
        <w:keepNext w:val="0"/>
        <w:keepLines w:val="0"/>
        <w:pageBreakBefore w:val="0"/>
        <w:widowControl w:val="0"/>
        <w:kinsoku/>
        <w:wordWrap/>
        <w:overflowPunct/>
        <w:topLinePunct w:val="0"/>
        <w:autoSpaceDE/>
        <w:autoSpaceDN/>
        <w:bidi w:val="0"/>
        <w:adjustRightInd/>
        <w:snapToGrid/>
        <w:spacing w:before="0" w:after="0" w:line="420" w:lineRule="exact"/>
        <w:ind w:left="0" w:leftChars="0" w:firstLine="46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7</w:t>
      </w:r>
      <w:r>
        <w:rPr>
          <w:rFonts w:hint="eastAsia" w:ascii="宋体" w:hAnsi="宋体" w:eastAsia="宋体" w:cs="宋体"/>
          <w:color w:val="auto"/>
          <w:kern w:val="0"/>
          <w:sz w:val="21"/>
          <w:szCs w:val="21"/>
          <w:highlight w:val="none"/>
          <w:lang w:val="en-US" w:eastAsia="zh-CN" w:bidi="ar-SA"/>
        </w:rPr>
        <w:t>.若对项目采购电子交易系统操作有疑问，可登录广西政府采购云平台（https://www.gcy.zfcg.gxzf.gov.cn</w:t>
      </w: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 xml:space="preserve">，点击右侧咨询小采，获取采小蜜智能服务管家帮助，或拨打广西政府采购云平台服务热线95763获取热线服务帮助。 </w:t>
      </w:r>
    </w:p>
    <w:p w14:paraId="7AF726F9">
      <w:pPr>
        <w:pStyle w:val="34"/>
        <w:keepNext w:val="0"/>
        <w:keepLines w:val="0"/>
        <w:pageBreakBefore w:val="0"/>
        <w:widowControl w:val="0"/>
        <w:kinsoku/>
        <w:wordWrap/>
        <w:overflowPunct/>
        <w:topLinePunct w:val="0"/>
        <w:autoSpaceDE/>
        <w:autoSpaceDN/>
        <w:bidi w:val="0"/>
        <w:adjustRightInd/>
        <w:snapToGrid/>
        <w:spacing w:before="0" w:after="0" w:line="420" w:lineRule="exact"/>
        <w:ind w:left="0" w:leftChars="0" w:firstLine="460" w:firstLineChars="200"/>
        <w:jc w:val="both"/>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8</w:t>
      </w:r>
      <w:r>
        <w:rPr>
          <w:rFonts w:hint="eastAsia" w:ascii="宋体" w:hAnsi="宋体" w:eastAsia="宋体" w:cs="宋体"/>
          <w:color w:val="auto"/>
          <w:kern w:val="0"/>
          <w:sz w:val="21"/>
          <w:szCs w:val="21"/>
          <w:highlight w:val="none"/>
          <w:lang w:val="en-US" w:eastAsia="zh-CN" w:bidi="ar-SA"/>
        </w:rPr>
        <w:t>.本项目为远程异地全流程电子评标。</w:t>
      </w:r>
    </w:p>
    <w:p w14:paraId="566A726A">
      <w:pPr>
        <w:pStyle w:val="3"/>
        <w:pageBreakBefore w:val="0"/>
        <w:kinsoku/>
        <w:wordWrap/>
        <w:overflowPunct/>
        <w:topLinePunct w:val="0"/>
        <w:autoSpaceDE/>
        <w:autoSpaceDN/>
        <w:bidi w:val="0"/>
        <w:adjustRightInd/>
        <w:snapToGrid/>
        <w:spacing w:before="0" w:after="0" w:line="420" w:lineRule="exact"/>
        <w:ind w:right="0" w:firstLine="241" w:firstLineChars="100"/>
        <w:textAlignment w:val="auto"/>
        <w:rPr>
          <w:rFonts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lang w:eastAsia="zh-CN"/>
        </w:rPr>
        <w:t>八</w:t>
      </w:r>
      <w:r>
        <w:rPr>
          <w:rFonts w:hint="eastAsia" w:asciiTheme="minorEastAsia" w:hAnsiTheme="minorEastAsia" w:eastAsiaTheme="minorEastAsia" w:cstheme="minorEastAsia"/>
          <w:bCs w:val="0"/>
          <w:color w:val="auto"/>
          <w:sz w:val="24"/>
          <w:szCs w:val="24"/>
        </w:rPr>
        <w:t>、凡对本次采购提出询问，请按以下方式联系。</w:t>
      </w:r>
      <w:bookmarkEnd w:id="30"/>
      <w:bookmarkEnd w:id="31"/>
      <w:bookmarkEnd w:id="32"/>
      <w:bookmarkEnd w:id="33"/>
      <w:bookmarkEnd w:id="34"/>
    </w:p>
    <w:p w14:paraId="5590F5C5">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rPr>
      </w:pPr>
      <w:bookmarkStart w:id="37" w:name="_Toc32224"/>
      <w:bookmarkStart w:id="38" w:name="_Toc24148"/>
      <w:bookmarkStart w:id="39" w:name="_Toc35393806"/>
      <w:bookmarkStart w:id="40" w:name="_Toc28359019"/>
      <w:bookmarkStart w:id="41" w:name="_Toc24954"/>
      <w:bookmarkStart w:id="42" w:name="_Toc28359096"/>
      <w:bookmarkStart w:id="43" w:name="_Toc31414"/>
      <w:bookmarkStart w:id="44" w:name="_Toc35393637"/>
      <w:r>
        <w:rPr>
          <w:rFonts w:hint="eastAsia" w:ascii="宋体" w:hAnsi="宋体" w:eastAsia="宋体" w:cs="宋体"/>
          <w:color w:val="auto"/>
          <w:kern w:val="0"/>
          <w:sz w:val="21"/>
          <w:szCs w:val="21"/>
        </w:rPr>
        <w:t>1.采购人信息</w:t>
      </w:r>
      <w:bookmarkEnd w:id="37"/>
      <w:bookmarkEnd w:id="38"/>
      <w:bookmarkEnd w:id="39"/>
      <w:bookmarkEnd w:id="40"/>
      <w:bookmarkEnd w:id="41"/>
      <w:bookmarkEnd w:id="42"/>
      <w:bookmarkEnd w:id="43"/>
      <w:bookmarkEnd w:id="44"/>
    </w:p>
    <w:p w14:paraId="6BCD65C7">
      <w:pPr>
        <w:keepNext w:val="0"/>
        <w:keepLines w:val="0"/>
        <w:pageBreakBefore w:val="0"/>
        <w:kinsoku/>
        <w:wordWrap/>
        <w:overflowPunct/>
        <w:topLinePunct w:val="0"/>
        <w:autoSpaceDE/>
        <w:autoSpaceDN/>
        <w:bidi w:val="0"/>
        <w:adjustRightInd/>
        <w:snapToGrid/>
        <w:spacing w:line="420" w:lineRule="exact"/>
        <w:ind w:left="0" w:firstLine="420" w:firstLineChars="200"/>
        <w:contextualSpacing/>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陆川县文物事务中心</w:t>
      </w:r>
    </w:p>
    <w:p w14:paraId="3D646AE6">
      <w:pPr>
        <w:keepNext w:val="0"/>
        <w:keepLines w:val="0"/>
        <w:pageBreakBefore w:val="0"/>
        <w:kinsoku/>
        <w:wordWrap/>
        <w:overflowPunct/>
        <w:topLinePunct w:val="0"/>
        <w:autoSpaceDE/>
        <w:autoSpaceDN/>
        <w:bidi w:val="0"/>
        <w:adjustRightInd/>
        <w:snapToGrid/>
        <w:spacing w:line="420" w:lineRule="exact"/>
        <w:ind w:left="0" w:firstLine="420" w:firstLineChars="200"/>
        <w:contextualSpacing/>
        <w:jc w:val="left"/>
        <w:textAlignment w:val="auto"/>
        <w:rPr>
          <w:rFonts w:hint="eastAsia" w:ascii="宋体" w:hAnsi="宋体"/>
          <w:color w:val="auto"/>
          <w:szCs w:val="21"/>
          <w:highlight w:val="none"/>
        </w:rPr>
      </w:pPr>
      <w:r>
        <w:rPr>
          <w:rFonts w:hint="eastAsia" w:ascii="宋体" w:hAnsi="宋体"/>
          <w:color w:val="auto"/>
          <w:szCs w:val="21"/>
          <w:highlight w:val="none"/>
        </w:rPr>
        <w:t>地址：玉林市陆川县新洲北路96号</w:t>
      </w:r>
    </w:p>
    <w:p w14:paraId="1E4A8200">
      <w:pPr>
        <w:keepNext w:val="0"/>
        <w:keepLines w:val="0"/>
        <w:pageBreakBefore w:val="0"/>
        <w:kinsoku/>
        <w:wordWrap/>
        <w:overflowPunct/>
        <w:topLinePunct w:val="0"/>
        <w:autoSpaceDE/>
        <w:autoSpaceDN/>
        <w:bidi w:val="0"/>
        <w:adjustRightInd/>
        <w:snapToGrid/>
        <w:spacing w:line="440" w:lineRule="exact"/>
        <w:ind w:left="0" w:firstLine="420" w:firstLineChars="200"/>
        <w:contextualSpacing/>
        <w:jc w:val="left"/>
        <w:textAlignment w:val="auto"/>
        <w:rPr>
          <w:rFonts w:hint="eastAsia" w:ascii="宋体" w:hAnsi="宋体"/>
          <w:color w:val="auto"/>
          <w:szCs w:val="21"/>
          <w:highlight w:val="none"/>
        </w:rPr>
      </w:pPr>
      <w:r>
        <w:rPr>
          <w:rFonts w:hint="eastAsia" w:ascii="宋体" w:hAnsi="宋体"/>
          <w:color w:val="auto"/>
          <w:szCs w:val="21"/>
          <w:highlight w:val="none"/>
        </w:rPr>
        <w:t>项目联系人：吕兰英</w:t>
      </w:r>
    </w:p>
    <w:p w14:paraId="5CE39D99">
      <w:pPr>
        <w:keepNext w:val="0"/>
        <w:keepLines w:val="0"/>
        <w:pageBreakBefore w:val="0"/>
        <w:kinsoku/>
        <w:wordWrap/>
        <w:overflowPunct/>
        <w:topLinePunct w:val="0"/>
        <w:autoSpaceDE/>
        <w:autoSpaceDN/>
        <w:bidi w:val="0"/>
        <w:adjustRightInd/>
        <w:snapToGrid/>
        <w:spacing w:line="420" w:lineRule="exact"/>
        <w:ind w:left="0" w:firstLine="420" w:firstLineChars="200"/>
        <w:contextualSpacing/>
        <w:jc w:val="left"/>
        <w:textAlignment w:val="auto"/>
        <w:rPr>
          <w:rFonts w:hint="eastAsia" w:ascii="宋体" w:hAnsi="宋体" w:eastAsia="宋体" w:cs="宋体"/>
          <w:color w:val="auto"/>
          <w:sz w:val="21"/>
          <w:szCs w:val="21"/>
          <w:u w:val="none"/>
        </w:rPr>
      </w:pPr>
      <w:r>
        <w:rPr>
          <w:rFonts w:hint="eastAsia" w:ascii="宋体" w:hAnsi="宋体"/>
          <w:color w:val="auto"/>
          <w:szCs w:val="21"/>
          <w:highlight w:val="none"/>
        </w:rPr>
        <w:t>项目联系方式：0775-7232003</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u w:val="none"/>
        </w:rPr>
        <w:t xml:space="preserve">                    　 </w:t>
      </w:r>
    </w:p>
    <w:p w14:paraId="4677CE36">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u w:val="none"/>
        </w:rPr>
      </w:pPr>
      <w:bookmarkStart w:id="45" w:name="_Toc5007"/>
      <w:bookmarkStart w:id="46" w:name="_Toc17087"/>
      <w:bookmarkStart w:id="47" w:name="_Toc28359020"/>
      <w:bookmarkStart w:id="48" w:name="_Toc28359097"/>
      <w:bookmarkStart w:id="49" w:name="_Toc3995"/>
      <w:bookmarkStart w:id="50" w:name="_Toc25561"/>
      <w:bookmarkStart w:id="51" w:name="_Toc35393638"/>
      <w:bookmarkStart w:id="52" w:name="_Toc35393807"/>
      <w:r>
        <w:rPr>
          <w:rFonts w:hint="eastAsia" w:ascii="宋体" w:hAnsi="宋体" w:eastAsia="宋体" w:cs="宋体"/>
          <w:color w:val="auto"/>
          <w:kern w:val="0"/>
          <w:sz w:val="21"/>
          <w:szCs w:val="21"/>
          <w:u w:val="none"/>
        </w:rPr>
        <w:t>2.采购代理机构信息</w:t>
      </w:r>
      <w:bookmarkEnd w:id="45"/>
      <w:bookmarkEnd w:id="46"/>
      <w:bookmarkEnd w:id="47"/>
      <w:bookmarkEnd w:id="48"/>
      <w:bookmarkEnd w:id="49"/>
      <w:bookmarkEnd w:id="50"/>
      <w:bookmarkEnd w:id="51"/>
      <w:bookmarkEnd w:id="52"/>
    </w:p>
    <w:p w14:paraId="193836F7">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名称：</w:t>
      </w:r>
      <w:r>
        <w:rPr>
          <w:rFonts w:hint="eastAsia" w:ascii="宋体" w:hAnsi="宋体" w:cs="宋体"/>
          <w:color w:val="auto"/>
          <w:sz w:val="21"/>
          <w:szCs w:val="21"/>
          <w:u w:val="none"/>
          <w:lang w:eastAsia="zh-CN"/>
        </w:rPr>
        <w:t>广西建汇工程咨询有限公司</w:t>
      </w:r>
      <w:r>
        <w:rPr>
          <w:rFonts w:hint="eastAsia" w:ascii="宋体" w:hAnsi="宋体" w:eastAsia="宋体" w:cs="宋体"/>
          <w:color w:val="auto"/>
          <w:sz w:val="21"/>
          <w:szCs w:val="21"/>
          <w:u w:val="none"/>
        </w:rPr>
        <w:t>　　　　　　　　　　　</w:t>
      </w:r>
    </w:p>
    <w:p w14:paraId="23875AF8">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地址：</w:t>
      </w:r>
      <w:r>
        <w:rPr>
          <w:rFonts w:hint="eastAsia" w:ascii="宋体" w:hAnsi="宋体" w:cs="宋体"/>
          <w:color w:val="auto"/>
          <w:sz w:val="21"/>
          <w:szCs w:val="21"/>
          <w:highlight w:val="none"/>
          <w:u w:val="none"/>
          <w:lang w:val="en-US" w:eastAsia="zh-CN"/>
        </w:rPr>
        <w:t>玉林市玉州区江滨路东55号山水名城8栋10号商铺</w:t>
      </w:r>
      <w:r>
        <w:rPr>
          <w:rFonts w:hint="eastAsia" w:ascii="宋体" w:hAnsi="宋体" w:eastAsia="宋体" w:cs="宋体"/>
          <w:color w:val="auto"/>
          <w:sz w:val="21"/>
          <w:szCs w:val="21"/>
          <w:u w:val="none"/>
        </w:rPr>
        <w:t>　　　　　　　　　</w:t>
      </w:r>
    </w:p>
    <w:p w14:paraId="6E0136F7">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联系方式：</w:t>
      </w:r>
      <w:r>
        <w:rPr>
          <w:rFonts w:hint="eastAsia" w:ascii="宋体" w:hAnsi="宋体" w:cs="宋体"/>
          <w:color w:val="auto"/>
          <w:sz w:val="21"/>
          <w:szCs w:val="21"/>
          <w:highlight w:val="none"/>
          <w:u w:val="none"/>
          <w:lang w:eastAsia="zh-CN"/>
        </w:rPr>
        <w:t>0775-2698633</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u w:val="none"/>
        </w:rPr>
        <w:t xml:space="preserve">                       </w:t>
      </w:r>
    </w:p>
    <w:p w14:paraId="00DED8FF">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outlineLvl w:val="0"/>
        <w:rPr>
          <w:rFonts w:hint="eastAsia" w:ascii="宋体" w:hAnsi="宋体" w:eastAsia="宋体" w:cs="宋体"/>
          <w:color w:val="auto"/>
          <w:kern w:val="0"/>
          <w:sz w:val="21"/>
          <w:szCs w:val="21"/>
          <w:u w:val="none"/>
        </w:rPr>
      </w:pPr>
      <w:bookmarkStart w:id="53" w:name="_Toc4404"/>
      <w:bookmarkStart w:id="54" w:name="_Toc35393639"/>
      <w:bookmarkStart w:id="55" w:name="_Toc35393808"/>
      <w:bookmarkStart w:id="56" w:name="_Toc28359098"/>
      <w:bookmarkStart w:id="57" w:name="_Toc30979"/>
      <w:bookmarkStart w:id="58" w:name="_Toc28359021"/>
      <w:bookmarkStart w:id="59" w:name="_Toc20744"/>
      <w:bookmarkStart w:id="60" w:name="_Toc1192"/>
      <w:r>
        <w:rPr>
          <w:rFonts w:hint="eastAsia" w:ascii="宋体" w:hAnsi="宋体" w:eastAsia="宋体" w:cs="宋体"/>
          <w:color w:val="auto"/>
          <w:kern w:val="0"/>
          <w:sz w:val="21"/>
          <w:szCs w:val="21"/>
          <w:u w:val="none"/>
        </w:rPr>
        <w:t>3.项目联系方式</w:t>
      </w:r>
      <w:bookmarkEnd w:id="53"/>
      <w:bookmarkEnd w:id="54"/>
      <w:bookmarkEnd w:id="55"/>
      <w:bookmarkEnd w:id="56"/>
      <w:bookmarkEnd w:id="57"/>
      <w:bookmarkEnd w:id="58"/>
      <w:bookmarkEnd w:id="59"/>
      <w:bookmarkEnd w:id="60"/>
    </w:p>
    <w:p w14:paraId="5EAB6E57">
      <w:pPr>
        <w:pStyle w:val="14"/>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项目联系人：</w:t>
      </w:r>
      <w:r>
        <w:rPr>
          <w:rFonts w:hint="eastAsia" w:hAnsi="宋体" w:cs="宋体"/>
          <w:color w:val="auto"/>
          <w:sz w:val="21"/>
          <w:szCs w:val="21"/>
          <w:u w:val="none"/>
          <w:lang w:val="en-US" w:eastAsia="zh-CN"/>
        </w:rPr>
        <w:t>梁妮</w:t>
      </w:r>
      <w:r>
        <w:rPr>
          <w:rFonts w:hint="eastAsia" w:ascii="宋体" w:hAnsi="宋体" w:eastAsia="宋体" w:cs="宋体"/>
          <w:color w:val="auto"/>
          <w:sz w:val="21"/>
          <w:szCs w:val="21"/>
          <w:u w:val="none"/>
        </w:rPr>
        <w:t xml:space="preserve">                  </w:t>
      </w:r>
    </w:p>
    <w:p w14:paraId="54E40556">
      <w:pPr>
        <w:pageBreakBefore w:val="0"/>
        <w:widowControl w:val="0"/>
        <w:kinsoku/>
        <w:wordWrap/>
        <w:overflowPunct/>
        <w:topLinePunct w:val="0"/>
        <w:autoSpaceDE/>
        <w:autoSpaceDN/>
        <w:bidi w:val="0"/>
        <w:adjustRightInd/>
        <w:snapToGrid/>
        <w:spacing w:line="420" w:lineRule="exact"/>
        <w:ind w:left="0" w:leftChars="0" w:right="0" w:firstLine="420" w:firstLineChars="200"/>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u w:val="none"/>
        </w:rPr>
        <w:t>电话：</w:t>
      </w:r>
      <w:r>
        <w:rPr>
          <w:rFonts w:hint="eastAsia" w:ascii="宋体" w:hAnsi="宋体" w:cs="宋体"/>
          <w:color w:val="auto"/>
          <w:sz w:val="21"/>
          <w:szCs w:val="21"/>
          <w:highlight w:val="none"/>
          <w:u w:val="none"/>
          <w:lang w:eastAsia="zh-CN"/>
        </w:rPr>
        <w:t>0775-2698633</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shd w:val="clear" w:color="auto" w:fill="FFFFFF"/>
          <w:lang w:val="en-US" w:eastAsia="zh-CN"/>
        </w:rPr>
        <w:t xml:space="preserve">                           </w:t>
      </w:r>
    </w:p>
    <w:p w14:paraId="7BFAFBAA">
      <w:pPr>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eastAsia" w:ascii="宋体" w:hAnsi="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 xml:space="preserve">                             </w:t>
      </w:r>
      <w:r>
        <w:rPr>
          <w:rFonts w:hint="eastAsia" w:ascii="宋体" w:hAnsi="宋体" w:eastAsia="宋体" w:cs="宋体"/>
          <w:color w:val="auto"/>
          <w:sz w:val="21"/>
          <w:szCs w:val="21"/>
          <w:shd w:val="clear" w:color="auto" w:fill="FFFFFF"/>
          <w:lang w:val="en-US" w:eastAsia="zh-CN"/>
        </w:rPr>
        <w:t xml:space="preserve">  </w:t>
      </w:r>
      <w:r>
        <w:rPr>
          <w:rFonts w:hint="eastAsia" w:ascii="宋体" w:hAnsi="宋体" w:cs="宋体"/>
          <w:color w:val="auto"/>
          <w:sz w:val="21"/>
          <w:szCs w:val="21"/>
          <w:shd w:val="clear" w:color="auto" w:fill="FFFFFF"/>
          <w:lang w:val="en-US" w:eastAsia="zh-CN"/>
        </w:rPr>
        <w:t xml:space="preserve">        </w:t>
      </w:r>
    </w:p>
    <w:p w14:paraId="1A4A8004">
      <w:pPr>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eastAsia" w:ascii="宋体" w:hAnsi="宋体" w:eastAsia="宋体" w:cs="宋体"/>
          <w:bCs/>
          <w:color w:val="auto"/>
          <w:sz w:val="21"/>
          <w:szCs w:val="21"/>
          <w:lang w:eastAsia="zh-CN"/>
        </w:rPr>
      </w:pPr>
      <w:r>
        <w:rPr>
          <w:rFonts w:hint="eastAsia" w:ascii="宋体" w:hAnsi="宋体" w:cs="宋体"/>
          <w:color w:val="auto"/>
          <w:sz w:val="21"/>
          <w:szCs w:val="21"/>
          <w:shd w:val="clear" w:color="auto" w:fill="FFFFFF"/>
          <w:lang w:val="en-US" w:eastAsia="zh-CN"/>
        </w:rPr>
        <w:t xml:space="preserve">                                           广西建汇工程咨询有限公司</w:t>
      </w:r>
    </w:p>
    <w:p w14:paraId="5F331CB0">
      <w:pPr>
        <w:pageBreakBefore w:val="0"/>
        <w:kinsoku/>
        <w:wordWrap/>
        <w:overflowPunct/>
        <w:topLinePunct w:val="0"/>
        <w:autoSpaceDE/>
        <w:autoSpaceDN/>
        <w:bidi w:val="0"/>
        <w:adjustRightInd/>
        <w:spacing w:line="400" w:lineRule="exact"/>
        <w:ind w:left="0" w:leftChars="0" w:right="0" w:firstLine="420" w:firstLineChars="200"/>
        <w:jc w:val="center"/>
        <w:textAlignment w:val="auto"/>
        <w:rPr>
          <w:rFonts w:hint="eastAsia" w:asciiTheme="majorEastAsia" w:hAnsiTheme="majorEastAsia" w:eastAsiaTheme="majorEastAsia" w:cstheme="majorEastAsia"/>
          <w:b/>
          <w:color w:val="auto"/>
          <w:sz w:val="32"/>
          <w:highlight w:val="none"/>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highlight w:val="none"/>
          <w:lang w:val="en-US" w:eastAsia="zh-CN"/>
        </w:rPr>
        <w:t xml:space="preserve"> 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28</w:t>
      </w:r>
      <w:r>
        <w:rPr>
          <w:rFonts w:hint="eastAsia" w:ascii="宋体" w:hAnsi="宋体" w:eastAsia="宋体" w:cs="宋体"/>
          <w:color w:val="auto"/>
          <w:sz w:val="21"/>
          <w:szCs w:val="21"/>
          <w:highlight w:val="none"/>
          <w:lang w:eastAsia="zh-CN"/>
        </w:rPr>
        <w:t>日</w:t>
      </w:r>
      <w:r>
        <w:rPr>
          <w:rFonts w:hint="eastAsia" w:ascii="宋体" w:hAnsi="宋体"/>
          <w:bCs/>
          <w:color w:val="auto"/>
          <w:szCs w:val="21"/>
        </w:rPr>
        <w:t xml:space="preserve">                           </w:t>
      </w:r>
      <w:r>
        <w:rPr>
          <w:rFonts w:hint="eastAsia" w:ascii="宋体" w:hAnsi="宋体"/>
          <w:bCs/>
          <w:color w:val="auto"/>
          <w:szCs w:val="21"/>
          <w:lang w:val="en-US" w:eastAsia="zh-CN"/>
        </w:rPr>
        <w:t xml:space="preserve">                                                               </w:t>
      </w:r>
      <w:bookmarkStart w:id="61" w:name="_Toc44229894"/>
      <w:bookmarkStart w:id="62" w:name="_Toc2599"/>
      <w:bookmarkStart w:id="63" w:name="_Toc19097"/>
    </w:p>
    <w:p w14:paraId="3EA5B46F">
      <w:pPr>
        <w:jc w:val="both"/>
        <w:outlineLvl w:val="0"/>
        <w:rPr>
          <w:rFonts w:hint="eastAsia" w:asciiTheme="majorEastAsia" w:hAnsiTheme="majorEastAsia" w:eastAsiaTheme="majorEastAsia" w:cstheme="majorEastAsia"/>
          <w:b/>
          <w:color w:val="auto"/>
          <w:sz w:val="32"/>
          <w:highlight w:val="none"/>
        </w:rPr>
      </w:pPr>
    </w:p>
    <w:p w14:paraId="513FFE5A">
      <w:pPr>
        <w:jc w:val="center"/>
        <w:outlineLvl w:val="0"/>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t>第二章 供应商须知</w:t>
      </w:r>
      <w:bookmarkEnd w:id="61"/>
      <w:bookmarkEnd w:id="62"/>
      <w:bookmarkEnd w:id="63"/>
    </w:p>
    <w:p w14:paraId="40758A63">
      <w:pPr>
        <w:jc w:val="center"/>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t>供应商须知前附表</w:t>
      </w:r>
    </w:p>
    <w:p w14:paraId="7EAA193C">
      <w:pPr>
        <w:jc w:val="center"/>
        <w:rPr>
          <w:rFonts w:hint="eastAsia" w:ascii="宋体" w:hAnsi="宋体" w:eastAsia="宋体" w:cs="宋体"/>
          <w:b/>
          <w:color w:val="auto"/>
          <w:sz w:val="21"/>
          <w:szCs w:val="21"/>
          <w:highlight w:val="none"/>
        </w:rPr>
      </w:pPr>
    </w:p>
    <w:tbl>
      <w:tblPr>
        <w:tblStyle w:val="25"/>
        <w:tblW w:w="90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7912"/>
      </w:tblGrid>
      <w:tr w14:paraId="4047B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Pr>
          <w:p w14:paraId="7480DCC6">
            <w:pPr>
              <w:keepNext w:val="0"/>
              <w:keepLines w:val="0"/>
              <w:pageBreakBefore w:val="0"/>
              <w:kinsoku/>
              <w:wordWrap/>
              <w:overflowPunct/>
              <w:topLinePunct w:val="0"/>
              <w:bidi w:val="0"/>
              <w:adjustRightInd/>
              <w:snapToGrid/>
              <w:spacing w:line="440" w:lineRule="exact"/>
              <w:jc w:val="center"/>
              <w:textAlignment w:val="auto"/>
              <w:rPr>
                <w:rFonts w:ascii="宋体" w:hAnsi="宋体" w:cs="宋体"/>
                <w:b/>
                <w:color w:val="auto"/>
                <w:szCs w:val="21"/>
              </w:rPr>
            </w:pPr>
            <w:r>
              <w:rPr>
                <w:rFonts w:hint="eastAsia" w:ascii="宋体" w:hAnsi="宋体" w:cs="宋体"/>
                <w:b/>
                <w:color w:val="auto"/>
                <w:szCs w:val="21"/>
              </w:rPr>
              <w:t>条款号</w:t>
            </w:r>
          </w:p>
        </w:tc>
        <w:tc>
          <w:tcPr>
            <w:tcW w:w="7912" w:type="dxa"/>
          </w:tcPr>
          <w:p w14:paraId="6711F449">
            <w:pPr>
              <w:keepNext w:val="0"/>
              <w:keepLines w:val="0"/>
              <w:pageBreakBefore w:val="0"/>
              <w:kinsoku/>
              <w:wordWrap/>
              <w:overflowPunct/>
              <w:topLinePunct w:val="0"/>
              <w:bidi w:val="0"/>
              <w:adjustRightInd/>
              <w:snapToGrid/>
              <w:spacing w:line="440" w:lineRule="exact"/>
              <w:jc w:val="center"/>
              <w:textAlignment w:val="auto"/>
              <w:rPr>
                <w:rFonts w:ascii="宋体" w:hAnsi="宋体" w:cs="宋体"/>
                <w:b/>
                <w:color w:val="auto"/>
                <w:szCs w:val="21"/>
              </w:rPr>
            </w:pPr>
            <w:r>
              <w:rPr>
                <w:rFonts w:hint="eastAsia" w:ascii="宋体" w:hAnsi="宋体" w:cs="宋体"/>
                <w:b/>
                <w:color w:val="auto"/>
                <w:szCs w:val="21"/>
              </w:rPr>
              <w:t>内    容</w:t>
            </w:r>
          </w:p>
        </w:tc>
      </w:tr>
      <w:tr w14:paraId="2281C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22181C0F">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3</w:t>
            </w:r>
          </w:p>
        </w:tc>
        <w:tc>
          <w:tcPr>
            <w:tcW w:w="7912" w:type="dxa"/>
            <w:vAlign w:val="center"/>
          </w:tcPr>
          <w:p w14:paraId="4D13C722">
            <w:pPr>
              <w:keepNext w:val="0"/>
              <w:keepLines w:val="0"/>
              <w:pageBreakBefore w:val="0"/>
              <w:kinsoku/>
              <w:wordWrap/>
              <w:overflowPunct/>
              <w:topLinePunct w:val="0"/>
              <w:bidi w:val="0"/>
              <w:adjustRightInd/>
              <w:snapToGrid/>
              <w:spacing w:line="440" w:lineRule="exact"/>
              <w:textAlignment w:val="auto"/>
              <w:rPr>
                <w:rFonts w:ascii="宋体" w:hAnsi="宋体" w:cs="宋体"/>
                <w:color w:val="auto"/>
                <w:szCs w:val="21"/>
              </w:rPr>
            </w:pPr>
            <w:r>
              <w:rPr>
                <w:rFonts w:hint="eastAsia" w:ascii="宋体" w:hAnsi="宋体" w:cs="宋体"/>
                <w:bCs/>
                <w:color w:val="auto"/>
                <w:szCs w:val="21"/>
              </w:rPr>
              <w:t>供应商的资格条件</w:t>
            </w:r>
            <w:r>
              <w:rPr>
                <w:rFonts w:hint="eastAsia" w:ascii="宋体" w:hAnsi="宋体" w:cs="宋体"/>
                <w:color w:val="auto"/>
                <w:szCs w:val="21"/>
              </w:rPr>
              <w:t>：详见竞争性磋商公告</w:t>
            </w:r>
          </w:p>
        </w:tc>
      </w:tr>
      <w:tr w14:paraId="2DA1E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295B5B8A">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5.1</w:t>
            </w:r>
          </w:p>
        </w:tc>
        <w:tc>
          <w:tcPr>
            <w:tcW w:w="7912" w:type="dxa"/>
            <w:vAlign w:val="center"/>
          </w:tcPr>
          <w:p w14:paraId="7191D996">
            <w:pPr>
              <w:keepNext w:val="0"/>
              <w:keepLines w:val="0"/>
              <w:pageBreakBefore w:val="0"/>
              <w:kinsoku/>
              <w:wordWrap/>
              <w:overflowPunct/>
              <w:topLinePunct w:val="0"/>
              <w:bidi w:val="0"/>
              <w:adjustRightInd/>
              <w:snapToGrid/>
              <w:spacing w:line="440" w:lineRule="exact"/>
              <w:textAlignment w:val="auto"/>
              <w:rPr>
                <w:rFonts w:ascii="宋体" w:hAnsi="宋体" w:cs="宋体"/>
                <w:color w:val="auto"/>
                <w:szCs w:val="21"/>
              </w:rPr>
            </w:pPr>
            <w:r>
              <w:rPr>
                <w:rFonts w:hint="eastAsia" w:ascii="宋体" w:hAnsi="宋体" w:cs="宋体"/>
                <w:color w:val="auto"/>
                <w:szCs w:val="21"/>
              </w:rPr>
              <w:t>是否接受联合体竞标</w:t>
            </w:r>
            <w:r>
              <w:rPr>
                <w:rFonts w:hint="eastAsia" w:ascii="宋体" w:hAnsi="宋体" w:cs="宋体"/>
                <w:color w:val="auto"/>
                <w:szCs w:val="21"/>
                <w:lang w:eastAsia="zh-CN"/>
              </w:rPr>
              <w:t>：</w:t>
            </w:r>
            <w:r>
              <w:rPr>
                <w:rFonts w:hint="eastAsia" w:ascii="宋体" w:hAnsi="宋体" w:cs="宋体"/>
                <w:color w:val="auto"/>
                <w:szCs w:val="21"/>
              </w:rPr>
              <w:t xml:space="preserve"> </w:t>
            </w:r>
            <w:r>
              <w:rPr>
                <w:rFonts w:hint="eastAsia" w:asciiTheme="majorEastAsia" w:hAnsiTheme="majorEastAsia" w:eastAsiaTheme="majorEastAsia" w:cstheme="majorEastAsia"/>
                <w:b w:val="0"/>
                <w:bCs/>
                <w:color w:val="auto"/>
                <w:sz w:val="21"/>
                <w:szCs w:val="21"/>
                <w:highlight w:val="none"/>
              </w:rPr>
              <w:t>本项目不接受联合体</w:t>
            </w:r>
          </w:p>
        </w:tc>
      </w:tr>
      <w:tr w14:paraId="48554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152" w:type="dxa"/>
            <w:vAlign w:val="center"/>
          </w:tcPr>
          <w:p w14:paraId="5E14A562">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5</w:t>
            </w:r>
            <w:r>
              <w:rPr>
                <w:rFonts w:ascii="宋体" w:hAnsi="宋体" w:cs="宋体"/>
                <w:color w:val="auto"/>
                <w:szCs w:val="21"/>
              </w:rPr>
              <w:t>.2</w:t>
            </w:r>
          </w:p>
        </w:tc>
        <w:tc>
          <w:tcPr>
            <w:tcW w:w="7912" w:type="dxa"/>
            <w:vAlign w:val="center"/>
          </w:tcPr>
          <w:p w14:paraId="56C48341">
            <w:pPr>
              <w:keepNext w:val="0"/>
              <w:keepLines w:val="0"/>
              <w:pageBreakBefore w:val="0"/>
              <w:kinsoku/>
              <w:wordWrap/>
              <w:overflowPunct/>
              <w:topLinePunct w:val="0"/>
              <w:bidi w:val="0"/>
              <w:adjustRightInd/>
              <w:snapToGrid/>
              <w:spacing w:line="440" w:lineRule="exact"/>
              <w:textAlignment w:val="auto"/>
              <w:rPr>
                <w:rFonts w:ascii="宋体" w:hAnsi="宋体" w:cs="宋体"/>
                <w:color w:val="auto"/>
                <w:szCs w:val="21"/>
              </w:rPr>
            </w:pPr>
            <w:r>
              <w:rPr>
                <w:rFonts w:hint="eastAsia" w:ascii="宋体" w:hAnsi="宋体"/>
                <w:color w:val="auto"/>
                <w:szCs w:val="21"/>
              </w:rPr>
              <w:t>如接受联合体竞标，联合体竞标要求如下：无</w:t>
            </w:r>
          </w:p>
        </w:tc>
      </w:tr>
      <w:tr w14:paraId="51E35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4F2257D">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6.2</w:t>
            </w:r>
          </w:p>
        </w:tc>
        <w:tc>
          <w:tcPr>
            <w:tcW w:w="7912" w:type="dxa"/>
            <w:vAlign w:val="center"/>
          </w:tcPr>
          <w:p w14:paraId="5BE60EC0">
            <w:pPr>
              <w:pStyle w:val="9"/>
              <w:keepNext w:val="0"/>
              <w:keepLines w:val="0"/>
              <w:pageBreakBefore w:val="0"/>
              <w:kinsoku/>
              <w:wordWrap/>
              <w:overflowPunct/>
              <w:topLinePunct w:val="0"/>
              <w:bidi w:val="0"/>
              <w:adjustRightInd/>
              <w:snapToGrid/>
              <w:spacing w:line="440" w:lineRule="exact"/>
              <w:textAlignment w:val="auto"/>
              <w:rPr>
                <w:rFonts w:ascii="宋体" w:hAnsi="宋体" w:cs="宋体"/>
                <w:color w:val="auto"/>
                <w:szCs w:val="21"/>
              </w:rPr>
            </w:pPr>
            <w:r>
              <w:rPr>
                <w:rFonts w:hint="eastAsia" w:ascii="宋体" w:hAnsi="宋体"/>
                <w:color w:val="auto"/>
                <w:szCs w:val="21"/>
              </w:rPr>
              <w:t>☑不允许分包</w:t>
            </w:r>
          </w:p>
        </w:tc>
      </w:tr>
      <w:tr w14:paraId="218D1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AE85501">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p>
        </w:tc>
        <w:tc>
          <w:tcPr>
            <w:tcW w:w="7912" w:type="dxa"/>
            <w:vAlign w:val="center"/>
          </w:tcPr>
          <w:p w14:paraId="11203811">
            <w:pPr>
              <w:keepNext w:val="0"/>
              <w:keepLines w:val="0"/>
              <w:pageBreakBefore w:val="0"/>
              <w:kinsoku/>
              <w:wordWrap/>
              <w:overflowPunct/>
              <w:topLinePunct w:val="0"/>
              <w:bidi w:val="0"/>
              <w:adjustRightInd/>
              <w:snapToGrid/>
              <w:spacing w:line="440" w:lineRule="exact"/>
              <w:contextualSpacing/>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3C8801E3">
            <w:pPr>
              <w:keepNext w:val="0"/>
              <w:keepLines w:val="0"/>
              <w:pageBreakBefore w:val="0"/>
              <w:kinsoku/>
              <w:wordWrap/>
              <w:overflowPunct/>
              <w:topLinePunct w:val="0"/>
              <w:bidi w:val="0"/>
              <w:adjustRightInd/>
              <w:snapToGrid/>
              <w:spacing w:line="44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供应商为法人或者其他组织的提供其营业执照等证明文件复印件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6D39D792">
            <w:pPr>
              <w:keepNext w:val="0"/>
              <w:keepLines w:val="0"/>
              <w:pageBreakBefore w:val="0"/>
              <w:kinsoku/>
              <w:wordWrap/>
              <w:overflowPunct/>
              <w:topLinePunct w:val="0"/>
              <w:bidi w:val="0"/>
              <w:adjustRightInd/>
              <w:snapToGrid/>
              <w:spacing w:line="44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 xml:space="preserve"> 10 </w:t>
            </w:r>
            <w:r>
              <w:rPr>
                <w:rFonts w:hint="eastAsia" w:ascii="宋体" w:hAnsi="宋体" w:cs="宋体"/>
                <w:color w:val="auto"/>
                <w:szCs w:val="21"/>
                <w:highlight w:val="none"/>
              </w:rPr>
              <w:t>月至响应文件递交截止时间前连续</w:t>
            </w:r>
            <w:r>
              <w:rPr>
                <w:rFonts w:hint="eastAsia" w:ascii="宋体" w:hAnsi="宋体" w:cs="宋体"/>
                <w:color w:val="auto"/>
                <w:szCs w:val="21"/>
                <w:highlight w:val="none"/>
                <w:u w:val="single"/>
              </w:rPr>
              <w:t>3</w:t>
            </w:r>
            <w:r>
              <w:rPr>
                <w:rFonts w:hint="eastAsia" w:ascii="宋体" w:hAnsi="宋体" w:cs="宋体"/>
                <w:color w:val="auto"/>
                <w:szCs w:val="21"/>
                <w:highlight w:val="none"/>
              </w:rPr>
              <w:t>个月的依法缴纳税收的凭据复印件；</w:t>
            </w:r>
            <w:r>
              <w:rPr>
                <w:rFonts w:hint="eastAsia"/>
                <w:color w:val="auto"/>
                <w:highlight w:val="none"/>
              </w:rPr>
              <w:t>依法免税的，必须提供相应文件证明其依法免税。</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4EE6120B">
            <w:pPr>
              <w:keepNext w:val="0"/>
              <w:keepLines w:val="0"/>
              <w:pageBreakBefore w:val="0"/>
              <w:kinsoku/>
              <w:wordWrap/>
              <w:overflowPunct/>
              <w:topLinePunct w:val="0"/>
              <w:bidi w:val="0"/>
              <w:adjustRightInd/>
              <w:snapToGrid/>
              <w:spacing w:line="44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 xml:space="preserve"> 10 </w:t>
            </w:r>
            <w:r>
              <w:rPr>
                <w:rFonts w:hint="eastAsia" w:ascii="宋体" w:hAnsi="宋体" w:cs="宋体"/>
                <w:color w:val="auto"/>
                <w:szCs w:val="21"/>
                <w:highlight w:val="none"/>
              </w:rPr>
              <w:t>月至响应文件递交截止时间前连续</w:t>
            </w:r>
            <w:r>
              <w:rPr>
                <w:rFonts w:hint="eastAsia" w:ascii="宋体" w:hAnsi="宋体" w:cs="宋体"/>
                <w:color w:val="auto"/>
                <w:szCs w:val="21"/>
                <w:highlight w:val="none"/>
                <w:u w:val="single"/>
              </w:rPr>
              <w:t>3</w:t>
            </w:r>
            <w:r>
              <w:rPr>
                <w:rFonts w:hint="eastAsia" w:ascii="宋体" w:hAnsi="宋体" w:cs="宋体"/>
                <w:color w:val="auto"/>
                <w:szCs w:val="21"/>
                <w:highlight w:val="none"/>
              </w:rPr>
              <w:t>个月的依法缴纳社会保障资金的缴费凭证复印件；</w:t>
            </w:r>
            <w:r>
              <w:rPr>
                <w:rFonts w:hint="eastAsia"/>
                <w:color w:val="auto"/>
                <w:highlight w:val="none"/>
              </w:rPr>
              <w:t>依法不需要缴纳社会保障资金的，必须提供相应文件证明不需要缴纳社会保障资金。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72F9E07">
            <w:pPr>
              <w:keepNext w:val="0"/>
              <w:keepLines w:val="0"/>
              <w:pageBreakBefore w:val="0"/>
              <w:kinsoku/>
              <w:wordWrap/>
              <w:overflowPunct/>
              <w:topLinePunct w:val="0"/>
              <w:bidi w:val="0"/>
              <w:adjustRightInd/>
              <w:snapToGrid/>
              <w:spacing w:line="440" w:lineRule="exact"/>
              <w:contextualSpacing/>
              <w:jc w:val="left"/>
              <w:textAlignment w:val="auto"/>
              <w:rPr>
                <w:rFonts w:hint="eastAsia" w:ascii="宋体" w:hAnsi="宋体" w:cs="宋体"/>
                <w:b/>
                <w:color w:val="auto"/>
                <w:szCs w:val="21"/>
                <w:highlight w:val="none"/>
              </w:rPr>
            </w:pPr>
            <w:r>
              <w:rPr>
                <w:rFonts w:hint="eastAsia" w:ascii="宋体" w:hAnsi="宋体" w:cs="宋体"/>
                <w:color w:val="auto"/>
                <w:szCs w:val="21"/>
                <w:highlight w:val="none"/>
              </w:rPr>
              <w:t>4.供应商</w:t>
            </w:r>
            <w:r>
              <w:rPr>
                <w:rFonts w:hint="eastAsia" w:ascii="宋体" w:hAnsi="宋体"/>
                <w:color w:val="auto"/>
                <w:szCs w:val="21"/>
                <w:highlight w:val="none"/>
              </w:rPr>
              <w:t>财务状况报告（</w:t>
            </w:r>
            <w:r>
              <w:rPr>
                <w:rFonts w:hint="eastAsia" w:ascii="宋体" w:hAnsi="宋体"/>
                <w:color w:val="auto"/>
                <w:szCs w:val="21"/>
                <w:highlight w:val="none"/>
                <w:u w:val="single"/>
                <w:lang w:val="en-US" w:eastAsia="zh-CN"/>
              </w:rPr>
              <w:t>2025年</w:t>
            </w:r>
            <w:r>
              <w:rPr>
                <w:rFonts w:hint="eastAsia" w:ascii="宋体" w:hAnsi="宋体"/>
                <w:color w:val="auto"/>
                <w:szCs w:val="21"/>
                <w:highlight w:val="none"/>
              </w:rPr>
              <w:t>年度财务报表复印件，或者银行出具的资信证明，或者中国人民银行征信中心出具的信用报告；供应商属于</w:t>
            </w:r>
            <w:r>
              <w:rPr>
                <w:rFonts w:hint="eastAsia" w:ascii="宋体" w:hAnsi="宋体"/>
                <w:color w:val="auto"/>
                <w:highlight w:val="none"/>
              </w:rPr>
              <w:t>成立</w:t>
            </w:r>
            <w:r>
              <w:rPr>
                <w:rFonts w:ascii="宋体" w:hAnsi="宋体"/>
                <w:color w:val="auto"/>
                <w:highlight w:val="none"/>
              </w:rPr>
              <w:t>时间</w:t>
            </w:r>
            <w:r>
              <w:rPr>
                <w:rFonts w:hint="eastAsia" w:ascii="宋体" w:hAnsi="宋体"/>
                <w:color w:val="auto"/>
                <w:kern w:val="0"/>
                <w:highlight w:val="none"/>
              </w:rPr>
              <w:t>在规定年度之后</w:t>
            </w:r>
            <w:r>
              <w:rPr>
                <w:rFonts w:ascii="宋体" w:hAnsi="宋体"/>
                <w:color w:val="auto"/>
                <w:highlight w:val="none"/>
              </w:rPr>
              <w:t>的</w:t>
            </w:r>
            <w:r>
              <w:rPr>
                <w:rFonts w:hint="eastAsia" w:ascii="宋体" w:hAnsi="宋体"/>
                <w:color w:val="auto"/>
                <w:szCs w:val="21"/>
                <w:highlight w:val="none"/>
              </w:rPr>
              <w:t>法人或其他组织</w:t>
            </w:r>
            <w:r>
              <w:rPr>
                <w:rFonts w:ascii="宋体" w:hAnsi="宋体"/>
                <w:color w:val="auto"/>
                <w:highlight w:val="none"/>
              </w:rPr>
              <w:t>，需提供成立</w:t>
            </w:r>
            <w:r>
              <w:rPr>
                <w:rFonts w:hint="eastAsia" w:ascii="宋体" w:hAnsi="宋体"/>
                <w:color w:val="auto"/>
                <w:highlight w:val="none"/>
              </w:rPr>
              <w:t>之日起至响应文件提交截止时间前</w:t>
            </w:r>
            <w:r>
              <w:rPr>
                <w:rFonts w:ascii="宋体" w:hAnsi="宋体"/>
                <w:color w:val="auto"/>
                <w:highlight w:val="none"/>
              </w:rPr>
              <w:t>的月报表</w:t>
            </w:r>
            <w:r>
              <w:rPr>
                <w:rFonts w:hint="eastAsia" w:ascii="宋体" w:hAnsi="宋体"/>
                <w:color w:val="auto"/>
                <w:szCs w:val="21"/>
                <w:highlight w:val="none"/>
              </w:rPr>
              <w:t>或银行出具的资信证明或者中国人民银行征信中心出具的企业信用报告；资信证明应在有效期内，未注明有效期的，银行出具时间至响应文件提交截止时间不得超过一年）</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，否则响应文件按无效处理</w:t>
            </w:r>
            <w:r>
              <w:rPr>
                <w:rFonts w:hint="eastAsia" w:ascii="宋体" w:hAnsi="宋体" w:cs="宋体"/>
                <w:bCs/>
                <w:color w:val="auto"/>
                <w:szCs w:val="21"/>
                <w:highlight w:val="none"/>
              </w:rPr>
              <w:t>）</w:t>
            </w:r>
          </w:p>
          <w:p w14:paraId="01E95CE5">
            <w:pPr>
              <w:keepNext w:val="0"/>
              <w:keepLines w:val="0"/>
              <w:pageBreakBefore w:val="0"/>
              <w:kinsoku/>
              <w:wordWrap/>
              <w:overflowPunct/>
              <w:topLinePunct w:val="0"/>
              <w:bidi w:val="0"/>
              <w:adjustRightInd/>
              <w:snapToGrid/>
              <w:spacing w:line="44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5.供应商直接控股、管理关系信息表（格式后附）；（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F8FC0DF">
            <w:pPr>
              <w:keepNext w:val="0"/>
              <w:keepLines w:val="0"/>
              <w:pageBreakBefore w:val="0"/>
              <w:kinsoku/>
              <w:wordWrap/>
              <w:overflowPunct/>
              <w:topLinePunct w:val="0"/>
              <w:bidi w:val="0"/>
              <w:adjustRightInd/>
              <w:snapToGrid/>
              <w:spacing w:line="440" w:lineRule="exact"/>
              <w:contextualSpacing/>
              <w:jc w:val="left"/>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6.本项目的特定资格要求：</w:t>
            </w:r>
            <w:r>
              <w:rPr>
                <w:rFonts w:hint="eastAsia" w:ascii="宋体" w:hAnsi="宋体" w:eastAsia="宋体" w:cs="宋体"/>
                <w:b/>
                <w:bCs/>
                <w:color w:val="auto"/>
                <w:szCs w:val="21"/>
                <w:highlight w:val="none"/>
                <w:lang w:val="en-US" w:eastAsia="zh-CN"/>
              </w:rPr>
              <w:t>（必须提供，否则响应文件按无效响应处理）</w:t>
            </w:r>
          </w:p>
          <w:p w14:paraId="049D61E1">
            <w:pPr>
              <w:spacing w:line="360" w:lineRule="auto"/>
              <w:rPr>
                <w:rFonts w:ascii="宋体" w:hAnsi="宋体"/>
                <w:color w:val="auto"/>
                <w:szCs w:val="21"/>
                <w:highlight w:val="none"/>
              </w:rPr>
            </w:pPr>
            <w:r>
              <w:rPr>
                <w:rFonts w:hint="eastAsia" w:ascii="宋体" w:hAnsi="宋体"/>
                <w:color w:val="auto"/>
                <w:szCs w:val="21"/>
                <w:highlight w:val="none"/>
              </w:rPr>
              <w:t>（1）供应商须具备文物保护工程施工二级及以上资质（业务范围包含近现代重要史迹及代表性建筑）</w:t>
            </w:r>
            <w:r>
              <w:rPr>
                <w:rFonts w:hint="eastAsia"/>
                <w:color w:val="auto"/>
                <w:highlight w:val="none"/>
              </w:rPr>
              <w:t>，具备有效的安全生产许可证。</w:t>
            </w:r>
          </w:p>
          <w:p w14:paraId="4CEDFFD4">
            <w:pPr>
              <w:spacing w:line="360" w:lineRule="auto"/>
              <w:rPr>
                <w:rFonts w:hint="eastAsia"/>
                <w:color w:val="auto"/>
                <w:highlight w:val="none"/>
              </w:rPr>
            </w:pPr>
            <w:r>
              <w:rPr>
                <w:rFonts w:hint="eastAsia" w:ascii="宋体" w:hAnsi="宋体"/>
                <w:color w:val="auto"/>
                <w:szCs w:val="21"/>
                <w:highlight w:val="none"/>
              </w:rPr>
              <w:t>（2）供应商拟派的项目经理</w:t>
            </w:r>
            <w:r>
              <w:rPr>
                <w:rStyle w:val="32"/>
                <w:rFonts w:hint="eastAsia"/>
                <w:color w:val="auto"/>
                <w:highlight w:val="none"/>
              </w:rPr>
              <w:t>须具有</w:t>
            </w:r>
            <w:r>
              <w:rPr>
                <w:rFonts w:hint="eastAsia"/>
                <w:color w:val="auto"/>
                <w:highlight w:val="none"/>
              </w:rPr>
              <w:t>文物保护工程责任工程师资格证书</w:t>
            </w:r>
            <w:r>
              <w:rPr>
                <w:rFonts w:hint="eastAsia"/>
                <w:color w:val="auto"/>
                <w:highlight w:val="none"/>
                <w:lang w:eastAsia="zh-CN"/>
              </w:rPr>
              <w:t>，</w:t>
            </w:r>
            <w:r>
              <w:rPr>
                <w:rFonts w:hint="eastAsia" w:ascii="宋体" w:hAnsi="宋体" w:eastAsia="宋体" w:cs="宋体"/>
                <w:color w:val="auto"/>
                <w:sz w:val="21"/>
                <w:szCs w:val="21"/>
                <w:highlight w:val="none"/>
                <w:shd w:val="clear" w:color="auto" w:fill="auto"/>
                <w:lang w:val="en-US" w:eastAsia="en-US"/>
              </w:rPr>
              <w:t>且同时具备有中级(含)以上职</w:t>
            </w:r>
            <w:r>
              <w:rPr>
                <w:rFonts w:hint="eastAsia" w:ascii="宋体" w:hAnsi="宋体" w:eastAsia="宋体" w:cs="宋体"/>
                <w:color w:val="auto"/>
                <w:sz w:val="21"/>
                <w:szCs w:val="21"/>
                <w:highlight w:val="none"/>
                <w:shd w:val="clear" w:color="auto" w:fill="auto"/>
                <w:lang w:val="en-US" w:eastAsia="zh-CN"/>
              </w:rPr>
              <w:t>称。</w:t>
            </w:r>
            <w:r>
              <w:rPr>
                <w:rFonts w:hint="eastAsia"/>
                <w:color w:val="auto"/>
                <w:highlight w:val="none"/>
              </w:rPr>
              <w:t>本项目不接受有在建、已中标（成交）未开工或已列为其他项目中标候选人第一名的责任工程师作为项目经理。</w:t>
            </w:r>
          </w:p>
          <w:p w14:paraId="7C548703">
            <w:pPr>
              <w:wordWrap w:val="0"/>
              <w:spacing w:line="420" w:lineRule="exact"/>
              <w:rPr>
                <w:rFonts w:hint="eastAsia" w:ascii="宋体" w:hAnsi="宋体" w:eastAsia="宋体" w:cs="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cs="宋体"/>
                <w:color w:val="auto"/>
                <w:highlight w:val="none"/>
              </w:rPr>
              <w:t>拟派</w:t>
            </w:r>
            <w:r>
              <w:rPr>
                <w:rFonts w:hint="eastAsia" w:cs="Tahoma"/>
                <w:color w:val="auto"/>
                <w:szCs w:val="21"/>
                <w:highlight w:val="none"/>
              </w:rPr>
              <w:t>专职</w:t>
            </w:r>
            <w:r>
              <w:rPr>
                <w:rFonts w:hint="eastAsia" w:ascii="宋体" w:hAnsi="宋体" w:eastAsia="宋体" w:cs="宋体"/>
                <w:color w:val="auto"/>
                <w:szCs w:val="21"/>
                <w:highlight w:val="none"/>
              </w:rPr>
              <w:t>安全生产管理人员须具备有效的安全生产考核合格证书（C类），且不少于1人。</w:t>
            </w:r>
          </w:p>
          <w:p w14:paraId="58875B9F">
            <w:pPr>
              <w:wordWrap w:val="0"/>
              <w:spacing w:line="42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项目经理未在其他在施建设工程项目中任职的承诺函；（格式自拟）</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22B8DB0">
            <w:pPr>
              <w:keepNext w:val="0"/>
              <w:keepLines w:val="0"/>
              <w:pageBreakBefore w:val="0"/>
              <w:kinsoku/>
              <w:wordWrap/>
              <w:overflowPunct/>
              <w:topLinePunct w:val="0"/>
              <w:bidi w:val="0"/>
              <w:adjustRightInd/>
              <w:snapToGrid/>
              <w:spacing w:line="44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.竞标声明（格式后附）；（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8C0A812">
            <w:pPr>
              <w:keepNext w:val="0"/>
              <w:keepLines w:val="0"/>
              <w:pageBreakBefore w:val="0"/>
              <w:kinsoku/>
              <w:wordWrap/>
              <w:overflowPunct/>
              <w:topLinePunct w:val="0"/>
              <w:bidi w:val="0"/>
              <w:adjustRightInd/>
              <w:snapToGrid/>
              <w:spacing w:line="440" w:lineRule="exact"/>
              <w:contextualSpacing/>
              <w:jc w:val="left"/>
              <w:textAlignment w:val="auto"/>
              <w:rPr>
                <w:rFonts w:hint="eastAsia"/>
                <w:color w:val="auto"/>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w:t>
            </w:r>
            <w:bookmarkStart w:id="64" w:name="OLE_LINK11"/>
            <w:bookmarkStart w:id="65" w:name="OLE_LINK63"/>
            <w:r>
              <w:rPr>
                <w:rFonts w:hint="eastAsia" w:ascii="宋体" w:hAnsi="宋体" w:cs="宋体"/>
                <w:color w:val="auto"/>
                <w:szCs w:val="21"/>
                <w:highlight w:val="none"/>
              </w:rPr>
              <w:t>供应商为中小微企业或者监狱企业或者残疾人福利性单位的资格证明材料【供应商为中小微企业的应当提供《中小企业声明函》；供应商为残疾人福利性单位的应当提供《残疾人福利性单位声明函》；供应商为监狱企业的应当提供由省级以上监狱管理局、戒毒管理局（含新疆生产建设兵团）出具的属于监狱企业的证明文件】</w:t>
            </w:r>
            <w:bookmarkEnd w:id="64"/>
            <w:r>
              <w:rPr>
                <w:rFonts w:hint="eastAsia" w:ascii="宋体" w:hAnsi="宋体" w:cs="宋体"/>
                <w:color w:val="auto"/>
                <w:szCs w:val="21"/>
                <w:highlight w:val="none"/>
              </w:rPr>
              <w:t>（声明函格式后附）</w:t>
            </w:r>
            <w:bookmarkEnd w:id="65"/>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必须提供，否则响应文件按无效处理</w:t>
            </w:r>
            <w:r>
              <w:rPr>
                <w:rFonts w:hint="eastAsia" w:ascii="宋体" w:hAnsi="宋体"/>
                <w:color w:val="auto"/>
                <w:szCs w:val="21"/>
                <w:highlight w:val="none"/>
              </w:rPr>
              <w:t>）</w:t>
            </w:r>
          </w:p>
          <w:p w14:paraId="76072ABB">
            <w:pPr>
              <w:keepNext w:val="0"/>
              <w:keepLines w:val="0"/>
              <w:pageBreakBefore w:val="0"/>
              <w:kinsoku/>
              <w:wordWrap/>
              <w:overflowPunct/>
              <w:topLinePunct w:val="0"/>
              <w:bidi w:val="0"/>
              <w:adjustRightInd/>
              <w:snapToGrid/>
              <w:spacing w:line="440" w:lineRule="exact"/>
              <w:jc w:val="left"/>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10.</w:t>
            </w:r>
            <w:r>
              <w:rPr>
                <w:rFonts w:hint="eastAsia" w:ascii="宋体" w:hAnsi="宋体" w:eastAsia="宋体" w:cs="宋体"/>
                <w:b w:val="0"/>
                <w:bCs w:val="0"/>
                <w:color w:val="auto"/>
                <w:kern w:val="2"/>
                <w:sz w:val="21"/>
                <w:szCs w:val="21"/>
                <w:lang w:val="en-US" w:eastAsia="zh-CN" w:bidi="ar-SA"/>
              </w:rPr>
              <w:t>除磋商文件规定必须提供以外，供应商认为需要提供的其他证明材料。</w:t>
            </w:r>
          </w:p>
          <w:p w14:paraId="04A55101">
            <w:pPr>
              <w:keepNext w:val="0"/>
              <w:keepLines w:val="0"/>
              <w:pageBreakBefore w:val="0"/>
              <w:kinsoku/>
              <w:wordWrap/>
              <w:overflowPunct/>
              <w:topLinePunct w:val="0"/>
              <w:bidi w:val="0"/>
              <w:adjustRightInd/>
              <w:snapToGrid/>
              <w:spacing w:line="440" w:lineRule="exact"/>
              <w:jc w:val="left"/>
              <w:textAlignment w:val="auto"/>
              <w:rPr>
                <w:rFonts w:ascii="宋体" w:hAnsi="宋体" w:cs="宋体"/>
                <w:b/>
                <w:color w:val="auto"/>
                <w:szCs w:val="21"/>
              </w:rPr>
            </w:pPr>
            <w:r>
              <w:rPr>
                <w:rFonts w:hint="eastAsia" w:ascii="宋体" w:hAnsi="宋体"/>
                <w:b/>
                <w:bCs/>
                <w:color w:val="auto"/>
                <w:szCs w:val="21"/>
                <w:highlight w:val="none"/>
              </w:rPr>
              <w:t>注：</w:t>
            </w:r>
            <w:r>
              <w:rPr>
                <w:rFonts w:hint="eastAsia" w:ascii="宋体" w:hAnsi="宋体" w:cs="宋体"/>
                <w:b/>
                <w:bCs/>
                <w:color w:val="auto"/>
                <w:szCs w:val="21"/>
              </w:rPr>
              <w:t>以上标明“必须提供”的材料属于复印件的扫描件的</w:t>
            </w:r>
            <w:r>
              <w:rPr>
                <w:rFonts w:hint="eastAsia" w:ascii="宋体" w:hAnsi="宋体"/>
                <w:b/>
                <w:bCs/>
                <w:color w:val="auto"/>
                <w:szCs w:val="21"/>
                <w:highlight w:val="none"/>
              </w:rPr>
              <w:t>，</w:t>
            </w:r>
            <w:r>
              <w:rPr>
                <w:rFonts w:hint="eastAsia" w:ascii="宋体" w:hAnsi="宋体" w:eastAsia="宋体" w:cs="宋体"/>
                <w:b/>
                <w:bCs/>
                <w:color w:val="auto"/>
                <w:szCs w:val="21"/>
                <w:highlight w:val="none"/>
              </w:rPr>
              <w:t>必须加盖</w:t>
            </w:r>
            <w:r>
              <w:rPr>
                <w:rFonts w:hint="eastAsia" w:ascii="宋体" w:hAnsi="宋体" w:cs="宋体"/>
                <w:b/>
                <w:bCs/>
                <w:color w:val="auto"/>
                <w:szCs w:val="21"/>
                <w:highlight w:val="none"/>
                <w:lang w:val="en-US" w:eastAsia="zh-CN"/>
              </w:rPr>
              <w:t>供应商</w:t>
            </w:r>
            <w:r>
              <w:rPr>
                <w:rFonts w:hint="eastAsia" w:ascii="宋体" w:hAnsi="宋体" w:eastAsia="宋体" w:cs="宋体"/>
                <w:b/>
                <w:bCs/>
                <w:color w:val="auto"/>
                <w:szCs w:val="21"/>
                <w:highlight w:val="none"/>
              </w:rPr>
              <w:t>电子公章</w:t>
            </w:r>
            <w:r>
              <w:rPr>
                <w:rFonts w:hint="eastAsia" w:ascii="宋体" w:hAnsi="宋体"/>
                <w:b/>
                <w:bCs/>
                <w:color w:val="auto"/>
                <w:szCs w:val="21"/>
                <w:highlight w:val="none"/>
              </w:rPr>
              <w:t>，否则</w:t>
            </w:r>
            <w:r>
              <w:rPr>
                <w:rFonts w:hint="eastAsia" w:ascii="宋体" w:hAnsi="宋体" w:cs="Courier New"/>
                <w:b/>
                <w:color w:val="auto"/>
                <w:szCs w:val="21"/>
                <w:highlight w:val="none"/>
              </w:rPr>
              <w:t>作无</w:t>
            </w:r>
            <w:r>
              <w:rPr>
                <w:rFonts w:hint="eastAsia" w:ascii="宋体" w:hAnsi="宋体"/>
                <w:b/>
                <w:bCs/>
                <w:color w:val="auto"/>
                <w:szCs w:val="21"/>
                <w:highlight w:val="none"/>
              </w:rPr>
              <w:t>效投标处理。</w:t>
            </w:r>
          </w:p>
        </w:tc>
      </w:tr>
      <w:tr w14:paraId="7D96C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5" w:hRule="atLeast"/>
          <w:jc w:val="center"/>
        </w:trPr>
        <w:tc>
          <w:tcPr>
            <w:tcW w:w="1152" w:type="dxa"/>
            <w:vAlign w:val="center"/>
          </w:tcPr>
          <w:p w14:paraId="65369157">
            <w:pPr>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7912" w:type="dxa"/>
            <w:vAlign w:val="center"/>
          </w:tcPr>
          <w:p w14:paraId="7E9C1F1E">
            <w:pPr>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报价文件</w:t>
            </w:r>
            <w:r>
              <w:rPr>
                <w:rFonts w:hint="eastAsia" w:ascii="宋体" w:hAnsi="宋体" w:eastAsia="宋体" w:cs="宋体"/>
                <w:color w:val="auto"/>
                <w:szCs w:val="21"/>
                <w:highlight w:val="none"/>
                <w:lang w:val="en-US" w:eastAsia="zh-CN"/>
              </w:rPr>
              <w:t xml:space="preserve"> </w:t>
            </w:r>
          </w:p>
          <w:p w14:paraId="27B87CDF">
            <w:pPr>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函及</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函附录（格式后附）；</w:t>
            </w:r>
            <w:r>
              <w:rPr>
                <w:rFonts w:hint="eastAsia" w:ascii="宋体" w:hAnsi="宋体" w:eastAsia="宋体" w:cs="宋体"/>
                <w:b/>
                <w:bCs/>
                <w:color w:val="auto"/>
                <w:szCs w:val="21"/>
                <w:highlight w:val="none"/>
              </w:rPr>
              <w:t>（必须提供，否则响应文件按无效处理）</w:t>
            </w:r>
          </w:p>
          <w:p w14:paraId="20AD424C">
            <w:pPr>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2.竞标报价表（格式后附）；</w:t>
            </w:r>
            <w:r>
              <w:rPr>
                <w:rFonts w:hint="eastAsia" w:ascii="宋体" w:hAnsi="宋体" w:eastAsia="宋体" w:cs="宋体"/>
                <w:b/>
                <w:bCs/>
                <w:color w:val="auto"/>
                <w:szCs w:val="21"/>
                <w:highlight w:val="none"/>
              </w:rPr>
              <w:t>（必须提供，否则响应文件按无效处理）</w:t>
            </w:r>
          </w:p>
          <w:p w14:paraId="510C43D6">
            <w:pPr>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3.已标价工程量清单；</w:t>
            </w:r>
            <w:r>
              <w:rPr>
                <w:rFonts w:hint="eastAsia" w:ascii="宋体" w:hAnsi="宋体" w:eastAsia="宋体" w:cs="宋体"/>
                <w:b/>
                <w:bCs/>
                <w:color w:val="auto"/>
                <w:szCs w:val="21"/>
                <w:highlight w:val="none"/>
              </w:rPr>
              <w:t>（必须提供，否则响应文件按无效处理）</w:t>
            </w:r>
          </w:p>
          <w:p w14:paraId="0F6A17A4">
            <w:pPr>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4.供应商认为需要提供的其他有关资料。</w:t>
            </w:r>
          </w:p>
        </w:tc>
      </w:tr>
      <w:tr w14:paraId="6523C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5906E045">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w:t>
            </w:r>
            <w:r>
              <w:rPr>
                <w:rFonts w:ascii="宋体" w:hAnsi="宋体" w:cs="宋体"/>
                <w:color w:val="auto"/>
                <w:szCs w:val="21"/>
              </w:rPr>
              <w:t>2</w:t>
            </w:r>
          </w:p>
        </w:tc>
        <w:tc>
          <w:tcPr>
            <w:tcW w:w="7912" w:type="dxa"/>
            <w:vAlign w:val="center"/>
          </w:tcPr>
          <w:p w14:paraId="15AE8B71">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b/>
                <w:bCs/>
                <w:color w:val="auto"/>
                <w:szCs w:val="21"/>
              </w:rPr>
            </w:pPr>
            <w:r>
              <w:rPr>
                <w:rFonts w:hint="eastAsia" w:ascii="宋体" w:hAnsi="宋体" w:cs="宋体"/>
                <w:b/>
                <w:bCs/>
                <w:color w:val="auto"/>
                <w:szCs w:val="21"/>
              </w:rPr>
              <w:t>商务技术文件</w:t>
            </w:r>
          </w:p>
          <w:p w14:paraId="744BE4D0">
            <w:pPr>
              <w:keepNext w:val="0"/>
              <w:keepLines w:val="0"/>
              <w:pageBreakBefore w:val="0"/>
              <w:kinsoku/>
              <w:wordWrap/>
              <w:overflowPunct/>
              <w:topLinePunct w:val="0"/>
              <w:bidi w:val="0"/>
              <w:adjustRightInd/>
              <w:snapToGrid/>
              <w:spacing w:line="440" w:lineRule="exact"/>
              <w:contextualSpacing/>
              <w:textAlignment w:val="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6614970C">
            <w:pPr>
              <w:keepNext w:val="0"/>
              <w:keepLines w:val="0"/>
              <w:pageBreakBefore w:val="0"/>
              <w:kinsoku/>
              <w:wordWrap/>
              <w:overflowPunct/>
              <w:topLinePunct w:val="0"/>
              <w:bidi w:val="0"/>
              <w:adjustRightInd/>
              <w:snapToGrid/>
              <w:spacing w:line="440" w:lineRule="exact"/>
              <w:contextualSpacing/>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2.法定代表人身份证明书及法定代表人有效身份证正反面复印件（格式后附）；（</w:t>
            </w:r>
            <w:r>
              <w:rPr>
                <w:rFonts w:hint="eastAsia" w:ascii="宋体" w:hAnsi="宋体" w:cs="宋体"/>
                <w:b/>
                <w:bCs/>
                <w:color w:val="auto"/>
                <w:szCs w:val="21"/>
              </w:rPr>
              <w:t>除自然人竞标外必须提供，否则响应文件按无效响应处理</w:t>
            </w:r>
            <w:r>
              <w:rPr>
                <w:rFonts w:hint="eastAsia" w:ascii="宋体" w:hAnsi="宋体" w:cs="宋体"/>
                <w:color w:val="auto"/>
                <w:szCs w:val="21"/>
                <w:highlight w:val="none"/>
              </w:rPr>
              <w:t>）</w:t>
            </w:r>
          </w:p>
          <w:p w14:paraId="50B5FC46">
            <w:pPr>
              <w:keepNext w:val="0"/>
              <w:keepLines w:val="0"/>
              <w:pageBreakBefore w:val="0"/>
              <w:kinsoku/>
              <w:wordWrap/>
              <w:overflowPunct/>
              <w:topLinePunct w:val="0"/>
              <w:bidi w:val="0"/>
              <w:adjustRightInd/>
              <w:snapToGrid/>
              <w:spacing w:line="440" w:lineRule="exact"/>
              <w:contextualSpacing/>
              <w:textAlignment w:val="auto"/>
              <w:rPr>
                <w:rFonts w:hint="eastAsia"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3.授权委托书及委托代理人有效身份证正反面复印件（格式后附）；（</w:t>
            </w:r>
            <w:r>
              <w:rPr>
                <w:rFonts w:hint="eastAsia" w:ascii="宋体" w:hAnsi="宋体" w:cs="宋体"/>
                <w:b/>
                <w:color w:val="auto"/>
                <w:szCs w:val="21"/>
                <w:highlight w:val="none"/>
              </w:rPr>
              <w:t>委托时必须提供，否则响应文件按无效处理</w:t>
            </w:r>
            <w:r>
              <w:rPr>
                <w:rFonts w:hint="eastAsia" w:ascii="宋体" w:hAnsi="宋体" w:cs="宋体"/>
                <w:color w:val="auto"/>
                <w:szCs w:val="21"/>
                <w:highlight w:val="none"/>
              </w:rPr>
              <w:t>）</w:t>
            </w:r>
          </w:p>
          <w:p w14:paraId="278C02F4">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.项目管理机构配备情况表及主要人员简历表（格式后附）；（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1E337DC">
            <w:pPr>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.施工组织设计（格式自拟）；（</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D09AB01">
            <w:pPr>
              <w:keepNext w:val="0"/>
              <w:keepLines w:val="0"/>
              <w:pageBreakBefore w:val="0"/>
              <w:kinsoku/>
              <w:wordWrap/>
              <w:overflowPunct/>
              <w:topLinePunct w:val="0"/>
              <w:bidi w:val="0"/>
              <w:adjustRightInd/>
              <w:snapToGrid/>
              <w:spacing w:line="440" w:lineRule="exact"/>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.拟分包项目情况表（格式后附）；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如有）</w:t>
            </w:r>
          </w:p>
          <w:p w14:paraId="331648A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auto"/>
                <w:szCs w:val="21"/>
              </w:rPr>
            </w:pPr>
            <w:r>
              <w:rPr>
                <w:rFonts w:hint="eastAsia" w:ascii="宋体" w:hAnsi="宋体" w:cs="宋体"/>
                <w:b w:val="0"/>
                <w:bCs/>
                <w:color w:val="auto"/>
                <w:szCs w:val="21"/>
                <w:lang w:val="en-US" w:eastAsia="zh-CN"/>
              </w:rPr>
              <w:t>7.</w:t>
            </w:r>
            <w:r>
              <w:rPr>
                <w:rFonts w:hint="eastAsia" w:ascii="宋体" w:hAnsi="宋体" w:eastAsia="宋体" w:cs="宋体"/>
                <w:b w:val="0"/>
                <w:bCs/>
                <w:color w:val="auto"/>
                <w:szCs w:val="21"/>
                <w:lang w:eastAsia="zh-CN"/>
              </w:rPr>
              <w:t>除竞争性磋商文件规定必须提供以外，供应商需要说明的其他文件和说明。</w:t>
            </w:r>
          </w:p>
          <w:p w14:paraId="276CE137">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cs="宋体"/>
                <w:color w:val="auto"/>
                <w:szCs w:val="21"/>
              </w:rPr>
            </w:pPr>
            <w:r>
              <w:rPr>
                <w:rFonts w:hint="eastAsia" w:ascii="宋体" w:hAnsi="宋体" w:cs="宋体"/>
                <w:b/>
                <w:bCs/>
                <w:color w:val="auto"/>
                <w:szCs w:val="21"/>
                <w:lang w:val="en-US" w:eastAsia="zh-CN"/>
              </w:rPr>
              <w:t>注：</w:t>
            </w:r>
            <w:r>
              <w:rPr>
                <w:rFonts w:hint="eastAsia" w:ascii="宋体" w:hAnsi="宋体" w:cs="宋体"/>
                <w:b/>
                <w:bCs/>
                <w:color w:val="auto"/>
                <w:szCs w:val="21"/>
              </w:rPr>
              <w:t>以上标明“必须提供”的材料属于复印件的扫描件的，必须加盖</w:t>
            </w:r>
            <w:r>
              <w:rPr>
                <w:rFonts w:hint="eastAsia" w:ascii="宋体" w:hAnsi="宋体" w:cs="宋体"/>
                <w:b/>
                <w:bCs/>
                <w:color w:val="auto"/>
                <w:szCs w:val="21"/>
                <w:lang w:eastAsia="zh-CN"/>
              </w:rPr>
              <w:t>供应商</w:t>
            </w:r>
            <w:r>
              <w:rPr>
                <w:rFonts w:hint="eastAsia" w:ascii="宋体" w:hAnsi="宋体" w:cs="宋体"/>
                <w:b/>
                <w:bCs/>
                <w:color w:val="auto"/>
                <w:szCs w:val="21"/>
              </w:rPr>
              <w:t>电子公章，</w:t>
            </w:r>
            <w:r>
              <w:rPr>
                <w:rFonts w:hint="eastAsia" w:ascii="宋体" w:hAnsi="宋体" w:cs="宋体"/>
                <w:b/>
                <w:color w:val="auto"/>
                <w:szCs w:val="21"/>
                <w:highlight w:val="none"/>
              </w:rPr>
              <w:t>否则响应文件按无效响应处理</w:t>
            </w:r>
            <w:r>
              <w:rPr>
                <w:rFonts w:hint="eastAsia" w:ascii="宋体" w:hAnsi="宋体" w:cs="宋体"/>
                <w:b/>
                <w:bCs/>
                <w:color w:val="auto"/>
                <w:szCs w:val="21"/>
              </w:rPr>
              <w:t>。</w:t>
            </w:r>
          </w:p>
        </w:tc>
      </w:tr>
      <w:tr w14:paraId="73FA5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FA64452">
            <w:pPr>
              <w:keepNext w:val="0"/>
              <w:keepLines w:val="0"/>
              <w:pageBreakBefore w:val="0"/>
              <w:kinsoku/>
              <w:wordWrap/>
              <w:overflowPunct/>
              <w:topLinePunct w:val="0"/>
              <w:bidi w:val="0"/>
              <w:adjustRightInd/>
              <w:snapToGrid/>
              <w:spacing w:line="440" w:lineRule="exact"/>
              <w:jc w:val="center"/>
              <w:textAlignment w:val="auto"/>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p>
        </w:tc>
        <w:tc>
          <w:tcPr>
            <w:tcW w:w="7912" w:type="dxa"/>
            <w:vAlign w:val="center"/>
          </w:tcPr>
          <w:p w14:paraId="0F67947F">
            <w:pPr>
              <w:keepNext w:val="0"/>
              <w:keepLines w:val="0"/>
              <w:pageBreakBefore w:val="0"/>
              <w:kinsoku/>
              <w:wordWrap/>
              <w:overflowPunct/>
              <w:topLinePunct w:val="0"/>
              <w:bidi w:val="0"/>
              <w:adjustRightInd/>
              <w:snapToGrid/>
              <w:spacing w:line="440" w:lineRule="exact"/>
              <w:textAlignment w:val="auto"/>
              <w:rPr>
                <w:rFonts w:hint="default" w:ascii="宋体" w:hAnsi="宋体" w:eastAsia="宋体" w:cs="宋体"/>
                <w:b/>
                <w:bCs/>
                <w:color w:val="auto"/>
                <w:szCs w:val="21"/>
                <w:lang w:val="en-US" w:eastAsia="zh-CN"/>
              </w:rPr>
            </w:pPr>
            <w:r>
              <w:rPr>
                <w:rFonts w:hint="eastAsia" w:ascii="宋体" w:hAnsi="宋体" w:cs="宋体"/>
                <w:color w:val="auto"/>
                <w:szCs w:val="21"/>
              </w:rPr>
              <w:t>响应文件电子版：</w:t>
            </w:r>
            <w:r>
              <w:rPr>
                <w:rFonts w:hint="eastAsia" w:ascii="宋体" w:hAnsi="宋体" w:cs="宋体"/>
                <w:color w:val="auto"/>
                <w:szCs w:val="21"/>
                <w:lang w:val="en-US" w:eastAsia="zh-CN"/>
              </w:rPr>
              <w:t>不需要提供。</w:t>
            </w:r>
          </w:p>
        </w:tc>
      </w:tr>
      <w:tr w14:paraId="52E87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6464FF2C">
            <w:pPr>
              <w:keepNext w:val="0"/>
              <w:keepLines w:val="0"/>
              <w:pageBreakBefore w:val="0"/>
              <w:kinsoku/>
              <w:wordWrap/>
              <w:overflowPunct/>
              <w:topLinePunct w:val="0"/>
              <w:bidi w:val="0"/>
              <w:adjustRightInd/>
              <w:snapToGrid/>
              <w:spacing w:line="440" w:lineRule="exact"/>
              <w:jc w:val="center"/>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15.2</w:t>
            </w:r>
          </w:p>
        </w:tc>
        <w:tc>
          <w:tcPr>
            <w:tcW w:w="7912" w:type="dxa"/>
            <w:vAlign w:val="center"/>
          </w:tcPr>
          <w:p w14:paraId="024C4420">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szCs w:val="21"/>
              </w:rPr>
            </w:pPr>
            <w:r>
              <w:rPr>
                <w:rFonts w:hint="eastAsia" w:ascii="宋体" w:hAnsi="宋体" w:cs="宋体"/>
                <w:color w:val="auto"/>
                <w:szCs w:val="21"/>
                <w:lang w:val="en-US" w:eastAsia="zh-CN"/>
              </w:rPr>
              <w:t xml:space="preserve">竞标报价是履行合同的最终价格，包括了为实施和完成合同工程所需的劳务、材料、 </w:t>
            </w:r>
          </w:p>
          <w:p w14:paraId="2BF50379">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szCs w:val="21"/>
              </w:rPr>
            </w:pPr>
            <w:r>
              <w:rPr>
                <w:rFonts w:hint="eastAsia" w:ascii="宋体" w:hAnsi="宋体" w:cs="宋体"/>
                <w:color w:val="auto"/>
                <w:szCs w:val="21"/>
                <w:lang w:val="en-US" w:eastAsia="zh-CN"/>
              </w:rPr>
              <w:t xml:space="preserve">机械、质检（自检）、安装、缺陷修复、管理、保险、税费、利润等费用，以及合同 </w:t>
            </w:r>
          </w:p>
          <w:p w14:paraId="0F063C59">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szCs w:val="21"/>
              </w:rPr>
            </w:pPr>
            <w:r>
              <w:rPr>
                <w:rFonts w:hint="eastAsia" w:ascii="宋体" w:hAnsi="宋体" w:cs="宋体"/>
                <w:color w:val="auto"/>
                <w:szCs w:val="21"/>
                <w:lang w:val="en-US" w:eastAsia="zh-CN"/>
              </w:rPr>
              <w:t>明示或暗示的所有责任、义务和一般风险。</w:t>
            </w:r>
          </w:p>
        </w:tc>
      </w:tr>
      <w:tr w14:paraId="5D0C0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0AC33F9">
            <w:pPr>
              <w:keepNext w:val="0"/>
              <w:keepLines w:val="0"/>
              <w:pageBreakBefore w:val="0"/>
              <w:kinsoku/>
              <w:wordWrap/>
              <w:overflowPunct/>
              <w:topLinePunct w:val="0"/>
              <w:bidi w:val="0"/>
              <w:adjustRightInd/>
              <w:snapToGrid/>
              <w:spacing w:line="440" w:lineRule="exact"/>
              <w:jc w:val="center"/>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15.3</w:t>
            </w:r>
          </w:p>
        </w:tc>
        <w:tc>
          <w:tcPr>
            <w:tcW w:w="7912" w:type="dxa"/>
            <w:vAlign w:val="center"/>
          </w:tcPr>
          <w:p w14:paraId="54A1BD30">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szCs w:val="21"/>
              </w:rPr>
            </w:pPr>
            <w:r>
              <w:rPr>
                <w:rFonts w:hint="eastAsia" w:ascii="宋体" w:hAnsi="宋体" w:cs="宋体"/>
                <w:color w:val="auto"/>
                <w:szCs w:val="21"/>
                <w:lang w:val="en-US" w:eastAsia="zh-CN"/>
              </w:rPr>
              <w:t>本工程增值税计税方法：☑一般计税法； □简易计税法</w:t>
            </w:r>
          </w:p>
        </w:tc>
      </w:tr>
      <w:tr w14:paraId="52812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075A8193">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16.</w:t>
            </w:r>
            <w:r>
              <w:rPr>
                <w:rFonts w:ascii="宋体" w:hAnsi="宋体" w:cs="宋体"/>
                <w:color w:val="auto"/>
                <w:szCs w:val="21"/>
              </w:rPr>
              <w:t>2</w:t>
            </w:r>
          </w:p>
        </w:tc>
        <w:tc>
          <w:tcPr>
            <w:tcW w:w="7912" w:type="dxa"/>
            <w:vAlign w:val="center"/>
          </w:tcPr>
          <w:p w14:paraId="168A661F">
            <w:pPr>
              <w:pStyle w:val="8"/>
              <w:keepNext w:val="0"/>
              <w:keepLines w:val="0"/>
              <w:pageBreakBefore w:val="0"/>
              <w:numPr>
                <w:ilvl w:val="0"/>
                <w:numId w:val="0"/>
              </w:numPr>
              <w:tabs>
                <w:tab w:val="left" w:pos="720"/>
                <w:tab w:val="left" w:pos="840"/>
                <w:tab w:val="clear" w:pos="360"/>
              </w:tabs>
              <w:kinsoku/>
              <w:wordWrap/>
              <w:overflowPunct/>
              <w:topLinePunct w:val="0"/>
              <w:bidi w:val="0"/>
              <w:adjustRightInd/>
              <w:snapToGrid/>
              <w:spacing w:line="440" w:lineRule="exact"/>
              <w:textAlignment w:val="auto"/>
              <w:rPr>
                <w:rFonts w:ascii="宋体" w:hAnsi="宋体" w:cs="宋体"/>
                <w:color w:val="auto"/>
                <w:szCs w:val="21"/>
              </w:rPr>
            </w:pPr>
            <w:r>
              <w:rPr>
                <w:rFonts w:hint="eastAsia" w:ascii="宋体" w:hAnsi="宋体" w:cs="宋体"/>
                <w:color w:val="auto"/>
                <w:szCs w:val="21"/>
                <w:lang w:eastAsia="zh-CN"/>
              </w:rPr>
              <w:t>竞</w:t>
            </w:r>
            <w:r>
              <w:rPr>
                <w:rFonts w:hint="eastAsia" w:ascii="宋体" w:hAnsi="宋体" w:cs="宋体"/>
                <w:color w:val="auto"/>
                <w:szCs w:val="21"/>
              </w:rPr>
              <w:t>标有效期：自首次响应文件提交截止之日起</w:t>
            </w:r>
            <w:r>
              <w:rPr>
                <w:rFonts w:ascii="宋体" w:hAnsi="宋体" w:cs="宋体"/>
                <w:color w:val="auto"/>
                <w:szCs w:val="21"/>
                <w:u w:val="single"/>
              </w:rPr>
              <w:t xml:space="preserve"> </w:t>
            </w:r>
            <w:r>
              <w:rPr>
                <w:rFonts w:hint="eastAsia" w:ascii="宋体" w:hAnsi="宋体" w:cs="宋体"/>
                <w:color w:val="auto"/>
                <w:szCs w:val="21"/>
                <w:u w:val="single"/>
              </w:rPr>
              <w:t>60</w:t>
            </w:r>
            <w:r>
              <w:rPr>
                <w:rFonts w:ascii="宋体" w:hAnsi="宋体" w:cs="宋体"/>
                <w:color w:val="auto"/>
                <w:szCs w:val="21"/>
                <w:u w:val="single"/>
              </w:rPr>
              <w:t xml:space="preserve"> </w:t>
            </w:r>
            <w:r>
              <w:rPr>
                <w:rFonts w:hint="eastAsia" w:ascii="宋体" w:hAnsi="宋体" w:cs="宋体"/>
                <w:color w:val="auto"/>
                <w:szCs w:val="21"/>
              </w:rPr>
              <w:t>日。</w:t>
            </w:r>
          </w:p>
        </w:tc>
      </w:tr>
      <w:tr w14:paraId="3570F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137BB60D">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17.1</w:t>
            </w:r>
          </w:p>
        </w:tc>
        <w:tc>
          <w:tcPr>
            <w:tcW w:w="7912" w:type="dxa"/>
            <w:vAlign w:val="center"/>
          </w:tcPr>
          <w:p w14:paraId="01BAB0CC">
            <w:pPr>
              <w:keepNext w:val="0"/>
              <w:keepLines w:val="0"/>
              <w:pageBreakBefore w:val="0"/>
              <w:kinsoku/>
              <w:wordWrap/>
              <w:overflowPunct/>
              <w:topLinePunct w:val="0"/>
              <w:bidi w:val="0"/>
              <w:adjustRightInd/>
              <w:snapToGrid/>
              <w:spacing w:line="440" w:lineRule="exact"/>
              <w:textAlignment w:val="auto"/>
              <w:rPr>
                <w:rFonts w:ascii="宋体" w:hAnsi="宋体" w:cs="宋体"/>
                <w:color w:val="auto"/>
                <w:szCs w:val="21"/>
              </w:rPr>
            </w:pPr>
            <w:r>
              <w:rPr>
                <w:rFonts w:hint="eastAsia" w:ascii="宋体" w:hAnsi="宋体" w:cs="宋体"/>
                <w:color w:val="auto"/>
                <w:szCs w:val="21"/>
              </w:rPr>
              <w:t>磋商保证金：无</w:t>
            </w:r>
          </w:p>
        </w:tc>
      </w:tr>
      <w:tr w14:paraId="3B6A7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395D56FC">
            <w:pPr>
              <w:keepNext w:val="0"/>
              <w:keepLines w:val="0"/>
              <w:pageBreakBefore w:val="0"/>
              <w:kinsoku/>
              <w:wordWrap/>
              <w:overflowPunct/>
              <w:topLinePunct w:val="0"/>
              <w:bidi w:val="0"/>
              <w:adjustRightInd/>
              <w:snapToGrid/>
              <w:spacing w:line="440" w:lineRule="exact"/>
              <w:jc w:val="center"/>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19</w:t>
            </w:r>
          </w:p>
        </w:tc>
        <w:tc>
          <w:tcPr>
            <w:tcW w:w="7912" w:type="dxa"/>
            <w:vAlign w:val="center"/>
          </w:tcPr>
          <w:p w14:paraId="0815C561">
            <w:pPr>
              <w:keepNext w:val="0"/>
              <w:keepLines w:val="0"/>
              <w:pageBreakBefore w:val="0"/>
              <w:kinsoku/>
              <w:wordWrap/>
              <w:overflowPunct/>
              <w:topLinePunct w:val="0"/>
              <w:bidi w:val="0"/>
              <w:adjustRightInd/>
              <w:snapToGrid/>
              <w:spacing w:line="440" w:lineRule="exact"/>
              <w:jc w:val="left"/>
              <w:textAlignment w:val="auto"/>
              <w:rPr>
                <w:rFonts w:hint="eastAsia" w:ascii="宋体" w:hAnsi="宋体" w:cs="宋体"/>
                <w:color w:val="auto"/>
                <w:szCs w:val="21"/>
              </w:rPr>
            </w:pPr>
            <w:r>
              <w:rPr>
                <w:rFonts w:hint="eastAsia" w:ascii="宋体" w:hAnsi="宋体" w:cs="宋体"/>
                <w:color w:val="auto"/>
                <w:szCs w:val="21"/>
                <w:lang w:val="en-US" w:eastAsia="zh-CN"/>
              </w:rPr>
              <w:t>本项目不接受电子备份响应文件。</w:t>
            </w:r>
          </w:p>
        </w:tc>
      </w:tr>
      <w:tr w14:paraId="0ED21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38E1ADF1">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20.1</w:t>
            </w:r>
          </w:p>
        </w:tc>
        <w:tc>
          <w:tcPr>
            <w:tcW w:w="7912" w:type="dxa"/>
            <w:vAlign w:val="center"/>
          </w:tcPr>
          <w:p w14:paraId="4F1A241A">
            <w:pPr>
              <w:keepNext w:val="0"/>
              <w:keepLines w:val="0"/>
              <w:pageBreakBefore w:val="0"/>
              <w:kinsoku/>
              <w:wordWrap/>
              <w:overflowPunct/>
              <w:topLinePunct w:val="0"/>
              <w:bidi w:val="0"/>
              <w:adjustRightInd/>
              <w:snapToGrid/>
              <w:spacing w:line="440" w:lineRule="exact"/>
              <w:jc w:val="left"/>
              <w:textAlignment w:val="auto"/>
              <w:rPr>
                <w:rFonts w:ascii="宋体" w:hAnsi="宋体" w:cs="宋体"/>
                <w:color w:val="auto"/>
                <w:szCs w:val="21"/>
                <w:u w:val="single"/>
              </w:rPr>
            </w:pPr>
            <w:r>
              <w:rPr>
                <w:rFonts w:hint="eastAsia" w:ascii="宋体" w:hAnsi="宋体" w:cs="宋体"/>
                <w:color w:val="auto"/>
                <w:szCs w:val="21"/>
              </w:rPr>
              <w:t>首次响应文件提交截止时间：详见竞争性磋商公告。</w:t>
            </w:r>
          </w:p>
          <w:p w14:paraId="7BDDE79C">
            <w:pPr>
              <w:keepNext w:val="0"/>
              <w:keepLines w:val="0"/>
              <w:pageBreakBefore w:val="0"/>
              <w:kinsoku/>
              <w:wordWrap/>
              <w:overflowPunct/>
              <w:topLinePunct w:val="0"/>
              <w:bidi w:val="0"/>
              <w:adjustRightInd/>
              <w:snapToGrid/>
              <w:spacing w:line="440" w:lineRule="exact"/>
              <w:jc w:val="left"/>
              <w:textAlignment w:val="auto"/>
              <w:rPr>
                <w:rFonts w:ascii="宋体" w:hAnsi="宋体" w:cs="宋体"/>
                <w:color w:val="auto"/>
                <w:szCs w:val="21"/>
              </w:rPr>
            </w:pPr>
            <w:r>
              <w:rPr>
                <w:rFonts w:hint="eastAsia" w:ascii="宋体" w:hAnsi="宋体" w:cs="宋体"/>
                <w:color w:val="auto"/>
                <w:szCs w:val="21"/>
              </w:rPr>
              <w:t>首次响应文件提交地点：详见竞争性磋商公告。</w:t>
            </w:r>
          </w:p>
        </w:tc>
      </w:tr>
      <w:tr w14:paraId="768B4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2984D6A3">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24.1</w:t>
            </w:r>
          </w:p>
        </w:tc>
        <w:tc>
          <w:tcPr>
            <w:tcW w:w="7912" w:type="dxa"/>
            <w:vAlign w:val="center"/>
          </w:tcPr>
          <w:p w14:paraId="3EFB361B">
            <w:pPr>
              <w:keepNext w:val="0"/>
              <w:keepLines w:val="0"/>
              <w:pageBreakBefore w:val="0"/>
              <w:kinsoku/>
              <w:wordWrap/>
              <w:overflowPunct/>
              <w:topLinePunct w:val="0"/>
              <w:bidi w:val="0"/>
              <w:adjustRightInd/>
              <w:snapToGrid/>
              <w:spacing w:line="440" w:lineRule="exact"/>
              <w:jc w:val="left"/>
              <w:textAlignment w:val="auto"/>
              <w:rPr>
                <w:rFonts w:ascii="宋体" w:hAnsi="宋体" w:cs="宋体"/>
                <w:color w:val="auto"/>
                <w:szCs w:val="21"/>
                <w:u w:val="single"/>
              </w:rPr>
            </w:pPr>
            <w:r>
              <w:rPr>
                <w:rFonts w:hint="eastAsia" w:ascii="宋体" w:hAnsi="宋体" w:cs="宋体"/>
                <w:color w:val="auto"/>
                <w:szCs w:val="21"/>
              </w:rPr>
              <w:t>磋商小组的人数：</w:t>
            </w:r>
            <w:r>
              <w:rPr>
                <w:rFonts w:hint="eastAsia" w:ascii="宋体" w:hAnsi="宋体" w:cs="宋体"/>
                <w:color w:val="auto"/>
                <w:szCs w:val="21"/>
                <w:u w:val="single"/>
              </w:rPr>
              <w:t xml:space="preserve"> 3 </w:t>
            </w:r>
            <w:r>
              <w:rPr>
                <w:rFonts w:hint="eastAsia" w:ascii="宋体" w:hAnsi="宋体" w:cs="宋体"/>
                <w:color w:val="auto"/>
                <w:szCs w:val="21"/>
              </w:rPr>
              <w:t>人。</w:t>
            </w:r>
          </w:p>
        </w:tc>
      </w:tr>
      <w:tr w14:paraId="374C5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1152" w:type="dxa"/>
            <w:vAlign w:val="center"/>
          </w:tcPr>
          <w:p w14:paraId="3EAE996C">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ascii="宋体" w:hAnsi="宋体" w:cs="宋体"/>
                <w:color w:val="auto"/>
                <w:szCs w:val="21"/>
              </w:rPr>
              <w:t>28.1</w:t>
            </w:r>
          </w:p>
        </w:tc>
        <w:tc>
          <w:tcPr>
            <w:tcW w:w="7912" w:type="dxa"/>
            <w:vAlign w:val="center"/>
          </w:tcPr>
          <w:p w14:paraId="1A2744EA">
            <w:pPr>
              <w:keepNext w:val="0"/>
              <w:keepLines w:val="0"/>
              <w:pageBreakBefore w:val="0"/>
              <w:kinsoku/>
              <w:wordWrap/>
              <w:overflowPunct/>
              <w:topLinePunct w:val="0"/>
              <w:bidi w:val="0"/>
              <w:adjustRightInd/>
              <w:snapToGrid/>
              <w:spacing w:line="440" w:lineRule="exact"/>
              <w:textAlignment w:val="auto"/>
              <w:rPr>
                <w:rFonts w:ascii="宋体" w:hAnsi="宋体" w:cs="宋体"/>
                <w:color w:val="auto"/>
                <w:szCs w:val="21"/>
              </w:rPr>
            </w:pPr>
            <w:r>
              <w:rPr>
                <w:rFonts w:hint="eastAsia" w:ascii="宋体" w:hAnsi="宋体" w:cs="宋体"/>
                <w:color w:val="auto"/>
                <w:szCs w:val="21"/>
              </w:rPr>
              <w:t>履约保证金金额：无</w:t>
            </w:r>
          </w:p>
        </w:tc>
      </w:tr>
      <w:tr w14:paraId="12D77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665405F">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ascii="宋体" w:hAnsi="宋体" w:cs="宋体"/>
                <w:color w:val="auto"/>
                <w:szCs w:val="21"/>
              </w:rPr>
              <w:t>29.1</w:t>
            </w:r>
          </w:p>
        </w:tc>
        <w:tc>
          <w:tcPr>
            <w:tcW w:w="7912" w:type="dxa"/>
            <w:vAlign w:val="center"/>
          </w:tcPr>
          <w:p w14:paraId="5FBE91E7">
            <w:pPr>
              <w:keepNext w:val="0"/>
              <w:keepLines w:val="0"/>
              <w:pageBreakBefore w:val="0"/>
              <w:kinsoku/>
              <w:wordWrap/>
              <w:overflowPunct/>
              <w:topLinePunct w:val="0"/>
              <w:autoSpaceDE w:val="0"/>
              <w:autoSpaceDN w:val="0"/>
              <w:bidi w:val="0"/>
              <w:adjustRightInd/>
              <w:snapToGrid/>
              <w:spacing w:line="440" w:lineRule="exact"/>
              <w:textAlignment w:val="auto"/>
              <w:rPr>
                <w:rFonts w:ascii="宋体" w:hAnsi="宋体"/>
                <w:color w:val="auto"/>
                <w:szCs w:val="21"/>
              </w:rPr>
            </w:pPr>
            <w:r>
              <w:rPr>
                <w:rFonts w:hint="eastAsia" w:ascii="宋体" w:hAnsi="宋体"/>
                <w:color w:val="auto"/>
                <w:szCs w:val="21"/>
              </w:rPr>
              <w:t xml:space="preserve">签订合同携带的证明材料： </w:t>
            </w:r>
          </w:p>
          <w:p w14:paraId="5144C119">
            <w:pPr>
              <w:keepNext w:val="0"/>
              <w:keepLines w:val="0"/>
              <w:pageBreakBefore w:val="0"/>
              <w:kinsoku/>
              <w:wordWrap/>
              <w:overflowPunct/>
              <w:topLinePunct w:val="0"/>
              <w:autoSpaceDE w:val="0"/>
              <w:autoSpaceDN w:val="0"/>
              <w:bidi w:val="0"/>
              <w:adjustRightInd/>
              <w:snapToGrid/>
              <w:spacing w:line="440" w:lineRule="exact"/>
              <w:textAlignment w:val="auto"/>
              <w:rPr>
                <w:rFonts w:ascii="宋体" w:hAnsi="宋体"/>
                <w:color w:val="auto"/>
                <w:szCs w:val="21"/>
              </w:rPr>
            </w:pPr>
            <w:r>
              <w:rPr>
                <w:rFonts w:hint="eastAsia" w:ascii="宋体" w:hAnsi="宋体"/>
                <w:color w:val="auto"/>
                <w:szCs w:val="21"/>
              </w:rPr>
              <w:t>委托代理人负责签订合同的，须携带授权委托书及委托代理人身份证原件等其他资格证件。</w:t>
            </w:r>
          </w:p>
          <w:p w14:paraId="6BDE18AE">
            <w:pPr>
              <w:keepNext w:val="0"/>
              <w:keepLines w:val="0"/>
              <w:pageBreakBefore w:val="0"/>
              <w:kinsoku/>
              <w:wordWrap/>
              <w:overflowPunct/>
              <w:topLinePunct w:val="0"/>
              <w:bidi w:val="0"/>
              <w:adjustRightInd/>
              <w:snapToGrid/>
              <w:spacing w:line="440" w:lineRule="exact"/>
              <w:textAlignment w:val="auto"/>
              <w:rPr>
                <w:rFonts w:ascii="宋体" w:hAnsi="宋体" w:cs="宋体"/>
                <w:color w:val="auto"/>
                <w:szCs w:val="21"/>
              </w:rPr>
            </w:pPr>
            <w:r>
              <w:rPr>
                <w:rFonts w:hint="eastAsia" w:ascii="宋体" w:hAnsi="宋体"/>
                <w:color w:val="auto"/>
                <w:szCs w:val="21"/>
              </w:rPr>
              <w:t>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3B15B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2A4FFB1A">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30</w:t>
            </w:r>
          </w:p>
        </w:tc>
        <w:tc>
          <w:tcPr>
            <w:tcW w:w="7912" w:type="dxa"/>
            <w:vAlign w:val="center"/>
          </w:tcPr>
          <w:p w14:paraId="59DD7B35">
            <w:pPr>
              <w:pStyle w:val="14"/>
              <w:keepNext w:val="0"/>
              <w:keepLines w:val="0"/>
              <w:pageBreakBefore w:val="0"/>
              <w:kinsoku/>
              <w:wordWrap/>
              <w:overflowPunct/>
              <w:topLinePunct w:val="0"/>
              <w:bidi w:val="0"/>
              <w:adjustRightInd/>
              <w:snapToGrid/>
              <w:spacing w:line="440" w:lineRule="exact"/>
              <w:textAlignment w:val="auto"/>
              <w:rPr>
                <w:rFonts w:hAnsi="宋体" w:cs="宋体"/>
                <w:color w:val="auto"/>
                <w:kern w:val="2"/>
                <w:sz w:val="21"/>
              </w:rPr>
            </w:pPr>
            <w:r>
              <w:rPr>
                <w:rFonts w:hint="eastAsia" w:hAnsi="宋体" w:cs="宋体"/>
                <w:color w:val="auto"/>
                <w:kern w:val="2"/>
                <w:sz w:val="21"/>
              </w:rPr>
              <w:t>政府采购合同公告。</w:t>
            </w:r>
          </w:p>
          <w:p w14:paraId="6BC5D43A">
            <w:pPr>
              <w:keepNext w:val="0"/>
              <w:keepLines w:val="0"/>
              <w:pageBreakBefore w:val="0"/>
              <w:kinsoku/>
              <w:wordWrap/>
              <w:overflowPunct/>
              <w:topLinePunct w:val="0"/>
              <w:bidi w:val="0"/>
              <w:adjustRightInd/>
              <w:snapToGrid/>
              <w:spacing w:line="440" w:lineRule="exact"/>
              <w:textAlignment w:val="auto"/>
              <w:rPr>
                <w:rFonts w:ascii="宋体" w:hAnsi="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tc>
      </w:tr>
      <w:tr w14:paraId="6F34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4B4A1EC5">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1.2</w:t>
            </w:r>
          </w:p>
        </w:tc>
        <w:tc>
          <w:tcPr>
            <w:tcW w:w="7912" w:type="dxa"/>
            <w:vAlign w:val="center"/>
          </w:tcPr>
          <w:p w14:paraId="139E3850">
            <w:pPr>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color w:val="auto"/>
                <w:szCs w:val="21"/>
              </w:rPr>
            </w:pPr>
            <w:r>
              <w:rPr>
                <w:rFonts w:hint="eastAsia" w:ascii="宋体" w:hAnsi="宋体" w:eastAsia="宋体" w:cs="宋体"/>
                <w:color w:val="auto"/>
                <w:szCs w:val="21"/>
              </w:rPr>
              <w:t>接收质疑函方式：以书面形式。</w:t>
            </w:r>
          </w:p>
          <w:p w14:paraId="18FEACDC">
            <w:pPr>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color w:val="auto"/>
                <w:szCs w:val="21"/>
              </w:rPr>
            </w:pPr>
            <w:r>
              <w:rPr>
                <w:rFonts w:hint="eastAsia" w:ascii="宋体" w:hAnsi="宋体" w:eastAsia="宋体" w:cs="宋体"/>
                <w:color w:val="auto"/>
                <w:szCs w:val="21"/>
              </w:rPr>
              <w:t>质疑联系部门及联系方式：</w:t>
            </w:r>
            <w:r>
              <w:rPr>
                <w:rFonts w:hint="eastAsia" w:ascii="宋体" w:hAnsi="宋体" w:cs="宋体"/>
                <w:color w:val="auto"/>
                <w:szCs w:val="21"/>
                <w:lang w:eastAsia="zh-CN"/>
              </w:rPr>
              <w:t>广西建汇工程咨询有限公司</w:t>
            </w:r>
            <w:r>
              <w:rPr>
                <w:rFonts w:hint="eastAsia" w:ascii="宋体" w:hAnsi="宋体" w:eastAsia="宋体" w:cs="宋体"/>
                <w:color w:val="auto"/>
                <w:szCs w:val="21"/>
              </w:rPr>
              <w:t>，联系电话：</w:t>
            </w:r>
            <w:r>
              <w:rPr>
                <w:rFonts w:hint="eastAsia" w:ascii="宋体" w:hAnsi="宋体" w:cs="宋体"/>
                <w:color w:val="auto"/>
                <w:sz w:val="21"/>
                <w:szCs w:val="21"/>
                <w:highlight w:val="none"/>
                <w:u w:val="none"/>
                <w:lang w:eastAsia="zh-CN"/>
              </w:rPr>
              <w:t>0775-2698633</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Cs w:val="21"/>
              </w:rPr>
              <w:t>，通讯地址：</w:t>
            </w:r>
            <w:r>
              <w:rPr>
                <w:rFonts w:hint="eastAsia" w:ascii="宋体" w:hAnsi="宋体" w:cs="宋体"/>
                <w:color w:val="auto"/>
                <w:sz w:val="21"/>
                <w:szCs w:val="21"/>
                <w:highlight w:val="none"/>
                <w:u w:val="none"/>
                <w:lang w:val="en-US" w:eastAsia="zh-CN"/>
              </w:rPr>
              <w:t>玉林市玉州区江滨路东55号山水名城8栋10号商铺</w:t>
            </w:r>
            <w:r>
              <w:rPr>
                <w:rFonts w:hint="eastAsia" w:ascii="宋体" w:hAnsi="宋体" w:eastAsia="宋体" w:cs="宋体"/>
                <w:color w:val="auto"/>
                <w:sz w:val="21"/>
                <w:szCs w:val="21"/>
                <w:highlight w:val="none"/>
                <w:u w:val="none"/>
              </w:rPr>
              <w:t>　</w:t>
            </w:r>
          </w:p>
          <w:p w14:paraId="6FA71273">
            <w:pPr>
              <w:pStyle w:val="14"/>
              <w:keepNext w:val="0"/>
              <w:keepLines w:val="0"/>
              <w:pageBreakBefore w:val="0"/>
              <w:kinsoku/>
              <w:wordWrap/>
              <w:overflowPunct/>
              <w:topLinePunct w:val="0"/>
              <w:bidi w:val="0"/>
              <w:adjustRightInd/>
              <w:snapToGrid/>
              <w:spacing w:line="440" w:lineRule="exact"/>
              <w:textAlignment w:val="auto"/>
              <w:rPr>
                <w:rFonts w:hAnsi="宋体"/>
                <w:color w:val="auto"/>
              </w:rPr>
            </w:pPr>
            <w:r>
              <w:rPr>
                <w:rFonts w:hint="eastAsia" w:ascii="宋体" w:hAnsi="宋体" w:eastAsia="宋体" w:cs="宋体"/>
                <w:color w:val="auto"/>
                <w:szCs w:val="21"/>
              </w:rPr>
              <w:t>业务时间：上午8时00分到12时00分，下午</w:t>
            </w:r>
            <w:r>
              <w:rPr>
                <w:rFonts w:hint="eastAsia" w:hAnsi="宋体" w:cs="宋体"/>
                <w:color w:val="auto"/>
                <w:szCs w:val="21"/>
                <w:lang w:val="en-US" w:eastAsia="zh-CN"/>
              </w:rPr>
              <w:t>3</w:t>
            </w:r>
            <w:r>
              <w:rPr>
                <w:rFonts w:hint="eastAsia" w:ascii="宋体" w:hAnsi="宋体" w:eastAsia="宋体" w:cs="宋体"/>
                <w:color w:val="auto"/>
                <w:szCs w:val="21"/>
              </w:rPr>
              <w:t>时00分到</w:t>
            </w:r>
            <w:r>
              <w:rPr>
                <w:rFonts w:hint="eastAsia" w:hAnsi="宋体" w:cs="宋体"/>
                <w:color w:val="auto"/>
                <w:szCs w:val="21"/>
                <w:lang w:val="en-US" w:eastAsia="zh-CN"/>
              </w:rPr>
              <w:t>6</w:t>
            </w:r>
            <w:r>
              <w:rPr>
                <w:rFonts w:hint="eastAsia" w:ascii="宋体" w:hAnsi="宋体" w:eastAsia="宋体" w:cs="宋体"/>
                <w:color w:val="auto"/>
                <w:szCs w:val="21"/>
              </w:rPr>
              <w:t>时00分，业务时间以外、双休日和法定节假日不办理业务。</w:t>
            </w:r>
          </w:p>
        </w:tc>
      </w:tr>
      <w:tr w14:paraId="20837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0D138704">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ascii="宋体" w:hAnsi="宋体" w:cs="宋体"/>
                <w:color w:val="auto"/>
                <w:szCs w:val="21"/>
              </w:rPr>
              <w:t>32.1</w:t>
            </w:r>
          </w:p>
        </w:tc>
        <w:tc>
          <w:tcPr>
            <w:tcW w:w="7912" w:type="dxa"/>
            <w:vAlign w:val="center"/>
          </w:tcPr>
          <w:p w14:paraId="05BFCB3E">
            <w:pPr>
              <w:pStyle w:val="14"/>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1.采购代理费支付方式：</w:t>
            </w:r>
          </w:p>
          <w:p w14:paraId="10BBB6A5">
            <w:pPr>
              <w:pStyle w:val="14"/>
              <w:keepNext w:val="0"/>
              <w:keepLines w:val="0"/>
              <w:pageBreakBefore w:val="0"/>
              <w:kinsoku/>
              <w:wordWrap/>
              <w:overflowPunct/>
              <w:topLinePunct w:val="0"/>
              <w:bidi w:val="0"/>
              <w:adjustRightInd/>
              <w:snapToGrid/>
              <w:spacing w:line="440" w:lineRule="exact"/>
              <w:textAlignment w:val="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本项目代理服务费由成交供应商领取成交通知书前，一次性向采购代理机构支付。</w:t>
            </w:r>
          </w:p>
          <w:p w14:paraId="35EE776D">
            <w:pPr>
              <w:pStyle w:val="14"/>
              <w:keepNext w:val="0"/>
              <w:keepLines w:val="0"/>
              <w:pageBreakBefore w:val="0"/>
              <w:numPr>
                <w:ilvl w:val="0"/>
                <w:numId w:val="0"/>
              </w:numPr>
              <w:kinsoku/>
              <w:wordWrap/>
              <w:overflowPunct/>
              <w:topLinePunct w:val="0"/>
              <w:bidi w:val="0"/>
              <w:adjustRightInd/>
              <w:snapToGrid/>
              <w:spacing w:line="440" w:lineRule="exact"/>
              <w:textAlignment w:val="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采购代理费收取标准：本项目代理服务费按固定金额人民币壹万叁仟元整（¥13000.00）元计取，由成交人向采购代理机构一次性支付。</w:t>
            </w:r>
          </w:p>
          <w:p w14:paraId="0E29E45D">
            <w:pPr>
              <w:pStyle w:val="14"/>
              <w:keepNext w:val="0"/>
              <w:keepLines w:val="0"/>
              <w:pageBreakBefore w:val="0"/>
              <w:numPr>
                <w:ilvl w:val="0"/>
                <w:numId w:val="0"/>
              </w:numPr>
              <w:kinsoku/>
              <w:wordWrap/>
              <w:overflowPunct/>
              <w:topLinePunct w:val="0"/>
              <w:bidi w:val="0"/>
              <w:adjustRightInd/>
              <w:snapToGrid/>
              <w:spacing w:line="440" w:lineRule="exact"/>
              <w:textAlignment w:val="auto"/>
              <w:rPr>
                <w:rFonts w:hint="default" w:ascii="宋体" w:hAnsi="宋体" w:eastAsia="宋体" w:cs="宋体"/>
                <w:color w:val="auto"/>
                <w:sz w:val="21"/>
                <w:highlight w:val="none"/>
                <w:u w:val="none"/>
                <w:lang w:val="en-US" w:eastAsia="zh-CN"/>
              </w:rPr>
            </w:pPr>
            <w:r>
              <w:rPr>
                <w:rFonts w:hint="default" w:ascii="宋体" w:hAnsi="宋体" w:eastAsia="宋体" w:cs="宋体"/>
                <w:color w:val="auto"/>
                <w:sz w:val="21"/>
                <w:highlight w:val="none"/>
                <w:u w:val="none"/>
                <w:lang w:val="en-US" w:eastAsia="zh-CN"/>
              </w:rPr>
              <w:t>开户名称：</w:t>
            </w:r>
            <w:r>
              <w:rPr>
                <w:rFonts w:hint="eastAsia" w:hAnsi="宋体" w:cs="宋体"/>
                <w:color w:val="auto"/>
                <w:sz w:val="21"/>
                <w:highlight w:val="none"/>
                <w:u w:val="none"/>
                <w:lang w:val="en-US" w:eastAsia="zh-CN"/>
              </w:rPr>
              <w:t>广西建汇工程咨询有限公司</w:t>
            </w:r>
            <w:r>
              <w:rPr>
                <w:rFonts w:hint="default" w:ascii="宋体" w:hAnsi="宋体" w:eastAsia="宋体" w:cs="宋体"/>
                <w:color w:val="auto"/>
                <w:sz w:val="21"/>
                <w:highlight w:val="none"/>
                <w:u w:val="none"/>
                <w:lang w:val="en-US" w:eastAsia="zh-CN"/>
              </w:rPr>
              <w:t xml:space="preserve">玉林分公司   </w:t>
            </w:r>
          </w:p>
          <w:p w14:paraId="155F2124">
            <w:pPr>
              <w:pStyle w:val="14"/>
              <w:keepNext w:val="0"/>
              <w:keepLines w:val="0"/>
              <w:pageBreakBefore w:val="0"/>
              <w:kinsoku/>
              <w:wordWrap/>
              <w:overflowPunct/>
              <w:topLinePunct w:val="0"/>
              <w:bidi w:val="0"/>
              <w:adjustRightInd/>
              <w:snapToGrid/>
              <w:spacing w:line="440" w:lineRule="exact"/>
              <w:textAlignment w:val="auto"/>
              <w:rPr>
                <w:rFonts w:hint="default" w:ascii="宋体" w:hAnsi="宋体" w:eastAsia="宋体" w:cs="宋体"/>
                <w:color w:val="auto"/>
                <w:sz w:val="21"/>
                <w:highlight w:val="none"/>
                <w:u w:val="none"/>
                <w:lang w:val="en-US" w:eastAsia="zh-CN"/>
              </w:rPr>
            </w:pPr>
            <w:r>
              <w:rPr>
                <w:rFonts w:hint="default" w:ascii="宋体" w:hAnsi="宋体" w:eastAsia="宋体" w:cs="宋体"/>
                <w:color w:val="auto"/>
                <w:sz w:val="21"/>
                <w:highlight w:val="none"/>
                <w:u w:val="none"/>
                <w:lang w:val="en-US" w:eastAsia="zh-CN"/>
              </w:rPr>
              <w:t xml:space="preserve">开户银行：广西北部湾银行玉林分行       </w:t>
            </w:r>
          </w:p>
          <w:p w14:paraId="2C66DA49">
            <w:pPr>
              <w:keepNext w:val="0"/>
              <w:keepLines w:val="0"/>
              <w:pageBreakBefore w:val="0"/>
              <w:numPr>
                <w:ilvl w:val="0"/>
                <w:numId w:val="0"/>
              </w:numPr>
              <w:kinsoku/>
              <w:wordWrap/>
              <w:overflowPunct/>
              <w:topLinePunct w:val="0"/>
              <w:bidi w:val="0"/>
              <w:adjustRightInd/>
              <w:snapToGrid/>
              <w:spacing w:line="440" w:lineRule="exact"/>
              <w:textAlignment w:val="auto"/>
              <w:rPr>
                <w:color w:val="auto"/>
              </w:rPr>
            </w:pPr>
            <w:r>
              <w:rPr>
                <w:rFonts w:hint="eastAsia" w:ascii="宋体" w:hAnsi="宋体" w:eastAsia="宋体" w:cs="宋体"/>
                <w:color w:val="auto"/>
                <w:sz w:val="21"/>
                <w:highlight w:val="none"/>
                <w:u w:val="none"/>
                <w:lang w:val="en-US" w:eastAsia="zh-CN"/>
              </w:rPr>
              <w:t>银行账号：8001 2693 0200 014</w:t>
            </w:r>
          </w:p>
        </w:tc>
      </w:tr>
      <w:tr w14:paraId="2A1EE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52" w:type="dxa"/>
            <w:vAlign w:val="center"/>
          </w:tcPr>
          <w:p w14:paraId="0DF79668">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3.1</w:t>
            </w:r>
          </w:p>
        </w:tc>
        <w:tc>
          <w:tcPr>
            <w:tcW w:w="7912" w:type="dxa"/>
            <w:vAlign w:val="center"/>
          </w:tcPr>
          <w:p w14:paraId="0ABC38D4">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hAnsi="宋体" w:cs="宋体"/>
                <w:color w:val="auto"/>
                <w:kern w:val="2"/>
                <w:sz w:val="21"/>
              </w:rPr>
            </w:pPr>
            <w:r>
              <w:rPr>
                <w:rFonts w:hint="eastAsia" w:hAnsi="宋体" w:cs="宋体"/>
                <w:b/>
                <w:bCs/>
                <w:color w:val="auto"/>
                <w:kern w:val="2"/>
                <w:sz w:val="21"/>
              </w:rPr>
              <w:t>解释权：</w:t>
            </w:r>
            <w:r>
              <w:rPr>
                <w:rFonts w:hint="eastAsia" w:hAnsi="宋体" w:cs="宋体"/>
                <w:color w:val="auto"/>
                <w:kern w:val="2"/>
                <w:sz w:val="21"/>
              </w:rPr>
              <w:t>构成本</w:t>
            </w:r>
            <w:r>
              <w:rPr>
                <w:rFonts w:hint="eastAsia" w:hAnsi="宋体" w:cs="宋体"/>
                <w:color w:val="auto"/>
                <w:kern w:val="2"/>
                <w:sz w:val="21"/>
                <w:lang w:eastAsia="zh-CN"/>
              </w:rPr>
              <w:t>采购</w:t>
            </w:r>
            <w:r>
              <w:rPr>
                <w:rFonts w:hint="eastAsia" w:hAnsi="宋体" w:cs="宋体"/>
                <w:color w:val="auto"/>
                <w:kern w:val="2"/>
                <w:sz w:val="21"/>
              </w:rPr>
              <w:t>文件的各个组成文件应互为解释，互为说明；除</w:t>
            </w:r>
            <w:r>
              <w:rPr>
                <w:rFonts w:hint="eastAsia" w:hAnsi="宋体" w:cs="宋体"/>
                <w:color w:val="auto"/>
                <w:kern w:val="2"/>
                <w:sz w:val="21"/>
                <w:lang w:eastAsia="zh-CN"/>
              </w:rPr>
              <w:t>采购</w:t>
            </w:r>
            <w:r>
              <w:rPr>
                <w:rFonts w:hint="eastAsia" w:hAnsi="宋体" w:cs="宋体"/>
                <w:color w:val="auto"/>
                <w:kern w:val="2"/>
                <w:sz w:val="21"/>
              </w:rPr>
              <w:t>文件中有特别规定外，仅适用于招标投标阶段的规定，按更正公告（澄清公告）、</w:t>
            </w:r>
            <w:r>
              <w:rPr>
                <w:rFonts w:hint="eastAsia" w:hAnsi="宋体" w:cs="宋体"/>
                <w:color w:val="auto"/>
                <w:kern w:val="2"/>
                <w:sz w:val="21"/>
                <w:lang w:eastAsia="zh-CN"/>
              </w:rPr>
              <w:t>磋商</w:t>
            </w:r>
            <w:r>
              <w:rPr>
                <w:rFonts w:hint="eastAsia" w:hAnsi="宋体" w:cs="宋体"/>
                <w:color w:val="auto"/>
                <w:kern w:val="2"/>
                <w:sz w:val="21"/>
              </w:rPr>
              <w:t>公告、采购需求、</w:t>
            </w:r>
            <w:r>
              <w:rPr>
                <w:rFonts w:hint="eastAsia" w:hAnsi="宋体" w:cs="宋体"/>
                <w:color w:val="auto"/>
                <w:kern w:val="2"/>
                <w:sz w:val="21"/>
                <w:lang w:eastAsia="zh-CN"/>
              </w:rPr>
              <w:t>供应商</w:t>
            </w:r>
            <w:r>
              <w:rPr>
                <w:rFonts w:hint="eastAsia" w:hAnsi="宋体" w:cs="宋体"/>
                <w:color w:val="auto"/>
                <w:kern w:val="2"/>
                <w:sz w:val="21"/>
              </w:rPr>
              <w:t>须知、评标方法及评标标准、拟签订的合同文本、</w:t>
            </w:r>
            <w:r>
              <w:rPr>
                <w:rFonts w:hint="eastAsia" w:hAnsi="宋体" w:cs="宋体"/>
                <w:color w:val="auto"/>
                <w:kern w:val="2"/>
                <w:sz w:val="21"/>
                <w:lang w:eastAsia="zh-CN"/>
              </w:rPr>
              <w:t>响应</w:t>
            </w:r>
            <w:r>
              <w:rPr>
                <w:rFonts w:hint="eastAsia" w:hAnsi="宋体" w:cs="宋体"/>
                <w:color w:val="auto"/>
                <w:kern w:val="2"/>
                <w:sz w:val="21"/>
              </w:rPr>
              <w:t>文件格式的先后顺序解释；同一组成文件中就同一事项的规定或者约定不一致的，以编排顺序在后者为准；同一组成文件不同版本之间有不一致的，以形成时间在后者为准；更正公告（澄清公告）与同步更新的</w:t>
            </w:r>
            <w:r>
              <w:rPr>
                <w:rFonts w:hint="eastAsia" w:hAnsi="宋体" w:cs="宋体"/>
                <w:color w:val="auto"/>
                <w:kern w:val="2"/>
                <w:sz w:val="21"/>
                <w:lang w:eastAsia="zh-CN"/>
              </w:rPr>
              <w:t>采购</w:t>
            </w:r>
            <w:r>
              <w:rPr>
                <w:rFonts w:hint="eastAsia" w:hAnsi="宋体" w:cs="宋体"/>
                <w:color w:val="auto"/>
                <w:kern w:val="2"/>
                <w:sz w:val="21"/>
              </w:rPr>
              <w:t>文件不一致时以更正公告（澄清公告）为准。按本款前述规定仍不能形成结论的，</w:t>
            </w:r>
            <w:r>
              <w:rPr>
                <w:rFonts w:hint="eastAsia" w:hAnsi="宋体" w:cs="宋体"/>
                <w:b/>
                <w:bCs/>
                <w:color w:val="auto"/>
                <w:kern w:val="2"/>
                <w:sz w:val="21"/>
              </w:rPr>
              <w:t>由采购人或者采购代理机构负责解释</w:t>
            </w:r>
            <w:r>
              <w:rPr>
                <w:rFonts w:hint="eastAsia" w:hAnsi="宋体" w:cs="宋体"/>
                <w:color w:val="auto"/>
                <w:kern w:val="2"/>
                <w:sz w:val="21"/>
              </w:rPr>
              <w:t>。</w:t>
            </w:r>
          </w:p>
          <w:p w14:paraId="5C905272">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rFonts w:hAnsi="宋体" w:cs="宋体"/>
                <w:color w:val="auto"/>
                <w:kern w:val="2"/>
                <w:sz w:val="21"/>
              </w:rPr>
            </w:pPr>
            <w:r>
              <w:rPr>
                <w:rFonts w:hint="eastAsia" w:hAnsi="宋体" w:cs="宋体"/>
                <w:b/>
                <w:bCs/>
                <w:color w:val="auto"/>
                <w:kern w:val="2"/>
                <w:sz w:val="21"/>
              </w:rPr>
              <w:t>法律责任：</w:t>
            </w:r>
            <w:r>
              <w:rPr>
                <w:rFonts w:hint="eastAsia" w:hAnsi="宋体" w:cs="宋体"/>
                <w:color w:val="auto"/>
                <w:kern w:val="2"/>
                <w:sz w:val="21"/>
              </w:rPr>
              <w:t>本采购文件根据《中华人民共和国政府采购法</w:t>
            </w:r>
            <w:r>
              <w:rPr>
                <w:rFonts w:hint="eastAsia" w:hAnsi="宋体" w:cs="宋体"/>
                <w:color w:val="auto"/>
                <w:kern w:val="2"/>
                <w:sz w:val="21"/>
                <w:lang w:eastAsia="zh-CN"/>
              </w:rPr>
              <w:t>》《</w:t>
            </w:r>
            <w:r>
              <w:rPr>
                <w:rFonts w:hint="eastAsia" w:hAnsi="宋体" w:cs="宋体"/>
                <w:color w:val="auto"/>
                <w:kern w:val="2"/>
                <w:sz w:val="21"/>
              </w:rPr>
              <w:t>中华人民共和国民法典》；《中华人民共和国政府采购法实施条例</w:t>
            </w:r>
            <w:r>
              <w:rPr>
                <w:rFonts w:hint="eastAsia" w:hAnsi="宋体" w:cs="宋体"/>
                <w:color w:val="auto"/>
                <w:kern w:val="2"/>
                <w:sz w:val="21"/>
                <w:lang w:eastAsia="zh-CN"/>
              </w:rPr>
              <w:t>》《</w:t>
            </w:r>
            <w:r>
              <w:rPr>
                <w:rFonts w:hint="eastAsia" w:hAnsi="宋体" w:cs="宋体"/>
                <w:color w:val="auto"/>
                <w:kern w:val="2"/>
                <w:sz w:val="21"/>
              </w:rPr>
              <w:t>政府采购非招标采购方式管理办法》等有关</w:t>
            </w:r>
            <w:r>
              <w:rPr>
                <w:rFonts w:hint="eastAsia" w:hAnsi="宋体" w:cs="宋体"/>
                <w:color w:val="auto"/>
                <w:kern w:val="2"/>
                <w:sz w:val="21"/>
                <w:lang w:eastAsia="zh-CN"/>
              </w:rPr>
              <w:t>法律法规</w:t>
            </w:r>
            <w:r>
              <w:rPr>
                <w:rFonts w:hint="eastAsia" w:hAnsi="宋体" w:cs="宋体"/>
                <w:color w:val="auto"/>
                <w:kern w:val="2"/>
                <w:sz w:val="21"/>
              </w:rPr>
              <w:t>编制，参与本项目的各政府采购当事人依法享有上述法律法规所赋予的权利与义务。</w:t>
            </w:r>
          </w:p>
        </w:tc>
      </w:tr>
      <w:tr w14:paraId="3A829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vAlign w:val="center"/>
          </w:tcPr>
          <w:p w14:paraId="711E7736">
            <w:pPr>
              <w:keepNext w:val="0"/>
              <w:keepLines w:val="0"/>
              <w:pageBreakBefore w:val="0"/>
              <w:kinsoku/>
              <w:wordWrap/>
              <w:overflowPunct/>
              <w:topLinePunct w:val="0"/>
              <w:bidi w:val="0"/>
              <w:adjustRightInd/>
              <w:snapToGrid/>
              <w:spacing w:line="440" w:lineRule="exact"/>
              <w:jc w:val="center"/>
              <w:textAlignment w:val="auto"/>
              <w:rPr>
                <w:rFonts w:ascii="宋体" w:hAnsi="宋体" w:cs="宋体"/>
                <w:color w:val="auto"/>
                <w:szCs w:val="21"/>
              </w:rPr>
            </w:pPr>
            <w:r>
              <w:rPr>
                <w:rFonts w:hint="eastAsia" w:ascii="宋体" w:hAnsi="宋体" w:cs="宋体"/>
                <w:color w:val="auto"/>
                <w:szCs w:val="21"/>
              </w:rPr>
              <w:t>3</w:t>
            </w:r>
            <w:r>
              <w:rPr>
                <w:rFonts w:ascii="宋体" w:hAnsi="宋体" w:cs="宋体"/>
                <w:color w:val="auto"/>
                <w:szCs w:val="21"/>
              </w:rPr>
              <w:t>3.2</w:t>
            </w:r>
          </w:p>
        </w:tc>
        <w:tc>
          <w:tcPr>
            <w:tcW w:w="7912" w:type="dxa"/>
            <w:vAlign w:val="center"/>
          </w:tcPr>
          <w:p w14:paraId="3484BCF0">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olor w:val="auto"/>
                <w:lang w:val="en-US" w:eastAsia="zh-CN"/>
              </w:rPr>
            </w:pPr>
            <w:r>
              <w:rPr>
                <w:rFonts w:hint="eastAsia"/>
                <w:color w:val="auto"/>
                <w:lang w:val="en-US" w:eastAsia="zh-CN"/>
              </w:rPr>
              <w:t>1.本采购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0BC724AC">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olor w:val="auto"/>
              </w:rPr>
            </w:pPr>
            <w:r>
              <w:rPr>
                <w:rFonts w:hint="eastAsia"/>
                <w:color w:val="auto"/>
                <w:lang w:val="en-US" w:eastAsia="zh-CN"/>
              </w:rPr>
              <w:t>2</w:t>
            </w:r>
            <w:r>
              <w:rPr>
                <w:rFonts w:hint="eastAsia"/>
                <w:color w:val="auto"/>
              </w:rPr>
              <w:t>.本</w:t>
            </w:r>
            <w:r>
              <w:rPr>
                <w:rFonts w:hint="eastAsia"/>
                <w:color w:val="auto"/>
                <w:lang w:val="en-US" w:eastAsia="zh-CN"/>
              </w:rPr>
              <w:t>采购</w:t>
            </w:r>
            <w:r>
              <w:rPr>
                <w:rFonts w:hint="eastAsia"/>
                <w:color w:val="auto"/>
              </w:rPr>
              <w:t>文件中描述供应商的“签字”是指供应商通过指定电子化政府采购平台办理数字证书（CA认证）获得的以供应商法定代表人或者委托代理人姓名制作的电子印章或手写签字。</w:t>
            </w:r>
          </w:p>
          <w:p w14:paraId="61F04C40">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olor w:val="auto"/>
                <w:lang w:val="en-US" w:eastAsia="zh-CN"/>
              </w:rPr>
            </w:pPr>
            <w:r>
              <w:rPr>
                <w:rFonts w:hint="eastAsia"/>
                <w:color w:val="auto"/>
                <w:lang w:val="en-US" w:eastAsia="zh-CN"/>
              </w:rPr>
              <w:t>3.供应商为其他组织或者自然人时，本采购文件规定的法定代表人指负责人或者自然人。本采购文件所称负责人是指参加竞标的其他组织营业执照上的负责人，本采购文件所称自然人指参与竞标的自然人本人。</w:t>
            </w:r>
          </w:p>
          <w:p w14:paraId="1E98C4CF">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color w:val="auto"/>
              </w:rPr>
            </w:pPr>
            <w:r>
              <w:rPr>
                <w:rFonts w:hint="eastAsia"/>
                <w:color w:val="auto"/>
                <w:lang w:val="en-US" w:eastAsia="zh-CN"/>
              </w:rPr>
              <w:t>4</w:t>
            </w:r>
            <w:r>
              <w:rPr>
                <w:color w:val="auto"/>
              </w:rPr>
              <w:t>.</w:t>
            </w:r>
            <w:r>
              <w:rPr>
                <w:rFonts w:hint="eastAsia"/>
                <w:color w:val="auto"/>
              </w:rPr>
              <w:t>自然人竞标的，</w:t>
            </w:r>
            <w:r>
              <w:rPr>
                <w:rFonts w:hint="eastAsia"/>
                <w:color w:val="auto"/>
                <w:lang w:val="en-US" w:eastAsia="zh-CN"/>
              </w:rPr>
              <w:t>采购</w:t>
            </w:r>
            <w:r>
              <w:rPr>
                <w:rFonts w:hint="eastAsia"/>
                <w:color w:val="auto"/>
              </w:rPr>
              <w:t>文件规定盖公章处由自然人摁手指指印。</w:t>
            </w:r>
          </w:p>
          <w:p w14:paraId="06A0B10A">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olor w:val="auto"/>
              </w:rPr>
            </w:pPr>
            <w:r>
              <w:rPr>
                <w:rFonts w:hint="eastAsia"/>
                <w:color w:val="auto"/>
                <w:lang w:val="en-US" w:eastAsia="zh-CN"/>
              </w:rPr>
              <w:t>5</w:t>
            </w:r>
            <w:r>
              <w:rPr>
                <w:rFonts w:hint="eastAsia"/>
                <w:color w:val="auto"/>
              </w:rPr>
              <w:t>.本</w:t>
            </w:r>
            <w:r>
              <w:rPr>
                <w:rFonts w:hint="eastAsia"/>
                <w:color w:val="auto"/>
                <w:lang w:val="en-US" w:eastAsia="zh-CN"/>
              </w:rPr>
              <w:t>采购</w:t>
            </w:r>
            <w:r>
              <w:rPr>
                <w:rFonts w:hint="eastAsia"/>
                <w:color w:val="auto"/>
              </w:rPr>
              <w:t>文件所称的“以上”“以下”“以内”“届满”，包括本数；所称的“不满”“超过”“以外”，不包括本数。</w:t>
            </w:r>
          </w:p>
          <w:p w14:paraId="1B24ACEB">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color w:val="auto"/>
              </w:rPr>
            </w:pPr>
            <w:r>
              <w:rPr>
                <w:rFonts w:hint="eastAsia"/>
                <w:color w:val="auto"/>
                <w:lang w:val="en-US" w:eastAsia="zh-CN"/>
              </w:rPr>
              <w:t>6.</w:t>
            </w:r>
            <w:r>
              <w:rPr>
                <w:rFonts w:hint="eastAsia"/>
                <w:color w:val="auto"/>
              </w:rPr>
              <w:t>如果</w:t>
            </w:r>
            <w:r>
              <w:rPr>
                <w:rFonts w:hint="eastAsia"/>
                <w:color w:val="auto"/>
                <w:lang w:eastAsia="zh-CN"/>
              </w:rPr>
              <w:t>供应商</w:t>
            </w:r>
            <w:r>
              <w:rPr>
                <w:rFonts w:hint="eastAsia"/>
                <w:color w:val="auto"/>
              </w:rPr>
              <w:t>没办理有姓名制作的电子印章的，可在</w:t>
            </w:r>
            <w:r>
              <w:rPr>
                <w:rFonts w:hint="eastAsia"/>
                <w:color w:val="auto"/>
                <w:lang w:eastAsia="zh-CN"/>
              </w:rPr>
              <w:t>响应</w:t>
            </w:r>
            <w:r>
              <w:rPr>
                <w:rFonts w:hint="eastAsia"/>
                <w:color w:val="auto"/>
              </w:rPr>
              <w:t>文件中涉及到签字的位置线下签好字然后扫描做成PDF的格式即可。</w:t>
            </w:r>
          </w:p>
        </w:tc>
      </w:tr>
      <w:tr w14:paraId="75161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1152" w:type="dxa"/>
            <w:vAlign w:val="center"/>
          </w:tcPr>
          <w:p w14:paraId="2E3E39F4">
            <w:pPr>
              <w:keepNext w:val="0"/>
              <w:keepLines w:val="0"/>
              <w:pageBreakBefore w:val="0"/>
              <w:kinsoku/>
              <w:wordWrap/>
              <w:overflowPunct/>
              <w:topLinePunct w:val="0"/>
              <w:bidi w:val="0"/>
              <w:adjustRightInd/>
              <w:snapToGrid/>
              <w:spacing w:line="440" w:lineRule="exact"/>
              <w:jc w:val="center"/>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33.2</w:t>
            </w:r>
          </w:p>
        </w:tc>
        <w:tc>
          <w:tcPr>
            <w:tcW w:w="7912" w:type="dxa"/>
            <w:vAlign w:val="center"/>
          </w:tcPr>
          <w:p w14:paraId="5F5CB661">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1"/>
                <w:lang w:val="en-US" w:eastAsia="zh-CN"/>
              </w:rPr>
            </w:pPr>
            <w:r>
              <w:rPr>
                <w:rFonts w:hint="eastAsia" w:hAnsi="宋体"/>
                <w:color w:val="auto"/>
                <w:sz w:val="21"/>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4B65A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jc w:val="center"/>
        </w:trPr>
        <w:tc>
          <w:tcPr>
            <w:tcW w:w="1152" w:type="dxa"/>
            <w:vAlign w:val="center"/>
          </w:tcPr>
          <w:p w14:paraId="6B1F16B9">
            <w:pPr>
              <w:keepNext w:val="0"/>
              <w:keepLines w:val="0"/>
              <w:pageBreakBefore w:val="0"/>
              <w:kinsoku/>
              <w:wordWrap/>
              <w:overflowPunct/>
              <w:topLinePunct w:val="0"/>
              <w:bidi w:val="0"/>
              <w:adjustRightInd/>
              <w:snapToGrid/>
              <w:spacing w:line="440" w:lineRule="exact"/>
              <w:jc w:val="center"/>
              <w:textAlignment w:val="auto"/>
              <w:rPr>
                <w:rFonts w:hint="default" w:ascii="宋体" w:hAnsi="宋体" w:cs="宋体"/>
                <w:color w:val="auto"/>
                <w:szCs w:val="21"/>
                <w:lang w:val="en-US" w:eastAsia="zh-CN"/>
              </w:rPr>
            </w:pPr>
            <w:r>
              <w:rPr>
                <w:rFonts w:hint="eastAsia" w:ascii="宋体" w:hAnsi="宋体" w:cs="宋体"/>
                <w:color w:val="auto"/>
                <w:szCs w:val="21"/>
                <w:lang w:val="en-US" w:eastAsia="zh-CN"/>
              </w:rPr>
              <w:t>33.2</w:t>
            </w:r>
          </w:p>
        </w:tc>
        <w:tc>
          <w:tcPr>
            <w:tcW w:w="7912" w:type="dxa"/>
            <w:vAlign w:val="center"/>
          </w:tcPr>
          <w:p w14:paraId="23C1F9C2">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kern w:val="0"/>
                <w:szCs w:val="21"/>
              </w:rPr>
            </w:pPr>
            <w:r>
              <w:rPr>
                <w:rFonts w:hint="eastAsia" w:ascii="宋体" w:hAnsi="宋体" w:cs="宋体"/>
                <w:color w:val="auto"/>
                <w:kern w:val="0"/>
                <w:szCs w:val="21"/>
              </w:rPr>
              <w:t>本采购项目涉及中小企业采购，现明确以下内容：</w:t>
            </w:r>
          </w:p>
          <w:p w14:paraId="041F10C5">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kern w:val="0"/>
                <w:szCs w:val="21"/>
              </w:rPr>
            </w:pPr>
            <w:r>
              <w:rPr>
                <w:rFonts w:hint="eastAsia" w:ascii="宋体" w:hAnsi="宋体" w:cs="宋体"/>
                <w:color w:val="auto"/>
                <w:kern w:val="0"/>
                <w:szCs w:val="21"/>
              </w:rPr>
              <w:t>1.本项目属于专门面向中小企业采购的项目，供应商应为中小微企业或监狱企业或残疾人福利性单位，相关标的详见本竞争性</w:t>
            </w:r>
            <w:r>
              <w:rPr>
                <w:rFonts w:hint="eastAsia" w:ascii="宋体" w:hAnsi="宋体" w:cs="宋体"/>
                <w:color w:val="auto"/>
                <w:kern w:val="0"/>
                <w:szCs w:val="21"/>
                <w:lang w:val="en-US" w:eastAsia="zh-CN"/>
              </w:rPr>
              <w:t>磋商</w:t>
            </w:r>
            <w:r>
              <w:rPr>
                <w:rFonts w:hint="eastAsia" w:ascii="宋体" w:hAnsi="宋体" w:cs="宋体"/>
                <w:color w:val="auto"/>
                <w:kern w:val="0"/>
                <w:szCs w:val="21"/>
              </w:rPr>
              <w:t>文件“第三章《采购需求》”；</w:t>
            </w:r>
          </w:p>
          <w:p w14:paraId="68CDEA38">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kern w:val="0"/>
                <w:szCs w:val="21"/>
                <w:highlight w:val="none"/>
              </w:rPr>
            </w:pPr>
            <w:r>
              <w:rPr>
                <w:rFonts w:hint="eastAsia" w:ascii="宋体" w:hAnsi="宋体" w:cs="宋体"/>
                <w:color w:val="auto"/>
                <w:kern w:val="0"/>
                <w:szCs w:val="21"/>
              </w:rPr>
              <w:t>2.中</w:t>
            </w:r>
            <w:r>
              <w:rPr>
                <w:rFonts w:hint="eastAsia" w:ascii="宋体" w:hAnsi="宋体" w:cs="宋体"/>
                <w:color w:val="auto"/>
                <w:kern w:val="0"/>
                <w:szCs w:val="21"/>
                <w:highlight w:val="none"/>
              </w:rPr>
              <w:t>小企业预留预算金额：</w:t>
            </w:r>
            <w:r>
              <w:rPr>
                <w:rFonts w:hint="eastAsia" w:ascii="宋体" w:hAnsi="宋体" w:cs="宋体"/>
                <w:color w:val="auto"/>
                <w:kern w:val="0"/>
                <w:szCs w:val="21"/>
                <w:highlight w:val="none"/>
                <w:lang w:val="en-US" w:eastAsia="zh-CN"/>
              </w:rPr>
              <w:t>1153760.13</w:t>
            </w:r>
            <w:r>
              <w:rPr>
                <w:rFonts w:hint="eastAsia" w:ascii="宋体" w:hAnsi="宋体" w:cs="宋体"/>
                <w:color w:val="auto"/>
                <w:kern w:val="0"/>
                <w:szCs w:val="21"/>
                <w:highlight w:val="none"/>
              </w:rPr>
              <w:t>元；</w:t>
            </w:r>
            <w:bookmarkStart w:id="66" w:name="_Hlk193196347"/>
            <w:r>
              <w:rPr>
                <w:rFonts w:hint="eastAsia" w:ascii="宋体" w:hAnsi="宋体" w:cs="宋体"/>
                <w:color w:val="auto"/>
                <w:kern w:val="0"/>
                <w:szCs w:val="21"/>
                <w:highlight w:val="none"/>
              </w:rPr>
              <w:t>中小企业预留份额：100%</w:t>
            </w:r>
            <w:bookmarkEnd w:id="66"/>
            <w:r>
              <w:rPr>
                <w:rFonts w:hint="eastAsia" w:ascii="宋体" w:hAnsi="宋体" w:cs="宋体"/>
                <w:color w:val="auto"/>
                <w:kern w:val="0"/>
                <w:szCs w:val="21"/>
                <w:highlight w:val="none"/>
              </w:rPr>
              <w:t>；</w:t>
            </w:r>
          </w:p>
          <w:p w14:paraId="7A207D48">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kern w:val="0"/>
                <w:szCs w:val="21"/>
              </w:rPr>
            </w:pPr>
            <w:r>
              <w:rPr>
                <w:rFonts w:hint="eastAsia" w:ascii="宋体" w:hAnsi="宋体" w:cs="宋体"/>
                <w:color w:val="auto"/>
                <w:kern w:val="0"/>
                <w:szCs w:val="21"/>
              </w:rPr>
              <w:t>3.本项目不接受联合体；本项目不允许分包；</w:t>
            </w:r>
          </w:p>
          <w:p w14:paraId="67225116">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kern w:val="0"/>
                <w:szCs w:val="21"/>
              </w:rPr>
            </w:pPr>
            <w:r>
              <w:rPr>
                <w:rFonts w:hint="eastAsia" w:ascii="宋体" w:hAnsi="宋体" w:cs="宋体"/>
                <w:color w:val="auto"/>
                <w:kern w:val="0"/>
                <w:szCs w:val="21"/>
              </w:rPr>
              <w:t>4.本项目属于专门面向中小企业采购的项目，不再进行价格扣除及用扣除后的价格参加评审；</w:t>
            </w:r>
          </w:p>
          <w:p w14:paraId="5908D4D7">
            <w:pPr>
              <w:keepNext w:val="0"/>
              <w:keepLines w:val="0"/>
              <w:pageBreakBefore w:val="0"/>
              <w:kinsoku/>
              <w:wordWrap/>
              <w:overflowPunct/>
              <w:topLinePunct w:val="0"/>
              <w:bidi w:val="0"/>
              <w:adjustRightInd/>
              <w:snapToGrid/>
              <w:spacing w:line="440" w:lineRule="exact"/>
              <w:textAlignment w:val="auto"/>
              <w:rPr>
                <w:rFonts w:hint="eastAsia" w:ascii="宋体" w:hAnsi="宋体" w:cs="宋体"/>
                <w:color w:val="auto"/>
                <w:kern w:val="0"/>
                <w:szCs w:val="21"/>
              </w:rPr>
            </w:pPr>
            <w:r>
              <w:rPr>
                <w:rFonts w:hint="eastAsia" w:ascii="宋体" w:hAnsi="宋体" w:cs="宋体"/>
                <w:color w:val="auto"/>
                <w:kern w:val="0"/>
                <w:szCs w:val="21"/>
              </w:rPr>
              <w:t>5.因本项目属于专门面向中小企业采购的项目，规定依据《政府采购促进中小企业发展管理办法》规定享受扶持政策获得政府采购合同的，小微企业不得将合同分包给大中型企业，中型企业不得将合同分包给大型企业；</w:t>
            </w:r>
          </w:p>
          <w:p w14:paraId="6F07632C">
            <w:pPr>
              <w:pStyle w:val="1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hAnsi="宋体"/>
                <w:color w:val="auto"/>
                <w:sz w:val="21"/>
              </w:rPr>
            </w:pPr>
            <w:r>
              <w:rPr>
                <w:rFonts w:hint="eastAsia" w:ascii="宋体" w:hAnsi="宋体" w:cs="宋体"/>
                <w:color w:val="auto"/>
              </w:rPr>
              <w:t>6.本项目采购标的对应的中小企业划分标准所属行业：建筑业。</w:t>
            </w:r>
          </w:p>
        </w:tc>
      </w:tr>
    </w:tbl>
    <w:p w14:paraId="42B993C2">
      <w:pPr>
        <w:jc w:val="center"/>
        <w:rPr>
          <w:rFonts w:hint="eastAsia" w:asciiTheme="majorEastAsia" w:hAnsiTheme="majorEastAsia" w:eastAsiaTheme="majorEastAsia" w:cstheme="majorEastAsia"/>
          <w:b/>
          <w:color w:val="auto"/>
          <w:sz w:val="32"/>
          <w:highlight w:val="none"/>
        </w:rPr>
      </w:pPr>
    </w:p>
    <w:p w14:paraId="53C6C27F">
      <w:pPr>
        <w:jc w:val="both"/>
        <w:rPr>
          <w:rFonts w:hint="eastAsia" w:asciiTheme="majorEastAsia" w:hAnsiTheme="majorEastAsia" w:eastAsiaTheme="majorEastAsia" w:cstheme="majorEastAsia"/>
          <w:b/>
          <w:color w:val="auto"/>
          <w:sz w:val="32"/>
          <w:highlight w:val="none"/>
        </w:rPr>
      </w:pPr>
      <w:r>
        <w:rPr>
          <w:rFonts w:hint="eastAsia" w:asciiTheme="majorEastAsia" w:hAnsiTheme="majorEastAsia" w:eastAsiaTheme="majorEastAsia" w:cstheme="majorEastAsia"/>
          <w:b/>
          <w:color w:val="auto"/>
          <w:sz w:val="32"/>
          <w:highlight w:val="none"/>
        </w:rPr>
        <w:br w:type="page"/>
      </w:r>
    </w:p>
    <w:p w14:paraId="48F8D906">
      <w:pPr>
        <w:spacing w:line="400" w:lineRule="exact"/>
        <w:jc w:val="center"/>
        <w:rPr>
          <w:rFonts w:ascii="宋体" w:hAnsi="宋体"/>
          <w:b/>
          <w:color w:val="auto"/>
          <w:sz w:val="32"/>
          <w:szCs w:val="32"/>
        </w:rPr>
      </w:pPr>
      <w:r>
        <w:rPr>
          <w:rFonts w:hint="eastAsia" w:ascii="宋体" w:hAnsi="宋体"/>
          <w:b/>
          <w:color w:val="auto"/>
          <w:sz w:val="32"/>
          <w:szCs w:val="32"/>
        </w:rPr>
        <w:t>供应商须知正文</w:t>
      </w:r>
    </w:p>
    <w:p w14:paraId="31FDE21D">
      <w:pPr>
        <w:spacing w:line="400" w:lineRule="exact"/>
        <w:jc w:val="center"/>
        <w:rPr>
          <w:rFonts w:ascii="宋体" w:hAnsi="宋体"/>
          <w:b/>
          <w:color w:val="auto"/>
          <w:sz w:val="32"/>
          <w:szCs w:val="32"/>
        </w:rPr>
      </w:pPr>
    </w:p>
    <w:p w14:paraId="2AF37C95">
      <w:pPr>
        <w:spacing w:line="400" w:lineRule="exact"/>
        <w:jc w:val="center"/>
        <w:rPr>
          <w:rFonts w:ascii="宋体" w:hAnsi="宋体"/>
          <w:b/>
          <w:color w:val="auto"/>
          <w:sz w:val="32"/>
          <w:szCs w:val="32"/>
        </w:rPr>
      </w:pPr>
      <w:r>
        <w:rPr>
          <w:rFonts w:hint="eastAsia" w:ascii="宋体" w:hAnsi="宋体"/>
          <w:b/>
          <w:color w:val="auto"/>
          <w:sz w:val="32"/>
          <w:szCs w:val="32"/>
        </w:rPr>
        <w:t>一、总则</w:t>
      </w:r>
    </w:p>
    <w:p w14:paraId="592B5D6B">
      <w:pPr>
        <w:spacing w:line="400" w:lineRule="exact"/>
        <w:rPr>
          <w:rFonts w:ascii="宋体" w:hAnsi="宋体"/>
          <w:color w:val="auto"/>
          <w:szCs w:val="21"/>
        </w:rPr>
      </w:pPr>
    </w:p>
    <w:p w14:paraId="7C0A37D6">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1.适用范围</w:t>
      </w:r>
    </w:p>
    <w:p w14:paraId="6869B6D2">
      <w:pPr>
        <w:spacing w:line="360" w:lineRule="auto"/>
        <w:ind w:firstLine="420" w:firstLineChars="200"/>
        <w:rPr>
          <w:rFonts w:ascii="宋体" w:hAnsi="宋体" w:cs="宋体"/>
          <w:color w:val="auto"/>
          <w:szCs w:val="21"/>
        </w:rPr>
      </w:pPr>
      <w:r>
        <w:rPr>
          <w:rFonts w:hint="eastAsia" w:ascii="宋体" w:hAnsi="宋体" w:cs="宋体"/>
          <w:color w:val="auto"/>
          <w:szCs w:val="21"/>
        </w:rPr>
        <w:t>1.1本项目采购人、采购代理机构、供应商、磋商小组的相关行为均受《中华人民共和国政府采购法》《中华人民共和国政府采购法实施条例》</w:t>
      </w:r>
      <w:r>
        <w:rPr>
          <w:rFonts w:hint="eastAsia" w:ascii="宋体" w:hAnsi="宋体"/>
          <w:color w:val="auto"/>
          <w:szCs w:val="21"/>
        </w:rPr>
        <w:t>《政府采购竞争性磋商采购方式管理暂行办法》《财政部关于政府采购竞争性磋商采购方式管理暂行办法有关问题的补充通知》</w:t>
      </w:r>
      <w:r>
        <w:rPr>
          <w:rFonts w:hint="eastAsia" w:ascii="宋体" w:hAnsi="宋体" w:cs="宋体"/>
          <w:color w:val="auto"/>
          <w:szCs w:val="21"/>
        </w:rPr>
        <w:t>及本项目本级和上级财政部门政府采购有关规定的约束和保护。</w:t>
      </w:r>
    </w:p>
    <w:p w14:paraId="70BF1185">
      <w:pPr>
        <w:spacing w:line="360" w:lineRule="auto"/>
        <w:ind w:firstLine="420" w:firstLineChars="200"/>
        <w:rPr>
          <w:rFonts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本竞争性磋商文件（以下简称磋商文件）适用于本项目的所有采购程序和环节（法律、法规另有规定的，从其规定）。</w:t>
      </w:r>
    </w:p>
    <w:p w14:paraId="7F0085AE">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2.定义</w:t>
      </w:r>
    </w:p>
    <w:p w14:paraId="7CA01ABB">
      <w:pPr>
        <w:spacing w:line="360" w:lineRule="auto"/>
        <w:ind w:firstLine="420" w:firstLineChars="200"/>
        <w:rPr>
          <w:rFonts w:ascii="宋体" w:hAnsi="宋体" w:cs="宋体"/>
          <w:color w:val="auto"/>
          <w:szCs w:val="21"/>
        </w:rPr>
      </w:pPr>
      <w:r>
        <w:rPr>
          <w:rFonts w:hint="eastAsia" w:ascii="宋体" w:hAnsi="宋体" w:cs="宋体"/>
          <w:color w:val="auto"/>
          <w:szCs w:val="21"/>
        </w:rPr>
        <w:t>2.1“采购人”是指依法进行政府采购的国家机关、事业单位、团体组织。</w:t>
      </w:r>
    </w:p>
    <w:p w14:paraId="0ECFAA57">
      <w:pPr>
        <w:spacing w:line="360" w:lineRule="auto"/>
        <w:ind w:firstLine="420" w:firstLineChars="200"/>
        <w:rPr>
          <w:rFonts w:ascii="宋体" w:hAnsi="宋体" w:cs="宋体"/>
          <w:color w:val="auto"/>
          <w:szCs w:val="21"/>
          <w:u w:val="single"/>
        </w:rPr>
      </w:pPr>
      <w:r>
        <w:rPr>
          <w:rFonts w:hint="eastAsia" w:ascii="宋体" w:hAnsi="宋体" w:cs="宋体"/>
          <w:color w:val="auto"/>
          <w:szCs w:val="21"/>
        </w:rPr>
        <w:t>2.2“采购代理机构”是指政府采购代理机构（以下简称采购代理机构）是指集中采购机构以外、受采购人委托从事政府采购代理业务的社会中介机构。</w:t>
      </w:r>
    </w:p>
    <w:p w14:paraId="483589AC">
      <w:pPr>
        <w:spacing w:line="360" w:lineRule="auto"/>
        <w:ind w:firstLine="420" w:firstLineChars="200"/>
        <w:rPr>
          <w:rFonts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14:paraId="793C3FDF">
      <w:pPr>
        <w:spacing w:line="360" w:lineRule="auto"/>
        <w:ind w:firstLine="420" w:firstLineChars="200"/>
        <w:rPr>
          <w:rFonts w:ascii="宋体" w:hAnsi="宋体" w:cs="宋体"/>
          <w:color w:val="auto"/>
          <w:szCs w:val="21"/>
        </w:rPr>
      </w:pPr>
      <w:r>
        <w:rPr>
          <w:rFonts w:hint="eastAsia" w:ascii="宋体" w:hAnsi="宋体"/>
          <w:color w:val="auto"/>
          <w:szCs w:val="21"/>
        </w:rPr>
        <w:t>2.4“</w:t>
      </w:r>
      <w:r>
        <w:rPr>
          <w:rFonts w:hint="eastAsia" w:ascii="宋体" w:hAnsi="宋体"/>
          <w:color w:val="auto"/>
          <w:szCs w:val="21"/>
          <w:lang w:val="en-US" w:eastAsia="zh-CN"/>
        </w:rPr>
        <w:t>工程</w:t>
      </w:r>
      <w:r>
        <w:rPr>
          <w:rFonts w:hint="eastAsia" w:ascii="宋体" w:hAnsi="宋体"/>
          <w:color w:val="auto"/>
          <w:szCs w:val="21"/>
        </w:rPr>
        <w:t>”</w:t>
      </w:r>
      <w:r>
        <w:rPr>
          <w:rFonts w:hint="eastAsia" w:ascii="宋体" w:hAnsi="宋体" w:cs="宋体"/>
          <w:color w:val="auto"/>
          <w:szCs w:val="21"/>
        </w:rPr>
        <w:t>是指建设工程，</w:t>
      </w:r>
      <w:r>
        <w:rPr>
          <w:rFonts w:hint="eastAsia" w:ascii="宋体" w:hAnsi="宋体"/>
          <w:color w:val="auto"/>
          <w:szCs w:val="21"/>
        </w:rPr>
        <w:t>包括建筑物和构筑物的新建、改建、扩建、装修、拆除、修缮等</w:t>
      </w:r>
      <w:r>
        <w:rPr>
          <w:rFonts w:hint="eastAsia" w:ascii="宋体" w:hAnsi="宋体" w:cs="宋体"/>
          <w:color w:val="auto"/>
          <w:szCs w:val="21"/>
        </w:rPr>
        <w:t>。</w:t>
      </w:r>
    </w:p>
    <w:p w14:paraId="4D6889C9">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r>
        <w:rPr>
          <w:rFonts w:hint="eastAsia" w:ascii="宋体" w:hAnsi="宋体" w:cs="宋体"/>
          <w:color w:val="auto"/>
          <w:szCs w:val="21"/>
        </w:rPr>
        <w:t>“竞标”是指供应商按照本项目竞争性磋商公告规定的方式获取磋商文件、提交响应文件并希望获得标的的行为。</w:t>
      </w:r>
    </w:p>
    <w:p w14:paraId="70368F2A">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“响应文件”</w:t>
      </w:r>
      <w:r>
        <w:rPr>
          <w:rFonts w:hint="eastAsia" w:ascii="宋体" w:hAnsi="宋体" w:cs="宋体"/>
          <w:color w:val="auto"/>
          <w:spacing w:val="-6"/>
          <w:szCs w:val="21"/>
        </w:rPr>
        <w:t>是指：供应商根据本磋商文件要求，编制包含资格证明、报价商务技术等所有内容的文件。</w:t>
      </w:r>
    </w:p>
    <w:p w14:paraId="2B4A837D">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7</w:t>
      </w:r>
      <w:r>
        <w:rPr>
          <w:rFonts w:hint="eastAsia" w:ascii="宋体" w:hAnsi="宋体" w:cs="宋体"/>
          <w:color w:val="auto"/>
          <w:szCs w:val="21"/>
        </w:rPr>
        <w:t>“实质性要求”是指磋商文件中已经指明不满足则响应文件按无效响应处理的条款，或者不能负偏离的条款，或者采购需求中带“▲”的条款。</w:t>
      </w:r>
    </w:p>
    <w:p w14:paraId="1BA9722A">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8</w:t>
      </w:r>
      <w:r>
        <w:rPr>
          <w:rFonts w:hint="eastAsia" w:ascii="宋体" w:hAnsi="宋体" w:cs="宋体"/>
          <w:color w:val="auto"/>
          <w:szCs w:val="21"/>
        </w:rPr>
        <w:t>“正偏离”，是指响应文件对磋商文件“采购需求”中有关条款作出的响应优于条款要求并有利于采购人的情形。</w:t>
      </w:r>
    </w:p>
    <w:p w14:paraId="26218CE0">
      <w:pPr>
        <w:spacing w:line="360" w:lineRule="auto"/>
        <w:ind w:firstLine="420" w:firstLineChars="200"/>
        <w:rPr>
          <w:rFonts w:ascii="宋体" w:hAnsi="宋体" w:cs="宋体"/>
          <w:color w:val="auto"/>
          <w:szCs w:val="21"/>
        </w:rPr>
      </w:pPr>
      <w:r>
        <w:rPr>
          <w:rFonts w:ascii="宋体" w:hAnsi="宋体" w:cs="宋体"/>
          <w:color w:val="auto"/>
          <w:szCs w:val="21"/>
        </w:rPr>
        <w:t>2.9</w:t>
      </w:r>
      <w:r>
        <w:rPr>
          <w:rFonts w:hint="eastAsia" w:ascii="宋体" w:hAnsi="宋体" w:cs="宋体"/>
          <w:color w:val="auto"/>
          <w:szCs w:val="21"/>
        </w:rPr>
        <w:t>“负偏离”，是指响应文件对磋商文件“采购需求”中有关条款作出的响应不满足条款要求，导致采购人要求不能得到满足的情形。</w:t>
      </w:r>
    </w:p>
    <w:p w14:paraId="2F575E6E">
      <w:pPr>
        <w:spacing w:line="360" w:lineRule="auto"/>
        <w:ind w:firstLine="420" w:firstLineChars="200"/>
        <w:rPr>
          <w:rFonts w:ascii="宋体" w:hAnsi="宋体" w:cs="宋体"/>
          <w:color w:val="auto"/>
          <w:szCs w:val="21"/>
        </w:rPr>
      </w:pPr>
      <w:r>
        <w:rPr>
          <w:rFonts w:hint="eastAsia" w:ascii="宋体" w:hAnsi="宋体" w:cs="宋体"/>
          <w:color w:val="auto"/>
          <w:szCs w:val="21"/>
        </w:rPr>
        <w:t>2.10“允许负偏离的条款”是指采购需求中的不属于“实质性要求”的条款。</w:t>
      </w:r>
    </w:p>
    <w:p w14:paraId="767FADCC">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11</w:t>
      </w:r>
      <w:r>
        <w:rPr>
          <w:rFonts w:hint="eastAsia" w:ascii="宋体" w:hAnsi="宋体" w:cs="宋体"/>
          <w:color w:val="auto"/>
          <w:szCs w:val="21"/>
        </w:rPr>
        <w:t>“书面形式”是指合同书、信件和数据电文（包括电报、电传、传真、电子数据交换和电子邮件）等可以有形地表现所载内容的形式。</w:t>
      </w:r>
    </w:p>
    <w:p w14:paraId="63B7551F">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12</w:t>
      </w:r>
      <w:r>
        <w:rPr>
          <w:rFonts w:hint="eastAsia" w:ascii="宋体" w:hAnsi="宋体" w:cs="宋体"/>
          <w:color w:val="auto"/>
          <w:szCs w:val="21"/>
        </w:rPr>
        <w:t>“首次报价”是指供应商提交的首次响应文件中的报价。</w:t>
      </w:r>
    </w:p>
    <w:p w14:paraId="442BAB85">
      <w:pPr>
        <w:spacing w:line="360" w:lineRule="auto"/>
        <w:ind w:firstLine="420" w:firstLineChars="200"/>
        <w:rPr>
          <w:rFonts w:ascii="宋体" w:hAnsi="宋体" w:cs="宋体"/>
          <w:color w:val="auto"/>
          <w:szCs w:val="21"/>
        </w:rPr>
      </w:pPr>
      <w:r>
        <w:rPr>
          <w:rFonts w:hint="eastAsia" w:ascii="宋体" w:hAnsi="宋体" w:cs="宋体"/>
          <w:color w:val="auto"/>
          <w:szCs w:val="21"/>
        </w:rPr>
        <w:t>2.1</w:t>
      </w:r>
      <w:r>
        <w:rPr>
          <w:rFonts w:ascii="宋体" w:hAnsi="宋体" w:cs="宋体"/>
          <w:color w:val="auto"/>
          <w:szCs w:val="21"/>
        </w:rPr>
        <w:t>3</w:t>
      </w:r>
      <w:r>
        <w:rPr>
          <w:rFonts w:hint="eastAsia" w:ascii="宋体" w:hAnsi="宋体" w:cs="宋体"/>
          <w:color w:val="auto"/>
          <w:szCs w:val="21"/>
        </w:rPr>
        <w:t>“评审价”是指供应商提交的最后报价并经修正（如有）和政策功能价格扣除（如有）后的价格。</w:t>
      </w:r>
    </w:p>
    <w:p w14:paraId="48F53EDD">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3.供应商的资格条件</w:t>
      </w:r>
    </w:p>
    <w:p w14:paraId="70DDD59C">
      <w:pPr>
        <w:spacing w:line="360" w:lineRule="auto"/>
        <w:ind w:firstLine="420" w:firstLineChars="200"/>
        <w:rPr>
          <w:rFonts w:ascii="宋体" w:hAnsi="宋体" w:cs="宋体"/>
          <w:color w:val="auto"/>
          <w:szCs w:val="21"/>
        </w:rPr>
      </w:pPr>
      <w:r>
        <w:rPr>
          <w:rFonts w:hint="eastAsia" w:ascii="宋体" w:hAnsi="宋体" w:cs="宋体"/>
          <w:color w:val="auto"/>
          <w:szCs w:val="21"/>
        </w:rPr>
        <w:t>供应商的资格条件详见“供应商须知前附表”。</w:t>
      </w:r>
    </w:p>
    <w:p w14:paraId="59263181">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4.竞标费用</w:t>
      </w:r>
    </w:p>
    <w:p w14:paraId="08A67542">
      <w:pPr>
        <w:spacing w:line="360" w:lineRule="auto"/>
        <w:ind w:firstLine="420" w:firstLineChars="200"/>
        <w:rPr>
          <w:rFonts w:ascii="宋体" w:hAnsi="宋体" w:cs="宋体"/>
          <w:color w:val="auto"/>
          <w:szCs w:val="21"/>
        </w:rPr>
      </w:pPr>
      <w:r>
        <w:rPr>
          <w:rFonts w:hint="eastAsia" w:ascii="宋体" w:hAnsi="宋体" w:cs="宋体"/>
          <w:color w:val="auto"/>
          <w:szCs w:val="21"/>
        </w:rPr>
        <w:t>供应商应承担参与本次采购活动有关的所有费用，包括但不限于获取磋商文件、勘查现场、编制和提交响应文件、参加磋商与应答、签订合同等，不论竞标结果如何，均应自行承担。</w:t>
      </w:r>
    </w:p>
    <w:p w14:paraId="676E130D">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5.联合体竞标</w:t>
      </w:r>
    </w:p>
    <w:p w14:paraId="3EDBAD69">
      <w:pPr>
        <w:spacing w:line="360" w:lineRule="auto"/>
        <w:ind w:firstLine="420" w:firstLineChars="200"/>
        <w:rPr>
          <w:rFonts w:ascii="宋体" w:hAnsi="宋体" w:cs="宋体"/>
          <w:color w:val="auto"/>
          <w:szCs w:val="21"/>
        </w:rPr>
      </w:pPr>
      <w:r>
        <w:rPr>
          <w:rFonts w:hint="eastAsia" w:ascii="宋体" w:hAnsi="宋体" w:cs="宋体"/>
          <w:color w:val="auto"/>
          <w:szCs w:val="21"/>
        </w:rPr>
        <w:t>5.1本项目是否接受联合体竞标，详见“供应商须知前附表”。</w:t>
      </w:r>
    </w:p>
    <w:p w14:paraId="223843A8">
      <w:pPr>
        <w:spacing w:line="360" w:lineRule="auto"/>
        <w:ind w:firstLine="420" w:firstLineChars="200"/>
        <w:rPr>
          <w:rFonts w:ascii="宋体" w:hAnsi="宋体" w:cs="宋体"/>
          <w:color w:val="auto"/>
          <w:szCs w:val="21"/>
        </w:rPr>
      </w:pPr>
      <w:r>
        <w:rPr>
          <w:rFonts w:hint="eastAsia" w:ascii="宋体" w:hAnsi="宋体" w:cs="宋体"/>
          <w:color w:val="auto"/>
          <w:szCs w:val="21"/>
        </w:rPr>
        <w:t>5.2</w:t>
      </w:r>
      <w:r>
        <w:rPr>
          <w:rFonts w:hint="eastAsia" w:ascii="宋体" w:hAnsi="宋体"/>
          <w:color w:val="auto"/>
        </w:rPr>
        <w:t>如接受联合体竞标，</w:t>
      </w:r>
      <w:r>
        <w:rPr>
          <w:rFonts w:hint="eastAsia" w:ascii="宋体" w:hAnsi="宋体" w:cs="宋体"/>
          <w:color w:val="auto"/>
          <w:szCs w:val="21"/>
        </w:rPr>
        <w:t>联合体竞标要求详见“供应商须知前附表”。</w:t>
      </w:r>
    </w:p>
    <w:p w14:paraId="4A80E25D">
      <w:pPr>
        <w:spacing w:line="360" w:lineRule="auto"/>
        <w:ind w:firstLine="420" w:firstLineChars="200"/>
        <w:rPr>
          <w:rFonts w:ascii="宋体" w:hAnsi="宋体" w:cs="宋体"/>
          <w:color w:val="auto"/>
          <w:szCs w:val="21"/>
        </w:rPr>
      </w:pPr>
      <w:r>
        <w:rPr>
          <w:rFonts w:hint="eastAsia" w:ascii="宋体" w:hAnsi="宋体" w:cs="宋体"/>
          <w:color w:val="auto"/>
          <w:szCs w:val="21"/>
        </w:rPr>
        <w:t>5.3根据《政府采购促进中小企业发展暂行办法》第六条规定，“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的价格扣除。联合体各方均为小型、微型企业的，联合体视同为小型、微型企业享受本办法第四条、第五条规定的扶持政策。组成联合体的大中型企业和其他自然人、法人或者其他组织，与小型、微型企业之间不得存在投资关系。”</w:t>
      </w:r>
    </w:p>
    <w:p w14:paraId="43C85C5C">
      <w:pPr>
        <w:spacing w:line="360" w:lineRule="auto"/>
        <w:ind w:firstLine="422" w:firstLineChars="200"/>
        <w:rPr>
          <w:rFonts w:ascii="黑体" w:hAnsi="黑体" w:eastAsia="黑体" w:cs="宋体"/>
          <w:b/>
          <w:bCs/>
          <w:color w:val="auto"/>
          <w:sz w:val="24"/>
        </w:rPr>
      </w:pPr>
      <w:r>
        <w:rPr>
          <w:rFonts w:hint="eastAsia" w:ascii="宋体" w:hAnsi="宋体" w:eastAsia="宋体" w:cs="宋体"/>
          <w:b/>
          <w:bCs/>
          <w:color w:val="auto"/>
          <w:kern w:val="2"/>
          <w:sz w:val="21"/>
          <w:szCs w:val="20"/>
          <w:lang w:val="en-US" w:eastAsia="zh-CN" w:bidi="ar-SA"/>
        </w:rPr>
        <w:t xml:space="preserve">6.转包与分包  </w:t>
      </w:r>
      <w:r>
        <w:rPr>
          <w:rFonts w:hint="eastAsia" w:ascii="黑体" w:hAnsi="黑体" w:eastAsia="黑体" w:cs="宋体"/>
          <w:b/>
          <w:bCs/>
          <w:color w:val="auto"/>
          <w:sz w:val="24"/>
        </w:rPr>
        <w:t xml:space="preserve">           </w:t>
      </w:r>
    </w:p>
    <w:p w14:paraId="75F8509D">
      <w:pPr>
        <w:spacing w:line="360" w:lineRule="auto"/>
        <w:ind w:firstLine="420" w:firstLineChars="200"/>
        <w:rPr>
          <w:rFonts w:ascii="宋体" w:hAnsi="宋体" w:cs="宋体"/>
          <w:color w:val="auto"/>
          <w:szCs w:val="21"/>
        </w:rPr>
      </w:pPr>
      <w:r>
        <w:rPr>
          <w:rFonts w:hint="eastAsia" w:ascii="宋体" w:hAnsi="宋体" w:cs="宋体"/>
          <w:color w:val="auto"/>
          <w:szCs w:val="21"/>
        </w:rPr>
        <w:t>6.1本项目不允许转包。</w:t>
      </w:r>
    </w:p>
    <w:p w14:paraId="20A4978A">
      <w:pPr>
        <w:spacing w:line="360" w:lineRule="auto"/>
        <w:ind w:firstLine="420" w:firstLineChars="200"/>
        <w:rPr>
          <w:rFonts w:ascii="宋体" w:hAnsi="宋体" w:cs="宋体"/>
          <w:color w:val="auto"/>
          <w:szCs w:val="21"/>
        </w:rPr>
      </w:pPr>
      <w:r>
        <w:rPr>
          <w:rFonts w:hint="eastAsia" w:ascii="宋体" w:hAnsi="宋体" w:cs="宋体"/>
          <w:color w:val="auto"/>
          <w:szCs w:val="21"/>
        </w:rPr>
        <w:t>6.2本项目是否允许分包详见“供应商须知前附表”，本项目不允许违法分包。</w:t>
      </w:r>
    </w:p>
    <w:p w14:paraId="5E401D03">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7.特别说明</w:t>
      </w:r>
    </w:p>
    <w:p w14:paraId="186D2D3E">
      <w:pPr>
        <w:spacing w:line="360" w:lineRule="auto"/>
        <w:ind w:firstLine="420" w:firstLineChars="200"/>
        <w:rPr>
          <w:rFonts w:ascii="宋体" w:hAnsi="宋体" w:cs="宋体"/>
          <w:color w:val="auto"/>
          <w:szCs w:val="21"/>
        </w:rPr>
      </w:pPr>
      <w:bookmarkStart w:id="67" w:name="_8.1提供相同品牌产品且通过资格审查、符合性审查的不同投标人参加同一合"/>
      <w:bookmarkEnd w:id="67"/>
      <w:r>
        <w:rPr>
          <w:rFonts w:hint="eastAsia" w:ascii="宋体" w:hAnsi="宋体" w:cs="宋体"/>
          <w:color w:val="auto"/>
          <w:szCs w:val="21"/>
        </w:rPr>
        <w:t>7.</w:t>
      </w:r>
      <w:r>
        <w:rPr>
          <w:rFonts w:ascii="宋体" w:hAnsi="宋体" w:cs="宋体"/>
          <w:color w:val="auto"/>
          <w:szCs w:val="21"/>
        </w:rPr>
        <w:t>1</w:t>
      </w:r>
      <w:r>
        <w:rPr>
          <w:rFonts w:hint="eastAsia" w:ascii="宋体" w:hAnsi="宋体"/>
          <w:color w:val="auto"/>
          <w:szCs w:val="21"/>
        </w:rPr>
        <w:t>如果本磋商文件要求供应商提供资格、信誉、荣誉、业绩与企业认证等材料的，则供应商所提供的以上材料必须为供应商所拥有</w:t>
      </w:r>
      <w:r>
        <w:rPr>
          <w:rFonts w:hint="eastAsia" w:ascii="宋体" w:hAnsi="宋体" w:cs="宋体"/>
          <w:color w:val="auto"/>
          <w:szCs w:val="21"/>
        </w:rPr>
        <w:t>。</w:t>
      </w:r>
    </w:p>
    <w:p w14:paraId="68D67D98">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2</w:t>
      </w:r>
      <w:r>
        <w:rPr>
          <w:rFonts w:hint="eastAsia" w:ascii="宋体" w:hAnsi="宋体" w:cs="宋体"/>
          <w:color w:val="auto"/>
          <w:szCs w:val="21"/>
        </w:rPr>
        <w:t>供应商应仔细阅读磋商文件的所有内容，按照磋商文件的要求提交响应文件，并对所提供的全部资料的真实性承担法律责任。</w:t>
      </w:r>
    </w:p>
    <w:p w14:paraId="314E49A8">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3</w:t>
      </w:r>
      <w:r>
        <w:rPr>
          <w:rFonts w:hint="eastAsia" w:ascii="宋体" w:hAnsi="宋体" w:cs="宋体"/>
          <w:color w:val="auto"/>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5129EEF2">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4</w:t>
      </w:r>
      <w:r>
        <w:rPr>
          <w:rFonts w:hint="eastAsia" w:ascii="宋体" w:hAnsi="宋体" w:cs="宋体"/>
          <w:color w:val="auto"/>
          <w:szCs w:val="21"/>
        </w:rPr>
        <w:t>在政府采购活动中，采购人员及相关人员与供应商有下列利害关系之一的，应当回避：</w:t>
      </w:r>
    </w:p>
    <w:p w14:paraId="40AFECA0">
      <w:pPr>
        <w:spacing w:line="360" w:lineRule="auto"/>
        <w:ind w:firstLine="420" w:firstLineChars="200"/>
        <w:rPr>
          <w:rFonts w:ascii="宋体" w:hAnsi="宋体" w:cs="宋体"/>
          <w:color w:val="auto"/>
          <w:szCs w:val="21"/>
        </w:rPr>
      </w:pPr>
      <w:r>
        <w:rPr>
          <w:rFonts w:hint="eastAsia" w:ascii="宋体" w:hAnsi="宋体" w:cs="宋体"/>
          <w:color w:val="auto"/>
          <w:szCs w:val="21"/>
        </w:rPr>
        <w:t>（1）参加采购活动前3年内与供应商存在劳动关系；</w:t>
      </w:r>
    </w:p>
    <w:p w14:paraId="7D72FBDE">
      <w:pPr>
        <w:spacing w:line="360" w:lineRule="auto"/>
        <w:ind w:firstLine="420" w:firstLineChars="200"/>
        <w:rPr>
          <w:rFonts w:ascii="宋体" w:hAnsi="宋体" w:cs="宋体"/>
          <w:color w:val="auto"/>
          <w:szCs w:val="21"/>
        </w:rPr>
      </w:pPr>
      <w:r>
        <w:rPr>
          <w:rFonts w:hint="eastAsia" w:ascii="宋体" w:hAnsi="宋体" w:cs="宋体"/>
          <w:color w:val="auto"/>
          <w:szCs w:val="21"/>
        </w:rPr>
        <w:t>（2）参加采购活动前3年内担任供应商的董事、监事；</w:t>
      </w:r>
    </w:p>
    <w:p w14:paraId="58D894E4">
      <w:pPr>
        <w:spacing w:line="360" w:lineRule="auto"/>
        <w:ind w:firstLine="420" w:firstLineChars="200"/>
        <w:rPr>
          <w:rFonts w:ascii="宋体" w:hAnsi="宋体" w:cs="宋体"/>
          <w:color w:val="auto"/>
          <w:szCs w:val="21"/>
        </w:rPr>
      </w:pPr>
      <w:r>
        <w:rPr>
          <w:rFonts w:hint="eastAsia" w:ascii="宋体" w:hAnsi="宋体" w:cs="宋体"/>
          <w:color w:val="auto"/>
          <w:szCs w:val="21"/>
        </w:rPr>
        <w:t>（3）参加采购活动前3年内是供应商的控股股东或者实际控制人；</w:t>
      </w:r>
    </w:p>
    <w:p w14:paraId="71DD710B">
      <w:pPr>
        <w:spacing w:line="360" w:lineRule="auto"/>
        <w:ind w:firstLine="420" w:firstLineChars="200"/>
        <w:rPr>
          <w:rFonts w:ascii="宋体" w:hAnsi="宋体" w:cs="宋体"/>
          <w:color w:val="auto"/>
          <w:szCs w:val="21"/>
        </w:rPr>
      </w:pPr>
      <w:r>
        <w:rPr>
          <w:rFonts w:hint="eastAsia" w:ascii="宋体" w:hAnsi="宋体" w:cs="宋体"/>
          <w:color w:val="auto"/>
          <w:szCs w:val="21"/>
        </w:rPr>
        <w:t>（4）与供应商的法定代表人或者负责人有夫妻、直系血亲、三代以内旁系血亲或者近姻亲关系；</w:t>
      </w:r>
    </w:p>
    <w:p w14:paraId="2F0238C6">
      <w:pPr>
        <w:spacing w:line="360" w:lineRule="auto"/>
        <w:ind w:firstLine="420" w:firstLineChars="200"/>
        <w:rPr>
          <w:rFonts w:ascii="宋体" w:hAnsi="宋体" w:cs="宋体"/>
          <w:color w:val="auto"/>
          <w:szCs w:val="21"/>
        </w:rPr>
      </w:pPr>
      <w:r>
        <w:rPr>
          <w:rFonts w:hint="eastAsia" w:ascii="宋体" w:hAnsi="宋体" w:cs="宋体"/>
          <w:color w:val="auto"/>
          <w:szCs w:val="21"/>
        </w:rPr>
        <w:t>（5）与供应商有其他可能影响政府采购活动公平、公正进行的关系。</w:t>
      </w:r>
    </w:p>
    <w:p w14:paraId="133DA50F">
      <w:pPr>
        <w:spacing w:line="360" w:lineRule="auto"/>
        <w:ind w:firstLine="420" w:firstLineChars="200"/>
        <w:rPr>
          <w:rFonts w:ascii="宋体" w:hAnsi="宋体" w:cs="宋体"/>
          <w:color w:val="auto"/>
          <w:szCs w:val="21"/>
        </w:rPr>
      </w:pPr>
      <w:r>
        <w:rPr>
          <w:rFonts w:hint="eastAsia" w:ascii="宋体" w:hAnsi="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1534DEB">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5</w:t>
      </w:r>
      <w:r>
        <w:rPr>
          <w:rFonts w:hint="eastAsia" w:ascii="宋体" w:hAnsi="宋体" w:cs="宋体"/>
          <w:color w:val="auto"/>
          <w:szCs w:val="21"/>
        </w:rPr>
        <w:t>有下列情形之一的视为供应商相互串通竞标，响应文件将被视为无效：</w:t>
      </w:r>
    </w:p>
    <w:p w14:paraId="148A66D4">
      <w:pPr>
        <w:spacing w:line="360" w:lineRule="auto"/>
        <w:ind w:firstLine="420" w:firstLineChars="200"/>
        <w:rPr>
          <w:rFonts w:ascii="宋体" w:hAnsi="宋体" w:cs="宋体"/>
          <w:color w:val="auto"/>
          <w:szCs w:val="21"/>
        </w:rPr>
      </w:pPr>
      <w:r>
        <w:rPr>
          <w:rFonts w:hint="eastAsia" w:ascii="宋体" w:hAnsi="宋体" w:cs="宋体"/>
          <w:color w:val="auto"/>
          <w:szCs w:val="21"/>
        </w:rPr>
        <w:t>（1）不同供应商的响应文件由同一单位或者个人编制；或者不同供应商报名的IP地址一致的；</w:t>
      </w:r>
    </w:p>
    <w:p w14:paraId="74CD6B49">
      <w:pPr>
        <w:spacing w:line="360" w:lineRule="auto"/>
        <w:ind w:firstLine="420" w:firstLineChars="200"/>
        <w:rPr>
          <w:rFonts w:ascii="宋体" w:hAnsi="宋体" w:cs="宋体"/>
          <w:color w:val="auto"/>
          <w:szCs w:val="21"/>
        </w:rPr>
      </w:pPr>
      <w:r>
        <w:rPr>
          <w:rFonts w:hint="eastAsia" w:ascii="宋体" w:hAnsi="宋体" w:cs="宋体"/>
          <w:color w:val="auto"/>
          <w:szCs w:val="21"/>
        </w:rPr>
        <w:t>（2）不同供应商委托同一单位或者个人办理竞标事宜；</w:t>
      </w:r>
    </w:p>
    <w:p w14:paraId="64AE6748">
      <w:pPr>
        <w:spacing w:line="360" w:lineRule="auto"/>
        <w:ind w:firstLine="420" w:firstLineChars="200"/>
        <w:rPr>
          <w:rFonts w:ascii="宋体" w:hAnsi="宋体" w:cs="宋体"/>
          <w:color w:val="auto"/>
          <w:szCs w:val="21"/>
        </w:rPr>
      </w:pPr>
      <w:r>
        <w:rPr>
          <w:rFonts w:hint="eastAsia" w:ascii="宋体" w:hAnsi="宋体" w:cs="宋体"/>
          <w:color w:val="auto"/>
          <w:szCs w:val="21"/>
        </w:rPr>
        <w:t>（3）不同的供应商的响应文件载明的项目管理员为同一个人；</w:t>
      </w:r>
    </w:p>
    <w:p w14:paraId="718ACD18">
      <w:pPr>
        <w:spacing w:line="360" w:lineRule="auto"/>
        <w:ind w:firstLine="420" w:firstLineChars="200"/>
        <w:rPr>
          <w:rFonts w:ascii="宋体" w:hAnsi="宋体" w:cs="宋体"/>
          <w:color w:val="auto"/>
          <w:szCs w:val="21"/>
        </w:rPr>
      </w:pPr>
      <w:r>
        <w:rPr>
          <w:rFonts w:hint="eastAsia" w:ascii="宋体" w:hAnsi="宋体" w:cs="宋体"/>
          <w:color w:val="auto"/>
          <w:szCs w:val="21"/>
        </w:rPr>
        <w:t>（4）不同供应商的响应文件异常一致或者报价呈规律性差异；</w:t>
      </w:r>
    </w:p>
    <w:p w14:paraId="15A6EE7C">
      <w:pPr>
        <w:spacing w:line="360" w:lineRule="auto"/>
        <w:ind w:firstLine="420" w:firstLineChars="200"/>
        <w:rPr>
          <w:rFonts w:ascii="宋体" w:hAnsi="宋体" w:cs="宋体"/>
          <w:color w:val="auto"/>
          <w:szCs w:val="21"/>
        </w:rPr>
      </w:pPr>
      <w:r>
        <w:rPr>
          <w:rFonts w:hint="eastAsia" w:ascii="宋体" w:hAnsi="宋体" w:cs="宋体"/>
          <w:color w:val="auto"/>
          <w:szCs w:val="21"/>
        </w:rPr>
        <w:t>（5）不同供应商的响应文件相互混装；</w:t>
      </w:r>
    </w:p>
    <w:p w14:paraId="0CA580F9">
      <w:pPr>
        <w:tabs>
          <w:tab w:val="left" w:pos="6931"/>
        </w:tabs>
        <w:spacing w:line="360" w:lineRule="auto"/>
        <w:ind w:firstLine="420" w:firstLineChars="200"/>
        <w:rPr>
          <w:rFonts w:ascii="宋体" w:hAnsi="宋体" w:cs="宋体"/>
          <w:color w:val="auto"/>
          <w:szCs w:val="21"/>
        </w:rPr>
      </w:pPr>
      <w:r>
        <w:rPr>
          <w:rFonts w:hint="eastAsia" w:ascii="宋体" w:hAnsi="宋体" w:cs="宋体"/>
          <w:color w:val="auto"/>
          <w:szCs w:val="21"/>
        </w:rPr>
        <w:t>（6）不同供应商的磋商保证金从同一单位或者个人账户转出。</w:t>
      </w:r>
      <w:r>
        <w:rPr>
          <w:rFonts w:ascii="宋体" w:hAnsi="宋体" w:cs="宋体"/>
          <w:color w:val="auto"/>
          <w:szCs w:val="21"/>
        </w:rPr>
        <w:tab/>
      </w:r>
    </w:p>
    <w:p w14:paraId="5FE4D44F">
      <w:pPr>
        <w:spacing w:line="360" w:lineRule="auto"/>
        <w:ind w:firstLine="420" w:firstLineChars="200"/>
        <w:rPr>
          <w:rFonts w:ascii="宋体" w:hAnsi="宋体" w:cs="宋体"/>
          <w:color w:val="auto"/>
          <w:szCs w:val="21"/>
        </w:rPr>
      </w:pPr>
      <w:r>
        <w:rPr>
          <w:rFonts w:hint="eastAsia" w:ascii="宋体" w:hAnsi="宋体" w:cs="宋体"/>
          <w:color w:val="auto"/>
          <w:szCs w:val="21"/>
        </w:rPr>
        <w:t>7.</w:t>
      </w:r>
      <w:r>
        <w:rPr>
          <w:rFonts w:ascii="宋体" w:hAnsi="宋体" w:cs="宋体"/>
          <w:color w:val="auto"/>
          <w:szCs w:val="21"/>
        </w:rPr>
        <w:t>6</w:t>
      </w:r>
      <w:r>
        <w:rPr>
          <w:rFonts w:hint="eastAsia" w:ascii="宋体" w:hAnsi="宋体" w:cs="宋体"/>
          <w:color w:val="auto"/>
          <w:szCs w:val="21"/>
        </w:rPr>
        <w:t>供应商有下列情形之一的，属于恶意串通行为，将报同级监督管理部门：</w:t>
      </w:r>
    </w:p>
    <w:p w14:paraId="4A6244C7">
      <w:pPr>
        <w:spacing w:line="360" w:lineRule="auto"/>
        <w:ind w:firstLine="420" w:firstLineChars="200"/>
        <w:rPr>
          <w:rFonts w:ascii="宋体" w:hAnsi="宋体" w:cs="宋体"/>
          <w:color w:val="auto"/>
          <w:szCs w:val="21"/>
        </w:rPr>
      </w:pPr>
      <w:r>
        <w:rPr>
          <w:rFonts w:hint="eastAsia" w:ascii="宋体" w:hAnsi="宋体" w:cs="宋体"/>
          <w:color w:val="auto"/>
          <w:szCs w:val="21"/>
        </w:rPr>
        <w:t>（1）供应商直接或者间接从采购人或者采购代理机构处获得其他供应商的相关信息并修改其响应文件；</w:t>
      </w:r>
    </w:p>
    <w:p w14:paraId="3E72AD48">
      <w:pPr>
        <w:spacing w:line="360" w:lineRule="auto"/>
        <w:ind w:firstLine="420" w:firstLineChars="200"/>
        <w:rPr>
          <w:rFonts w:ascii="宋体" w:hAnsi="宋体" w:cs="宋体"/>
          <w:color w:val="auto"/>
          <w:szCs w:val="21"/>
        </w:rPr>
      </w:pPr>
      <w:r>
        <w:rPr>
          <w:rFonts w:hint="eastAsia" w:ascii="宋体" w:hAnsi="宋体" w:cs="宋体"/>
          <w:color w:val="auto"/>
          <w:szCs w:val="21"/>
        </w:rPr>
        <w:t>（2）供应商按照采购人或者采购代理机构的授意撤换、修改响应文件；</w:t>
      </w:r>
    </w:p>
    <w:p w14:paraId="1E3D2A01">
      <w:pPr>
        <w:spacing w:line="360" w:lineRule="auto"/>
        <w:ind w:firstLine="420" w:firstLineChars="200"/>
        <w:rPr>
          <w:rFonts w:ascii="宋体" w:hAnsi="宋体" w:cs="宋体"/>
          <w:color w:val="auto"/>
          <w:szCs w:val="21"/>
        </w:rPr>
      </w:pPr>
      <w:r>
        <w:rPr>
          <w:rFonts w:hint="eastAsia" w:ascii="宋体" w:hAnsi="宋体" w:cs="宋体"/>
          <w:color w:val="auto"/>
          <w:szCs w:val="21"/>
        </w:rPr>
        <w:t>（3）供应商之间协商报价、技术方案等响应文件或者响应文件的实质性内容；</w:t>
      </w:r>
    </w:p>
    <w:p w14:paraId="04654805">
      <w:pPr>
        <w:spacing w:line="360" w:lineRule="auto"/>
        <w:ind w:firstLine="420" w:firstLineChars="200"/>
        <w:rPr>
          <w:rFonts w:ascii="宋体" w:hAnsi="宋体" w:cs="宋体"/>
          <w:color w:val="auto"/>
          <w:szCs w:val="21"/>
        </w:rPr>
      </w:pPr>
      <w:r>
        <w:rPr>
          <w:rFonts w:hint="eastAsia" w:ascii="宋体" w:hAnsi="宋体" w:cs="宋体"/>
          <w:color w:val="auto"/>
          <w:szCs w:val="21"/>
        </w:rPr>
        <w:t>（4）属于同一集团、协会、商会等组织成员的供应商按照该组织要求协同参加政府采购活动；</w:t>
      </w:r>
    </w:p>
    <w:p w14:paraId="103DA879">
      <w:pPr>
        <w:spacing w:line="360" w:lineRule="auto"/>
        <w:ind w:firstLine="420" w:firstLineChars="200"/>
        <w:rPr>
          <w:rFonts w:ascii="宋体" w:hAnsi="宋体" w:cs="宋体"/>
          <w:color w:val="auto"/>
          <w:szCs w:val="21"/>
        </w:rPr>
      </w:pPr>
      <w:r>
        <w:rPr>
          <w:rFonts w:hint="eastAsia" w:ascii="宋体" w:hAnsi="宋体" w:cs="宋体"/>
          <w:color w:val="auto"/>
          <w:szCs w:val="21"/>
        </w:rPr>
        <w:t>（5）供应商之间事先约定一致抬高或者压低报价，或者在政府采购活动中事先约定轮流以高价位或者低价位成交，或者事先约定由某一特定供应商成交，然后再参加竞标；</w:t>
      </w:r>
    </w:p>
    <w:p w14:paraId="14DE6F83">
      <w:pPr>
        <w:spacing w:line="360" w:lineRule="auto"/>
        <w:ind w:firstLine="420" w:firstLineChars="200"/>
        <w:rPr>
          <w:rFonts w:ascii="宋体" w:hAnsi="宋体" w:cs="宋体"/>
          <w:color w:val="auto"/>
          <w:szCs w:val="21"/>
        </w:rPr>
      </w:pPr>
      <w:r>
        <w:rPr>
          <w:rFonts w:hint="eastAsia" w:ascii="宋体" w:hAnsi="宋体" w:cs="宋体"/>
          <w:color w:val="auto"/>
          <w:szCs w:val="21"/>
        </w:rPr>
        <w:t>（6）供应商之间商定部分供应商放弃参加政府采购活动或者放弃成交；</w:t>
      </w:r>
    </w:p>
    <w:p w14:paraId="71EC37F4">
      <w:pPr>
        <w:spacing w:line="360" w:lineRule="auto"/>
        <w:ind w:firstLine="420" w:firstLineChars="200"/>
        <w:rPr>
          <w:rFonts w:ascii="宋体" w:hAnsi="宋体" w:cs="宋体"/>
          <w:color w:val="auto"/>
          <w:szCs w:val="21"/>
        </w:rPr>
      </w:pPr>
      <w:r>
        <w:rPr>
          <w:rFonts w:hint="eastAsia" w:ascii="宋体" w:hAnsi="宋体" w:cs="宋体"/>
          <w:color w:val="auto"/>
          <w:szCs w:val="21"/>
        </w:rPr>
        <w:t>（7）供应商与采购人或者采购代理机构之间、供应商相互之间，为谋求特定供应商成交或者排斥其他供应商的其他串通行为。</w:t>
      </w:r>
    </w:p>
    <w:p w14:paraId="6A750A77">
      <w:pPr>
        <w:jc w:val="center"/>
        <w:rPr>
          <w:rFonts w:hint="eastAsia" w:asciiTheme="majorEastAsia" w:hAnsiTheme="majorEastAsia" w:eastAsiaTheme="majorEastAsia" w:cstheme="majorEastAsia"/>
          <w:b/>
          <w:color w:val="auto"/>
          <w:sz w:val="32"/>
          <w:highlight w:val="none"/>
        </w:rPr>
      </w:pPr>
    </w:p>
    <w:p w14:paraId="0CDDE20E">
      <w:pPr>
        <w:pStyle w:val="14"/>
        <w:spacing w:line="240" w:lineRule="exact"/>
        <w:rPr>
          <w:rFonts w:hint="eastAsia" w:asciiTheme="majorEastAsia" w:hAnsiTheme="majorEastAsia" w:eastAsiaTheme="majorEastAsia" w:cstheme="majorEastAsia"/>
          <w:color w:val="auto"/>
          <w:highlight w:val="none"/>
        </w:rPr>
      </w:pPr>
    </w:p>
    <w:p w14:paraId="50F3BB72">
      <w:pPr>
        <w:spacing w:line="360" w:lineRule="auto"/>
        <w:jc w:val="center"/>
        <w:rPr>
          <w:rFonts w:ascii="宋体" w:hAnsi="宋体"/>
          <w:b/>
          <w:bCs/>
          <w:color w:val="auto"/>
          <w:sz w:val="32"/>
          <w:szCs w:val="32"/>
        </w:rPr>
      </w:pPr>
      <w:r>
        <w:rPr>
          <w:rFonts w:hint="eastAsia" w:asciiTheme="majorEastAsia" w:hAnsiTheme="majorEastAsia" w:eastAsiaTheme="majorEastAsia" w:cstheme="majorEastAsia"/>
          <w:b/>
          <w:color w:val="auto"/>
          <w:sz w:val="32"/>
          <w:szCs w:val="32"/>
          <w:highlight w:val="none"/>
        </w:rPr>
        <w:br w:type="page"/>
      </w:r>
      <w:r>
        <w:rPr>
          <w:rFonts w:hint="eastAsia" w:ascii="宋体" w:hAnsi="宋体"/>
          <w:b/>
          <w:bCs/>
          <w:color w:val="auto"/>
          <w:sz w:val="32"/>
          <w:szCs w:val="32"/>
        </w:rPr>
        <w:t>二、磋商文件</w:t>
      </w:r>
    </w:p>
    <w:p w14:paraId="25884A97">
      <w:pPr>
        <w:spacing w:line="360" w:lineRule="auto"/>
        <w:jc w:val="center"/>
        <w:rPr>
          <w:rFonts w:ascii="宋体" w:hAnsi="宋体"/>
          <w:color w:val="auto"/>
          <w:szCs w:val="21"/>
        </w:rPr>
      </w:pPr>
    </w:p>
    <w:p w14:paraId="2895E0BA">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8.磋商文件的构成</w:t>
      </w:r>
    </w:p>
    <w:p w14:paraId="35A716AE">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（1）竞争性磋商公告；</w:t>
      </w:r>
    </w:p>
    <w:p w14:paraId="3782B0B2">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 xml:space="preserve">（2）供应商须知； </w:t>
      </w:r>
    </w:p>
    <w:p w14:paraId="141AAB73">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（3）采购需求；</w:t>
      </w:r>
    </w:p>
    <w:p w14:paraId="317A3679">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（4）评审程序、评审方法和评审标准；</w:t>
      </w:r>
    </w:p>
    <w:p w14:paraId="4A0DDC30">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（5）工程量清单及图纸</w:t>
      </w:r>
    </w:p>
    <w:p w14:paraId="0EAFB92F">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）响应文件格式；</w:t>
      </w:r>
    </w:p>
    <w:p w14:paraId="62AABB03">
      <w:pPr>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）合同文本。</w:t>
      </w:r>
    </w:p>
    <w:p w14:paraId="0792E52D">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9.供应商的询问</w:t>
      </w:r>
    </w:p>
    <w:p w14:paraId="56E31B20">
      <w:pPr>
        <w:spacing w:line="360" w:lineRule="auto"/>
        <w:ind w:firstLine="420" w:firstLineChars="200"/>
        <w:rPr>
          <w:rFonts w:ascii="宋体" w:hAnsi="宋体"/>
          <w:color w:val="auto"/>
          <w:szCs w:val="21"/>
        </w:rPr>
      </w:pPr>
      <w:r>
        <w:rPr>
          <w:rFonts w:hint="eastAsia" w:ascii="宋体" w:hAnsi="宋体"/>
          <w:color w:val="auto"/>
          <w:szCs w:val="21"/>
        </w:rPr>
        <w:t>供应商应认真阅读磋商文件的采购需求，如供应商对磋商文件有疑问的，如要求采购人作出澄清或者修改的，供应商尽可能在</w:t>
      </w:r>
      <w:r>
        <w:rPr>
          <w:rFonts w:ascii="宋体" w:hAnsi="宋体"/>
          <w:color w:val="auto"/>
          <w:szCs w:val="21"/>
        </w:rPr>
        <w:t>提交首次响应文件截止之日前</w:t>
      </w:r>
      <w:r>
        <w:rPr>
          <w:rFonts w:hint="eastAsia" w:ascii="宋体" w:hAnsi="宋体"/>
          <w:color w:val="auto"/>
          <w:szCs w:val="21"/>
        </w:rPr>
        <w:t>，以书面形式向</w:t>
      </w:r>
      <w:r>
        <w:rPr>
          <w:rFonts w:ascii="宋体" w:hAnsi="宋体"/>
          <w:color w:val="auto"/>
          <w:szCs w:val="21"/>
        </w:rPr>
        <w:t>采购人、采购代理机构</w:t>
      </w:r>
      <w:r>
        <w:rPr>
          <w:rFonts w:hint="eastAsia" w:ascii="宋体" w:hAnsi="宋体"/>
          <w:color w:val="auto"/>
          <w:szCs w:val="21"/>
        </w:rPr>
        <w:t>提出。</w:t>
      </w:r>
    </w:p>
    <w:p w14:paraId="4F05A9BD">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10.磋商文件的澄清和修改</w:t>
      </w:r>
    </w:p>
    <w:p w14:paraId="48BA6C56">
      <w:pPr>
        <w:spacing w:line="360" w:lineRule="auto"/>
        <w:ind w:firstLine="420" w:firstLineChars="200"/>
        <w:rPr>
          <w:rFonts w:ascii="宋体" w:hAnsi="宋体"/>
          <w:color w:val="auto"/>
          <w:szCs w:val="21"/>
        </w:rPr>
      </w:pPr>
      <w:r>
        <w:rPr>
          <w:rFonts w:ascii="宋体" w:hAnsi="宋体"/>
          <w:color w:val="auto"/>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color w:val="auto"/>
          <w:szCs w:val="21"/>
        </w:rPr>
        <w:t>获取</w:t>
      </w:r>
      <w:r>
        <w:rPr>
          <w:rFonts w:ascii="宋体" w:hAnsi="宋体"/>
          <w:color w:val="auto"/>
          <w:szCs w:val="21"/>
        </w:rPr>
        <w:t>磋商文件的供应商，不足3个工作日的，应当顺延提交首次响应文件截止之日。</w:t>
      </w:r>
    </w:p>
    <w:p w14:paraId="56CD6FBD">
      <w:pPr>
        <w:spacing w:line="360" w:lineRule="auto"/>
        <w:rPr>
          <w:rFonts w:ascii="宋体" w:hAnsi="宋体"/>
          <w:color w:val="auto"/>
          <w:szCs w:val="21"/>
        </w:rPr>
      </w:pPr>
    </w:p>
    <w:p w14:paraId="0108841D">
      <w:pPr>
        <w:spacing w:line="360" w:lineRule="auto"/>
        <w:jc w:val="center"/>
        <w:rPr>
          <w:rFonts w:ascii="宋体" w:hAnsi="宋体"/>
          <w:b/>
          <w:bCs/>
          <w:color w:val="auto"/>
          <w:szCs w:val="21"/>
        </w:rPr>
      </w:pPr>
      <w:r>
        <w:rPr>
          <w:rFonts w:hint="eastAsia" w:ascii="宋体" w:hAnsi="宋体"/>
          <w:b/>
          <w:bCs/>
          <w:color w:val="auto"/>
          <w:sz w:val="32"/>
          <w:szCs w:val="32"/>
        </w:rPr>
        <w:t>三、响应文件的编制</w:t>
      </w:r>
    </w:p>
    <w:p w14:paraId="6E957550">
      <w:pPr>
        <w:spacing w:line="360" w:lineRule="auto"/>
        <w:rPr>
          <w:rFonts w:ascii="宋体" w:hAnsi="宋体"/>
          <w:color w:val="auto"/>
          <w:szCs w:val="21"/>
        </w:rPr>
      </w:pPr>
    </w:p>
    <w:p w14:paraId="45CB0CBA">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11.响应文件的编制原则</w:t>
      </w:r>
    </w:p>
    <w:p w14:paraId="47AE4011">
      <w:pPr>
        <w:spacing w:line="360" w:lineRule="auto"/>
        <w:ind w:firstLine="420" w:firstLineChars="200"/>
        <w:rPr>
          <w:rFonts w:ascii="宋体" w:hAnsi="宋体" w:cs="宋体"/>
          <w:color w:val="auto"/>
          <w:szCs w:val="21"/>
        </w:rPr>
      </w:pPr>
      <w:r>
        <w:rPr>
          <w:rFonts w:hint="eastAsia" w:ascii="宋体" w:hAnsi="宋体" w:cs="宋体"/>
          <w:color w:val="auto"/>
          <w:szCs w:val="21"/>
        </w:rPr>
        <w:t>供应商必须按照磋商文件的要求编制响应文件，并对其提交的响应文件的真实性、合法性承担法律责任。响应文件必须对磋商文件作出实质性响应。</w:t>
      </w:r>
    </w:p>
    <w:p w14:paraId="7103CC71">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12.响应文件的组成</w:t>
      </w:r>
    </w:p>
    <w:p w14:paraId="35DF2455">
      <w:pPr>
        <w:spacing w:line="360" w:lineRule="auto"/>
        <w:ind w:firstLine="420" w:firstLineChars="200"/>
        <w:rPr>
          <w:rFonts w:ascii="宋体" w:hAnsi="宋体" w:cs="宋体"/>
          <w:color w:val="auto"/>
          <w:szCs w:val="21"/>
        </w:rPr>
      </w:pPr>
      <w:r>
        <w:rPr>
          <w:rFonts w:hint="eastAsia" w:ascii="宋体" w:hAnsi="宋体" w:cs="宋体"/>
          <w:color w:val="auto"/>
          <w:szCs w:val="21"/>
        </w:rPr>
        <w:t>12.1响应文件由资格证明文件、报价</w:t>
      </w:r>
      <w:r>
        <w:rPr>
          <w:rFonts w:hint="eastAsia" w:ascii="宋体" w:hAnsi="宋体" w:cs="宋体"/>
          <w:color w:val="auto"/>
          <w:szCs w:val="21"/>
          <w:lang w:eastAsia="zh-CN"/>
        </w:rPr>
        <w:t>文件、</w:t>
      </w:r>
      <w:r>
        <w:rPr>
          <w:rFonts w:hint="eastAsia" w:ascii="宋体" w:hAnsi="宋体" w:cs="宋体"/>
          <w:color w:val="auto"/>
          <w:szCs w:val="21"/>
        </w:rPr>
        <w:t>商务技术文件组成。</w:t>
      </w:r>
    </w:p>
    <w:p w14:paraId="694D42B5">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2.1.1</w:t>
      </w:r>
      <w:r>
        <w:rPr>
          <w:rFonts w:hint="eastAsia" w:ascii="宋体" w:hAnsi="宋体" w:cs="宋体"/>
          <w:color w:val="auto"/>
          <w:szCs w:val="21"/>
        </w:rPr>
        <w:t>资格证明文件：详见须知前附表</w:t>
      </w:r>
    </w:p>
    <w:p w14:paraId="77A09682">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2.1.2</w:t>
      </w:r>
      <w:r>
        <w:rPr>
          <w:rFonts w:hint="eastAsia" w:ascii="宋体" w:hAnsi="宋体" w:cs="宋体"/>
          <w:color w:val="auto"/>
          <w:szCs w:val="21"/>
        </w:rPr>
        <w:t>报价</w:t>
      </w:r>
      <w:r>
        <w:rPr>
          <w:rFonts w:hint="eastAsia" w:ascii="宋体" w:hAnsi="宋体" w:cs="宋体"/>
          <w:color w:val="auto"/>
          <w:szCs w:val="21"/>
          <w:lang w:eastAsia="zh-CN"/>
        </w:rPr>
        <w:t>文件、</w:t>
      </w:r>
      <w:r>
        <w:rPr>
          <w:rFonts w:hint="eastAsia" w:ascii="宋体" w:hAnsi="宋体" w:cs="宋体"/>
          <w:color w:val="auto"/>
          <w:szCs w:val="21"/>
        </w:rPr>
        <w:t>商务技术文件：详见须知前附表</w:t>
      </w:r>
    </w:p>
    <w:p w14:paraId="76B8E7CA">
      <w:pPr>
        <w:spacing w:line="360" w:lineRule="auto"/>
        <w:ind w:left="840" w:leftChars="200" w:hanging="420" w:hangingChars="200"/>
        <w:rPr>
          <w:rFonts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r>
        <w:rPr>
          <w:rFonts w:hint="eastAsia" w:ascii="宋体" w:hAnsi="宋体" w:cs="宋体"/>
          <w:color w:val="auto"/>
          <w:szCs w:val="21"/>
        </w:rPr>
        <w:t>响应文件电子版：详见须知前附表</w:t>
      </w:r>
    </w:p>
    <w:p w14:paraId="5E879EAA">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13.计量单位</w:t>
      </w:r>
    </w:p>
    <w:p w14:paraId="62AC042F">
      <w:pPr>
        <w:spacing w:line="360" w:lineRule="auto"/>
        <w:ind w:firstLine="420" w:firstLineChars="200"/>
        <w:rPr>
          <w:rFonts w:ascii="宋体" w:hAnsi="宋体" w:cs="宋体"/>
          <w:color w:val="auto"/>
          <w:szCs w:val="21"/>
        </w:rPr>
      </w:pPr>
      <w:r>
        <w:rPr>
          <w:rFonts w:hint="eastAsia" w:ascii="宋体" w:hAnsi="宋体" w:cs="宋体"/>
          <w:color w:val="auto"/>
          <w:szCs w:val="21"/>
        </w:rPr>
        <w:t>磋商文件已有明确规定的，使用磋商文件规定的计量单位；磋商文件没有规定的，应采用中华人民共和国法定计量单位，货币种类为人民币，否则视同未响应。</w:t>
      </w:r>
    </w:p>
    <w:p w14:paraId="4448B1F1">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14.竞标的风险</w:t>
      </w:r>
    </w:p>
    <w:p w14:paraId="3BAD4B36">
      <w:pPr>
        <w:spacing w:line="360" w:lineRule="auto"/>
        <w:ind w:firstLine="420" w:firstLineChars="200"/>
        <w:rPr>
          <w:rFonts w:ascii="宋体" w:hAnsi="宋体" w:cs="宋体"/>
          <w:color w:val="auto"/>
          <w:szCs w:val="21"/>
        </w:rPr>
      </w:pPr>
      <w:r>
        <w:rPr>
          <w:rFonts w:hint="eastAsia" w:ascii="宋体" w:hAnsi="宋体" w:cs="宋体"/>
          <w:color w:val="auto"/>
          <w:szCs w:val="21"/>
        </w:rPr>
        <w:t>供应商没有按照磋商文件要求提供全部资料，或者供应商没有对磋商文件在各方面作出实质性响应可能导致其响应无效，是供应商应当考虑的风险。</w:t>
      </w:r>
    </w:p>
    <w:p w14:paraId="062BE343">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15.</w:t>
      </w:r>
      <w:bookmarkStart w:id="68" w:name="_Toc206525693"/>
      <w:bookmarkStart w:id="69" w:name="_Toc486922967"/>
      <w:bookmarkStart w:id="70" w:name="_Toc31759"/>
      <w:bookmarkStart w:id="71" w:name="_Toc230578068"/>
      <w:bookmarkStart w:id="72" w:name="_Toc239839874"/>
      <w:bookmarkStart w:id="73" w:name="_Toc486196150"/>
      <w:bookmarkStart w:id="74" w:name="_Toc185702560"/>
      <w:bookmarkStart w:id="75" w:name="_Toc207770846"/>
      <w:r>
        <w:rPr>
          <w:rFonts w:hint="eastAsia" w:ascii="宋体" w:hAnsi="宋体" w:eastAsia="宋体" w:cs="宋体"/>
          <w:b/>
          <w:bCs/>
          <w:color w:val="auto"/>
          <w:kern w:val="2"/>
          <w:sz w:val="21"/>
          <w:szCs w:val="20"/>
          <w:lang w:val="en-US" w:eastAsia="zh-CN" w:bidi="ar-SA"/>
        </w:rPr>
        <w:t>磋商报价</w:t>
      </w:r>
      <w:bookmarkEnd w:id="68"/>
      <w:bookmarkEnd w:id="69"/>
      <w:bookmarkEnd w:id="70"/>
      <w:bookmarkEnd w:id="71"/>
      <w:bookmarkEnd w:id="72"/>
      <w:bookmarkEnd w:id="73"/>
      <w:bookmarkEnd w:id="74"/>
      <w:bookmarkEnd w:id="75"/>
    </w:p>
    <w:p w14:paraId="3F16456D">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 xml:space="preserve">15.1 竞标报价应按磋商文件第五章“工程量清单及图纸”的要求及第六章“响应文件格式” 填写相应表格。 </w:t>
      </w:r>
    </w:p>
    <w:p w14:paraId="47D17F6C">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 xml:space="preserve">15.2 竞标报价的内容见“供应商须知前附表”。 </w:t>
      </w:r>
    </w:p>
    <w:p w14:paraId="7AF0F82F">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 xml:space="preserve">15.3 本项目的增值税计税方法见“供应商须知前附表”。 </w:t>
      </w:r>
    </w:p>
    <w:p w14:paraId="717205B8">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 xml:space="preserve">15.4 竞标报价要求 </w:t>
      </w:r>
    </w:p>
    <w:p w14:paraId="775609E0">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 xml:space="preserve">15.4.1 供应商的竞标报价应符合以下要求，否则响应文件按无效处理： </w:t>
      </w:r>
    </w:p>
    <w:p w14:paraId="5D8C9F90">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 xml:space="preserve">（1）供应商必须就“采购需求”中所竞标的每个分标的全部内容分别作完整唯一总价报价，不得存在漏项报价； </w:t>
      </w:r>
    </w:p>
    <w:p w14:paraId="7C59FB5C">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 xml:space="preserve">（2）供应商必须就所竞标的分标的单项内容作唯一报价。 </w:t>
      </w:r>
    </w:p>
    <w:p w14:paraId="7C0B0BA3">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 xml:space="preserve">15.4.2 竞标报价（包含首次报价、最后报价）超过所竞标分标规定的采购预算金额或者最高限价的，其响应文件将按无效处理。 </w:t>
      </w:r>
    </w:p>
    <w:p w14:paraId="2D995A2B">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 xml:space="preserve">15.4.3 竞标报价（包含首次报价、最后报价）超过分项采购预算金额或者单价最高限价的（如有要求），其响应文件将按无效处理。 </w:t>
      </w:r>
    </w:p>
    <w:p w14:paraId="2471DD90">
      <w:pPr>
        <w:spacing w:line="360" w:lineRule="auto"/>
        <w:ind w:firstLine="420" w:firstLineChars="200"/>
        <w:rPr>
          <w:rFonts w:hint="eastAsia" w:ascii="宋体" w:hAnsi="宋体" w:eastAsia="宋体" w:cs="宋体"/>
          <w:b w:val="0"/>
          <w:bCs w:val="0"/>
          <w:color w:val="auto"/>
          <w:kern w:val="2"/>
          <w:sz w:val="21"/>
          <w:szCs w:val="20"/>
          <w:lang w:val="en-US" w:eastAsia="zh-CN" w:bidi="ar-SA"/>
        </w:rPr>
      </w:pPr>
      <w:r>
        <w:rPr>
          <w:rFonts w:hint="eastAsia" w:ascii="宋体" w:hAnsi="宋体" w:eastAsia="宋体" w:cs="宋体"/>
          <w:b w:val="0"/>
          <w:bCs w:val="0"/>
          <w:color w:val="auto"/>
          <w:kern w:val="2"/>
          <w:sz w:val="21"/>
          <w:szCs w:val="20"/>
          <w:lang w:val="en-US" w:eastAsia="zh-CN" w:bidi="ar-SA"/>
        </w:rPr>
        <w:t>15.4.4 供应商在提交响应文件截止时间前修改</w:t>
      </w:r>
      <w:r>
        <w:rPr>
          <w:rFonts w:hint="eastAsia" w:ascii="宋体" w:hAnsi="宋体" w:cs="宋体"/>
          <w:b w:val="0"/>
          <w:bCs w:val="0"/>
          <w:color w:val="auto"/>
          <w:kern w:val="2"/>
          <w:sz w:val="21"/>
          <w:szCs w:val="20"/>
          <w:lang w:val="en-US" w:eastAsia="zh-CN" w:bidi="ar-SA"/>
        </w:rPr>
        <w:t>磋商</w:t>
      </w:r>
      <w:r>
        <w:rPr>
          <w:rFonts w:hint="eastAsia" w:ascii="宋体" w:hAnsi="宋体" w:eastAsia="宋体" w:cs="宋体"/>
          <w:b w:val="0"/>
          <w:bCs w:val="0"/>
          <w:color w:val="auto"/>
          <w:kern w:val="2"/>
          <w:sz w:val="21"/>
          <w:szCs w:val="20"/>
          <w:lang w:val="en-US" w:eastAsia="zh-CN" w:bidi="ar-SA"/>
        </w:rPr>
        <w:t>函中的竞标总报价，应同时修改响应文件“已标价工程量清单”中的相应报价。此修改须符合本须知正文第 20 条、第 21 条的有关要求。</w:t>
      </w:r>
    </w:p>
    <w:p w14:paraId="6E5E646F">
      <w:pPr>
        <w:spacing w:line="360" w:lineRule="auto"/>
        <w:ind w:firstLine="422" w:firstLineChars="200"/>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16.竞标有效期</w:t>
      </w:r>
    </w:p>
    <w:p w14:paraId="73EC5A31">
      <w:pPr>
        <w:spacing w:line="360" w:lineRule="auto"/>
        <w:ind w:firstLine="420" w:firstLineChars="200"/>
        <w:rPr>
          <w:rFonts w:ascii="宋体" w:hAnsi="宋体" w:cs="宋体"/>
          <w:color w:val="auto"/>
          <w:szCs w:val="21"/>
        </w:rPr>
      </w:pPr>
      <w:r>
        <w:rPr>
          <w:rFonts w:hint="eastAsia" w:ascii="宋体" w:hAnsi="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14:paraId="63D760F7">
      <w:pPr>
        <w:spacing w:line="360" w:lineRule="auto"/>
        <w:ind w:firstLine="420" w:firstLineChars="200"/>
        <w:rPr>
          <w:rFonts w:ascii="宋体" w:hAnsi="宋体" w:cs="宋体"/>
          <w:color w:val="auto"/>
          <w:szCs w:val="21"/>
        </w:rPr>
      </w:pPr>
      <w:r>
        <w:rPr>
          <w:rFonts w:hint="eastAsia" w:ascii="宋体" w:hAnsi="宋体" w:cs="宋体"/>
          <w:color w:val="auto"/>
          <w:szCs w:val="21"/>
        </w:rPr>
        <w:t>16.2 竞标有效期应由供应商按“供应商须知前附表”规定的期限作出响应。</w:t>
      </w:r>
    </w:p>
    <w:p w14:paraId="3ED43D4D">
      <w:pPr>
        <w:spacing w:line="360" w:lineRule="auto"/>
        <w:ind w:firstLine="420" w:firstLineChars="200"/>
        <w:rPr>
          <w:rFonts w:ascii="宋体" w:hAnsi="宋体" w:cs="宋体"/>
          <w:color w:val="auto"/>
          <w:szCs w:val="21"/>
        </w:rPr>
      </w:pPr>
      <w:r>
        <w:rPr>
          <w:rFonts w:hint="eastAsia" w:ascii="宋体" w:hAnsi="宋体" w:cs="宋体"/>
          <w:color w:val="auto"/>
          <w:szCs w:val="21"/>
        </w:rPr>
        <w:t>16.3供应商的响应文件在竞标有效期内均保持有效。</w:t>
      </w:r>
    </w:p>
    <w:p w14:paraId="29C0294C">
      <w:pPr>
        <w:spacing w:line="360" w:lineRule="auto"/>
        <w:ind w:firstLine="422" w:firstLineChars="200"/>
        <w:rPr>
          <w:rFonts w:hint="eastAsia" w:ascii="宋体" w:hAnsi="宋体" w:eastAsia="宋体" w:cs="宋体"/>
          <w:b/>
          <w:bCs/>
          <w:color w:val="auto"/>
          <w:szCs w:val="21"/>
          <w:lang w:eastAsia="zh-CN"/>
        </w:rPr>
      </w:pPr>
      <w:r>
        <w:rPr>
          <w:rFonts w:hint="eastAsia" w:ascii="宋体" w:hAnsi="宋体" w:eastAsia="宋体" w:cs="宋体"/>
          <w:b/>
          <w:bCs/>
          <w:color w:val="auto"/>
          <w:szCs w:val="21"/>
        </w:rPr>
        <w:t>17.磋商保证金</w:t>
      </w:r>
      <w:r>
        <w:rPr>
          <w:rFonts w:hint="eastAsia" w:ascii="宋体" w:hAnsi="宋体" w:cs="宋体"/>
          <w:b/>
          <w:bCs/>
          <w:color w:val="auto"/>
          <w:szCs w:val="21"/>
          <w:lang w:eastAsia="zh-CN"/>
        </w:rPr>
        <w:t>：无</w:t>
      </w:r>
    </w:p>
    <w:p w14:paraId="706760B9">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18.响应文件编制的要求</w:t>
      </w:r>
    </w:p>
    <w:p w14:paraId="26188CC8">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18.1供应商应先安装“广西政府采购云平台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370419E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18.2为确保网上操作合法、有效和安全，供应商应当在提交响应文件截止时间前完成在广西政府采购云平台的身份认证，确保在电子竞标过程中能够对相关数据电文进行加密和使用电子签章。</w:t>
      </w:r>
    </w:p>
    <w:p w14:paraId="1402825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18.3响应文件须由供应商在规定位置签字、盖章（具体以供应商须知前附表或响应文件格式规定为准），否则按无效响应处理。</w:t>
      </w:r>
    </w:p>
    <w:p w14:paraId="2C6A3C56">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4C4A4BA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22B21A89">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19.电子备份响应文件</w:t>
      </w:r>
    </w:p>
    <w:p w14:paraId="60A1E021">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电子备份响应文件是指通过“广西政府采购云电子投标客户端”在线编制生成且后缀名为 “bfbs”的文件，是否接受电子备份响应文件详见在“供应商须知前附表”。</w:t>
      </w:r>
    </w:p>
    <w:p w14:paraId="6D65EA32">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20.响应文件的</w:t>
      </w:r>
      <w:r>
        <w:rPr>
          <w:rFonts w:hint="eastAsia" w:ascii="宋体" w:hAnsi="宋体" w:eastAsia="宋体" w:cs="宋体"/>
          <w:b/>
          <w:bCs/>
          <w:color w:val="auto"/>
          <w:kern w:val="2"/>
          <w:sz w:val="21"/>
          <w:szCs w:val="20"/>
          <w:lang w:val="en-US" w:eastAsia="zh-CN" w:bidi="ar-SA"/>
        </w:rPr>
        <w:t>提交</w:t>
      </w:r>
    </w:p>
    <w:p w14:paraId="6C976FCC">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20.1供应商必须按“供应商须知前附表”规定的时间及地点提交响应文件。电子响应文件应在制作完成后，在提交响应文件截止时间前通过有效数字证书（CA认证锁）进行电子签章、加密，然后通过网络将加密的电子响应文件提交至广西政府采购云平台。  </w:t>
      </w:r>
    </w:p>
    <w:p w14:paraId="3693441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20.2未在规定时间内提交或者未按照磋商文件要求加密的电子响应文件，广西政府采购云平台将拒收。</w:t>
      </w:r>
    </w:p>
    <w:p w14:paraId="6A9C7AEC">
      <w:pPr>
        <w:snapToGrid w:val="0"/>
        <w:spacing w:line="360" w:lineRule="auto"/>
        <w:ind w:firstLine="420"/>
        <w:jc w:val="left"/>
        <w:rPr>
          <w:rFonts w:hint="eastAsia" w:ascii="宋体" w:hAnsi="宋体" w:eastAsia="宋体" w:cs="Times New Roman"/>
          <w:b/>
          <w:bCs w:val="0"/>
          <w:color w:val="auto"/>
          <w:szCs w:val="21"/>
          <w:highlight w:val="none"/>
        </w:rPr>
      </w:pPr>
      <w:r>
        <w:rPr>
          <w:rFonts w:hint="eastAsia" w:ascii="宋体" w:hAnsi="宋体" w:eastAsia="宋体" w:cs="Times New Roman"/>
          <w:b/>
          <w:bCs w:val="0"/>
          <w:color w:val="auto"/>
          <w:szCs w:val="21"/>
          <w:highlight w:val="none"/>
        </w:rPr>
        <w:t>21.首次响应文件的补充、修改与撤回</w:t>
      </w:r>
    </w:p>
    <w:p w14:paraId="4B99F468">
      <w:pPr>
        <w:snapToGrid w:val="0"/>
        <w:spacing w:line="360" w:lineRule="auto"/>
        <w:ind w:firstLine="420"/>
        <w:jc w:val="left"/>
        <w:rPr>
          <w:rFonts w:hint="eastAsia" w:ascii="宋体" w:hAnsi="宋体"/>
          <w:color w:val="auto"/>
          <w:szCs w:val="21"/>
          <w:highlight w:val="none"/>
        </w:rPr>
      </w:pPr>
      <w:bookmarkStart w:id="76" w:name="_Toc254970684"/>
      <w:bookmarkStart w:id="77" w:name="_Toc254970543"/>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s="宋体"/>
          <w:color w:val="auto"/>
          <w:szCs w:val="21"/>
          <w:highlight w:val="none"/>
          <w:lang w:eastAsia="zh-CN"/>
        </w:rPr>
        <w:t>登录</w:t>
      </w:r>
      <w:r>
        <w:rPr>
          <w:rFonts w:hint="eastAsia" w:ascii="宋体" w:hAnsi="宋体"/>
          <w:color w:val="auto"/>
          <w:szCs w:val="21"/>
          <w:highlight w:val="none"/>
        </w:rPr>
        <w:t>广西政府采购云</w:t>
      </w:r>
      <w:r>
        <w:rPr>
          <w:rFonts w:hint="eastAsia" w:ascii="宋体" w:hAnsi="宋体" w:cs="宋体"/>
          <w:color w:val="auto"/>
          <w:kern w:val="0"/>
          <w:szCs w:val="21"/>
          <w:highlight w:val="none"/>
        </w:rPr>
        <w:t>平台，</w:t>
      </w:r>
      <w:r>
        <w:rPr>
          <w:rFonts w:hint="eastAsia" w:ascii="宋体" w:hAnsi="宋体"/>
          <w:color w:val="auto"/>
          <w:szCs w:val="21"/>
          <w:highlight w:val="none"/>
        </w:rPr>
        <w:t>进入“服务中心”中查看</w:t>
      </w:r>
      <w:r>
        <w:rPr>
          <w:rFonts w:hint="eastAsia" w:ascii="宋体" w:hAnsi="宋体" w:cs="宋体"/>
          <w:color w:val="auto"/>
          <w:szCs w:val="21"/>
          <w:highlight w:val="none"/>
        </w:rPr>
        <w:t xml:space="preserve"> “电子投标文件制作与投送教程”）</w:t>
      </w:r>
    </w:p>
    <w:bookmarkEnd w:id="76"/>
    <w:bookmarkEnd w:id="77"/>
    <w:p w14:paraId="6EAB825C">
      <w:pPr>
        <w:pStyle w:val="38"/>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1337817C">
      <w:pPr>
        <w:snapToGrid w:val="0"/>
        <w:spacing w:line="360" w:lineRule="auto"/>
        <w:ind w:firstLine="420"/>
        <w:jc w:val="left"/>
        <w:rPr>
          <w:rFonts w:hint="eastAsia" w:ascii="宋体" w:hAnsi="宋体" w:eastAsia="宋体" w:cs="Times New Roman"/>
          <w:b/>
          <w:bCs w:val="0"/>
          <w:color w:val="auto"/>
          <w:szCs w:val="21"/>
          <w:highlight w:val="none"/>
        </w:rPr>
      </w:pPr>
      <w:bookmarkStart w:id="78" w:name="_Hlk45702405"/>
      <w:r>
        <w:rPr>
          <w:rFonts w:hint="eastAsia" w:ascii="宋体" w:hAnsi="宋体" w:eastAsia="宋体" w:cs="Times New Roman"/>
          <w:b/>
          <w:bCs w:val="0"/>
          <w:color w:val="auto"/>
          <w:szCs w:val="21"/>
          <w:highlight w:val="none"/>
        </w:rPr>
        <w:t>22.响应文件的退回</w:t>
      </w:r>
    </w:p>
    <w:p w14:paraId="7C656A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4160647E">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23.截止时间后的撤回</w:t>
      </w:r>
    </w:p>
    <w:p w14:paraId="507A16CD">
      <w:pPr>
        <w:spacing w:line="360" w:lineRule="auto"/>
        <w:ind w:firstLine="420" w:firstLineChars="200"/>
        <w:rPr>
          <w:rFonts w:hint="eastAsia" w:ascii="宋体" w:hAnsi="宋体"/>
          <w:b/>
          <w:bCs/>
          <w:color w:val="auto"/>
          <w:sz w:val="32"/>
          <w:szCs w:val="32"/>
        </w:rPr>
      </w:pPr>
      <w:r>
        <w:rPr>
          <w:rFonts w:hint="eastAsia" w:ascii="宋体" w:hAnsi="宋体" w:cs="宋体"/>
          <w:color w:val="auto"/>
          <w:highlight w:val="none"/>
        </w:rPr>
        <w:t>供应商在首次电子响应文件提交截止时间后向采购人、采购代理机构书面申请撤回电子响应文件的，除此之外采购人和采购代理机构对已开启的电子响应文件概不退回</w:t>
      </w:r>
      <w:r>
        <w:rPr>
          <w:rFonts w:hint="eastAsia" w:ascii="宋体" w:hAnsi="宋体" w:cs="宋体"/>
          <w:color w:val="auto"/>
          <w:szCs w:val="21"/>
          <w:highlight w:val="none"/>
        </w:rPr>
        <w:t>。</w:t>
      </w:r>
      <w:bookmarkEnd w:id="78"/>
    </w:p>
    <w:p w14:paraId="6DB16559">
      <w:pPr>
        <w:spacing w:line="360" w:lineRule="auto"/>
        <w:ind w:left="420" w:firstLine="420"/>
        <w:jc w:val="center"/>
        <w:rPr>
          <w:rFonts w:ascii="宋体" w:hAnsi="宋体"/>
          <w:b/>
          <w:bCs/>
          <w:color w:val="auto"/>
          <w:sz w:val="32"/>
          <w:szCs w:val="32"/>
        </w:rPr>
      </w:pPr>
      <w:r>
        <w:rPr>
          <w:rFonts w:hint="eastAsia" w:ascii="宋体" w:hAnsi="宋体"/>
          <w:b/>
          <w:bCs/>
          <w:color w:val="auto"/>
          <w:sz w:val="32"/>
          <w:szCs w:val="32"/>
        </w:rPr>
        <w:t>四、评审及磋商</w:t>
      </w:r>
    </w:p>
    <w:p w14:paraId="7528537C">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24.磋商小组成立</w:t>
      </w:r>
    </w:p>
    <w:p w14:paraId="141AC5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78631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A84AB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A6F663B">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25.首次响应文件的开启</w:t>
      </w:r>
    </w:p>
    <w:p w14:paraId="40AE29EA">
      <w:pPr>
        <w:spacing w:line="360" w:lineRule="auto"/>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采购代理机构将在“供应商须知前附表”规定的时间通过电子交易平台组织响应文件开启，供应商的法定代表人或其委托代理人须携带加密时所用的CA锁，按平台提示和磋商文件的规定登录到广西政府采购云平台电子开标大厅签到，采购代理机构依托广西政府采购云平台向各供应商发出电子加密响应文件【开始解密】通知，由供应商按“供应商须知前附表”规定的时间内自行进行响应文件解密。</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23C4F3F6">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26.评审程序、评审方法和评审标准</w:t>
      </w:r>
    </w:p>
    <w:p w14:paraId="4C878800">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.1本项目的评审方法为综合评分法。</w:t>
      </w:r>
    </w:p>
    <w:p w14:paraId="4B6146FC">
      <w:pPr>
        <w:spacing w:line="360" w:lineRule="auto"/>
        <w:ind w:firstLine="420" w:firstLineChars="200"/>
        <w:rPr>
          <w:rFonts w:ascii="宋体" w:hAnsi="宋体" w:cs="宋体"/>
          <w:color w:val="auto"/>
          <w:szCs w:val="21"/>
        </w:rPr>
      </w:pPr>
      <w:r>
        <w:rPr>
          <w:rFonts w:ascii="宋体" w:hAnsi="宋体" w:cs="宋体"/>
          <w:color w:val="auto"/>
          <w:szCs w:val="21"/>
        </w:rPr>
        <w:t>26.2</w:t>
      </w:r>
      <w:r>
        <w:rPr>
          <w:rFonts w:hint="eastAsia" w:ascii="宋体" w:hAnsi="宋体" w:cs="宋体"/>
          <w:color w:val="auto"/>
          <w:szCs w:val="21"/>
        </w:rPr>
        <w:t>磋商小组</w:t>
      </w:r>
      <w:r>
        <w:rPr>
          <w:rFonts w:ascii="宋体" w:hAnsi="宋体" w:cs="宋体"/>
          <w:color w:val="auto"/>
          <w:szCs w:val="21"/>
        </w:rPr>
        <w:t>按照</w:t>
      </w:r>
      <w:r>
        <w:rPr>
          <w:rFonts w:hint="eastAsia" w:ascii="宋体" w:hAnsi="宋体" w:cs="宋体"/>
          <w:color w:val="auto"/>
          <w:szCs w:val="21"/>
        </w:rPr>
        <w:t>“第四章 评审程序、评审方法和评审标准”</w:t>
      </w:r>
      <w:r>
        <w:rPr>
          <w:rFonts w:ascii="宋体" w:hAnsi="宋体" w:cs="宋体"/>
          <w:color w:val="auto"/>
          <w:szCs w:val="21"/>
        </w:rPr>
        <w:t>规定的方法、评审因素、标准和程序对</w:t>
      </w:r>
      <w:r>
        <w:rPr>
          <w:rFonts w:hint="eastAsia" w:ascii="宋体" w:hAnsi="宋体" w:cs="宋体"/>
          <w:color w:val="auto"/>
          <w:szCs w:val="21"/>
        </w:rPr>
        <w:t>响应</w:t>
      </w:r>
      <w:r>
        <w:rPr>
          <w:rFonts w:ascii="宋体" w:hAnsi="宋体" w:cs="宋体"/>
          <w:color w:val="auto"/>
          <w:szCs w:val="21"/>
        </w:rPr>
        <w:t>文件进行评审。</w:t>
      </w:r>
    </w:p>
    <w:p w14:paraId="6B8ED22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w:t>
      </w:r>
      <w:r>
        <w:rPr>
          <w:rFonts w:hint="eastAsia" w:ascii="宋体" w:hAnsi="宋体"/>
          <w:color w:val="auto"/>
          <w:szCs w:val="21"/>
          <w:highlight w:val="none"/>
          <w:lang w:eastAsia="zh-CN"/>
        </w:rPr>
        <w:t>服务</w:t>
      </w:r>
      <w:r>
        <w:rPr>
          <w:rFonts w:hint="eastAsia" w:ascii="宋体" w:hAnsi="宋体"/>
          <w:color w:val="auto"/>
          <w:szCs w:val="21"/>
          <w:highlight w:val="none"/>
        </w:rPr>
        <w:t>要求允许负偏离的条款数详见“供应商须知前附表”。</w:t>
      </w:r>
    </w:p>
    <w:p w14:paraId="608F4ABE">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38F87A32">
      <w:pPr>
        <w:spacing w:line="360" w:lineRule="auto"/>
        <w:ind w:firstLine="420" w:firstLineChars="200"/>
        <w:rPr>
          <w:rFonts w:hint="eastAsia"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647D2C67">
      <w:pPr>
        <w:spacing w:line="360" w:lineRule="auto"/>
        <w:ind w:firstLine="420" w:firstLineChars="200"/>
        <w:rPr>
          <w:rFonts w:hint="eastAsia" w:hAnsi="宋体"/>
          <w:color w:val="auto"/>
          <w:highlight w:val="none"/>
        </w:rPr>
      </w:pPr>
      <w:r>
        <w:rPr>
          <w:rFonts w:hint="eastAsia" w:hAnsi="宋体"/>
          <w:color w:val="auto"/>
          <w:highlight w:val="none"/>
        </w:rPr>
        <w:t xml:space="preserve">（1）电子交易平台发生故障而无法登录访问的； </w:t>
      </w:r>
    </w:p>
    <w:p w14:paraId="75511BD5">
      <w:pPr>
        <w:spacing w:line="360" w:lineRule="auto"/>
        <w:ind w:firstLine="420" w:firstLineChars="200"/>
        <w:rPr>
          <w:rFonts w:hint="eastAsia" w:hAnsi="宋体"/>
          <w:color w:val="auto"/>
          <w:highlight w:val="none"/>
        </w:rPr>
      </w:pPr>
      <w:r>
        <w:rPr>
          <w:rFonts w:hint="eastAsia" w:ascii="宋体" w:hAnsi="宋体"/>
          <w:color w:val="auto"/>
          <w:highlight w:val="none"/>
        </w:rPr>
        <w:t>（2）</w:t>
      </w:r>
      <w:r>
        <w:rPr>
          <w:rFonts w:hint="eastAsia" w:hAnsi="宋体"/>
          <w:color w:val="auto"/>
          <w:highlight w:val="none"/>
        </w:rPr>
        <w:t>电子交易平台应用或数据库出现错误，不能进行正常操作的；</w:t>
      </w:r>
    </w:p>
    <w:p w14:paraId="6C1ECC19">
      <w:pPr>
        <w:spacing w:line="360" w:lineRule="auto"/>
        <w:ind w:firstLine="420" w:firstLineChars="200"/>
        <w:rPr>
          <w:rFonts w:hint="eastAsia" w:hAnsi="宋体"/>
          <w:color w:val="auto"/>
          <w:highlight w:val="none"/>
        </w:rPr>
      </w:pPr>
      <w:r>
        <w:rPr>
          <w:rFonts w:hint="eastAsia" w:ascii="宋体" w:hAnsi="宋体"/>
          <w:color w:val="auto"/>
          <w:highlight w:val="none"/>
        </w:rPr>
        <w:t>（3）</w:t>
      </w:r>
      <w:r>
        <w:rPr>
          <w:rFonts w:hint="eastAsia" w:hAnsi="宋体"/>
          <w:color w:val="auto"/>
          <w:highlight w:val="none"/>
        </w:rPr>
        <w:t>电子交易平台发现严重安全漏洞，有潜在泄密危险的；</w:t>
      </w:r>
    </w:p>
    <w:p w14:paraId="22E23FA0">
      <w:pPr>
        <w:spacing w:line="360" w:lineRule="auto"/>
        <w:ind w:firstLine="420" w:firstLineChars="200"/>
        <w:rPr>
          <w:rFonts w:hint="eastAsia" w:hAnsi="宋体"/>
          <w:color w:val="auto"/>
          <w:highlight w:val="none"/>
        </w:rPr>
      </w:pPr>
      <w:r>
        <w:rPr>
          <w:rFonts w:hint="eastAsia" w:hAnsi="宋体"/>
          <w:color w:val="auto"/>
          <w:highlight w:val="none"/>
        </w:rPr>
        <w:t>（</w:t>
      </w:r>
      <w:r>
        <w:rPr>
          <w:rFonts w:hint="eastAsia" w:ascii="宋体" w:hAnsi="宋体"/>
          <w:color w:val="auto"/>
          <w:highlight w:val="none"/>
        </w:rPr>
        <w:t>4）</w:t>
      </w:r>
      <w:r>
        <w:rPr>
          <w:rFonts w:hint="eastAsia" w:hAnsi="宋体"/>
          <w:color w:val="auto"/>
          <w:highlight w:val="none"/>
        </w:rPr>
        <w:t xml:space="preserve">病毒发作导致不能进行正常操作的； </w:t>
      </w:r>
    </w:p>
    <w:p w14:paraId="441C8401">
      <w:pPr>
        <w:spacing w:line="360" w:lineRule="auto"/>
        <w:ind w:firstLine="420" w:firstLineChars="200"/>
        <w:rPr>
          <w:rFonts w:hint="eastAsia" w:hAnsi="宋体"/>
          <w:color w:val="auto"/>
          <w:highlight w:val="none"/>
        </w:rPr>
      </w:pPr>
      <w:r>
        <w:rPr>
          <w:rFonts w:hint="eastAsia" w:ascii="宋体" w:hAnsi="宋体"/>
          <w:color w:val="auto"/>
          <w:highlight w:val="none"/>
        </w:rPr>
        <w:t>（5）</w:t>
      </w:r>
      <w:r>
        <w:rPr>
          <w:rFonts w:hint="eastAsia" w:hAnsi="宋体"/>
          <w:color w:val="auto"/>
          <w:highlight w:val="none"/>
        </w:rPr>
        <w:t>其他无法保证电子交易的公平、公正和安全的情况。</w:t>
      </w:r>
    </w:p>
    <w:p w14:paraId="74142B40">
      <w:pPr>
        <w:spacing w:line="360" w:lineRule="auto"/>
        <w:ind w:firstLine="420" w:firstLineChars="200"/>
        <w:rPr>
          <w:color w:val="auto"/>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5F6DB755">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27.确定成交供应商及结果公告</w:t>
      </w:r>
    </w:p>
    <w:p w14:paraId="5FE162FF">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.1</w:t>
      </w:r>
      <w:r>
        <w:rPr>
          <w:rFonts w:hint="eastAsia" w:ascii="宋体" w:hAnsi="宋体" w:cs="宋体"/>
          <w:color w:val="auto"/>
          <w:kern w:val="0"/>
          <w:szCs w:val="21"/>
        </w:rPr>
        <w:t xml:space="preserve"> </w:t>
      </w:r>
      <w:r>
        <w:rPr>
          <w:rFonts w:hint="eastAsia" w:ascii="宋体" w:hAnsi="宋体" w:cs="宋体"/>
          <w:color w:val="auto"/>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A37E98D">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s="宋体"/>
          <w:color w:val="auto"/>
          <w:szCs w:val="21"/>
        </w:rPr>
        <w:t>.2采购代理机构应当在</w:t>
      </w:r>
      <w:r>
        <w:rPr>
          <w:rFonts w:hint="eastAsia" w:ascii="宋体" w:hAnsi="宋体" w:cs="宋体"/>
          <w:color w:val="auto"/>
          <w:kern w:val="0"/>
          <w:szCs w:val="21"/>
        </w:rPr>
        <w:t>成交</w:t>
      </w:r>
      <w:r>
        <w:rPr>
          <w:rFonts w:hint="eastAsia" w:ascii="宋体" w:hAnsi="宋体" w:cs="宋体"/>
          <w:color w:val="auto"/>
          <w:szCs w:val="21"/>
        </w:rPr>
        <w:t>供应商确定后2个工作日内，在省级以上财政部门指定的媒体上公告成交结果，同时向成交供应商发出成交通知书。</w:t>
      </w:r>
    </w:p>
    <w:p w14:paraId="57166D91">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7.3</w:t>
      </w:r>
      <w:r>
        <w:rPr>
          <w:rFonts w:hint="eastAsia" w:ascii="宋体" w:hAnsi="宋体" w:cs="宋体"/>
          <w:color w:val="auto"/>
          <w:szCs w:val="21"/>
        </w:rPr>
        <w:t xml:space="preserve">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19768EB2">
      <w:pPr>
        <w:spacing w:line="360" w:lineRule="auto"/>
        <w:ind w:firstLine="420" w:firstLineChars="200"/>
        <w:rPr>
          <w:rFonts w:ascii="宋体" w:hAnsi="宋体" w:cs="宋体"/>
          <w:color w:val="auto"/>
          <w:szCs w:val="21"/>
        </w:rPr>
      </w:pPr>
      <w:r>
        <w:rPr>
          <w:rFonts w:ascii="宋体" w:hAnsi="宋体"/>
          <w:bCs/>
          <w:color w:val="auto"/>
          <w:szCs w:val="21"/>
        </w:rPr>
        <w:t>27.4</w:t>
      </w:r>
      <w:r>
        <w:rPr>
          <w:rFonts w:hint="eastAsia" w:ascii="宋体" w:hAnsi="宋体"/>
          <w:bCs/>
          <w:color w:val="auto"/>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5AD2796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28.履约保证金</w:t>
      </w:r>
    </w:p>
    <w:p w14:paraId="06FE781B">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履约保证金的金额、提交方式、退付的时间和条件详见 “供应商须知前附表”。成交供应商未按规定提交履约保证金的，视为拒绝</w:t>
      </w:r>
      <w:r>
        <w:rPr>
          <w:rFonts w:ascii="宋体" w:hAnsi="宋体"/>
          <w:color w:val="auto"/>
        </w:rPr>
        <w:t>与采购人</w:t>
      </w:r>
      <w:r>
        <w:rPr>
          <w:rFonts w:hint="eastAsia" w:ascii="宋体" w:hAnsi="宋体" w:cs="宋体"/>
          <w:color w:val="auto"/>
          <w:szCs w:val="21"/>
        </w:rPr>
        <w:t>签订合同，采购人可以按照评审报告推荐的成交候选人名单排序，确定下一候选人为成交供应商，也可以重新开展政府采购活动。</w:t>
      </w:r>
    </w:p>
    <w:p w14:paraId="4DDFA7C8">
      <w:pPr>
        <w:spacing w:line="360" w:lineRule="auto"/>
        <w:ind w:firstLine="424" w:firstLineChars="202"/>
        <w:rPr>
          <w:rFonts w:ascii="宋体" w:hAnsi="宋体" w:cs="宋体"/>
          <w:color w:val="auto"/>
          <w:szCs w:val="21"/>
        </w:rPr>
      </w:pPr>
      <w:r>
        <w:rPr>
          <w:rFonts w:ascii="宋体" w:hAnsi="宋体" w:cs="宋体"/>
          <w:color w:val="auto"/>
          <w:szCs w:val="21"/>
        </w:rPr>
        <w:t>28</w:t>
      </w:r>
      <w:r>
        <w:rPr>
          <w:rFonts w:hint="eastAsia" w:ascii="宋体" w:hAnsi="宋体" w:cs="宋体"/>
          <w:color w:val="auto"/>
          <w:szCs w:val="21"/>
        </w:rPr>
        <w:t>.2签订合同后，如成交供应商不按双方签订的合同规定履约，则没收其全部履约保证金，履约保证金不足以赔偿损失的，按实际损失赔偿。</w:t>
      </w:r>
    </w:p>
    <w:p w14:paraId="35E3ADA9">
      <w:pPr>
        <w:spacing w:line="360" w:lineRule="auto"/>
        <w:ind w:firstLine="424" w:firstLineChars="202"/>
        <w:rPr>
          <w:rFonts w:hint="eastAsia" w:ascii="宋体" w:hAnsi="宋体" w:eastAsia="宋体" w:cs="宋体"/>
          <w:b/>
          <w:bCs/>
          <w:color w:val="auto"/>
          <w:szCs w:val="21"/>
        </w:rPr>
      </w:pPr>
      <w:r>
        <w:rPr>
          <w:rFonts w:ascii="宋体" w:hAnsi="宋体" w:cs="宋体"/>
          <w:color w:val="auto"/>
          <w:szCs w:val="21"/>
        </w:rPr>
        <w:t>28</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在履约保证金退还日期前，若成交供应商的开户名称、开户银行、</w:t>
      </w:r>
      <w:r>
        <w:rPr>
          <w:rFonts w:hint="eastAsia" w:ascii="宋体" w:hAnsi="宋体" w:cs="宋体"/>
          <w:color w:val="auto"/>
          <w:szCs w:val="21"/>
          <w:lang w:val="en-US" w:eastAsia="zh-CN"/>
        </w:rPr>
        <w:t>账</w:t>
      </w:r>
      <w:r>
        <w:rPr>
          <w:rFonts w:hint="eastAsia" w:ascii="宋体" w:hAnsi="宋体" w:cs="宋体"/>
          <w:color w:val="auto"/>
          <w:szCs w:val="21"/>
        </w:rPr>
        <w:t>号有变动的，请以书面形式通知履约保证金收取单位，否则</w:t>
      </w:r>
      <w:r>
        <w:rPr>
          <w:rFonts w:hint="eastAsia" w:ascii="宋体" w:hAnsi="宋体" w:eastAsia="宋体" w:cs="宋体"/>
          <w:b/>
          <w:bCs/>
          <w:color w:val="auto"/>
          <w:szCs w:val="21"/>
        </w:rPr>
        <w:t>由此产生的后果由成交供应商自行承担。</w:t>
      </w:r>
    </w:p>
    <w:p w14:paraId="0F8FAB1C">
      <w:pPr>
        <w:spacing w:line="360" w:lineRule="auto"/>
        <w:ind w:firstLine="426" w:firstLineChars="202"/>
        <w:rPr>
          <w:rFonts w:hint="eastAsia" w:ascii="宋体" w:hAnsi="宋体" w:eastAsia="宋体" w:cs="宋体"/>
          <w:b/>
          <w:bCs/>
          <w:color w:val="auto"/>
          <w:szCs w:val="21"/>
        </w:rPr>
      </w:pPr>
      <w:r>
        <w:rPr>
          <w:rFonts w:hint="eastAsia" w:ascii="宋体" w:hAnsi="宋体" w:eastAsia="宋体" w:cs="宋体"/>
          <w:b/>
          <w:bCs/>
          <w:color w:val="auto"/>
          <w:szCs w:val="21"/>
        </w:rPr>
        <w:t>29.签订合同</w:t>
      </w:r>
    </w:p>
    <w:p w14:paraId="4589F96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21B63400">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25CACC92">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38D4B51E">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w:t>
      </w:r>
      <w:r>
        <w:rPr>
          <w:rFonts w:hint="eastAsia" w:ascii="宋体" w:hAnsi="宋体" w:cs="宋体"/>
          <w:b w:val="0"/>
          <w:bCs w:val="0"/>
          <w:color w:val="auto"/>
          <w:szCs w:val="21"/>
          <w:highlight w:val="none"/>
        </w:rPr>
        <w:t>交</w:t>
      </w:r>
      <w:r>
        <w:rPr>
          <w:rFonts w:hint="eastAsia" w:ascii="宋体" w:hAnsi="宋体" w:eastAsia="宋体" w:cs="宋体"/>
          <w:b w:val="0"/>
          <w:bCs w:val="0"/>
          <w:color w:val="auto"/>
          <w:szCs w:val="21"/>
        </w:rPr>
        <w:t>供应商</w:t>
      </w:r>
      <w:r>
        <w:rPr>
          <w:rFonts w:hint="eastAsia" w:ascii="宋体" w:hAnsi="宋体" w:cs="宋体"/>
          <w:color w:val="auto"/>
          <w:szCs w:val="21"/>
          <w:highlight w:val="none"/>
        </w:rPr>
        <w:t>可追究采购人承担相应的法律责任。</w:t>
      </w:r>
    </w:p>
    <w:p w14:paraId="0DAA9BB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24858789">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1F5C535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4E9990F1">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12E07C5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30.政府采购合同公告</w:t>
      </w:r>
    </w:p>
    <w:p w14:paraId="0C672306">
      <w:pPr>
        <w:spacing w:line="360" w:lineRule="auto"/>
        <w:ind w:firstLine="420" w:firstLineChars="200"/>
        <w:rPr>
          <w:rFonts w:ascii="宋体" w:hAnsi="宋体" w:cs="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6A08D4F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31. 询问、质疑和投诉</w:t>
      </w:r>
    </w:p>
    <w:p w14:paraId="6DF269A1">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.1供应商对政府采购活动事项有疑问的，可以向采购人、采购代理机构提出询问，采购人或者采购代理机构应当在3个工作日内对供应商依法提出的询问作出答复。</w:t>
      </w:r>
    </w:p>
    <w:p w14:paraId="1C07E720">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shd w:val="clear" w:color="auto" w:fill="FFFFFF"/>
        </w:rPr>
        <w:t>接收质疑函的方式、联系部门、联系电话和通讯地址等信息</w:t>
      </w:r>
      <w:r>
        <w:rPr>
          <w:rFonts w:hint="eastAsia" w:ascii="宋体" w:hAnsi="宋体" w:cs="Arial"/>
          <w:color w:val="auto"/>
          <w:shd w:val="clear" w:color="auto" w:fill="FFFFFF"/>
        </w:rPr>
        <w:t>详见</w:t>
      </w:r>
      <w:r>
        <w:rPr>
          <w:rFonts w:hint="eastAsia" w:ascii="宋体" w:hAnsi="宋体" w:cs="宋体"/>
          <w:color w:val="auto"/>
          <w:szCs w:val="21"/>
        </w:rPr>
        <w:t>“供应商须知前附表”</w:t>
      </w:r>
      <w:r>
        <w:rPr>
          <w:rFonts w:hint="eastAsia" w:ascii="宋体" w:hAnsi="宋体" w:cs="宋体"/>
          <w:color w:val="auto"/>
        </w:rPr>
        <w:t>。具体质疑起算时间如下：</w:t>
      </w:r>
    </w:p>
    <w:p w14:paraId="55658248">
      <w:pPr>
        <w:spacing w:line="360" w:lineRule="auto"/>
        <w:ind w:firstLine="420" w:firstLineChars="200"/>
        <w:rPr>
          <w:rFonts w:ascii="宋体" w:hAnsi="宋体" w:cs="宋体"/>
          <w:color w:val="auto"/>
        </w:rPr>
      </w:pPr>
      <w:r>
        <w:rPr>
          <w:rFonts w:hint="eastAsia" w:ascii="宋体" w:hAnsi="宋体" w:cs="宋体"/>
          <w:color w:val="auto"/>
        </w:rPr>
        <w:t>（1）对可以质疑的磋商文件提出质疑的，为收到磋商文件之日或者</w:t>
      </w:r>
      <w:r>
        <w:rPr>
          <w:rFonts w:hint="eastAsia" w:ascii="宋体" w:hAnsi="宋体"/>
          <w:color w:val="auto"/>
        </w:rPr>
        <w:t>竞争性磋商公告期限届满之日</w:t>
      </w:r>
      <w:r>
        <w:rPr>
          <w:rFonts w:hint="eastAsia" w:ascii="宋体" w:hAnsi="宋体" w:cs="宋体"/>
          <w:color w:val="auto"/>
        </w:rPr>
        <w:t>；</w:t>
      </w:r>
    </w:p>
    <w:p w14:paraId="2CB09757">
      <w:pPr>
        <w:spacing w:line="360" w:lineRule="auto"/>
        <w:ind w:firstLine="420" w:firstLineChars="200"/>
        <w:rPr>
          <w:rFonts w:ascii="宋体" w:hAnsi="宋体" w:cs="宋体"/>
          <w:color w:val="auto"/>
        </w:rPr>
      </w:pPr>
      <w:r>
        <w:rPr>
          <w:rFonts w:hint="eastAsia" w:ascii="宋体" w:hAnsi="宋体" w:cs="宋体"/>
          <w:color w:val="auto"/>
        </w:rPr>
        <w:t>（2）对采购过程提出质疑的，为各采购程序环节结束之日；</w:t>
      </w:r>
    </w:p>
    <w:p w14:paraId="7373FEF2">
      <w:pPr>
        <w:spacing w:line="360" w:lineRule="auto"/>
        <w:ind w:firstLine="420" w:firstLineChars="200"/>
        <w:rPr>
          <w:rFonts w:ascii="宋体" w:hAnsi="宋体" w:cs="宋体"/>
          <w:color w:val="auto"/>
        </w:rPr>
      </w:pPr>
      <w:r>
        <w:rPr>
          <w:rFonts w:hint="eastAsia" w:ascii="宋体" w:hAnsi="宋体" w:cs="宋体"/>
          <w:color w:val="auto"/>
        </w:rPr>
        <w:t>（3）对成交结果提出质疑的，为成交结果公告期限届满之日。</w:t>
      </w:r>
    </w:p>
    <w:p w14:paraId="580EEB87">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19E03A7A">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.4 供应商提出质疑应当提交质疑函和必要的证明材料，针对同一采购程序环节的质疑必须在法定质疑期内一次性提出。质疑函应当包括下列内容</w:t>
      </w:r>
      <w:r>
        <w:rPr>
          <w:rFonts w:hint="eastAsia" w:hAnsi="宋体"/>
          <w:bCs/>
          <w:color w:val="auto"/>
        </w:rPr>
        <w:t>（质疑函格式后附）</w:t>
      </w:r>
      <w:r>
        <w:rPr>
          <w:rFonts w:hint="eastAsia" w:ascii="宋体" w:hAnsi="宋体" w:cs="宋体"/>
          <w:color w:val="auto"/>
        </w:rPr>
        <w:t>：</w:t>
      </w:r>
    </w:p>
    <w:p w14:paraId="2A34C3ED">
      <w:pPr>
        <w:spacing w:line="360" w:lineRule="auto"/>
        <w:ind w:firstLine="420" w:firstLineChars="200"/>
        <w:rPr>
          <w:rFonts w:ascii="宋体" w:hAnsi="宋体" w:cs="宋体"/>
          <w:color w:val="auto"/>
        </w:rPr>
      </w:pPr>
      <w:r>
        <w:rPr>
          <w:rFonts w:hint="eastAsia" w:ascii="宋体" w:hAnsi="宋体" w:cs="宋体"/>
          <w:color w:val="auto"/>
        </w:rPr>
        <w:t>（1）供应商的姓名或者名称、地址、邮编、联系人及联系电话；</w:t>
      </w:r>
    </w:p>
    <w:p w14:paraId="1B86A938">
      <w:pPr>
        <w:spacing w:line="360" w:lineRule="auto"/>
        <w:ind w:firstLine="420" w:firstLineChars="200"/>
        <w:rPr>
          <w:rFonts w:ascii="宋体" w:hAnsi="宋体" w:cs="宋体"/>
          <w:color w:val="auto"/>
        </w:rPr>
      </w:pPr>
      <w:r>
        <w:rPr>
          <w:rFonts w:hint="eastAsia" w:ascii="宋体" w:hAnsi="宋体" w:cs="宋体"/>
          <w:color w:val="auto"/>
        </w:rPr>
        <w:t>（2）质疑项目的名称、编号；</w:t>
      </w:r>
    </w:p>
    <w:p w14:paraId="7F7068C7">
      <w:pPr>
        <w:spacing w:line="360" w:lineRule="auto"/>
        <w:ind w:firstLine="420" w:firstLineChars="200"/>
        <w:rPr>
          <w:rFonts w:ascii="宋体" w:hAnsi="宋体" w:cs="宋体"/>
          <w:color w:val="auto"/>
        </w:rPr>
      </w:pPr>
      <w:r>
        <w:rPr>
          <w:rFonts w:hint="eastAsia" w:ascii="宋体" w:hAnsi="宋体" w:cs="宋体"/>
          <w:color w:val="auto"/>
        </w:rPr>
        <w:t>（3）具体、明确的质疑事项和与质疑事项相关的请求；</w:t>
      </w:r>
    </w:p>
    <w:p w14:paraId="2C432803">
      <w:pPr>
        <w:spacing w:line="360" w:lineRule="auto"/>
        <w:ind w:firstLine="420" w:firstLineChars="200"/>
        <w:rPr>
          <w:rFonts w:ascii="宋体" w:hAnsi="宋体" w:cs="宋体"/>
          <w:color w:val="auto"/>
        </w:rPr>
      </w:pPr>
      <w:r>
        <w:rPr>
          <w:rFonts w:hint="eastAsia" w:ascii="宋体" w:hAnsi="宋体" w:cs="宋体"/>
          <w:color w:val="auto"/>
        </w:rPr>
        <w:t>（4）事实依据；</w:t>
      </w:r>
    </w:p>
    <w:p w14:paraId="179322F3">
      <w:pPr>
        <w:spacing w:line="360" w:lineRule="auto"/>
        <w:ind w:firstLine="420" w:firstLineChars="200"/>
        <w:rPr>
          <w:rFonts w:ascii="宋体" w:hAnsi="宋体" w:cs="宋体"/>
          <w:color w:val="auto"/>
        </w:rPr>
      </w:pPr>
      <w:r>
        <w:rPr>
          <w:rFonts w:hint="eastAsia" w:ascii="宋体" w:hAnsi="宋体" w:cs="宋体"/>
          <w:color w:val="auto"/>
        </w:rPr>
        <w:t>（5）必要的法律依据；</w:t>
      </w:r>
    </w:p>
    <w:p w14:paraId="6454C7F6">
      <w:pPr>
        <w:spacing w:line="360" w:lineRule="auto"/>
        <w:ind w:firstLine="420" w:firstLineChars="200"/>
        <w:rPr>
          <w:rFonts w:ascii="宋体" w:hAnsi="宋体" w:cs="宋体"/>
          <w:color w:val="auto"/>
        </w:rPr>
      </w:pPr>
      <w:r>
        <w:rPr>
          <w:rFonts w:hint="eastAsia" w:ascii="宋体" w:hAnsi="宋体" w:cs="宋体"/>
          <w:color w:val="auto"/>
        </w:rPr>
        <w:t>（6）提出质疑的日期。</w:t>
      </w:r>
    </w:p>
    <w:p w14:paraId="49BF4D14">
      <w:pPr>
        <w:spacing w:line="360" w:lineRule="auto"/>
        <w:ind w:firstLine="420" w:firstLineChars="200"/>
        <w:rPr>
          <w:rFonts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14:paraId="3A72F52A">
      <w:pPr>
        <w:spacing w:line="360" w:lineRule="auto"/>
        <w:ind w:firstLine="420" w:firstLineChars="200"/>
        <w:rPr>
          <w:rFonts w:ascii="宋体" w:hAnsi="宋体" w:cs="宋体"/>
          <w:color w:val="auto"/>
        </w:rPr>
      </w:pPr>
      <w:r>
        <w:rPr>
          <w:rFonts w:hint="eastAsia" w:ascii="宋体" w:hAnsi="宋体" w:cs="宋体"/>
          <w:color w:val="auto"/>
        </w:rPr>
        <w:t>3</w:t>
      </w:r>
      <w:r>
        <w:rPr>
          <w:rFonts w:ascii="宋体" w:hAnsi="宋体" w:cs="宋体"/>
          <w:color w:val="auto"/>
        </w:rPr>
        <w:t>1.5</w:t>
      </w:r>
      <w:r>
        <w:rPr>
          <w:rFonts w:hint="eastAsia" w:ascii="宋体" w:hAnsi="宋体" w:cs="宋体"/>
          <w:color w:val="auto"/>
        </w:rPr>
        <w:t>采购人、采购代理机构认为供应商质疑不成立，或者成立但未对成交结果构成影响的，继续开展采购活动；认为供应商质疑成立且影响或者可能影响成交结果的，按照下列情况处理：</w:t>
      </w:r>
    </w:p>
    <w:p w14:paraId="04F0D252">
      <w:pPr>
        <w:spacing w:line="360" w:lineRule="auto"/>
        <w:ind w:firstLine="420" w:firstLineChars="200"/>
        <w:rPr>
          <w:rFonts w:ascii="宋体" w:hAnsi="宋体" w:cs="宋体"/>
          <w:color w:val="auto"/>
        </w:rPr>
      </w:pPr>
      <w:r>
        <w:rPr>
          <w:rFonts w:hint="eastAsia" w:ascii="宋体" w:hAnsi="宋体" w:cs="宋体"/>
          <w:color w:val="auto"/>
        </w:rPr>
        <w:t>（一）对采购文件提出的质疑，依法通过澄清或者修改可以继续开展采购活动的，澄清或者修改采购文件后继续开展采购活动；否则应当修改采购文件后重新开展采购活动。</w:t>
      </w:r>
    </w:p>
    <w:p w14:paraId="44B1C0D0">
      <w:pPr>
        <w:spacing w:line="360" w:lineRule="auto"/>
        <w:ind w:firstLine="420" w:firstLineChars="200"/>
        <w:rPr>
          <w:rFonts w:ascii="宋体" w:hAnsi="宋体" w:cs="宋体"/>
          <w:color w:val="auto"/>
        </w:rPr>
      </w:pPr>
      <w:r>
        <w:rPr>
          <w:rFonts w:hint="eastAsia" w:ascii="宋体" w:hAnsi="宋体" w:cs="宋体"/>
          <w:color w:val="auto"/>
        </w:rPr>
        <w:t>（二）对采购过程或者成交结果提出的质疑，合格供应商符合法定数量时，可以从合格的成交候选人中另行确定成交供应商的，应当依法另行确定成交供应商；否则应当重新开展采购活动。</w:t>
      </w:r>
    </w:p>
    <w:p w14:paraId="794B66C5">
      <w:pPr>
        <w:spacing w:line="360" w:lineRule="auto"/>
        <w:ind w:firstLine="420" w:firstLineChars="200"/>
        <w:rPr>
          <w:rFonts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14:paraId="515FF687">
      <w:pPr>
        <w:spacing w:line="360" w:lineRule="auto"/>
        <w:ind w:firstLine="420" w:firstLineChars="200"/>
        <w:rPr>
          <w:rFonts w:ascii="宋体" w:hAnsi="宋体" w:cs="宋体"/>
          <w:color w:val="auto"/>
          <w:szCs w:val="21"/>
        </w:rPr>
      </w:pPr>
      <w:r>
        <w:rPr>
          <w:rFonts w:ascii="宋体" w:hAnsi="宋体" w:cs="宋体"/>
          <w:color w:val="auto"/>
        </w:rPr>
        <w:t>31</w:t>
      </w:r>
      <w:r>
        <w:rPr>
          <w:rFonts w:hint="eastAsia" w:ascii="宋体" w:hAnsi="宋体" w:cs="宋体"/>
          <w:color w:val="auto"/>
        </w:rPr>
        <w:t>.</w:t>
      </w:r>
      <w:r>
        <w:rPr>
          <w:rFonts w:ascii="宋体" w:hAnsi="宋体" w:cs="宋体"/>
          <w:color w:val="auto"/>
        </w:rPr>
        <w:t>6</w:t>
      </w:r>
      <w:r>
        <w:rPr>
          <w:rFonts w:hint="eastAsia" w:ascii="宋体" w:hAnsi="宋体" w:cs="宋体"/>
          <w:color w:val="auto"/>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3124E8A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32.其他内容</w:t>
      </w:r>
    </w:p>
    <w:p w14:paraId="6BCBC1C6">
      <w:pPr>
        <w:spacing w:line="360" w:lineRule="auto"/>
        <w:ind w:firstLine="420" w:firstLineChars="200"/>
        <w:rPr>
          <w:rFonts w:ascii="宋体" w:hAnsi="宋体" w:cs="宋体"/>
          <w:color w:val="auto"/>
        </w:rPr>
      </w:pPr>
      <w:r>
        <w:rPr>
          <w:rFonts w:ascii="宋体" w:hAnsi="宋体" w:cs="宋体"/>
          <w:color w:val="auto"/>
          <w:szCs w:val="21"/>
        </w:rPr>
        <w:t>32</w:t>
      </w:r>
      <w:r>
        <w:rPr>
          <w:rFonts w:hint="eastAsia" w:ascii="宋体" w:hAnsi="宋体" w:cs="宋体"/>
          <w:color w:val="auto"/>
          <w:szCs w:val="21"/>
        </w:rPr>
        <w:t>.1代理服务收费标准详见“供应商须知前附表”。</w:t>
      </w:r>
    </w:p>
    <w:p w14:paraId="7BB7ADAB">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33.需要补充的其他内容</w:t>
      </w:r>
    </w:p>
    <w:p w14:paraId="7E795FE8">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ascii="宋体" w:hAnsi="宋体" w:cs="宋体"/>
          <w:color w:val="auto"/>
        </w:rPr>
      </w:pPr>
      <w:r>
        <w:rPr>
          <w:rFonts w:hint="eastAsia" w:ascii="宋体" w:hAnsi="宋体" w:cs="宋体"/>
          <w:color w:val="auto"/>
        </w:rPr>
        <w:t>3</w:t>
      </w:r>
      <w:r>
        <w:rPr>
          <w:rFonts w:ascii="宋体" w:hAnsi="宋体" w:cs="宋体"/>
          <w:color w:val="auto"/>
        </w:rPr>
        <w:t>3.1</w:t>
      </w:r>
      <w:r>
        <w:rPr>
          <w:rFonts w:hint="eastAsia" w:ascii="宋体" w:hAnsi="宋体" w:cs="宋体"/>
          <w:color w:val="auto"/>
        </w:rPr>
        <w:t>本磋商文件解释规则详见“供应商须知前附表”。</w:t>
      </w:r>
    </w:p>
    <w:p w14:paraId="1C9426B3">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s="宋体"/>
          <w:color w:val="auto"/>
        </w:rPr>
      </w:pPr>
      <w:r>
        <w:rPr>
          <w:rFonts w:ascii="宋体" w:hAnsi="宋体" w:cs="宋体"/>
          <w:color w:val="auto"/>
        </w:rPr>
        <w:t>33.2</w:t>
      </w:r>
      <w:r>
        <w:rPr>
          <w:rFonts w:hint="eastAsia" w:ascii="宋体" w:hAnsi="宋体" w:cs="宋体"/>
          <w:color w:val="auto"/>
        </w:rPr>
        <w:t xml:space="preserve"> 其他事项详见“供应商须知前附表”。</w:t>
      </w:r>
    </w:p>
    <w:p w14:paraId="0A3748E5">
      <w:pPr>
        <w:pStyle w:val="14"/>
        <w:keepNext w:val="0"/>
        <w:keepLines w:val="0"/>
        <w:pageBreakBefore w:val="0"/>
        <w:widowControl w:val="0"/>
        <w:kinsoku/>
        <w:wordWrap/>
        <w:overflowPunct/>
        <w:topLinePunct w:val="0"/>
        <w:autoSpaceDE/>
        <w:autoSpaceDN/>
        <w:bidi w:val="0"/>
        <w:adjustRightInd/>
        <w:snapToGrid/>
        <w:spacing w:line="480" w:lineRule="exact"/>
        <w:ind w:firstLine="420" w:firstLineChars="200"/>
        <w:contextualSpacing/>
        <w:textAlignment w:val="auto"/>
        <w:rPr>
          <w:rFonts w:hint="eastAsia" w:hAnsi="宋体" w:cs="宋体"/>
          <w:color w:val="auto"/>
          <w:sz w:val="21"/>
        </w:rPr>
      </w:pPr>
      <w:r>
        <w:rPr>
          <w:rFonts w:hint="eastAsia" w:hAnsi="宋体" w:cs="宋体"/>
          <w:color w:val="auto"/>
          <w:sz w:val="21"/>
          <w:lang w:val="en-US" w:eastAsia="zh-CN"/>
        </w:rPr>
        <w:t>33</w:t>
      </w:r>
      <w:r>
        <w:rPr>
          <w:rFonts w:hint="eastAsia" w:hAnsi="宋体" w:cs="宋体"/>
          <w:color w:val="auto"/>
          <w:sz w:val="21"/>
        </w:rPr>
        <w:t>.3</w:t>
      </w:r>
      <w:bookmarkStart w:id="79" w:name="_Hlk65857140"/>
      <w:r>
        <w:rPr>
          <w:rFonts w:hint="eastAsia" w:hAnsi="宋体" w:cs="宋体"/>
          <w:color w:val="auto"/>
          <w:sz w:val="21"/>
        </w:rPr>
        <w:t>本</w:t>
      </w:r>
      <w:r>
        <w:rPr>
          <w:rFonts w:hint="eastAsia" w:ascii="宋体" w:hAnsi="宋体" w:cs="宋体"/>
          <w:color w:val="auto"/>
        </w:rPr>
        <w:t>磋商</w:t>
      </w:r>
      <w:r>
        <w:rPr>
          <w:rFonts w:hint="eastAsia" w:hAnsi="宋体" w:cs="宋体"/>
          <w:color w:val="auto"/>
          <w:sz w:val="21"/>
        </w:rPr>
        <w:t>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bookmarkEnd w:id="79"/>
    </w:p>
    <w:p w14:paraId="6CAEF2EB">
      <w:pPr>
        <w:pStyle w:val="21"/>
        <w:rPr>
          <w:rFonts w:hint="eastAsia"/>
          <w:color w:val="auto"/>
        </w:rPr>
      </w:pPr>
      <w:r>
        <w:rPr>
          <w:rFonts w:hAnsi="宋体"/>
          <w:b/>
          <w:color w:val="auto"/>
        </w:rPr>
        <w:br w:type="page"/>
      </w:r>
      <w:bookmarkStart w:id="80" w:name="_Toc44229895"/>
      <w:bookmarkStart w:id="81" w:name="_Toc30437"/>
    </w:p>
    <w:p w14:paraId="33928FE3">
      <w:pPr>
        <w:spacing w:line="428" w:lineRule="exact"/>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p w14:paraId="341290E9">
      <w:pPr>
        <w:spacing w:line="428" w:lineRule="exact"/>
        <w:jc w:val="center"/>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p w14:paraId="2FF40F0C">
      <w:pPr>
        <w:pStyle w:val="35"/>
        <w:rPr>
          <w:rFonts w:hint="eastAsia"/>
          <w:color w:val="auto"/>
          <w:lang w:eastAsia="zh-CN"/>
        </w:rPr>
      </w:pPr>
    </w:p>
    <w:tbl>
      <w:tblPr>
        <w:tblStyle w:val="25"/>
        <w:tblW w:w="9338" w:type="dxa"/>
        <w:tblInd w:w="250" w:type="dxa"/>
        <w:tblLayout w:type="fixed"/>
        <w:tblCellMar>
          <w:top w:w="0" w:type="dxa"/>
          <w:left w:w="108" w:type="dxa"/>
          <w:bottom w:w="0" w:type="dxa"/>
          <w:right w:w="108" w:type="dxa"/>
        </w:tblCellMar>
      </w:tblPr>
      <w:tblGrid>
        <w:gridCol w:w="1990"/>
        <w:gridCol w:w="1619"/>
        <w:gridCol w:w="1068"/>
        <w:gridCol w:w="1895"/>
        <w:gridCol w:w="1684"/>
        <w:gridCol w:w="1082"/>
      </w:tblGrid>
      <w:tr w14:paraId="2C2490C1">
        <w:tblPrEx>
          <w:tblCellMar>
            <w:top w:w="0" w:type="dxa"/>
            <w:left w:w="108" w:type="dxa"/>
            <w:bottom w:w="0" w:type="dxa"/>
            <w:right w:w="108" w:type="dxa"/>
          </w:tblCellMar>
        </w:tblPrEx>
        <w:trPr>
          <w:trHeight w:val="285" w:hRule="atLeast"/>
        </w:trPr>
        <w:tc>
          <w:tcPr>
            <w:tcW w:w="1990" w:type="dxa"/>
            <w:tcBorders>
              <w:top w:val="single" w:color="auto" w:sz="4" w:space="0"/>
              <w:left w:val="single" w:color="auto" w:sz="4" w:space="0"/>
              <w:bottom w:val="single" w:color="auto" w:sz="4" w:space="0"/>
              <w:right w:val="single" w:color="auto" w:sz="4" w:space="0"/>
            </w:tcBorders>
            <w:noWrap w:val="0"/>
            <w:vAlign w:val="center"/>
          </w:tcPr>
          <w:p w14:paraId="4F56749C">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619" w:type="dxa"/>
            <w:tcBorders>
              <w:top w:val="single" w:color="auto" w:sz="4" w:space="0"/>
              <w:left w:val="nil"/>
              <w:bottom w:val="single" w:color="auto" w:sz="4" w:space="0"/>
              <w:right w:val="single" w:color="auto" w:sz="4" w:space="0"/>
            </w:tcBorders>
            <w:noWrap w:val="0"/>
            <w:vAlign w:val="center"/>
          </w:tcPr>
          <w:p w14:paraId="0F2C784B">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1068" w:type="dxa"/>
            <w:tcBorders>
              <w:top w:val="single" w:color="auto" w:sz="4" w:space="0"/>
              <w:left w:val="nil"/>
              <w:bottom w:val="single" w:color="auto" w:sz="4" w:space="0"/>
              <w:right w:val="single" w:color="auto" w:sz="4" w:space="0"/>
            </w:tcBorders>
            <w:noWrap w:val="0"/>
            <w:vAlign w:val="center"/>
          </w:tcPr>
          <w:p w14:paraId="0172D55F">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95" w:type="dxa"/>
            <w:tcBorders>
              <w:top w:val="single" w:color="auto" w:sz="4" w:space="0"/>
              <w:left w:val="nil"/>
              <w:bottom w:val="single" w:color="auto" w:sz="4" w:space="0"/>
              <w:right w:val="single" w:color="auto" w:sz="4" w:space="0"/>
            </w:tcBorders>
            <w:noWrap w:val="0"/>
            <w:vAlign w:val="center"/>
          </w:tcPr>
          <w:p w14:paraId="2030D9BB">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684" w:type="dxa"/>
            <w:tcBorders>
              <w:top w:val="single" w:color="auto" w:sz="4" w:space="0"/>
              <w:left w:val="nil"/>
              <w:bottom w:val="single" w:color="auto" w:sz="4" w:space="0"/>
              <w:right w:val="single" w:color="auto" w:sz="4" w:space="0"/>
            </w:tcBorders>
            <w:noWrap w:val="0"/>
            <w:vAlign w:val="center"/>
          </w:tcPr>
          <w:p w14:paraId="3E2898E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082" w:type="dxa"/>
            <w:tcBorders>
              <w:top w:val="single" w:color="auto" w:sz="4" w:space="0"/>
              <w:left w:val="nil"/>
              <w:bottom w:val="single" w:color="auto" w:sz="4" w:space="0"/>
              <w:right w:val="single" w:color="auto" w:sz="4" w:space="0"/>
            </w:tcBorders>
            <w:noWrap w:val="0"/>
            <w:vAlign w:val="center"/>
          </w:tcPr>
          <w:p w14:paraId="461F0149">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777AA5FE">
        <w:tblPrEx>
          <w:tblCellMar>
            <w:top w:w="0" w:type="dxa"/>
            <w:left w:w="108" w:type="dxa"/>
            <w:bottom w:w="0" w:type="dxa"/>
            <w:right w:w="108" w:type="dxa"/>
          </w:tblCellMar>
        </w:tblPrEx>
        <w:trPr>
          <w:trHeight w:val="225" w:hRule="atLeast"/>
        </w:trPr>
        <w:tc>
          <w:tcPr>
            <w:tcW w:w="1990" w:type="dxa"/>
            <w:tcBorders>
              <w:top w:val="nil"/>
              <w:left w:val="single" w:color="auto" w:sz="4" w:space="0"/>
              <w:bottom w:val="single" w:color="auto" w:sz="4" w:space="0"/>
              <w:right w:val="single" w:color="auto" w:sz="4" w:space="0"/>
            </w:tcBorders>
            <w:noWrap w:val="0"/>
            <w:vAlign w:val="bottom"/>
          </w:tcPr>
          <w:p w14:paraId="3B256BB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619" w:type="dxa"/>
            <w:tcBorders>
              <w:top w:val="nil"/>
              <w:left w:val="nil"/>
              <w:bottom w:val="single" w:color="auto" w:sz="4" w:space="0"/>
              <w:right w:val="single" w:color="auto" w:sz="4" w:space="0"/>
            </w:tcBorders>
            <w:noWrap w:val="0"/>
            <w:vAlign w:val="center"/>
          </w:tcPr>
          <w:p w14:paraId="0823131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F19364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10316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84" w:type="dxa"/>
            <w:tcBorders>
              <w:top w:val="nil"/>
              <w:left w:val="nil"/>
              <w:bottom w:val="single" w:color="auto" w:sz="4" w:space="0"/>
              <w:right w:val="single" w:color="auto" w:sz="4" w:space="0"/>
            </w:tcBorders>
            <w:noWrap w:val="0"/>
            <w:vAlign w:val="center"/>
          </w:tcPr>
          <w:p w14:paraId="7BF595D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082" w:type="dxa"/>
            <w:tcBorders>
              <w:top w:val="nil"/>
              <w:left w:val="nil"/>
              <w:bottom w:val="single" w:color="auto" w:sz="4" w:space="0"/>
              <w:right w:val="single" w:color="auto" w:sz="4" w:space="0"/>
            </w:tcBorders>
            <w:noWrap w:val="0"/>
            <w:vAlign w:val="center"/>
          </w:tcPr>
          <w:p w14:paraId="13F949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37F784D3">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B749B3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619" w:type="dxa"/>
            <w:tcBorders>
              <w:top w:val="nil"/>
              <w:left w:val="nil"/>
              <w:bottom w:val="single" w:color="auto" w:sz="4" w:space="0"/>
              <w:right w:val="single" w:color="auto" w:sz="4" w:space="0"/>
            </w:tcBorders>
            <w:noWrap w:val="0"/>
            <w:vAlign w:val="center"/>
          </w:tcPr>
          <w:p w14:paraId="08BF65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50185F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0C5610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6EA29C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5AE110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039122CE">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32CB46FB">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76A044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651CC9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D32A4F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684" w:type="dxa"/>
            <w:tcBorders>
              <w:top w:val="nil"/>
              <w:left w:val="nil"/>
              <w:bottom w:val="single" w:color="auto" w:sz="4" w:space="0"/>
              <w:right w:val="single" w:color="auto" w:sz="4" w:space="0"/>
            </w:tcBorders>
            <w:noWrap w:val="0"/>
            <w:vAlign w:val="center"/>
          </w:tcPr>
          <w:p w14:paraId="79E075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082" w:type="dxa"/>
            <w:tcBorders>
              <w:top w:val="nil"/>
              <w:left w:val="nil"/>
              <w:bottom w:val="single" w:color="auto" w:sz="4" w:space="0"/>
              <w:right w:val="single" w:color="auto" w:sz="4" w:space="0"/>
            </w:tcBorders>
            <w:noWrap w:val="0"/>
            <w:vAlign w:val="center"/>
          </w:tcPr>
          <w:p w14:paraId="0449BE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54EE8125">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5C7DB8D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619" w:type="dxa"/>
            <w:tcBorders>
              <w:top w:val="nil"/>
              <w:left w:val="nil"/>
              <w:bottom w:val="single" w:color="auto" w:sz="4" w:space="0"/>
              <w:right w:val="single" w:color="auto" w:sz="4" w:space="0"/>
            </w:tcBorders>
            <w:noWrap w:val="0"/>
            <w:vAlign w:val="center"/>
          </w:tcPr>
          <w:p w14:paraId="369291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026D44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7B3E2E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684" w:type="dxa"/>
            <w:tcBorders>
              <w:top w:val="nil"/>
              <w:left w:val="nil"/>
              <w:bottom w:val="single" w:color="auto" w:sz="4" w:space="0"/>
              <w:right w:val="single" w:color="auto" w:sz="4" w:space="0"/>
            </w:tcBorders>
            <w:noWrap w:val="0"/>
            <w:vAlign w:val="center"/>
          </w:tcPr>
          <w:p w14:paraId="5324D9F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082" w:type="dxa"/>
            <w:tcBorders>
              <w:top w:val="nil"/>
              <w:left w:val="nil"/>
              <w:bottom w:val="single" w:color="auto" w:sz="4" w:space="0"/>
              <w:right w:val="single" w:color="auto" w:sz="4" w:space="0"/>
            </w:tcBorders>
            <w:noWrap w:val="0"/>
            <w:vAlign w:val="center"/>
          </w:tcPr>
          <w:p w14:paraId="6630B2E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5336AAE7">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DEB5382">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50A60F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15A7C85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1E880D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684" w:type="dxa"/>
            <w:tcBorders>
              <w:top w:val="nil"/>
              <w:left w:val="nil"/>
              <w:bottom w:val="single" w:color="auto" w:sz="4" w:space="0"/>
              <w:right w:val="single" w:color="auto" w:sz="4" w:space="0"/>
            </w:tcBorders>
            <w:noWrap w:val="0"/>
            <w:vAlign w:val="center"/>
          </w:tcPr>
          <w:p w14:paraId="220813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082" w:type="dxa"/>
            <w:tcBorders>
              <w:top w:val="nil"/>
              <w:left w:val="nil"/>
              <w:bottom w:val="single" w:color="auto" w:sz="4" w:space="0"/>
              <w:right w:val="single" w:color="auto" w:sz="4" w:space="0"/>
            </w:tcBorders>
            <w:noWrap w:val="0"/>
            <w:vAlign w:val="center"/>
          </w:tcPr>
          <w:p w14:paraId="1AA3B5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2A353020">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3B9D001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619" w:type="dxa"/>
            <w:tcBorders>
              <w:top w:val="nil"/>
              <w:left w:val="nil"/>
              <w:bottom w:val="single" w:color="auto" w:sz="4" w:space="0"/>
              <w:right w:val="single" w:color="auto" w:sz="4" w:space="0"/>
            </w:tcBorders>
            <w:noWrap w:val="0"/>
            <w:vAlign w:val="center"/>
          </w:tcPr>
          <w:p w14:paraId="073879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1A47B9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565332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684" w:type="dxa"/>
            <w:tcBorders>
              <w:top w:val="nil"/>
              <w:left w:val="nil"/>
              <w:bottom w:val="single" w:color="auto" w:sz="4" w:space="0"/>
              <w:right w:val="single" w:color="auto" w:sz="4" w:space="0"/>
            </w:tcBorders>
            <w:noWrap w:val="0"/>
            <w:vAlign w:val="center"/>
          </w:tcPr>
          <w:p w14:paraId="6AE727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082" w:type="dxa"/>
            <w:tcBorders>
              <w:top w:val="nil"/>
              <w:left w:val="nil"/>
              <w:bottom w:val="single" w:color="auto" w:sz="4" w:space="0"/>
              <w:right w:val="single" w:color="auto" w:sz="4" w:space="0"/>
            </w:tcBorders>
            <w:noWrap w:val="0"/>
            <w:vAlign w:val="center"/>
          </w:tcPr>
          <w:p w14:paraId="213DA6F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2AE9DCF4">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67279574">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34F26A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46DC6AA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95E87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684" w:type="dxa"/>
            <w:tcBorders>
              <w:top w:val="nil"/>
              <w:left w:val="nil"/>
              <w:bottom w:val="single" w:color="auto" w:sz="4" w:space="0"/>
              <w:right w:val="single" w:color="auto" w:sz="4" w:space="0"/>
            </w:tcBorders>
            <w:noWrap w:val="0"/>
            <w:vAlign w:val="center"/>
          </w:tcPr>
          <w:p w14:paraId="15ECE3D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082" w:type="dxa"/>
            <w:tcBorders>
              <w:top w:val="nil"/>
              <w:left w:val="nil"/>
              <w:bottom w:val="single" w:color="auto" w:sz="4" w:space="0"/>
              <w:right w:val="single" w:color="auto" w:sz="4" w:space="0"/>
            </w:tcBorders>
            <w:noWrap w:val="0"/>
            <w:vAlign w:val="center"/>
          </w:tcPr>
          <w:p w14:paraId="2C8E9E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1937284D">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DBEEB1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619" w:type="dxa"/>
            <w:tcBorders>
              <w:top w:val="nil"/>
              <w:left w:val="nil"/>
              <w:bottom w:val="single" w:color="auto" w:sz="4" w:space="0"/>
              <w:right w:val="single" w:color="auto" w:sz="4" w:space="0"/>
            </w:tcBorders>
            <w:noWrap w:val="0"/>
            <w:vAlign w:val="center"/>
          </w:tcPr>
          <w:p w14:paraId="71050C5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2604EE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0A3FE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684" w:type="dxa"/>
            <w:tcBorders>
              <w:top w:val="nil"/>
              <w:left w:val="nil"/>
              <w:bottom w:val="single" w:color="auto" w:sz="4" w:space="0"/>
              <w:right w:val="single" w:color="auto" w:sz="4" w:space="0"/>
            </w:tcBorders>
            <w:noWrap w:val="0"/>
            <w:vAlign w:val="center"/>
          </w:tcPr>
          <w:p w14:paraId="25AEBB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082" w:type="dxa"/>
            <w:tcBorders>
              <w:top w:val="nil"/>
              <w:left w:val="nil"/>
              <w:bottom w:val="single" w:color="auto" w:sz="4" w:space="0"/>
              <w:right w:val="single" w:color="auto" w:sz="4" w:space="0"/>
            </w:tcBorders>
            <w:noWrap w:val="0"/>
            <w:vAlign w:val="center"/>
          </w:tcPr>
          <w:p w14:paraId="65D338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220A26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DCA8855">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3C9CE6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16172A4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32B7C7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84" w:type="dxa"/>
            <w:tcBorders>
              <w:top w:val="nil"/>
              <w:left w:val="nil"/>
              <w:bottom w:val="single" w:color="auto" w:sz="4" w:space="0"/>
              <w:right w:val="single" w:color="auto" w:sz="4" w:space="0"/>
            </w:tcBorders>
            <w:noWrap w:val="0"/>
            <w:vAlign w:val="center"/>
          </w:tcPr>
          <w:p w14:paraId="10B046E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082" w:type="dxa"/>
            <w:tcBorders>
              <w:top w:val="nil"/>
              <w:left w:val="nil"/>
              <w:bottom w:val="single" w:color="auto" w:sz="4" w:space="0"/>
              <w:right w:val="single" w:color="auto" w:sz="4" w:space="0"/>
            </w:tcBorders>
            <w:noWrap w:val="0"/>
            <w:vAlign w:val="center"/>
          </w:tcPr>
          <w:p w14:paraId="7851165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231AB35">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4733720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619" w:type="dxa"/>
            <w:tcBorders>
              <w:top w:val="nil"/>
              <w:left w:val="nil"/>
              <w:bottom w:val="single" w:color="auto" w:sz="4" w:space="0"/>
              <w:right w:val="single" w:color="auto" w:sz="4" w:space="0"/>
            </w:tcBorders>
            <w:noWrap w:val="0"/>
            <w:vAlign w:val="center"/>
          </w:tcPr>
          <w:p w14:paraId="21BB20B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5D1F8F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62B6F8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45A22C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52CE65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D41B3BB">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7D23F903">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789DA0D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0C1987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181743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684" w:type="dxa"/>
            <w:tcBorders>
              <w:top w:val="nil"/>
              <w:left w:val="nil"/>
              <w:bottom w:val="single" w:color="auto" w:sz="4" w:space="0"/>
              <w:right w:val="single" w:color="auto" w:sz="4" w:space="0"/>
            </w:tcBorders>
            <w:noWrap w:val="0"/>
            <w:vAlign w:val="center"/>
          </w:tcPr>
          <w:p w14:paraId="27CC5B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082" w:type="dxa"/>
            <w:tcBorders>
              <w:top w:val="nil"/>
              <w:left w:val="nil"/>
              <w:bottom w:val="single" w:color="auto" w:sz="4" w:space="0"/>
              <w:right w:val="single" w:color="auto" w:sz="4" w:space="0"/>
            </w:tcBorders>
            <w:noWrap w:val="0"/>
            <w:vAlign w:val="center"/>
          </w:tcPr>
          <w:p w14:paraId="373DB82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6E41322E">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F6500E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619" w:type="dxa"/>
            <w:tcBorders>
              <w:top w:val="nil"/>
              <w:left w:val="nil"/>
              <w:bottom w:val="single" w:color="auto" w:sz="4" w:space="0"/>
              <w:right w:val="single" w:color="auto" w:sz="4" w:space="0"/>
            </w:tcBorders>
            <w:noWrap w:val="0"/>
            <w:vAlign w:val="center"/>
          </w:tcPr>
          <w:p w14:paraId="0490B9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9DB784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33B75BD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684" w:type="dxa"/>
            <w:tcBorders>
              <w:top w:val="nil"/>
              <w:left w:val="nil"/>
              <w:bottom w:val="single" w:color="auto" w:sz="4" w:space="0"/>
              <w:right w:val="single" w:color="auto" w:sz="4" w:space="0"/>
            </w:tcBorders>
            <w:noWrap w:val="0"/>
            <w:vAlign w:val="center"/>
          </w:tcPr>
          <w:p w14:paraId="79E638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082" w:type="dxa"/>
            <w:tcBorders>
              <w:top w:val="nil"/>
              <w:left w:val="nil"/>
              <w:bottom w:val="single" w:color="auto" w:sz="4" w:space="0"/>
              <w:right w:val="single" w:color="auto" w:sz="4" w:space="0"/>
            </w:tcBorders>
            <w:noWrap w:val="0"/>
            <w:vAlign w:val="center"/>
          </w:tcPr>
          <w:p w14:paraId="7B2E37F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0DC01F9B">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61B3CCE7">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0E5A0C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473ECB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6E236C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684" w:type="dxa"/>
            <w:tcBorders>
              <w:top w:val="nil"/>
              <w:left w:val="nil"/>
              <w:bottom w:val="single" w:color="auto" w:sz="4" w:space="0"/>
              <w:right w:val="single" w:color="auto" w:sz="4" w:space="0"/>
            </w:tcBorders>
            <w:noWrap w:val="0"/>
            <w:vAlign w:val="center"/>
          </w:tcPr>
          <w:p w14:paraId="5DE80A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82" w:type="dxa"/>
            <w:tcBorders>
              <w:top w:val="nil"/>
              <w:left w:val="nil"/>
              <w:bottom w:val="single" w:color="auto" w:sz="4" w:space="0"/>
              <w:right w:val="single" w:color="auto" w:sz="4" w:space="0"/>
            </w:tcBorders>
            <w:noWrap w:val="0"/>
            <w:vAlign w:val="center"/>
          </w:tcPr>
          <w:p w14:paraId="56488C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29CD922">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31C016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619" w:type="dxa"/>
            <w:tcBorders>
              <w:top w:val="nil"/>
              <w:left w:val="nil"/>
              <w:bottom w:val="single" w:color="auto" w:sz="4" w:space="0"/>
              <w:right w:val="single" w:color="auto" w:sz="4" w:space="0"/>
            </w:tcBorders>
            <w:noWrap w:val="0"/>
            <w:vAlign w:val="center"/>
          </w:tcPr>
          <w:p w14:paraId="376547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43AB47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4D45AF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2D617F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82" w:type="dxa"/>
            <w:tcBorders>
              <w:top w:val="nil"/>
              <w:left w:val="nil"/>
              <w:bottom w:val="single" w:color="auto" w:sz="4" w:space="0"/>
              <w:right w:val="single" w:color="auto" w:sz="4" w:space="0"/>
            </w:tcBorders>
            <w:noWrap w:val="0"/>
            <w:vAlign w:val="center"/>
          </w:tcPr>
          <w:p w14:paraId="60531CF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E7F50E5">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5E01DA8F">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7AA14A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43217BF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63C62E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684" w:type="dxa"/>
            <w:tcBorders>
              <w:top w:val="nil"/>
              <w:left w:val="nil"/>
              <w:bottom w:val="single" w:color="auto" w:sz="4" w:space="0"/>
              <w:right w:val="single" w:color="auto" w:sz="4" w:space="0"/>
            </w:tcBorders>
            <w:noWrap w:val="0"/>
            <w:vAlign w:val="center"/>
          </w:tcPr>
          <w:p w14:paraId="65E236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599A2B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B4251A3">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51B1297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619" w:type="dxa"/>
            <w:tcBorders>
              <w:top w:val="nil"/>
              <w:left w:val="nil"/>
              <w:bottom w:val="single" w:color="auto" w:sz="4" w:space="0"/>
              <w:right w:val="single" w:color="auto" w:sz="4" w:space="0"/>
            </w:tcBorders>
            <w:noWrap w:val="0"/>
            <w:vAlign w:val="center"/>
          </w:tcPr>
          <w:p w14:paraId="4E8FC3D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6672584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0DD98AE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1879135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16D283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0F64D83">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624C6B0F">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52653B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31D6CDB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6471E6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84" w:type="dxa"/>
            <w:tcBorders>
              <w:top w:val="nil"/>
              <w:left w:val="nil"/>
              <w:bottom w:val="single" w:color="auto" w:sz="4" w:space="0"/>
              <w:right w:val="single" w:color="auto" w:sz="4" w:space="0"/>
            </w:tcBorders>
            <w:noWrap w:val="0"/>
            <w:vAlign w:val="center"/>
          </w:tcPr>
          <w:p w14:paraId="600EB0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14011B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D4DCFA8">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298986B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619" w:type="dxa"/>
            <w:tcBorders>
              <w:top w:val="nil"/>
              <w:left w:val="nil"/>
              <w:bottom w:val="single" w:color="auto" w:sz="4" w:space="0"/>
              <w:right w:val="single" w:color="auto" w:sz="4" w:space="0"/>
            </w:tcBorders>
            <w:noWrap w:val="0"/>
            <w:vAlign w:val="center"/>
          </w:tcPr>
          <w:p w14:paraId="74AD1B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7535CDE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FFD9E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3DCC1D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0A48F8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3676A3F">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848F624">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3FCC693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24F16A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1904E1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84" w:type="dxa"/>
            <w:tcBorders>
              <w:top w:val="nil"/>
              <w:left w:val="nil"/>
              <w:bottom w:val="single" w:color="auto" w:sz="4" w:space="0"/>
              <w:right w:val="single" w:color="auto" w:sz="4" w:space="0"/>
            </w:tcBorders>
            <w:noWrap w:val="0"/>
            <w:vAlign w:val="center"/>
          </w:tcPr>
          <w:p w14:paraId="47ED21A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82" w:type="dxa"/>
            <w:tcBorders>
              <w:top w:val="nil"/>
              <w:left w:val="nil"/>
              <w:bottom w:val="single" w:color="auto" w:sz="4" w:space="0"/>
              <w:right w:val="single" w:color="auto" w:sz="4" w:space="0"/>
            </w:tcBorders>
            <w:noWrap w:val="0"/>
            <w:vAlign w:val="center"/>
          </w:tcPr>
          <w:p w14:paraId="6D2260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AD2833A">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3566B9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619" w:type="dxa"/>
            <w:tcBorders>
              <w:top w:val="nil"/>
              <w:left w:val="nil"/>
              <w:bottom w:val="single" w:color="auto" w:sz="4" w:space="0"/>
              <w:right w:val="single" w:color="auto" w:sz="4" w:space="0"/>
            </w:tcBorders>
            <w:noWrap w:val="0"/>
            <w:vAlign w:val="center"/>
          </w:tcPr>
          <w:p w14:paraId="171F85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5E7AB11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1D08A0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684" w:type="dxa"/>
            <w:tcBorders>
              <w:top w:val="nil"/>
              <w:left w:val="nil"/>
              <w:bottom w:val="single" w:color="auto" w:sz="4" w:space="0"/>
              <w:right w:val="single" w:color="auto" w:sz="4" w:space="0"/>
            </w:tcBorders>
            <w:noWrap w:val="0"/>
            <w:vAlign w:val="center"/>
          </w:tcPr>
          <w:p w14:paraId="3DD524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51BF3D3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6D077D4">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4A26347D">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D7474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63A98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0DD558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684" w:type="dxa"/>
            <w:tcBorders>
              <w:top w:val="nil"/>
              <w:left w:val="nil"/>
              <w:bottom w:val="single" w:color="auto" w:sz="4" w:space="0"/>
              <w:right w:val="single" w:color="auto" w:sz="4" w:space="0"/>
            </w:tcBorders>
            <w:noWrap w:val="0"/>
            <w:vAlign w:val="center"/>
          </w:tcPr>
          <w:p w14:paraId="4F3CEDC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82" w:type="dxa"/>
            <w:tcBorders>
              <w:top w:val="nil"/>
              <w:left w:val="nil"/>
              <w:bottom w:val="single" w:color="auto" w:sz="4" w:space="0"/>
              <w:right w:val="single" w:color="auto" w:sz="4" w:space="0"/>
            </w:tcBorders>
            <w:noWrap w:val="0"/>
            <w:vAlign w:val="center"/>
          </w:tcPr>
          <w:p w14:paraId="28C722A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4BA0109">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1529861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619" w:type="dxa"/>
            <w:tcBorders>
              <w:top w:val="nil"/>
              <w:left w:val="nil"/>
              <w:bottom w:val="single" w:color="auto" w:sz="4" w:space="0"/>
              <w:right w:val="single" w:color="auto" w:sz="4" w:space="0"/>
            </w:tcBorders>
            <w:noWrap w:val="0"/>
            <w:vAlign w:val="center"/>
          </w:tcPr>
          <w:p w14:paraId="3CE4086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4DC8CC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0CB0D05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6D0666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16D4F99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D874F33">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1BB55C29">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499C90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66D26C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2B61692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684" w:type="dxa"/>
            <w:tcBorders>
              <w:top w:val="nil"/>
              <w:left w:val="nil"/>
              <w:bottom w:val="single" w:color="auto" w:sz="4" w:space="0"/>
              <w:right w:val="single" w:color="auto" w:sz="4" w:space="0"/>
            </w:tcBorders>
            <w:noWrap w:val="0"/>
            <w:vAlign w:val="center"/>
          </w:tcPr>
          <w:p w14:paraId="3B912C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082" w:type="dxa"/>
            <w:tcBorders>
              <w:top w:val="nil"/>
              <w:left w:val="nil"/>
              <w:bottom w:val="single" w:color="auto" w:sz="4" w:space="0"/>
              <w:right w:val="single" w:color="auto" w:sz="4" w:space="0"/>
            </w:tcBorders>
            <w:noWrap w:val="0"/>
            <w:vAlign w:val="center"/>
          </w:tcPr>
          <w:p w14:paraId="28A48C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73DDFA75">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44387D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619" w:type="dxa"/>
            <w:tcBorders>
              <w:top w:val="nil"/>
              <w:left w:val="nil"/>
              <w:bottom w:val="single" w:color="auto" w:sz="4" w:space="0"/>
              <w:right w:val="single" w:color="auto" w:sz="4" w:space="0"/>
            </w:tcBorders>
            <w:noWrap w:val="0"/>
            <w:vAlign w:val="center"/>
          </w:tcPr>
          <w:p w14:paraId="369717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575EAF0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7E9386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684" w:type="dxa"/>
            <w:tcBorders>
              <w:top w:val="nil"/>
              <w:left w:val="nil"/>
              <w:bottom w:val="single" w:color="auto" w:sz="4" w:space="0"/>
              <w:right w:val="single" w:color="auto" w:sz="4" w:space="0"/>
            </w:tcBorders>
            <w:noWrap w:val="0"/>
            <w:vAlign w:val="center"/>
          </w:tcPr>
          <w:p w14:paraId="6507B57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082" w:type="dxa"/>
            <w:tcBorders>
              <w:top w:val="nil"/>
              <w:left w:val="nil"/>
              <w:bottom w:val="single" w:color="auto" w:sz="4" w:space="0"/>
              <w:right w:val="single" w:color="auto" w:sz="4" w:space="0"/>
            </w:tcBorders>
            <w:noWrap w:val="0"/>
            <w:vAlign w:val="center"/>
          </w:tcPr>
          <w:p w14:paraId="622E120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0B4CCE58">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2BF1A179">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35C666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218F08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47189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684" w:type="dxa"/>
            <w:tcBorders>
              <w:top w:val="nil"/>
              <w:left w:val="nil"/>
              <w:bottom w:val="single" w:color="auto" w:sz="4" w:space="0"/>
              <w:right w:val="single" w:color="auto" w:sz="4" w:space="0"/>
            </w:tcBorders>
            <w:noWrap w:val="0"/>
            <w:vAlign w:val="center"/>
          </w:tcPr>
          <w:p w14:paraId="07C77CC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082" w:type="dxa"/>
            <w:tcBorders>
              <w:top w:val="nil"/>
              <w:left w:val="nil"/>
              <w:bottom w:val="single" w:color="auto" w:sz="4" w:space="0"/>
              <w:right w:val="single" w:color="auto" w:sz="4" w:space="0"/>
            </w:tcBorders>
            <w:noWrap w:val="0"/>
            <w:vAlign w:val="center"/>
          </w:tcPr>
          <w:p w14:paraId="400A94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5BDE0C4A">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4B23B96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619" w:type="dxa"/>
            <w:tcBorders>
              <w:top w:val="nil"/>
              <w:left w:val="nil"/>
              <w:bottom w:val="single" w:color="auto" w:sz="4" w:space="0"/>
              <w:right w:val="single" w:color="auto" w:sz="4" w:space="0"/>
            </w:tcBorders>
            <w:noWrap w:val="0"/>
            <w:vAlign w:val="center"/>
          </w:tcPr>
          <w:p w14:paraId="5464B3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1F0617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586FCA0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84" w:type="dxa"/>
            <w:tcBorders>
              <w:top w:val="nil"/>
              <w:left w:val="nil"/>
              <w:bottom w:val="single" w:color="auto" w:sz="4" w:space="0"/>
              <w:right w:val="single" w:color="auto" w:sz="4" w:space="0"/>
            </w:tcBorders>
            <w:noWrap w:val="0"/>
            <w:vAlign w:val="center"/>
          </w:tcPr>
          <w:p w14:paraId="021444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082" w:type="dxa"/>
            <w:tcBorders>
              <w:top w:val="nil"/>
              <w:left w:val="nil"/>
              <w:bottom w:val="single" w:color="auto" w:sz="4" w:space="0"/>
              <w:right w:val="single" w:color="auto" w:sz="4" w:space="0"/>
            </w:tcBorders>
            <w:noWrap w:val="0"/>
            <w:vAlign w:val="center"/>
          </w:tcPr>
          <w:p w14:paraId="1FAA67F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788EC599">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4D2C7B57">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6CEFCEA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68" w:type="dxa"/>
            <w:tcBorders>
              <w:top w:val="nil"/>
              <w:left w:val="nil"/>
              <w:bottom w:val="single" w:color="auto" w:sz="4" w:space="0"/>
              <w:right w:val="single" w:color="auto" w:sz="4" w:space="0"/>
            </w:tcBorders>
            <w:noWrap w:val="0"/>
            <w:vAlign w:val="center"/>
          </w:tcPr>
          <w:p w14:paraId="757BCF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42353E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684" w:type="dxa"/>
            <w:tcBorders>
              <w:top w:val="nil"/>
              <w:left w:val="nil"/>
              <w:bottom w:val="single" w:color="auto" w:sz="4" w:space="0"/>
              <w:right w:val="single" w:color="auto" w:sz="4" w:space="0"/>
            </w:tcBorders>
            <w:noWrap w:val="0"/>
            <w:vAlign w:val="center"/>
          </w:tcPr>
          <w:p w14:paraId="796DA3A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082" w:type="dxa"/>
            <w:tcBorders>
              <w:top w:val="nil"/>
              <w:left w:val="nil"/>
              <w:bottom w:val="single" w:color="auto" w:sz="4" w:space="0"/>
              <w:right w:val="single" w:color="auto" w:sz="4" w:space="0"/>
            </w:tcBorders>
            <w:noWrap w:val="0"/>
            <w:vAlign w:val="center"/>
          </w:tcPr>
          <w:p w14:paraId="738536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0EA8865A">
        <w:tblPrEx>
          <w:tblCellMar>
            <w:top w:w="0" w:type="dxa"/>
            <w:left w:w="108" w:type="dxa"/>
            <w:bottom w:w="0" w:type="dxa"/>
            <w:right w:w="108" w:type="dxa"/>
          </w:tblCellMar>
        </w:tblPrEx>
        <w:trPr>
          <w:trHeight w:val="225" w:hRule="atLeast"/>
        </w:trPr>
        <w:tc>
          <w:tcPr>
            <w:tcW w:w="1990" w:type="dxa"/>
            <w:vMerge w:val="restart"/>
            <w:tcBorders>
              <w:top w:val="nil"/>
              <w:left w:val="single" w:color="auto" w:sz="4" w:space="0"/>
              <w:bottom w:val="single" w:color="auto" w:sz="4" w:space="0"/>
              <w:right w:val="single" w:color="auto" w:sz="4" w:space="0"/>
            </w:tcBorders>
            <w:noWrap w:val="0"/>
            <w:vAlign w:val="bottom"/>
          </w:tcPr>
          <w:p w14:paraId="74B7E71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619" w:type="dxa"/>
            <w:tcBorders>
              <w:top w:val="nil"/>
              <w:left w:val="nil"/>
              <w:bottom w:val="single" w:color="auto" w:sz="4" w:space="0"/>
              <w:right w:val="single" w:color="auto" w:sz="4" w:space="0"/>
            </w:tcBorders>
            <w:noWrap w:val="0"/>
            <w:vAlign w:val="center"/>
          </w:tcPr>
          <w:p w14:paraId="2122CB8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10788B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2048DD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590B7A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186F54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B448312">
        <w:tblPrEx>
          <w:tblCellMar>
            <w:top w:w="0" w:type="dxa"/>
            <w:left w:w="108" w:type="dxa"/>
            <w:bottom w:w="0" w:type="dxa"/>
            <w:right w:w="108" w:type="dxa"/>
          </w:tblCellMar>
        </w:tblPrEx>
        <w:trPr>
          <w:trHeight w:val="225" w:hRule="atLeast"/>
        </w:trPr>
        <w:tc>
          <w:tcPr>
            <w:tcW w:w="1990" w:type="dxa"/>
            <w:vMerge w:val="continue"/>
            <w:tcBorders>
              <w:top w:val="nil"/>
              <w:left w:val="single" w:color="auto" w:sz="4" w:space="0"/>
              <w:bottom w:val="single" w:color="auto" w:sz="4" w:space="0"/>
              <w:right w:val="single" w:color="auto" w:sz="4" w:space="0"/>
            </w:tcBorders>
            <w:noWrap w:val="0"/>
            <w:vAlign w:val="center"/>
          </w:tcPr>
          <w:p w14:paraId="0F3FF72D">
            <w:pPr>
              <w:widowControl/>
              <w:jc w:val="left"/>
              <w:rPr>
                <w:rFonts w:ascii="仿宋_GB2312" w:hAnsi="仿宋" w:eastAsia="仿宋_GB2312" w:cs="宋体"/>
                <w:b/>
                <w:bCs/>
                <w:color w:val="auto"/>
                <w:kern w:val="0"/>
                <w:sz w:val="18"/>
                <w:szCs w:val="18"/>
                <w:highlight w:val="none"/>
              </w:rPr>
            </w:pPr>
          </w:p>
        </w:tc>
        <w:tc>
          <w:tcPr>
            <w:tcW w:w="1619" w:type="dxa"/>
            <w:tcBorders>
              <w:top w:val="nil"/>
              <w:left w:val="nil"/>
              <w:bottom w:val="single" w:color="auto" w:sz="4" w:space="0"/>
              <w:right w:val="single" w:color="auto" w:sz="4" w:space="0"/>
            </w:tcBorders>
            <w:noWrap w:val="0"/>
            <w:vAlign w:val="center"/>
          </w:tcPr>
          <w:p w14:paraId="1373FDE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68" w:type="dxa"/>
            <w:tcBorders>
              <w:top w:val="nil"/>
              <w:left w:val="nil"/>
              <w:bottom w:val="single" w:color="auto" w:sz="4" w:space="0"/>
              <w:right w:val="single" w:color="auto" w:sz="4" w:space="0"/>
            </w:tcBorders>
            <w:noWrap w:val="0"/>
            <w:vAlign w:val="center"/>
          </w:tcPr>
          <w:p w14:paraId="5327896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95" w:type="dxa"/>
            <w:tcBorders>
              <w:top w:val="nil"/>
              <w:left w:val="nil"/>
              <w:bottom w:val="single" w:color="auto" w:sz="4" w:space="0"/>
              <w:right w:val="single" w:color="auto" w:sz="4" w:space="0"/>
            </w:tcBorders>
            <w:noWrap w:val="0"/>
            <w:vAlign w:val="center"/>
          </w:tcPr>
          <w:p w14:paraId="5DC38D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684" w:type="dxa"/>
            <w:tcBorders>
              <w:top w:val="nil"/>
              <w:left w:val="nil"/>
              <w:bottom w:val="single" w:color="auto" w:sz="4" w:space="0"/>
              <w:right w:val="single" w:color="auto" w:sz="4" w:space="0"/>
            </w:tcBorders>
            <w:noWrap w:val="0"/>
            <w:vAlign w:val="center"/>
          </w:tcPr>
          <w:p w14:paraId="2F81C1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082" w:type="dxa"/>
            <w:tcBorders>
              <w:top w:val="nil"/>
              <w:left w:val="nil"/>
              <w:bottom w:val="single" w:color="auto" w:sz="4" w:space="0"/>
              <w:right w:val="single" w:color="auto" w:sz="4" w:space="0"/>
            </w:tcBorders>
            <w:noWrap w:val="0"/>
            <w:vAlign w:val="center"/>
          </w:tcPr>
          <w:p w14:paraId="4521EA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F5CCB7C">
        <w:tblPrEx>
          <w:tblCellMar>
            <w:top w:w="0" w:type="dxa"/>
            <w:left w:w="108" w:type="dxa"/>
            <w:bottom w:w="0" w:type="dxa"/>
            <w:right w:w="108" w:type="dxa"/>
          </w:tblCellMar>
        </w:tblPrEx>
        <w:trPr>
          <w:trHeight w:val="225" w:hRule="atLeast"/>
        </w:trPr>
        <w:tc>
          <w:tcPr>
            <w:tcW w:w="1990" w:type="dxa"/>
            <w:tcBorders>
              <w:top w:val="nil"/>
              <w:left w:val="single" w:color="auto" w:sz="4" w:space="0"/>
              <w:bottom w:val="single" w:color="auto" w:sz="4" w:space="0"/>
              <w:right w:val="single" w:color="auto" w:sz="4" w:space="0"/>
            </w:tcBorders>
            <w:noWrap w:val="0"/>
            <w:vAlign w:val="bottom"/>
          </w:tcPr>
          <w:p w14:paraId="687EBEA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619" w:type="dxa"/>
            <w:tcBorders>
              <w:top w:val="nil"/>
              <w:left w:val="nil"/>
              <w:bottom w:val="single" w:color="auto" w:sz="4" w:space="0"/>
              <w:right w:val="single" w:color="auto" w:sz="4" w:space="0"/>
            </w:tcBorders>
            <w:noWrap w:val="0"/>
            <w:vAlign w:val="center"/>
          </w:tcPr>
          <w:p w14:paraId="373109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68" w:type="dxa"/>
            <w:tcBorders>
              <w:top w:val="nil"/>
              <w:left w:val="nil"/>
              <w:bottom w:val="single" w:color="auto" w:sz="4" w:space="0"/>
              <w:right w:val="single" w:color="auto" w:sz="4" w:space="0"/>
            </w:tcBorders>
            <w:noWrap w:val="0"/>
            <w:vAlign w:val="center"/>
          </w:tcPr>
          <w:p w14:paraId="2EFA889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95" w:type="dxa"/>
            <w:tcBorders>
              <w:top w:val="nil"/>
              <w:left w:val="nil"/>
              <w:bottom w:val="single" w:color="auto" w:sz="4" w:space="0"/>
              <w:right w:val="single" w:color="auto" w:sz="4" w:space="0"/>
            </w:tcBorders>
            <w:noWrap w:val="0"/>
            <w:vAlign w:val="center"/>
          </w:tcPr>
          <w:p w14:paraId="49FB1B1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84" w:type="dxa"/>
            <w:tcBorders>
              <w:top w:val="nil"/>
              <w:left w:val="nil"/>
              <w:bottom w:val="single" w:color="auto" w:sz="4" w:space="0"/>
              <w:right w:val="single" w:color="auto" w:sz="4" w:space="0"/>
            </w:tcBorders>
            <w:noWrap w:val="0"/>
            <w:vAlign w:val="center"/>
          </w:tcPr>
          <w:p w14:paraId="65A9EB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82" w:type="dxa"/>
            <w:tcBorders>
              <w:top w:val="nil"/>
              <w:left w:val="nil"/>
              <w:bottom w:val="single" w:color="auto" w:sz="4" w:space="0"/>
              <w:right w:val="single" w:color="auto" w:sz="4" w:space="0"/>
            </w:tcBorders>
            <w:noWrap w:val="0"/>
            <w:vAlign w:val="center"/>
          </w:tcPr>
          <w:p w14:paraId="622740C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7C2787C3">
      <w:pPr>
        <w:rPr>
          <w:rFonts w:hint="eastAsia" w:ascii="宋体" w:hAnsi="宋体" w:cs="宋体"/>
          <w:color w:val="auto"/>
          <w:lang w:eastAsia="zh-CN"/>
        </w:rPr>
      </w:pPr>
    </w:p>
    <w:p w14:paraId="0D4DD5D5">
      <w:pPr>
        <w:pStyle w:val="17"/>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说明：</w:t>
      </w:r>
    </w:p>
    <w:p w14:paraId="702B1D53">
      <w:pPr>
        <w:pStyle w:val="17"/>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上述标准参照《关于印发中小企业划型标准规定的通知》（工信部联企业【2011】300 号），中型和小型企业必须同时满足所列指标的下限，否则下划一档；微型企业只须满足所列指标中的一项即可。</w:t>
      </w:r>
    </w:p>
    <w:p w14:paraId="0A9ECF16">
      <w:pPr>
        <w:numPr>
          <w:ilvl w:val="0"/>
          <w:numId w:val="0"/>
        </w:numPr>
        <w:spacing w:line="360" w:lineRule="auto"/>
        <w:jc w:val="center"/>
        <w:outlineLvl w:val="0"/>
        <w:rPr>
          <w:rFonts w:hint="eastAsia" w:ascii="宋体" w:hAnsi="宋体"/>
          <w:b/>
          <w:bCs/>
          <w:color w:val="auto"/>
          <w:sz w:val="32"/>
          <w:szCs w:val="32"/>
          <w:lang w:val="en-US" w:eastAsia="zh-CN"/>
        </w:rPr>
      </w:pPr>
    </w:p>
    <w:p w14:paraId="674932A5">
      <w:pPr>
        <w:pStyle w:val="34"/>
        <w:rPr>
          <w:rFonts w:hint="eastAsia"/>
          <w:color w:val="auto"/>
          <w:lang w:val="en-US" w:eastAsia="zh-CN"/>
        </w:rPr>
      </w:pPr>
    </w:p>
    <w:p w14:paraId="23B2786B">
      <w:pPr>
        <w:numPr>
          <w:ilvl w:val="0"/>
          <w:numId w:val="0"/>
        </w:numPr>
        <w:spacing w:line="360" w:lineRule="auto"/>
        <w:jc w:val="center"/>
        <w:outlineLvl w:val="0"/>
        <w:rPr>
          <w:rFonts w:hint="eastAsia" w:ascii="宋体" w:hAnsi="宋体"/>
          <w:b/>
          <w:bCs/>
          <w:color w:val="auto"/>
          <w:sz w:val="32"/>
          <w:szCs w:val="32"/>
          <w:lang w:val="en-US" w:eastAsia="zh-CN"/>
        </w:rPr>
      </w:pPr>
      <w:bookmarkStart w:id="82" w:name="_Toc10843"/>
      <w:r>
        <w:rPr>
          <w:rFonts w:hint="eastAsia" w:ascii="宋体" w:hAnsi="宋体"/>
          <w:b/>
          <w:bCs/>
          <w:color w:val="auto"/>
          <w:sz w:val="32"/>
          <w:szCs w:val="32"/>
          <w:lang w:val="en-US" w:eastAsia="zh-CN"/>
        </w:rPr>
        <w:t>第三章采购需求</w:t>
      </w:r>
      <w:bookmarkEnd w:id="80"/>
      <w:bookmarkEnd w:id="81"/>
      <w:bookmarkEnd w:id="82"/>
    </w:p>
    <w:p w14:paraId="443B34EA">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653F954E">
      <w:pPr>
        <w:spacing w:line="360" w:lineRule="auto"/>
        <w:ind w:firstLine="420" w:firstLineChars="200"/>
        <w:contextualSpacing/>
        <w:jc w:val="left"/>
        <w:rPr>
          <w:rFonts w:hint="eastAsia" w:ascii="宋体" w:hAnsi="宋体" w:cs="宋体"/>
          <w:color w:val="auto"/>
          <w:szCs w:val="21"/>
          <w:highlight w:val="none"/>
        </w:rPr>
      </w:pPr>
      <w:r>
        <w:rPr>
          <w:rFonts w:hint="eastAsia"/>
          <w:color w:val="auto"/>
          <w:highlight w:val="none"/>
        </w:rPr>
        <w:t>1. 为落实政府采购政策需满足的要求</w:t>
      </w:r>
    </w:p>
    <w:p w14:paraId="4CEE6363">
      <w:pPr>
        <w:spacing w:line="360" w:lineRule="auto"/>
        <w:ind w:firstLine="424" w:firstLineChars="202"/>
        <w:contextualSpacing/>
        <w:jc w:val="left"/>
        <w:rPr>
          <w:rFonts w:hint="eastAsia" w:ascii="宋体" w:hAnsi="宋体" w:cs="宋体"/>
          <w:color w:val="auto"/>
          <w:szCs w:val="21"/>
          <w:highlight w:val="none"/>
        </w:rPr>
      </w:pPr>
      <w:r>
        <w:rPr>
          <w:rFonts w:hint="eastAsia" w:ascii="宋体" w:hAnsi="宋体" w:cs="宋体"/>
          <w:color w:val="auto"/>
          <w:szCs w:val="21"/>
          <w:highlight w:val="none"/>
        </w:rPr>
        <w:t>本竞争性</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采购文件所称中小企业必须符合《政府采购促进中小企业发展管理办法》（财库〔2020〕46号）的规定。</w:t>
      </w:r>
    </w:p>
    <w:p w14:paraId="7473FD03">
      <w:pPr>
        <w:spacing w:line="360" w:lineRule="auto"/>
        <w:ind w:firstLine="424" w:firstLineChars="202"/>
        <w:contextualSpacing/>
        <w:jc w:val="left"/>
        <w:rPr>
          <w:rFonts w:hint="eastAsia" w:ascii="宋体" w:hAnsi="宋体" w:cs="宋体"/>
          <w:color w:val="auto"/>
          <w:szCs w:val="21"/>
          <w:highlight w:val="none"/>
        </w:rPr>
      </w:pPr>
      <w:r>
        <w:rPr>
          <w:rFonts w:hint="eastAsia" w:ascii="宋体" w:hAnsi="宋体" w:cs="宋体"/>
          <w:color w:val="auto"/>
          <w:szCs w:val="21"/>
          <w:highlight w:val="none"/>
        </w:rPr>
        <w:t>2.“实质性要求”是指采购需求中带“▲”的条款或者不能负偏离的条款或者已经指明不满足按响应文件按无效处理的条款。</w:t>
      </w:r>
    </w:p>
    <w:p w14:paraId="014852D3">
      <w:pPr>
        <w:spacing w:line="360" w:lineRule="auto"/>
        <w:ind w:firstLine="424" w:firstLineChars="202"/>
        <w:contextualSpacing/>
        <w:jc w:val="left"/>
        <w:rPr>
          <w:rFonts w:hint="eastAsia"/>
          <w:color w:val="auto"/>
          <w:highlight w:val="none"/>
        </w:rPr>
      </w:pPr>
      <w:r>
        <w:rPr>
          <w:rFonts w:hint="eastAsia" w:ascii="宋体" w:hAnsi="宋体" w:cs="宋体"/>
          <w:color w:val="auto"/>
          <w:szCs w:val="21"/>
          <w:highlight w:val="none"/>
        </w:rPr>
        <w:t>3.</w:t>
      </w:r>
      <w:r>
        <w:rPr>
          <w:rFonts w:hint="eastAsia"/>
          <w:color w:val="auto"/>
          <w:highlight w:val="none"/>
        </w:rPr>
        <w:t>供应商必须自行为其竞标产品侵犯他人的知识产权或者专利成果的行为承担相应法律责任。</w:t>
      </w:r>
    </w:p>
    <w:p w14:paraId="2C2C306A">
      <w:pPr>
        <w:spacing w:line="360" w:lineRule="auto"/>
        <w:ind w:firstLine="424" w:firstLineChars="202"/>
        <w:contextualSpacing/>
        <w:jc w:val="left"/>
        <w:rPr>
          <w:rFonts w:hint="eastAsia" w:ascii="宋体" w:hAnsi="宋体" w:eastAsia="宋体" w:cs="宋体"/>
          <w:b w:val="0"/>
          <w:bCs w:val="0"/>
          <w:color w:val="auto"/>
          <w:highlight w:val="none"/>
        </w:rPr>
      </w:pPr>
      <w:r>
        <w:rPr>
          <w:rFonts w:hint="eastAsia" w:ascii="宋体" w:hAnsi="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lang w:val="en-US" w:eastAsia="zh-CN"/>
        </w:rPr>
        <w:t>.</w:t>
      </w:r>
      <w:r>
        <w:rPr>
          <w:rFonts w:hint="eastAsia" w:ascii="宋体" w:hAnsi="宋体" w:eastAsia="宋体" w:cs="宋体"/>
          <w:b w:val="0"/>
          <w:bCs w:val="0"/>
          <w:color w:val="auto"/>
          <w:highlight w:val="none"/>
        </w:rPr>
        <w:t>本项目采购标的对应的中小企业划分标准所属行业：</w:t>
      </w:r>
      <w:r>
        <w:rPr>
          <w:rFonts w:hint="eastAsia" w:ascii="宋体" w:hAnsi="宋体" w:eastAsia="宋体" w:cs="宋体"/>
          <w:b w:val="0"/>
          <w:bCs w:val="0"/>
          <w:color w:val="auto"/>
          <w:highlight w:val="none"/>
          <w:u w:val="single"/>
        </w:rPr>
        <w:t>建筑业</w:t>
      </w:r>
      <w:r>
        <w:rPr>
          <w:rFonts w:hint="eastAsia" w:ascii="宋体" w:hAnsi="宋体" w:eastAsia="宋体" w:cs="宋体"/>
          <w:b w:val="0"/>
          <w:bCs w:val="0"/>
          <w:color w:val="auto"/>
          <w:highlight w:val="none"/>
        </w:rPr>
        <w:t>。</w:t>
      </w:r>
    </w:p>
    <w:p w14:paraId="54E10CE4">
      <w:pPr>
        <w:spacing w:line="360" w:lineRule="auto"/>
        <w:ind w:firstLine="424" w:firstLineChars="202"/>
        <w:contextualSpacing/>
        <w:jc w:val="left"/>
        <w:rPr>
          <w:rFonts w:hint="eastAsia" w:ascii="宋体" w:hAnsi="宋体" w:eastAsia="宋体" w:cs="宋体"/>
          <w:b w:val="0"/>
          <w:bCs w:val="0"/>
          <w:color w:val="auto"/>
          <w:highlight w:val="none"/>
        </w:rPr>
      </w:pPr>
    </w:p>
    <w:tbl>
      <w:tblPr>
        <w:tblStyle w:val="25"/>
        <w:tblW w:w="96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1687"/>
        <w:gridCol w:w="31"/>
        <w:gridCol w:w="982"/>
        <w:gridCol w:w="1389"/>
        <w:gridCol w:w="4959"/>
      </w:tblGrid>
      <w:tr w14:paraId="2F3C8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jc w:val="center"/>
        </w:trPr>
        <w:tc>
          <w:tcPr>
            <w:tcW w:w="650" w:type="dxa"/>
            <w:noWrap w:val="0"/>
            <w:vAlign w:val="center"/>
          </w:tcPr>
          <w:p w14:paraId="7E54AAE2">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18" w:type="dxa"/>
            <w:gridSpan w:val="2"/>
            <w:noWrap w:val="0"/>
            <w:vAlign w:val="center"/>
          </w:tcPr>
          <w:p w14:paraId="764A155A">
            <w:pPr>
              <w:tabs>
                <w:tab w:val="left" w:pos="180"/>
                <w:tab w:val="left" w:pos="1620"/>
              </w:tabs>
              <w:spacing w:after="0"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标</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的名称</w:t>
            </w:r>
          </w:p>
        </w:tc>
        <w:tc>
          <w:tcPr>
            <w:tcW w:w="982" w:type="dxa"/>
            <w:noWrap w:val="0"/>
            <w:vAlign w:val="center"/>
          </w:tcPr>
          <w:p w14:paraId="42339897">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1389" w:type="dxa"/>
            <w:noWrap w:val="0"/>
            <w:vAlign w:val="center"/>
          </w:tcPr>
          <w:p w14:paraId="794FCAEF">
            <w:pPr>
              <w:tabs>
                <w:tab w:val="left" w:pos="180"/>
                <w:tab w:val="left" w:pos="1620"/>
              </w:tabs>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Cs w:val="21"/>
                <w:highlight w:val="none"/>
              </w:rPr>
              <w:t>所属行业</w:t>
            </w:r>
          </w:p>
        </w:tc>
        <w:tc>
          <w:tcPr>
            <w:tcW w:w="4959" w:type="dxa"/>
            <w:noWrap w:val="0"/>
            <w:vAlign w:val="center"/>
          </w:tcPr>
          <w:p w14:paraId="20C74354">
            <w:pPr>
              <w:tabs>
                <w:tab w:val="left" w:pos="180"/>
                <w:tab w:val="left" w:pos="1620"/>
              </w:tabs>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技术要求</w:t>
            </w:r>
          </w:p>
        </w:tc>
      </w:tr>
      <w:tr w14:paraId="06FE9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4" w:hRule="atLeast"/>
          <w:jc w:val="center"/>
        </w:trPr>
        <w:tc>
          <w:tcPr>
            <w:tcW w:w="650" w:type="dxa"/>
            <w:noWrap w:val="0"/>
            <w:vAlign w:val="center"/>
          </w:tcPr>
          <w:p w14:paraId="35EED81C">
            <w:pPr>
              <w:tabs>
                <w:tab w:val="left" w:pos="180"/>
                <w:tab w:val="left" w:pos="1620"/>
              </w:tabs>
              <w:spacing w:after="0"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718" w:type="dxa"/>
            <w:gridSpan w:val="2"/>
            <w:noWrap w:val="0"/>
            <w:vAlign w:val="center"/>
          </w:tcPr>
          <w:p w14:paraId="2074FC3A">
            <w:pPr>
              <w:tabs>
                <w:tab w:val="left" w:pos="180"/>
                <w:tab w:val="left" w:pos="1620"/>
              </w:tabs>
              <w:spacing w:after="0"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陆川中山纪念建筑群修缮工程</w:t>
            </w:r>
          </w:p>
        </w:tc>
        <w:tc>
          <w:tcPr>
            <w:tcW w:w="982" w:type="dxa"/>
            <w:noWrap w:val="0"/>
            <w:vAlign w:val="center"/>
          </w:tcPr>
          <w:p w14:paraId="5C00DF8B">
            <w:pPr>
              <w:spacing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1项</w:t>
            </w:r>
          </w:p>
        </w:tc>
        <w:tc>
          <w:tcPr>
            <w:tcW w:w="1389" w:type="dxa"/>
            <w:noWrap w:val="0"/>
            <w:vAlign w:val="center"/>
          </w:tcPr>
          <w:p w14:paraId="6D2B84DC">
            <w:pPr>
              <w:spacing w:after="0" w:line="360" w:lineRule="auto"/>
              <w:ind w:firstLine="210" w:firstLineChars="100"/>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rPr>
              <w:t>建筑业</w:t>
            </w:r>
          </w:p>
        </w:tc>
        <w:tc>
          <w:tcPr>
            <w:tcW w:w="4959" w:type="dxa"/>
            <w:noWrap w:val="0"/>
            <w:vAlign w:val="center"/>
          </w:tcPr>
          <w:p w14:paraId="0BBD161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color w:val="auto"/>
                <w:szCs w:val="21"/>
                <w:highlight w:val="none"/>
              </w:rPr>
              <w:t>项目概况</w:t>
            </w:r>
            <w:r>
              <w:rPr>
                <w:rFonts w:ascii="宋体" w:hAnsi="宋体"/>
                <w:color w:val="auto"/>
                <w:szCs w:val="21"/>
                <w:highlight w:val="none"/>
              </w:rPr>
              <w:t>：</w:t>
            </w:r>
            <w:r>
              <w:rPr>
                <w:rFonts w:hint="eastAsia" w:ascii="宋体" w:hAnsi="宋体"/>
                <w:color w:val="auto"/>
                <w:szCs w:val="21"/>
                <w:highlight w:val="none"/>
                <w:lang w:val="en-US" w:eastAsia="zh-CN"/>
              </w:rPr>
              <w:t>中山纪念亭建筑群位于玉林市陆川县中山公园内，总占地面积约1583 平方米，是1936年陆川县各方人士为纪念我国伟大的革命先行者孙中山先生而自捐资金建造，是玉林市唯一的纪念孙中山先生的纪念性建筑。建筑群包括纪念亭、附亭、艺文学舫（船厅）、超然亭及双十门组成。中山纪念亭是一座灰裹垄筒瓦庑殿顶戏台式亭子，建筑座东朝西，平面呈长方形布置，南、北、西三面敞开，台面上方额题“中山纪念亭”，后壁两侧设券拱门，门额各题“和平”、“博爱”。附亭为一堡垒式四角攒尖顶亭子，在堡垒顶端由四根柱子支起。艺文学舫状似画舫，为歇山顶、灰沙脊、小青瓦合瓦屋面、砖木结构，建筑座西朝东，正面为三开间廊柱门，明间屋面稍高，突显中轴为主入口，券柱式门洞，上方额题“艺文学舫”。侧面面宽六间，第五进为两层，其余均为一层，东西两侧设檐廊，廊柱上饰对联。超然亭为八角攒尖顶亭子。双十门为砖砌四柱三开间纪念牌坊，两次间为柱枋“十”字结构，象征10月10日辛亥革命武昌起义纪念日，明间入口额题“双十门”，牌坊上方为三个三角形山花，中间山花饰国民党党徽。建筑群是为了纪念孙中山领导的辛亥革命武昌起义成功推翻了清政府，建立中华民国的丰功伟绩。本次维修内容为：陆川中山纪念建筑群建筑本体，工程规模：总占地面积约350.74平方米；总建筑面积:360.57平方米。</w:t>
            </w:r>
          </w:p>
          <w:p w14:paraId="6A864E1A">
            <w:pPr>
              <w:widowControl/>
              <w:numPr>
                <w:ilvl w:val="0"/>
                <w:numId w:val="0"/>
              </w:numPr>
              <w:spacing w:line="360" w:lineRule="auto"/>
              <w:jc w:val="left"/>
              <w:rPr>
                <w:rFonts w:hint="eastAsia" w:ascii="宋体" w:hAnsi="宋体"/>
                <w:color w:val="auto"/>
                <w:szCs w:val="21"/>
                <w:highlight w:val="none"/>
                <w:lang w:val="en-US" w:eastAsia="zh-CN"/>
              </w:rPr>
            </w:pPr>
            <w:r>
              <w:rPr>
                <w:rFonts w:hint="eastAsia" w:ascii="宋体" w:hAnsi="宋体" w:eastAsia="宋体" w:cs="Times New Roman"/>
                <w:color w:val="auto"/>
                <w:kern w:val="2"/>
                <w:sz w:val="21"/>
                <w:szCs w:val="21"/>
                <w:lang w:val="en-US" w:eastAsia="zh-CN" w:bidi="ar-SA"/>
              </w:rPr>
              <w:t>2.</w:t>
            </w:r>
            <w:r>
              <w:rPr>
                <w:rFonts w:hint="eastAsia" w:ascii="宋体" w:hAnsi="宋体"/>
                <w:color w:val="auto"/>
                <w:szCs w:val="21"/>
                <w:highlight w:val="none"/>
                <w:lang w:val="en-US" w:eastAsia="zh-CN"/>
              </w:rPr>
              <w:t>建设地点：玉林市陆川县中山公园内</w:t>
            </w:r>
          </w:p>
          <w:p w14:paraId="2A5E6DEB">
            <w:pPr>
              <w:spacing w:line="360" w:lineRule="auto"/>
              <w:rPr>
                <w:rFonts w:ascii="宋体" w:hAnsi="宋体" w:cs="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.采购范围：</w:t>
            </w:r>
            <w:r>
              <w:rPr>
                <w:rFonts w:hint="eastAsia" w:ascii="宋体" w:hAnsi="宋体"/>
                <w:color w:val="auto"/>
                <w:highlight w:val="none"/>
              </w:rPr>
              <w:t>详见工程量清单及图纸。</w:t>
            </w:r>
          </w:p>
          <w:p w14:paraId="07FDA70C">
            <w:pPr>
              <w:pStyle w:val="9"/>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技术标准</w:t>
            </w:r>
            <w:r>
              <w:rPr>
                <w:rFonts w:ascii="宋体" w:hAnsi="宋体" w:cs="宋体"/>
                <w:color w:val="auto"/>
                <w:szCs w:val="21"/>
                <w:highlight w:val="none"/>
              </w:rPr>
              <w:t>和</w:t>
            </w:r>
            <w:r>
              <w:rPr>
                <w:rFonts w:hint="eastAsia" w:ascii="宋体" w:hAnsi="宋体" w:cs="宋体"/>
                <w:color w:val="auto"/>
                <w:szCs w:val="21"/>
                <w:highlight w:val="none"/>
              </w:rPr>
              <w:t>要求</w:t>
            </w:r>
            <w:r>
              <w:rPr>
                <w:rFonts w:ascii="宋体" w:hAnsi="宋体" w:cs="宋体"/>
                <w:color w:val="auto"/>
                <w:szCs w:val="21"/>
                <w:highlight w:val="none"/>
              </w:rPr>
              <w:t>：</w:t>
            </w:r>
            <w:r>
              <w:rPr>
                <w:rFonts w:hint="eastAsia" w:ascii="宋体" w:hAnsi="宋体" w:cs="宋体"/>
                <w:color w:val="auto"/>
                <w:szCs w:val="21"/>
                <w:highlight w:val="none"/>
              </w:rPr>
              <w:t>符合国家现行的工程建设标准、技术规范及强制性标准条文，以及施工图纸载明的其他有关规范标准。</w:t>
            </w:r>
          </w:p>
          <w:p w14:paraId="31448303">
            <w:pPr>
              <w:pStyle w:val="9"/>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ascii="宋体" w:hAnsi="宋体" w:cs="宋体"/>
                <w:color w:val="auto"/>
                <w:szCs w:val="21"/>
                <w:highlight w:val="none"/>
              </w:rPr>
              <w:t>.</w:t>
            </w:r>
            <w:r>
              <w:rPr>
                <w:rFonts w:hint="eastAsia" w:ascii="宋体" w:hAnsi="宋体" w:cs="宋体"/>
                <w:color w:val="auto"/>
                <w:szCs w:val="21"/>
                <w:highlight w:val="none"/>
              </w:rPr>
              <w:t>质量</w:t>
            </w:r>
            <w:r>
              <w:rPr>
                <w:rFonts w:ascii="宋体" w:hAnsi="宋体" w:cs="宋体"/>
                <w:color w:val="auto"/>
                <w:szCs w:val="21"/>
                <w:highlight w:val="none"/>
              </w:rPr>
              <w:t>标准</w:t>
            </w:r>
            <w:r>
              <w:rPr>
                <w:rFonts w:hint="eastAsia" w:ascii="宋体" w:hAnsi="宋体" w:cs="宋体"/>
                <w:color w:val="auto"/>
                <w:szCs w:val="21"/>
                <w:highlight w:val="none"/>
              </w:rPr>
              <w:t>：</w:t>
            </w:r>
            <w:r>
              <w:rPr>
                <w:rFonts w:ascii="宋体" w:hAnsi="宋体" w:cs="宋体"/>
                <w:color w:val="auto"/>
                <w:szCs w:val="21"/>
                <w:highlight w:val="none"/>
              </w:rPr>
              <w:t>合格。</w:t>
            </w:r>
          </w:p>
          <w:p w14:paraId="79100B1F">
            <w:pPr>
              <w:pStyle w:val="9"/>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.报价</w:t>
            </w:r>
            <w:r>
              <w:rPr>
                <w:rFonts w:ascii="宋体" w:hAnsi="宋体" w:cs="宋体"/>
                <w:color w:val="auto"/>
                <w:szCs w:val="21"/>
                <w:highlight w:val="none"/>
              </w:rPr>
              <w:t>方式：</w:t>
            </w:r>
            <w:r>
              <w:rPr>
                <w:rFonts w:hint="eastAsia" w:ascii="宋体" w:hAnsi="宋体" w:cs="宋体"/>
                <w:color w:val="auto"/>
                <w:szCs w:val="21"/>
                <w:highlight w:val="none"/>
              </w:rPr>
              <w:t>工程量</w:t>
            </w:r>
            <w:r>
              <w:rPr>
                <w:rFonts w:ascii="宋体" w:hAnsi="宋体" w:cs="宋体"/>
                <w:color w:val="auto"/>
                <w:szCs w:val="21"/>
                <w:highlight w:val="none"/>
              </w:rPr>
              <w:t>清单报价。</w:t>
            </w:r>
          </w:p>
          <w:p w14:paraId="0CBA2A4C">
            <w:pPr>
              <w:pStyle w:val="9"/>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.承包方式</w:t>
            </w:r>
            <w:r>
              <w:rPr>
                <w:rFonts w:ascii="宋体" w:hAnsi="宋体" w:cs="宋体"/>
                <w:color w:val="auto"/>
                <w:szCs w:val="21"/>
                <w:highlight w:val="none"/>
              </w:rPr>
              <w:t>：</w:t>
            </w:r>
            <w:r>
              <w:rPr>
                <w:rFonts w:hint="eastAsia" w:ascii="宋体" w:hAnsi="宋体" w:cs="宋体"/>
                <w:color w:val="auto"/>
                <w:szCs w:val="21"/>
                <w:highlight w:val="none"/>
              </w:rPr>
              <w:t>固定</w:t>
            </w:r>
            <w:r>
              <w:rPr>
                <w:rFonts w:ascii="宋体" w:hAnsi="宋体" w:cs="宋体"/>
                <w:color w:val="auto"/>
                <w:szCs w:val="21"/>
                <w:highlight w:val="none"/>
              </w:rPr>
              <w:t>综合单价。</w:t>
            </w:r>
          </w:p>
          <w:p w14:paraId="4C9A815B">
            <w:pPr>
              <w:pStyle w:val="9"/>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r>
              <w:rPr>
                <w:rFonts w:hint="eastAsia"/>
                <w:color w:val="auto"/>
                <w:highlight w:val="none"/>
              </w:rPr>
              <w:t>开工日期：以签订合同后采购人书面通知为准。</w:t>
            </w:r>
          </w:p>
        </w:tc>
      </w:tr>
      <w:tr w14:paraId="106BBB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698" w:type="dxa"/>
            <w:gridSpan w:val="6"/>
            <w:tcBorders>
              <w:top w:val="single" w:color="auto" w:sz="4" w:space="0"/>
              <w:left w:val="single" w:color="auto" w:sz="4" w:space="0"/>
              <w:bottom w:val="single" w:color="auto" w:sz="4" w:space="0"/>
              <w:right w:val="single" w:color="auto" w:sz="4" w:space="0"/>
            </w:tcBorders>
            <w:noWrap w:val="0"/>
            <w:vAlign w:val="top"/>
          </w:tcPr>
          <w:p w14:paraId="1C1A2DE6">
            <w:pPr>
              <w:spacing w:after="0" w:line="360" w:lineRule="auto"/>
              <w:jc w:val="both"/>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一、商务要求</w:t>
            </w:r>
          </w:p>
        </w:tc>
      </w:tr>
      <w:tr w14:paraId="5CB29C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31313DCC">
            <w:pPr>
              <w:spacing w:after="0" w:line="360" w:lineRule="auto"/>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工期</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0DF34CE1">
            <w:pPr>
              <w:spacing w:after="0" w:line="360" w:lineRule="auto"/>
              <w:jc w:val="both"/>
              <w:rPr>
                <w:rFonts w:hint="default" w:ascii="宋体" w:hAnsi="宋体" w:eastAsia="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210</w:t>
            </w:r>
            <w:r>
              <w:rPr>
                <w:rFonts w:hint="eastAsia" w:ascii="宋体" w:hAnsi="宋体" w:eastAsia="宋体" w:cs="Times New Roman"/>
                <w:color w:val="auto"/>
                <w:sz w:val="21"/>
                <w:szCs w:val="21"/>
                <w:highlight w:val="none"/>
                <w:lang w:val="en-US" w:eastAsia="zh-CN"/>
              </w:rPr>
              <w:t>日历天</w:t>
            </w:r>
          </w:p>
        </w:tc>
      </w:tr>
      <w:tr w14:paraId="1543A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4BA0E473">
            <w:pPr>
              <w:spacing w:after="0" w:line="360" w:lineRule="auto"/>
              <w:jc w:val="center"/>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合同签订时间</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49539E59">
            <w:pPr>
              <w:spacing w:after="0" w:line="360" w:lineRule="auto"/>
              <w:jc w:val="both"/>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自成交通知书发出之日起</w:t>
            </w:r>
            <w:r>
              <w:rPr>
                <w:rFonts w:hint="eastAsia" w:ascii="宋体" w:hAnsi="宋体" w:eastAsia="宋体" w:cs="Times New Roman"/>
                <w:color w:val="auto"/>
                <w:sz w:val="21"/>
                <w:szCs w:val="21"/>
                <w:highlight w:val="none"/>
                <w:u w:val="single"/>
              </w:rPr>
              <w:t>25</w:t>
            </w:r>
            <w:r>
              <w:rPr>
                <w:rFonts w:hint="eastAsia" w:ascii="宋体" w:hAnsi="宋体" w:eastAsia="宋体" w:cs="Times New Roman"/>
                <w:color w:val="auto"/>
                <w:sz w:val="21"/>
                <w:szCs w:val="21"/>
                <w:highlight w:val="none"/>
              </w:rPr>
              <w:t>日内</w:t>
            </w:r>
          </w:p>
        </w:tc>
      </w:tr>
      <w:tr w14:paraId="13811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91" w:hRule="atLeast"/>
          <w:jc w:val="center"/>
        </w:trPr>
        <w:tc>
          <w:tcPr>
            <w:tcW w:w="2337" w:type="dxa"/>
            <w:gridSpan w:val="2"/>
            <w:tcBorders>
              <w:top w:val="single" w:color="auto" w:sz="4" w:space="0"/>
              <w:left w:val="single" w:color="auto" w:sz="4" w:space="0"/>
              <w:bottom w:val="single" w:color="auto" w:sz="4" w:space="0"/>
              <w:right w:val="single" w:color="auto" w:sz="4" w:space="0"/>
            </w:tcBorders>
            <w:noWrap w:val="0"/>
            <w:vAlign w:val="center"/>
          </w:tcPr>
          <w:p w14:paraId="3DEB397B">
            <w:pPr>
              <w:spacing w:after="0" w:line="360" w:lineRule="auto"/>
              <w:jc w:val="both"/>
              <w:rPr>
                <w:rFonts w:ascii="宋体" w:hAnsi="宋体" w:eastAsia="宋体" w:cs="Times New Roman"/>
                <w:b/>
                <w:color w:val="auto"/>
                <w:sz w:val="21"/>
                <w:szCs w:val="21"/>
                <w:highlight w:val="none"/>
              </w:rPr>
            </w:pPr>
            <w:r>
              <w:rPr>
                <w:rFonts w:hint="eastAsia" w:ascii="宋体" w:hAnsi="宋体" w:eastAsia="宋体" w:cs="Times New Roman"/>
                <w:color w:val="auto"/>
                <w:sz w:val="21"/>
                <w:szCs w:val="21"/>
                <w:highlight w:val="none"/>
              </w:rPr>
              <w:t>付款条件（进度和方式）</w:t>
            </w:r>
          </w:p>
        </w:tc>
        <w:tc>
          <w:tcPr>
            <w:tcW w:w="7361" w:type="dxa"/>
            <w:gridSpan w:val="4"/>
            <w:tcBorders>
              <w:top w:val="single" w:color="auto" w:sz="4" w:space="0"/>
              <w:left w:val="single" w:color="auto" w:sz="4" w:space="0"/>
              <w:bottom w:val="single" w:color="auto" w:sz="4" w:space="0"/>
              <w:right w:val="single" w:color="auto" w:sz="4" w:space="0"/>
            </w:tcBorders>
            <w:noWrap w:val="0"/>
            <w:vAlign w:val="center"/>
          </w:tcPr>
          <w:p w14:paraId="44B04BE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（1）签订合同开工后15天内支付合同总额的30%；</w:t>
            </w:r>
          </w:p>
          <w:p w14:paraId="0A43F5B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Times New Roman"/>
                <w:b/>
                <w:color w:val="auto"/>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工程款原则上按工程进度支付，合同内进度款支付限额为已完成工程量的 8</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%，工程变更部分进度款支付限额为已完成工程量的</w:t>
            </w:r>
            <w:r>
              <w:rPr>
                <w:rFonts w:hint="eastAsia" w:ascii="宋体" w:hAnsi="宋体" w:eastAsia="宋体" w:cs="宋体"/>
                <w:color w:val="auto"/>
                <w:kern w:val="0"/>
                <w:sz w:val="21"/>
                <w:szCs w:val="21"/>
                <w:highlight w:val="none"/>
                <w:lang w:val="en-US" w:eastAsia="zh-CN"/>
              </w:rPr>
              <w:t>60</w:t>
            </w:r>
            <w:r>
              <w:rPr>
                <w:rFonts w:hint="eastAsia" w:ascii="宋体" w:hAnsi="宋体" w:eastAsia="宋体" w:cs="宋体"/>
                <w:color w:val="auto"/>
                <w:kern w:val="0"/>
                <w:sz w:val="21"/>
                <w:szCs w:val="21"/>
                <w:highlight w:val="none"/>
              </w:rPr>
              <w:t>%；工程完工验收达到质量要求，</w:t>
            </w:r>
            <w:r>
              <w:rPr>
                <w:rFonts w:hint="eastAsia" w:ascii="宋体" w:hAnsi="宋体" w:eastAsia="宋体" w:cs="宋体"/>
                <w:color w:val="auto"/>
                <w:kern w:val="0"/>
                <w:sz w:val="21"/>
                <w:szCs w:val="21"/>
                <w:highlight w:val="none"/>
                <w:lang w:val="en-US" w:eastAsia="zh-CN"/>
              </w:rPr>
              <w:t>结算经业主及合同约定的财政或审计部门（如有）审定后</w:t>
            </w:r>
            <w:r>
              <w:rPr>
                <w:rFonts w:hint="eastAsia" w:ascii="宋体" w:hAnsi="宋体" w:eastAsia="宋体" w:cs="宋体"/>
                <w:color w:val="auto"/>
                <w:kern w:val="0"/>
                <w:sz w:val="21"/>
                <w:szCs w:val="21"/>
                <w:highlight w:val="none"/>
              </w:rPr>
              <w:t>，工程款支付至结算总价的 97%；发包人按工程价款结算总额的3%预留工程质量保修金，待工程质量保修期满后返还（无息）；质量保修金的返还，并不能免除承包人按照合同约定应承担的质量保修责任和应履行的质量保修义务。</w:t>
            </w:r>
          </w:p>
        </w:tc>
      </w:tr>
    </w:tbl>
    <w:p w14:paraId="7EBEE9A5">
      <w:pPr>
        <w:pStyle w:val="34"/>
        <w:rPr>
          <w:rFonts w:hint="eastAsia"/>
          <w:color w:val="auto"/>
          <w:lang w:val="en-US" w:eastAsia="zh-CN"/>
        </w:rPr>
      </w:pPr>
    </w:p>
    <w:p w14:paraId="664BD234">
      <w:pPr>
        <w:pStyle w:val="36"/>
        <w:ind w:left="0" w:leftChars="0" w:firstLine="0" w:firstLineChars="0"/>
        <w:rPr>
          <w:rFonts w:hint="eastAsia"/>
          <w:color w:val="auto"/>
        </w:rPr>
      </w:pPr>
    </w:p>
    <w:p w14:paraId="013EDF3A">
      <w:pPr>
        <w:pStyle w:val="35"/>
        <w:rPr>
          <w:rFonts w:hint="eastAsia" w:asciiTheme="majorEastAsia" w:hAnsiTheme="majorEastAsia" w:eastAsiaTheme="majorEastAsia" w:cstheme="majorEastAsia"/>
          <w:color w:val="auto"/>
          <w:szCs w:val="21"/>
          <w:highlight w:val="none"/>
        </w:rPr>
      </w:pPr>
    </w:p>
    <w:p w14:paraId="6C49D79C">
      <w:pPr>
        <w:jc w:val="both"/>
        <w:outlineLvl w:val="0"/>
        <w:rPr>
          <w:rFonts w:hint="eastAsia" w:ascii="宋体" w:hAnsi="宋体"/>
          <w:b/>
          <w:bCs/>
          <w:color w:val="auto"/>
          <w:sz w:val="36"/>
          <w:szCs w:val="44"/>
        </w:rPr>
      </w:pPr>
      <w:bookmarkStart w:id="83" w:name="_Toc18051"/>
    </w:p>
    <w:p w14:paraId="56080168">
      <w:pPr>
        <w:jc w:val="both"/>
        <w:outlineLvl w:val="0"/>
        <w:rPr>
          <w:rFonts w:hint="eastAsia" w:ascii="宋体" w:hAnsi="宋体"/>
          <w:b/>
          <w:bCs/>
          <w:color w:val="auto"/>
          <w:sz w:val="36"/>
          <w:szCs w:val="44"/>
        </w:rPr>
      </w:pPr>
    </w:p>
    <w:p w14:paraId="7EF33444">
      <w:pPr>
        <w:jc w:val="both"/>
        <w:outlineLvl w:val="0"/>
        <w:rPr>
          <w:rFonts w:hint="eastAsia" w:ascii="宋体" w:hAnsi="宋体"/>
          <w:b/>
          <w:bCs/>
          <w:color w:val="auto"/>
          <w:sz w:val="36"/>
          <w:szCs w:val="44"/>
        </w:rPr>
      </w:pPr>
    </w:p>
    <w:p w14:paraId="7F7D60CA">
      <w:pPr>
        <w:jc w:val="center"/>
        <w:outlineLvl w:val="0"/>
        <w:rPr>
          <w:rFonts w:ascii="宋体" w:hAnsi="宋体"/>
          <w:b/>
          <w:bCs/>
          <w:color w:val="auto"/>
          <w:sz w:val="36"/>
          <w:szCs w:val="44"/>
        </w:rPr>
      </w:pPr>
      <w:r>
        <w:rPr>
          <w:rFonts w:hint="eastAsia" w:ascii="宋体" w:hAnsi="宋体"/>
          <w:b/>
          <w:bCs/>
          <w:color w:val="auto"/>
          <w:sz w:val="36"/>
          <w:szCs w:val="44"/>
        </w:rPr>
        <w:t>第四章 评审程序、评审方法和评审标准</w:t>
      </w:r>
      <w:bookmarkEnd w:id="83"/>
    </w:p>
    <w:p w14:paraId="482D9F1C">
      <w:pPr>
        <w:pStyle w:val="3"/>
        <w:spacing w:line="340" w:lineRule="exact"/>
        <w:jc w:val="center"/>
        <w:outlineLvl w:val="9"/>
        <w:rPr>
          <w:rFonts w:ascii="黑体" w:hAnsi="黑体" w:eastAsia="黑体" w:cs="宋体"/>
          <w:color w:val="auto"/>
          <w:sz w:val="24"/>
        </w:rPr>
      </w:pPr>
    </w:p>
    <w:p w14:paraId="6B723FAC">
      <w:pPr>
        <w:pStyle w:val="3"/>
        <w:spacing w:line="340" w:lineRule="exact"/>
        <w:jc w:val="center"/>
        <w:rPr>
          <w:rFonts w:ascii="宋体" w:hAnsi="宋体"/>
          <w:color w:val="auto"/>
        </w:rPr>
      </w:pPr>
      <w:r>
        <w:rPr>
          <w:rFonts w:hint="eastAsia" w:ascii="宋体" w:hAnsi="宋体"/>
          <w:color w:val="auto"/>
        </w:rPr>
        <w:t>一 、评审程序和评审方法</w:t>
      </w:r>
    </w:p>
    <w:p w14:paraId="1F0AEA6C">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1.资格审查</w:t>
      </w:r>
    </w:p>
    <w:p w14:paraId="037B1C5B">
      <w:pPr>
        <w:snapToGrid w:val="0"/>
        <w:spacing w:line="360" w:lineRule="auto"/>
        <w:ind w:firstLine="420" w:firstLineChars="200"/>
        <w:rPr>
          <w:rFonts w:ascii="宋体" w:hAnsi="宋体"/>
          <w:color w:val="auto"/>
          <w:szCs w:val="21"/>
        </w:rPr>
      </w:pPr>
      <w:r>
        <w:rPr>
          <w:rFonts w:ascii="宋体" w:hAnsi="宋体" w:cs="宋体"/>
          <w:color w:val="auto"/>
          <w:szCs w:val="21"/>
        </w:rPr>
        <w:t>1</w:t>
      </w:r>
      <w:r>
        <w:rPr>
          <w:rFonts w:hint="eastAsia" w:ascii="宋体" w:hAnsi="宋体" w:cs="宋体"/>
          <w:color w:val="auto"/>
          <w:szCs w:val="21"/>
        </w:rPr>
        <w:t>.1</w:t>
      </w:r>
      <w:r>
        <w:rPr>
          <w:rFonts w:hint="eastAsia" w:ascii="宋体" w:hAnsi="宋体"/>
          <w:color w:val="auto"/>
          <w:szCs w:val="21"/>
        </w:rPr>
        <w:t>响应文件开启后，磋商小组依法对供应商的资格证明文件进行审查。</w:t>
      </w:r>
    </w:p>
    <w:p w14:paraId="5486FD53">
      <w:pPr>
        <w:snapToGrid w:val="0"/>
        <w:spacing w:line="360" w:lineRule="auto"/>
        <w:rPr>
          <w:rFonts w:ascii="宋体" w:hAnsi="宋体" w:cs="宋体"/>
          <w:color w:val="auto"/>
          <w:szCs w:val="21"/>
        </w:rPr>
      </w:pPr>
      <w:r>
        <w:rPr>
          <w:rFonts w:hint="eastAsia" w:ascii="宋体" w:hAnsi="宋体" w:cs="宋体"/>
          <w:color w:val="auto"/>
          <w:szCs w:val="21"/>
        </w:rPr>
        <w:t>注：采购人或者采购代理机构在资格审查结束前，对供应商进行信用查询。</w:t>
      </w:r>
    </w:p>
    <w:p w14:paraId="49124590">
      <w:pPr>
        <w:snapToGrid w:val="0"/>
        <w:spacing w:line="360" w:lineRule="auto"/>
        <w:jc w:val="left"/>
        <w:rPr>
          <w:rFonts w:ascii="宋体" w:hAnsi="宋体" w:cs="宋体"/>
          <w:color w:val="auto"/>
          <w:szCs w:val="21"/>
        </w:rPr>
      </w:pPr>
      <w:r>
        <w:rPr>
          <w:rFonts w:hint="eastAsia" w:ascii="宋体" w:hAnsi="宋体" w:cs="宋体"/>
          <w:color w:val="auto"/>
          <w:szCs w:val="21"/>
        </w:rPr>
        <w:t>（1）查询渠道：广西政府采购云平台</w:t>
      </w:r>
      <w:r>
        <w:rPr>
          <w:rFonts w:hint="eastAsia" w:ascii="宋体" w:hAnsi="宋体" w:cs="宋体"/>
          <w:color w:val="auto"/>
          <w:szCs w:val="21"/>
          <w:lang w:eastAsia="zh-CN"/>
        </w:rPr>
        <w:t>、</w:t>
      </w:r>
      <w:r>
        <w:rPr>
          <w:rFonts w:hint="eastAsia" w:ascii="宋体" w:hAnsi="宋体" w:cs="宋体"/>
          <w:color w:val="auto"/>
          <w:szCs w:val="21"/>
        </w:rPr>
        <w:t>“信用中国”网站</w:t>
      </w:r>
      <w:r>
        <w:rPr>
          <w:rFonts w:hint="eastAsia" w:ascii="宋体" w:hAnsi="宋体" w:cs="宋体"/>
          <w:color w:val="auto"/>
          <w:szCs w:val="21"/>
          <w:lang w:eastAsia="zh-CN"/>
        </w:rPr>
        <w:t>（</w:t>
      </w:r>
      <w:r>
        <w:rPr>
          <w:rFonts w:hint="eastAsia" w:ascii="宋体" w:hAnsi="宋体" w:cs="宋体"/>
          <w:color w:val="auto"/>
          <w:szCs w:val="21"/>
        </w:rPr>
        <w:t>www.creditchina.gov.cn</w:t>
      </w:r>
      <w:r>
        <w:rPr>
          <w:rFonts w:hint="eastAsia" w:ascii="宋体" w:hAnsi="宋体" w:cs="宋体"/>
          <w:color w:val="auto"/>
          <w:szCs w:val="21"/>
          <w:lang w:eastAsia="zh-CN"/>
        </w:rPr>
        <w:t>）</w:t>
      </w:r>
      <w:r>
        <w:rPr>
          <w:rFonts w:hint="eastAsia" w:ascii="宋体" w:hAnsi="宋体" w:cs="宋体"/>
          <w:color w:val="auto"/>
          <w:szCs w:val="21"/>
        </w:rPr>
        <w:t>、中国政府采购网</w:t>
      </w:r>
      <w:r>
        <w:rPr>
          <w:rFonts w:hint="eastAsia" w:ascii="宋体" w:hAnsi="宋体" w:cs="宋体"/>
          <w:color w:val="auto"/>
          <w:szCs w:val="21"/>
          <w:lang w:eastAsia="zh-CN"/>
        </w:rPr>
        <w:t>（</w:t>
      </w:r>
      <w:r>
        <w:rPr>
          <w:rFonts w:hint="eastAsia" w:ascii="宋体" w:hAnsi="宋体" w:cs="宋体"/>
          <w:color w:val="auto"/>
          <w:szCs w:val="21"/>
        </w:rPr>
        <w:t>www.ccgp.gov.cn</w:t>
      </w:r>
      <w:r>
        <w:rPr>
          <w:rFonts w:hint="eastAsia" w:ascii="宋体" w:hAnsi="宋体" w:cs="宋体"/>
          <w:color w:val="auto"/>
          <w:szCs w:val="21"/>
          <w:lang w:eastAsia="zh-CN"/>
        </w:rPr>
        <w:t>）</w:t>
      </w:r>
      <w:r>
        <w:rPr>
          <w:rFonts w:hint="eastAsia" w:ascii="宋体" w:hAnsi="宋体" w:cs="宋体"/>
          <w:color w:val="auto"/>
          <w:szCs w:val="21"/>
        </w:rPr>
        <w:t>链接入口。</w:t>
      </w:r>
    </w:p>
    <w:p w14:paraId="3851D46B">
      <w:pPr>
        <w:snapToGrid w:val="0"/>
        <w:spacing w:line="360" w:lineRule="auto"/>
        <w:rPr>
          <w:rFonts w:ascii="宋体" w:hAnsi="宋体" w:cs="宋体"/>
          <w:color w:val="auto"/>
          <w:szCs w:val="21"/>
        </w:rPr>
      </w:pPr>
      <w:r>
        <w:rPr>
          <w:rFonts w:hint="eastAsia" w:ascii="宋体" w:hAnsi="宋体" w:cs="宋体"/>
          <w:color w:val="auto"/>
          <w:szCs w:val="21"/>
        </w:rPr>
        <w:t>（2）信用查询截止时点：资格审查结束前。</w:t>
      </w:r>
    </w:p>
    <w:p w14:paraId="0DCAA3A6">
      <w:pPr>
        <w:spacing w:line="360" w:lineRule="auto"/>
        <w:rPr>
          <w:rFonts w:ascii="宋体" w:hAnsi="宋体" w:cs="宋体"/>
          <w:color w:val="auto"/>
          <w:szCs w:val="21"/>
        </w:rPr>
      </w:pPr>
      <w:r>
        <w:rPr>
          <w:rFonts w:hint="eastAsia" w:ascii="宋体" w:hAnsi="宋体" w:cs="宋体"/>
          <w:color w:val="auto"/>
          <w:szCs w:val="21"/>
        </w:rPr>
        <w:t>（3）信用信息使用规则：对在“信用中国”网站</w:t>
      </w:r>
      <w:r>
        <w:rPr>
          <w:rFonts w:hint="eastAsia" w:ascii="宋体" w:hAnsi="宋体" w:cs="宋体"/>
          <w:color w:val="auto"/>
          <w:szCs w:val="21"/>
          <w:lang w:eastAsia="zh-CN"/>
        </w:rPr>
        <w:t>（</w:t>
      </w:r>
      <w:r>
        <w:rPr>
          <w:rFonts w:hint="eastAsia" w:ascii="宋体" w:hAnsi="宋体" w:cs="宋体"/>
          <w:color w:val="auto"/>
          <w:szCs w:val="21"/>
        </w:rPr>
        <w:t>www.creditchina.gov.cn</w:t>
      </w:r>
      <w:r>
        <w:rPr>
          <w:rFonts w:hint="eastAsia" w:ascii="宋体" w:hAnsi="宋体" w:cs="宋体"/>
          <w:color w:val="auto"/>
          <w:szCs w:val="21"/>
          <w:lang w:eastAsia="zh-CN"/>
        </w:rPr>
        <w:t>）</w:t>
      </w:r>
      <w:r>
        <w:rPr>
          <w:rFonts w:hint="eastAsia" w:ascii="宋体" w:hAnsi="宋体" w:cs="宋体"/>
          <w:color w:val="auto"/>
          <w:szCs w:val="21"/>
        </w:rPr>
        <w:t xml:space="preserve"> 、中国政府采购网</w:t>
      </w:r>
      <w:r>
        <w:rPr>
          <w:rFonts w:hint="eastAsia" w:ascii="宋体" w:hAnsi="宋体" w:cs="宋体"/>
          <w:color w:val="auto"/>
          <w:szCs w:val="21"/>
          <w:lang w:eastAsia="zh-CN"/>
        </w:rPr>
        <w:t>（</w:t>
      </w:r>
      <w:r>
        <w:rPr>
          <w:rFonts w:hint="eastAsia" w:ascii="宋体" w:hAnsi="宋体" w:cs="宋体"/>
          <w:color w:val="auto"/>
          <w:szCs w:val="21"/>
        </w:rPr>
        <w:t>www.ccgp.gov.cn</w:t>
      </w:r>
      <w:r>
        <w:rPr>
          <w:rFonts w:hint="eastAsia" w:ascii="宋体" w:hAnsi="宋体" w:cs="宋体"/>
          <w:color w:val="auto"/>
          <w:szCs w:val="21"/>
          <w:lang w:eastAsia="zh-CN"/>
        </w:rPr>
        <w:t>）</w:t>
      </w:r>
      <w:r>
        <w:rPr>
          <w:rFonts w:hint="eastAsia" w:ascii="宋体" w:hAnsi="宋体" w:cs="宋体"/>
          <w:color w:val="auto"/>
          <w:szCs w:val="21"/>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CED5184">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.2资格审查标准为本磋商文件中载明对供应商资格要求的条件。资格审查采用合格制，凡符合磋商文件规定的供应商资格要求的响应文件均通过资格审查。</w:t>
      </w:r>
    </w:p>
    <w:p w14:paraId="54659345">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.3供应商有下列情形之一的，资格审查不通过，其响应文件按无效响应处理：</w:t>
      </w:r>
    </w:p>
    <w:p w14:paraId="71EBA22A">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）不具备磋商文件中规定的资格要求的；</w:t>
      </w:r>
    </w:p>
    <w:p w14:paraId="6FCE6E2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）响应文件未提供任一项“供应商须知前附表”资格证明文件规定的“必须提供”的文件资料的；</w:t>
      </w:r>
    </w:p>
    <w:p w14:paraId="79FF9E5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）响应文件提供的资格证明文件出现任一项不符合“供应商须知前附表”资格证明文件规定的“必须提供”的文件资料要求或者无效的。</w:t>
      </w:r>
    </w:p>
    <w:p w14:paraId="39BAD612">
      <w:pPr>
        <w:spacing w:line="360" w:lineRule="auto"/>
        <w:ind w:firstLine="420" w:firstLineChars="200"/>
        <w:rPr>
          <w:rFonts w:hint="eastAsia" w:ascii="宋体" w:hAnsi="宋体" w:cs="宋体"/>
          <w:color w:val="auto"/>
          <w:szCs w:val="21"/>
        </w:rPr>
      </w:pPr>
      <w:bookmarkStart w:id="84" w:name="_Hlk68601553"/>
      <w:r>
        <w:rPr>
          <w:rFonts w:hint="eastAsia" w:ascii="宋体" w:hAnsi="宋体" w:cs="宋体"/>
          <w:color w:val="auto"/>
          <w:szCs w:val="21"/>
        </w:rPr>
        <w:t>（4）同一合同项下的不同供应商，单位负责人为同一人或者存在直接控股、管理关系的；为本项目提供过整体设计、规范编制或者项目管理、监理、检测等服务的。</w:t>
      </w:r>
      <w:bookmarkEnd w:id="84"/>
    </w:p>
    <w:p w14:paraId="299F75B5">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.4通过资格审查的合格供应商不足3家的，不得进入符合性审查环节，</w:t>
      </w:r>
      <w:r>
        <w:rPr>
          <w:rFonts w:hint="eastAsia" w:ascii="宋体" w:hAnsi="宋体"/>
          <w:color w:val="auto"/>
          <w:szCs w:val="21"/>
        </w:rPr>
        <w:t>采购人或者采购代理机构应当重新开展采购活动。</w:t>
      </w:r>
    </w:p>
    <w:p w14:paraId="0DA2C812">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2.符合性审查</w:t>
      </w:r>
    </w:p>
    <w:p w14:paraId="735CB4F2">
      <w:pPr>
        <w:spacing w:line="360" w:lineRule="auto"/>
        <w:ind w:firstLine="420" w:firstLineChars="200"/>
        <w:rPr>
          <w:rFonts w:ascii="宋体" w:hAnsi="宋体" w:cs="宋体"/>
          <w:color w:val="auto"/>
          <w:szCs w:val="21"/>
        </w:rPr>
      </w:pPr>
      <w:bookmarkStart w:id="85" w:name="_Hlk42528882"/>
      <w:r>
        <w:rPr>
          <w:rFonts w:ascii="宋体" w:hAnsi="宋体" w:cs="宋体"/>
          <w:color w:val="auto"/>
          <w:szCs w:val="21"/>
        </w:rPr>
        <w:t>2.1</w:t>
      </w:r>
      <w:r>
        <w:rPr>
          <w:rFonts w:hint="eastAsia" w:ascii="宋体" w:hAnsi="宋体" w:cs="宋体"/>
          <w:color w:val="auto"/>
          <w:szCs w:val="21"/>
        </w:rPr>
        <w:t>由磋商小组对</w:t>
      </w:r>
      <w:r>
        <w:rPr>
          <w:rFonts w:hint="eastAsia" w:ascii="宋体" w:hAnsi="宋体"/>
          <w:color w:val="auto"/>
          <w:szCs w:val="21"/>
        </w:rPr>
        <w:t>通过资格审查的合格供应商</w:t>
      </w:r>
      <w:r>
        <w:rPr>
          <w:rFonts w:hint="eastAsia" w:ascii="宋体" w:hAnsi="宋体" w:cs="宋体"/>
          <w:color w:val="auto"/>
          <w:szCs w:val="21"/>
        </w:rPr>
        <w:t>的响应文件的竞标报价、商务、技术等实质性要求进行符合性审查，以确定其是否满足磋商文件的实质性要求。</w:t>
      </w:r>
    </w:p>
    <w:bookmarkEnd w:id="85"/>
    <w:p w14:paraId="3806049E">
      <w:pPr>
        <w:spacing w:line="360" w:lineRule="auto"/>
        <w:ind w:firstLine="420" w:firstLineChars="200"/>
        <w:rPr>
          <w:rFonts w:ascii="宋体" w:hAnsi="宋体" w:cs="宋体"/>
          <w:color w:val="auto"/>
          <w:szCs w:val="21"/>
        </w:rPr>
      </w:pPr>
      <w:r>
        <w:rPr>
          <w:rFonts w:ascii="宋体" w:hAnsi="宋体" w:cs="宋体"/>
          <w:color w:val="auto"/>
          <w:szCs w:val="21"/>
        </w:rPr>
        <w:t>2.2</w:t>
      </w:r>
      <w:r>
        <w:rPr>
          <w:rFonts w:hint="eastAsia" w:ascii="宋体" w:hAnsi="宋体" w:cs="宋体"/>
          <w:color w:val="auto"/>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68408EA">
      <w:pPr>
        <w:spacing w:line="360" w:lineRule="auto"/>
        <w:ind w:firstLine="420" w:firstLineChars="200"/>
        <w:rPr>
          <w:rFonts w:ascii="宋体" w:hAnsi="宋体" w:cs="宋体"/>
          <w:color w:val="auto"/>
          <w:spacing w:val="-6"/>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pacing w:val="-6"/>
          <w:szCs w:val="21"/>
        </w:rPr>
        <w:t>。供应商为自然人的，必须由本人签字并附身份证明。</w:t>
      </w:r>
    </w:p>
    <w:p w14:paraId="125A11D0">
      <w:pPr>
        <w:spacing w:line="360" w:lineRule="auto"/>
        <w:ind w:firstLine="396" w:firstLineChars="200"/>
        <w:rPr>
          <w:rFonts w:ascii="宋体" w:hAnsi="宋体" w:cs="宋体"/>
          <w:color w:val="auto"/>
          <w:szCs w:val="21"/>
        </w:rPr>
      </w:pPr>
      <w:r>
        <w:rPr>
          <w:rFonts w:ascii="宋体" w:hAnsi="宋体" w:cs="宋体"/>
          <w:color w:val="auto"/>
          <w:spacing w:val="-6"/>
          <w:szCs w:val="21"/>
        </w:rPr>
        <w:t>2.4</w:t>
      </w:r>
      <w:r>
        <w:rPr>
          <w:rFonts w:hint="eastAsia" w:ascii="宋体" w:hAnsi="宋体" w:cs="宋体"/>
          <w:color w:val="auto"/>
          <w:szCs w:val="21"/>
        </w:rPr>
        <w:t xml:space="preserve">首次响应文件报价出现前后不一致的，按照下列规定修正： </w:t>
      </w:r>
    </w:p>
    <w:p w14:paraId="61A408F0">
      <w:pPr>
        <w:spacing w:line="360" w:lineRule="auto"/>
        <w:ind w:firstLine="420" w:firstLineChars="200"/>
        <w:rPr>
          <w:rFonts w:ascii="宋体" w:hAnsi="宋体" w:cs="宋体"/>
          <w:color w:val="auto"/>
          <w:szCs w:val="21"/>
        </w:rPr>
      </w:pPr>
      <w:r>
        <w:rPr>
          <w:rFonts w:hint="eastAsia" w:ascii="宋体" w:hAnsi="宋体" w:cs="宋体"/>
          <w:color w:val="auto"/>
          <w:szCs w:val="21"/>
        </w:rPr>
        <w:t>（1）响应文件中报价表内容与响应文件中相应内容不一致的，以报价表为准；</w:t>
      </w:r>
    </w:p>
    <w:p w14:paraId="3E2D7700">
      <w:pPr>
        <w:spacing w:line="360" w:lineRule="auto"/>
        <w:ind w:firstLine="420" w:firstLineChars="200"/>
        <w:rPr>
          <w:rFonts w:ascii="宋体" w:hAnsi="宋体" w:cs="宋体"/>
          <w:color w:val="auto"/>
          <w:szCs w:val="21"/>
        </w:rPr>
      </w:pPr>
      <w:r>
        <w:rPr>
          <w:rFonts w:hint="eastAsia" w:ascii="宋体" w:hAnsi="宋体" w:cs="宋体"/>
          <w:color w:val="auto"/>
          <w:szCs w:val="21"/>
        </w:rPr>
        <w:t>（2）大写金额和小写金额不一致的，以大写金额为准；</w:t>
      </w:r>
    </w:p>
    <w:p w14:paraId="72121BE6">
      <w:pPr>
        <w:spacing w:line="360" w:lineRule="auto"/>
        <w:ind w:firstLine="420" w:firstLineChars="200"/>
        <w:rPr>
          <w:rFonts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14:paraId="75BABD2A">
      <w:pPr>
        <w:spacing w:line="360" w:lineRule="auto"/>
        <w:ind w:firstLine="420" w:firstLineChars="200"/>
        <w:rPr>
          <w:rFonts w:ascii="宋体" w:hAnsi="宋体" w:cs="宋体"/>
          <w:color w:val="auto"/>
          <w:szCs w:val="21"/>
        </w:rPr>
      </w:pPr>
      <w:r>
        <w:rPr>
          <w:rFonts w:hint="eastAsia" w:ascii="宋体" w:hAnsi="宋体" w:cs="宋体"/>
          <w:color w:val="auto"/>
          <w:szCs w:val="21"/>
        </w:rPr>
        <w:t>（4）总价金额与按单价汇总金额不一致的，以单价金额计算结果为准。</w:t>
      </w:r>
    </w:p>
    <w:p w14:paraId="18BAC5F5">
      <w:pPr>
        <w:spacing w:line="360" w:lineRule="auto"/>
        <w:ind w:firstLine="420" w:firstLineChars="200"/>
        <w:rPr>
          <w:rFonts w:ascii="宋体" w:hAnsi="宋体" w:cs="宋体"/>
          <w:color w:val="auto"/>
          <w:szCs w:val="21"/>
        </w:rPr>
      </w:pPr>
      <w:r>
        <w:rPr>
          <w:rFonts w:hint="eastAsia" w:ascii="宋体" w:hAnsi="宋体" w:cs="宋体"/>
          <w:color w:val="auto"/>
          <w:szCs w:val="21"/>
        </w:rPr>
        <w:t>同时出现两种以上不一致的，按照以上（1）</w:t>
      </w:r>
      <w:r>
        <w:rPr>
          <w:rFonts w:hint="eastAsia" w:ascii="宋体" w:hAnsi="宋体" w:cs="宋体"/>
          <w:color w:val="auto"/>
          <w:szCs w:val="21"/>
          <w:lang w:eastAsia="zh-CN"/>
        </w:rPr>
        <w:t>－</w:t>
      </w:r>
      <w:r>
        <w:rPr>
          <w:rFonts w:hint="eastAsia" w:ascii="宋体" w:hAnsi="宋体" w:cs="宋体"/>
          <w:color w:val="auto"/>
          <w:szCs w:val="21"/>
        </w:rPr>
        <w:t>（4）规定的顺序逐条进行修正。修正后的报价经供应商确认后产生约束力，供应商不确认的，其响应文件按无效响应处理。</w:t>
      </w:r>
    </w:p>
    <w:p w14:paraId="3F0F4540">
      <w:pPr>
        <w:spacing w:line="360" w:lineRule="auto"/>
        <w:ind w:firstLine="420" w:firstLineChars="200"/>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商务技术报价评审</w:t>
      </w:r>
    </w:p>
    <w:p w14:paraId="3D43DBE7">
      <w:pPr>
        <w:spacing w:line="360" w:lineRule="auto"/>
        <w:ind w:firstLine="420" w:firstLineChars="200"/>
        <w:rPr>
          <w:rFonts w:ascii="宋体" w:hAnsi="宋体" w:cs="宋体"/>
          <w:color w:val="auto"/>
          <w:szCs w:val="21"/>
        </w:rPr>
      </w:pPr>
      <w:r>
        <w:rPr>
          <w:rFonts w:hint="eastAsia" w:ascii="宋体" w:hAnsi="宋体" w:cs="宋体"/>
          <w:color w:val="auto"/>
          <w:szCs w:val="21"/>
        </w:rPr>
        <w:t>在评审时，如发现下列情形之一的，将被视为响应文件无效处理：</w:t>
      </w:r>
    </w:p>
    <w:p w14:paraId="76067EAC">
      <w:pPr>
        <w:spacing w:line="360" w:lineRule="auto"/>
        <w:ind w:firstLine="420" w:firstLineChars="200"/>
        <w:rPr>
          <w:rFonts w:ascii="宋体" w:hAnsi="宋体" w:cs="宋体"/>
          <w:color w:val="auto"/>
          <w:szCs w:val="21"/>
        </w:rPr>
      </w:pPr>
      <w:r>
        <w:rPr>
          <w:rFonts w:hint="eastAsia" w:ascii="宋体" w:hAnsi="宋体" w:cs="宋体"/>
          <w:color w:val="auto"/>
          <w:szCs w:val="21"/>
        </w:rPr>
        <w:t>（1）商务技术评审</w:t>
      </w:r>
    </w:p>
    <w:p w14:paraId="41D9FAD4">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）响应文件未按磋商文件要求签署、盖章；</w:t>
      </w:r>
    </w:p>
    <w:p w14:paraId="480D07B9">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 xml:space="preserve">）委托代理人未能出具有效身份证明或者出具的身份证明与授权委托书中的信息不符； </w:t>
      </w:r>
    </w:p>
    <w:p w14:paraId="3B307DA3">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）提交的磋商保证金无效的或者未按照磋商文件的规定提交磋商保证金；</w:t>
      </w:r>
    </w:p>
    <w:p w14:paraId="0C2E9EDC">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34EAA2D8">
      <w:pPr>
        <w:spacing w:line="360" w:lineRule="auto"/>
        <w:ind w:firstLine="420" w:firstLineChars="200"/>
        <w:rPr>
          <w:rFonts w:ascii="宋体" w:hAnsi="宋体" w:cs="宋体"/>
          <w:color w:val="auto"/>
          <w:szCs w:val="21"/>
        </w:rPr>
      </w:pPr>
    </w:p>
    <w:p w14:paraId="7248E65E">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）未对竞标有效期作出响应或者响应文件承诺的竞标有效期不满足磋商文件要求；</w:t>
      </w:r>
    </w:p>
    <w:p w14:paraId="1340385B">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）响应文件的实质性内容未使用中文表述、使用计量单位不符合磋商文件要求；</w:t>
      </w:r>
    </w:p>
    <w:p w14:paraId="280F0E23">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）响应文件中的文件资料因填写不齐全或者内容虚假或者出现其他情形而导致被磋商小组认定无效；</w:t>
      </w:r>
    </w:p>
    <w:p w14:paraId="7F615341">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）响应文件含有采购人不能接受的附加条件；</w:t>
      </w:r>
    </w:p>
    <w:p w14:paraId="20FBDFF6">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9</w:t>
      </w:r>
      <w:r>
        <w:rPr>
          <w:rFonts w:hint="eastAsia" w:ascii="宋体" w:hAnsi="宋体" w:cs="宋体"/>
          <w:color w:val="auto"/>
          <w:szCs w:val="21"/>
        </w:rPr>
        <w:t>）属于“供应商须知正文”第7.</w:t>
      </w:r>
      <w:r>
        <w:rPr>
          <w:rFonts w:ascii="宋体" w:hAnsi="宋体" w:cs="宋体"/>
          <w:color w:val="auto"/>
          <w:szCs w:val="21"/>
        </w:rPr>
        <w:t>5</w:t>
      </w:r>
      <w:r>
        <w:rPr>
          <w:rFonts w:hint="eastAsia" w:ascii="宋体" w:hAnsi="宋体" w:cs="宋体"/>
          <w:color w:val="auto"/>
          <w:szCs w:val="21"/>
        </w:rPr>
        <w:t>条情形；</w:t>
      </w:r>
    </w:p>
    <w:p w14:paraId="3B2979A0">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0</w:t>
      </w:r>
      <w:r>
        <w:rPr>
          <w:rFonts w:hint="eastAsia" w:ascii="宋体" w:hAnsi="宋体" w:cs="宋体"/>
          <w:color w:val="auto"/>
          <w:szCs w:val="21"/>
        </w:rPr>
        <w:t>）虚假竞标，或者出现其他情形而导致被磋商小组认定无效；</w:t>
      </w:r>
    </w:p>
    <w:p w14:paraId="034A8F02">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1</w:t>
      </w:r>
      <w:r>
        <w:rPr>
          <w:rFonts w:hint="eastAsia" w:ascii="宋体" w:hAnsi="宋体" w:cs="宋体"/>
          <w:color w:val="auto"/>
          <w:szCs w:val="21"/>
        </w:rPr>
        <w:t>）竞标技术方案不明确，磋商文件未允许</w:t>
      </w:r>
      <w:r>
        <w:rPr>
          <w:rFonts w:hint="eastAsia" w:ascii="宋体" w:hAnsi="宋体"/>
          <w:color w:val="auto"/>
          <w:szCs w:val="21"/>
        </w:rPr>
        <w:t>但响应文件中</w:t>
      </w:r>
      <w:r>
        <w:rPr>
          <w:rFonts w:hint="eastAsia" w:ascii="宋体" w:hAnsi="宋体" w:cs="宋体"/>
          <w:color w:val="auto"/>
          <w:szCs w:val="21"/>
        </w:rPr>
        <w:t>存在一个或者一个以上备选（替代）竞标方案；</w:t>
      </w:r>
    </w:p>
    <w:p w14:paraId="39B42018">
      <w:pPr>
        <w:spacing w:line="360" w:lineRule="auto"/>
        <w:ind w:firstLine="420" w:firstLineChars="200"/>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lang w:val="en-US" w:eastAsia="zh-CN"/>
        </w:rPr>
        <w:t>2</w:t>
      </w:r>
      <w:r>
        <w:rPr>
          <w:rFonts w:hint="eastAsia" w:ascii="宋体" w:hAnsi="宋体" w:cs="宋体"/>
          <w:color w:val="auto"/>
          <w:szCs w:val="21"/>
        </w:rPr>
        <w:t>）未响应磋商文件实质性要求；</w:t>
      </w:r>
    </w:p>
    <w:p w14:paraId="6CF6E12D">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3</w:t>
      </w:r>
      <w:r>
        <w:rPr>
          <w:rFonts w:hint="eastAsia" w:ascii="宋体" w:hAnsi="宋体" w:cs="宋体"/>
          <w:color w:val="auto"/>
          <w:szCs w:val="21"/>
        </w:rPr>
        <w:t>）法律、法规和磋商文件规定的其他无效情形。</w:t>
      </w:r>
    </w:p>
    <w:p w14:paraId="6EB3D2CC">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）报价评审</w:t>
      </w:r>
    </w:p>
    <w:p w14:paraId="404FEE6C">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1）</w:t>
      </w:r>
      <w:r>
        <w:rPr>
          <w:rFonts w:ascii="宋体" w:hAnsi="宋体" w:cs="宋体"/>
          <w:color w:val="auto"/>
          <w:szCs w:val="21"/>
        </w:rPr>
        <w:t xml:space="preserve"> </w:t>
      </w:r>
      <w:r>
        <w:rPr>
          <w:rFonts w:hint="eastAsia" w:ascii="宋体" w:hAnsi="宋体" w:cs="宋体"/>
          <w:color w:val="auto"/>
          <w:szCs w:val="21"/>
        </w:rPr>
        <w:t>响应文件未提供“供应商须知前附表” 报价商务技术文件中规定的“竞标报价表”；</w:t>
      </w:r>
    </w:p>
    <w:p w14:paraId="076611D4">
      <w:pPr>
        <w:spacing w:line="360" w:lineRule="auto"/>
        <w:ind w:firstLine="420" w:firstLineChars="200"/>
        <w:rPr>
          <w:rFonts w:ascii="宋体" w:hAnsi="宋体" w:cs="宋体"/>
          <w:color w:val="auto"/>
          <w:szCs w:val="21"/>
        </w:rPr>
      </w:pPr>
      <w:r>
        <w:rPr>
          <w:rFonts w:hint="eastAsia" w:ascii="宋体" w:hAnsi="宋体" w:cs="宋体"/>
          <w:color w:val="auto"/>
          <w:szCs w:val="21"/>
        </w:rPr>
        <w:t>2）未采用人民币报价或者未按照磋商文件标明的币种报价；</w:t>
      </w:r>
    </w:p>
    <w:p w14:paraId="32438FC3">
      <w:pPr>
        <w:spacing w:line="360" w:lineRule="auto"/>
        <w:ind w:firstLine="420" w:firstLineChars="200"/>
        <w:rPr>
          <w:rFonts w:ascii="宋体" w:hAnsi="宋体" w:cs="宋体"/>
          <w:color w:val="auto"/>
          <w:szCs w:val="21"/>
        </w:rPr>
      </w:pPr>
      <w:r>
        <w:rPr>
          <w:rFonts w:hint="eastAsia" w:ascii="宋体" w:hAnsi="宋体" w:cs="宋体"/>
          <w:color w:val="auto"/>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112B40F4">
      <w:pPr>
        <w:spacing w:line="360" w:lineRule="auto"/>
        <w:ind w:firstLine="420" w:firstLineChars="200"/>
        <w:rPr>
          <w:rFonts w:ascii="宋体" w:hAnsi="宋体" w:cs="宋体"/>
          <w:color w:val="auto"/>
          <w:szCs w:val="21"/>
        </w:rPr>
      </w:pPr>
      <w:r>
        <w:rPr>
          <w:rFonts w:hint="eastAsia" w:ascii="宋体" w:hAnsi="宋体" w:cs="宋体"/>
          <w:color w:val="auto"/>
          <w:szCs w:val="21"/>
        </w:rPr>
        <w:t>4）竞标报价（包含首次报价、最后报价）超过所竞标分标规定的采购预算金额或者最高限价的（如本项目公布了最高限价）；</w:t>
      </w:r>
      <w:bookmarkStart w:id="86" w:name="_Hlk42596405"/>
      <w:r>
        <w:rPr>
          <w:rFonts w:hint="eastAsia" w:ascii="宋体" w:hAnsi="宋体" w:cs="宋体"/>
          <w:color w:val="auto"/>
          <w:szCs w:val="21"/>
        </w:rPr>
        <w:t>竞标报价（包含首次报价、最后报价）</w:t>
      </w:r>
      <w:bookmarkEnd w:id="86"/>
      <w:bookmarkStart w:id="87" w:name="_Hlk42596276"/>
      <w:r>
        <w:rPr>
          <w:rFonts w:hint="eastAsia" w:ascii="宋体" w:hAnsi="宋体" w:cs="宋体"/>
          <w:color w:val="auto"/>
          <w:szCs w:val="21"/>
        </w:rPr>
        <w:t>超过磋商文件分项采购预算金额或者最高限价的</w:t>
      </w:r>
      <w:bookmarkEnd w:id="87"/>
      <w:r>
        <w:rPr>
          <w:rFonts w:hint="eastAsia" w:ascii="宋体" w:hAnsi="宋体" w:cs="宋体"/>
          <w:color w:val="auto"/>
          <w:szCs w:val="21"/>
        </w:rPr>
        <w:t>（如本项目公布了最高限价）；</w:t>
      </w:r>
    </w:p>
    <w:p w14:paraId="6A156F1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51385860">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6）在单价合同工程中供应商采用总价优惠或以总价百分比优惠的方式进行竞标报价的； </w:t>
      </w:r>
    </w:p>
    <w:p w14:paraId="4E4D4EA7">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7）竞标总报价与已标价工程量清单汇总表不一致的； </w:t>
      </w:r>
    </w:p>
    <w:p w14:paraId="1F9D69E7">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8）已标价工程量清单说明文字与磋商文件规定不一致，进行了实质性修改和删减的； </w:t>
      </w:r>
    </w:p>
    <w:p w14:paraId="1A6B7719">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9）设有暂估价、暂列金额的，竞标时未按工程量清单给出的暂估价总价、暂列金额总价计入竞标总报价中的； </w:t>
      </w:r>
    </w:p>
    <w:p w14:paraId="207B12A1">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10）供应商对工程量清单内容进行增减或对竞标范围进行调整的； </w:t>
      </w:r>
    </w:p>
    <w:p w14:paraId="02EA455A">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11）响应文件响应的标的数量及单位与竞争性磋商采购文件要求实质性不一致的； </w:t>
      </w:r>
    </w:p>
    <w:p w14:paraId="1A6C968E">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12）磋商函附录的承诺不符合磋商文件规定的； </w:t>
      </w:r>
    </w:p>
    <w:p w14:paraId="52AD1E04">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13）磋商小组启动异常低价响应审查后，供应商不能提供书面说明、证明材料，或者提供的书面说明、证明材料不能证明其报价合理性的； </w:t>
      </w:r>
    </w:p>
    <w:p w14:paraId="5C927943">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14）未响应磋商文件实质性要求的。</w:t>
      </w:r>
    </w:p>
    <w:p w14:paraId="550E2D46">
      <w:pPr>
        <w:spacing w:line="360" w:lineRule="auto"/>
        <w:ind w:firstLine="420" w:firstLineChars="200"/>
        <w:rPr>
          <w:rFonts w:ascii="宋体" w:hAnsi="宋体" w:cs="宋体"/>
          <w:color w:val="auto"/>
          <w:szCs w:val="21"/>
        </w:rPr>
      </w:pPr>
      <w:r>
        <w:rPr>
          <w:rFonts w:ascii="宋体" w:hAnsi="宋体" w:cs="宋体"/>
          <w:color w:val="auto"/>
          <w:szCs w:val="21"/>
        </w:rPr>
        <w:t>2.6</w:t>
      </w:r>
      <w:r>
        <w:rPr>
          <w:rFonts w:hint="eastAsia" w:ascii="宋体" w:hAnsi="宋体" w:cs="宋体"/>
          <w:color w:val="auto"/>
          <w:szCs w:val="21"/>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337A6CB2">
      <w:pPr>
        <w:spacing w:line="360" w:lineRule="auto"/>
        <w:ind w:firstLine="420" w:firstLineChars="200"/>
        <w:rPr>
          <w:rFonts w:ascii="宋体" w:hAnsi="宋体" w:cs="宋体"/>
          <w:color w:val="auto"/>
          <w:szCs w:val="21"/>
        </w:rPr>
      </w:pPr>
      <w:r>
        <w:rPr>
          <w:rFonts w:ascii="宋体" w:hAnsi="宋体" w:cs="宋体"/>
          <w:color w:val="auto"/>
          <w:szCs w:val="21"/>
        </w:rPr>
        <w:t>2.7</w:t>
      </w:r>
      <w:r>
        <w:rPr>
          <w:rFonts w:hint="eastAsia" w:ascii="宋体" w:hAnsi="宋体"/>
          <w:color w:val="auto"/>
          <w:szCs w:val="21"/>
        </w:rPr>
        <w:t>通过符合性审查的合格供应商不足3家的，不得进入磋商环节，采购人或者采购代理机构应当重新开展采购活动。</w:t>
      </w:r>
    </w:p>
    <w:p w14:paraId="22018FF0">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3.磋商</w:t>
      </w:r>
    </w:p>
    <w:p w14:paraId="79839A30">
      <w:pPr>
        <w:spacing w:line="360" w:lineRule="auto"/>
        <w:ind w:firstLine="420" w:firstLineChars="200"/>
        <w:rPr>
          <w:rFonts w:ascii="宋体" w:hAnsi="宋体" w:cs="宋体"/>
          <w:color w:val="auto"/>
          <w:kern w:val="0"/>
          <w:szCs w:val="21"/>
        </w:rPr>
      </w:pPr>
      <w:r>
        <w:rPr>
          <w:rFonts w:ascii="宋体" w:hAnsi="宋体" w:cs="宋体"/>
          <w:color w:val="auto"/>
          <w:kern w:val="0"/>
          <w:szCs w:val="21"/>
        </w:rPr>
        <w:t>3</w:t>
      </w:r>
      <w:r>
        <w:rPr>
          <w:rFonts w:hint="eastAsia" w:ascii="宋体" w:hAnsi="宋体" w:cs="宋体"/>
          <w:color w:val="auto"/>
          <w:kern w:val="0"/>
          <w:szCs w:val="21"/>
        </w:rPr>
        <w:t>.磋商的程序</w:t>
      </w:r>
    </w:p>
    <w:p w14:paraId="07C921D1">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.1</w:t>
      </w:r>
      <w:r>
        <w:rPr>
          <w:rFonts w:hint="eastAsia" w:ascii="宋体" w:hAnsi="宋体" w:cs="宋体"/>
          <w:color w:val="auto"/>
          <w:kern w:val="0"/>
          <w:szCs w:val="21"/>
        </w:rPr>
        <w:t>磋商小组按照“供应商须知前附表”</w:t>
      </w:r>
      <w:r>
        <w:rPr>
          <w:rFonts w:hint="eastAsia" w:ascii="宋体" w:hAnsi="宋体" w:cs="宋体"/>
          <w:color w:val="auto"/>
          <w:szCs w:val="21"/>
        </w:rPr>
        <w:t xml:space="preserve"> </w:t>
      </w:r>
      <w:r>
        <w:rPr>
          <w:rFonts w:hint="eastAsia" w:ascii="宋体" w:hAnsi="宋体" w:cs="宋体"/>
          <w:color w:val="auto"/>
          <w:kern w:val="0"/>
          <w:szCs w:val="21"/>
        </w:rPr>
        <w:t>确定的</w:t>
      </w:r>
      <w:r>
        <w:rPr>
          <w:rFonts w:hint="eastAsia" w:ascii="宋体" w:hAnsi="宋体" w:cs="宋体"/>
          <w:color w:val="auto"/>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5278317">
      <w:pPr>
        <w:spacing w:line="360" w:lineRule="auto"/>
        <w:ind w:firstLine="420" w:firstLineChars="200"/>
        <w:rPr>
          <w:rFonts w:ascii="宋体" w:hAnsi="宋体" w:cs="宋体"/>
          <w:color w:val="auto"/>
          <w:szCs w:val="21"/>
        </w:rPr>
      </w:pPr>
      <w:r>
        <w:rPr>
          <w:rFonts w:ascii="宋体" w:hAnsi="宋体" w:cs="宋体"/>
          <w:color w:val="auto"/>
          <w:szCs w:val="21"/>
        </w:rPr>
        <w:t>3.2</w:t>
      </w:r>
      <w:r>
        <w:rPr>
          <w:rFonts w:hint="eastAsia" w:ascii="宋体" w:hAnsi="宋体" w:cs="宋体"/>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59F8790">
      <w:pPr>
        <w:spacing w:line="360" w:lineRule="auto"/>
        <w:ind w:firstLine="420" w:firstLineChars="200"/>
        <w:rPr>
          <w:rFonts w:ascii="宋体" w:hAnsi="宋体" w:cs="宋体"/>
          <w:color w:val="auto"/>
          <w:szCs w:val="21"/>
        </w:rPr>
      </w:pPr>
      <w:r>
        <w:rPr>
          <w:rFonts w:ascii="宋体" w:hAnsi="宋体" w:cs="宋体"/>
          <w:color w:val="auto"/>
          <w:szCs w:val="21"/>
        </w:rPr>
        <w:t>3.3</w:t>
      </w:r>
      <w:r>
        <w:rPr>
          <w:rFonts w:hint="eastAsia" w:ascii="宋体" w:hAnsi="宋体" w:cs="宋体"/>
          <w:color w:val="auto"/>
          <w:szCs w:val="21"/>
        </w:rPr>
        <w:t>对磋商文件作出的实质性变动是磋商文件的有效组成部分，由磋商小组及时以书面形式同时通知所有参加磋商的供应商。</w:t>
      </w:r>
    </w:p>
    <w:p w14:paraId="734B22C7">
      <w:pPr>
        <w:spacing w:line="360" w:lineRule="auto"/>
        <w:ind w:firstLine="420" w:firstLineChars="200"/>
        <w:rPr>
          <w:rFonts w:ascii="宋体" w:hAnsi="宋体" w:cs="宋体"/>
          <w:color w:val="auto"/>
          <w:szCs w:val="21"/>
        </w:rPr>
      </w:pPr>
      <w:r>
        <w:rPr>
          <w:rFonts w:ascii="宋体" w:hAnsi="宋体" w:cs="宋体"/>
          <w:color w:val="auto"/>
          <w:szCs w:val="21"/>
        </w:rPr>
        <w:t>3.4</w:t>
      </w:r>
      <w:r>
        <w:rPr>
          <w:rFonts w:hint="eastAsia" w:ascii="宋体" w:hAnsi="宋体" w:cs="宋体"/>
          <w:color w:val="auto"/>
          <w:szCs w:val="21"/>
        </w:rPr>
        <w:t>供应商必须按照磋商文件的变动情况和磋商小组的要求重新提交响应文件，并由其法定代表人或者授权代表签字或者加盖公章。由委托代理人签字的，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zCs w:val="21"/>
        </w:rPr>
        <w:t>。供应商为自然人的，必须由本人签字并附身份证明。参加磋商的供应商未在规定时间内重新提交响应文件的，视同</w:t>
      </w:r>
      <w:bookmarkStart w:id="88" w:name="_Hlk55814495"/>
      <w:r>
        <w:rPr>
          <w:rFonts w:hint="eastAsia" w:ascii="宋体" w:hAnsi="宋体" w:cs="宋体"/>
          <w:color w:val="auto"/>
          <w:szCs w:val="21"/>
        </w:rPr>
        <w:t>退出磋商</w:t>
      </w:r>
      <w:bookmarkEnd w:id="88"/>
      <w:r>
        <w:rPr>
          <w:rFonts w:hint="eastAsia" w:ascii="宋体" w:hAnsi="宋体" w:cs="宋体"/>
          <w:color w:val="auto"/>
          <w:szCs w:val="21"/>
        </w:rPr>
        <w:t>，其响应文件作无效处理。</w:t>
      </w:r>
    </w:p>
    <w:p w14:paraId="16A8DFB2">
      <w:pPr>
        <w:spacing w:line="360" w:lineRule="auto"/>
        <w:ind w:firstLine="420" w:firstLineChars="200"/>
        <w:rPr>
          <w:rFonts w:ascii="宋体" w:hAnsi="宋体" w:cs="宋体"/>
          <w:color w:val="auto"/>
          <w:szCs w:val="21"/>
        </w:rPr>
      </w:pPr>
      <w:r>
        <w:rPr>
          <w:rFonts w:ascii="宋体" w:hAnsi="宋体" w:cs="宋体"/>
          <w:color w:val="auto"/>
          <w:szCs w:val="21"/>
        </w:rPr>
        <w:t>3.5</w:t>
      </w:r>
      <w:r>
        <w:rPr>
          <w:rFonts w:hint="eastAsia" w:ascii="宋体" w:hAnsi="宋体" w:cs="宋体"/>
          <w:color w:val="auto"/>
          <w:szCs w:val="21"/>
        </w:rPr>
        <w:t>磋商中，</w:t>
      </w:r>
      <w:r>
        <w:rPr>
          <w:rFonts w:hint="eastAsia" w:ascii="宋体" w:hAnsi="宋体" w:cs="宋体"/>
          <w:color w:val="auto"/>
          <w:spacing w:val="-6"/>
          <w:szCs w:val="21"/>
        </w:rPr>
        <w:t>磋商的任何一方不得透露与磋商有关的其他供应商的技术资料、价格和其他信息。</w:t>
      </w:r>
    </w:p>
    <w:p w14:paraId="3115E1B5">
      <w:pPr>
        <w:pStyle w:val="38"/>
        <w:spacing w:before="0"/>
        <w:ind w:firstLine="396"/>
        <w:rPr>
          <w:rFonts w:hint="eastAsia" w:ascii="宋体" w:hAnsi="宋体" w:eastAsia="宋体" w:cs="宋体"/>
          <w:color w:val="auto"/>
          <w:spacing w:val="-6"/>
          <w:kern w:val="2"/>
          <w:sz w:val="21"/>
          <w:szCs w:val="21"/>
          <w:lang w:val="en-US" w:eastAsia="zh-CN" w:bidi="ar-SA"/>
        </w:rPr>
      </w:pPr>
      <w:r>
        <w:rPr>
          <w:rFonts w:hint="eastAsia" w:ascii="宋体" w:hAnsi="宋体" w:eastAsia="宋体" w:cs="宋体"/>
          <w:color w:val="auto"/>
          <w:spacing w:val="-6"/>
          <w:kern w:val="2"/>
          <w:sz w:val="21"/>
          <w:szCs w:val="21"/>
          <w:lang w:val="en-US" w:eastAsia="zh-CN" w:bidi="ar-SA"/>
        </w:rPr>
        <w:t>3.6磋商小组应对磋商过程和重要磋商内容进行记录。</w:t>
      </w:r>
    </w:p>
    <w:p w14:paraId="291CE3A5">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3.7</w:t>
      </w:r>
      <w:r>
        <w:rPr>
          <w:rFonts w:hint="eastAsia" w:ascii="宋体" w:hAnsi="宋体" w:cs="宋体"/>
          <w:color w:val="auto"/>
          <w:szCs w:val="21"/>
        </w:rPr>
        <w:t>磋商过程中重新提交的响应文件，供应商可以在开启前补充、修改。</w:t>
      </w:r>
    </w:p>
    <w:p w14:paraId="4921FB4D">
      <w:pPr>
        <w:widowControl/>
        <w:tabs>
          <w:tab w:val="left" w:pos="540"/>
        </w:tabs>
        <w:spacing w:line="360" w:lineRule="auto"/>
        <w:ind w:firstLine="420" w:firstLineChars="200"/>
        <w:jc w:val="left"/>
        <w:rPr>
          <w:rFonts w:ascii="宋体" w:hAnsi="宋体" w:cs="宋体"/>
          <w:color w:val="auto"/>
          <w:szCs w:val="21"/>
        </w:rPr>
      </w:pPr>
      <w:r>
        <w:rPr>
          <w:rFonts w:ascii="宋体" w:hAnsi="宋体" w:cs="宋体"/>
          <w:color w:val="auto"/>
          <w:szCs w:val="21"/>
        </w:rPr>
        <w:t>3.8</w:t>
      </w:r>
      <w:r>
        <w:rPr>
          <w:rFonts w:ascii="宋体" w:hAnsi="宋体"/>
          <w:color w:val="auto"/>
          <w:szCs w:val="21"/>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D8AE0F4">
      <w:pPr>
        <w:tabs>
          <w:tab w:val="left" w:pos="2835"/>
        </w:tabs>
        <w:spacing w:line="360" w:lineRule="auto"/>
        <w:ind w:firstLine="420" w:firstLineChars="200"/>
        <w:rPr>
          <w:rFonts w:ascii="宋体" w:hAnsi="宋体" w:cs="宋体"/>
          <w:color w:val="auto"/>
          <w:szCs w:val="21"/>
        </w:rPr>
      </w:pPr>
      <w:r>
        <w:rPr>
          <w:rFonts w:ascii="宋体" w:hAnsi="宋体" w:cs="宋体"/>
          <w:color w:val="auto"/>
          <w:szCs w:val="21"/>
        </w:rPr>
        <w:t>3.9</w:t>
      </w:r>
      <w:r>
        <w:rPr>
          <w:rFonts w:hint="eastAsia" w:ascii="宋体" w:hAnsi="宋体"/>
          <w:color w:val="auto"/>
          <w:szCs w:val="21"/>
        </w:rPr>
        <w:t>对磋商过程提交的响应文件进行有效性、完整性和响应程度审查，通过审查的合格供应商不足3家的，除本章第</w:t>
      </w:r>
      <w:r>
        <w:rPr>
          <w:rFonts w:ascii="宋体" w:hAnsi="宋体"/>
          <w:color w:val="auto"/>
          <w:szCs w:val="21"/>
        </w:rPr>
        <w:t>3.8</w:t>
      </w:r>
      <w:r>
        <w:rPr>
          <w:rFonts w:hint="eastAsia" w:ascii="宋体" w:hAnsi="宋体"/>
          <w:color w:val="auto"/>
          <w:szCs w:val="21"/>
        </w:rPr>
        <w:t>条的情形外，采购人或者采购代理机构应当重新开展采购活动。</w:t>
      </w:r>
    </w:p>
    <w:p w14:paraId="76A2CDAF">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4. 最后报价</w:t>
      </w:r>
    </w:p>
    <w:p w14:paraId="600D17FA">
      <w:pPr>
        <w:spacing w:line="360" w:lineRule="auto"/>
        <w:ind w:firstLine="420" w:firstLineChars="200"/>
        <w:rPr>
          <w:rFonts w:ascii="宋体" w:hAnsi="宋体" w:cs="宋体"/>
          <w:color w:val="auto"/>
          <w:szCs w:val="21"/>
        </w:rPr>
      </w:pP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磋商文件能够详细列明采购标的的技术、服务要求的，磋商结束后，由磋商小组要求所有继续参加磋商的供应商</w:t>
      </w:r>
      <w:r>
        <w:rPr>
          <w:rFonts w:hint="eastAsia" w:ascii="宋体" w:hAnsi="宋体" w:cs="宋体"/>
          <w:color w:val="auto"/>
          <w:szCs w:val="21"/>
          <w:lang w:val="en-US" w:eastAsia="zh-CN"/>
        </w:rPr>
        <w:t>在规定时间内在广西政府采购云平台开标大厅提交加盖供应商电子签章的最后报价</w:t>
      </w:r>
      <w:r>
        <w:rPr>
          <w:rFonts w:hint="eastAsia" w:ascii="宋体" w:hAnsi="宋体" w:cs="宋体"/>
          <w:color w:val="auto"/>
          <w:szCs w:val="21"/>
        </w:rPr>
        <w:t>，提交最后报价的供应商不得少于3家，除本章第</w:t>
      </w:r>
      <w:r>
        <w:rPr>
          <w:rFonts w:ascii="宋体" w:hAnsi="宋体" w:cs="宋体"/>
          <w:color w:val="auto"/>
          <w:szCs w:val="21"/>
        </w:rPr>
        <w:t>4.3</w:t>
      </w:r>
      <w:r>
        <w:rPr>
          <w:rFonts w:hint="eastAsia" w:ascii="宋体" w:hAnsi="宋体" w:cs="宋体"/>
          <w:color w:val="auto"/>
          <w:szCs w:val="21"/>
        </w:rPr>
        <w:t>条外，否则必须重新采购。</w:t>
      </w:r>
    </w:p>
    <w:p w14:paraId="0F4FF43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w:t>
      </w:r>
      <w:r>
        <w:rPr>
          <w:rFonts w:hint="eastAsia" w:ascii="宋体" w:hAnsi="宋体" w:cs="宋体"/>
          <w:color w:val="auto"/>
          <w:szCs w:val="21"/>
          <w:lang w:val="en-US" w:eastAsia="zh-CN"/>
        </w:rPr>
        <w:t>在规定时间内在广西政府采购云平台开标大厅提交加盖供应商电子签章的最后报价</w:t>
      </w:r>
      <w:r>
        <w:rPr>
          <w:rFonts w:hint="eastAsia" w:ascii="宋体" w:hAnsi="宋体" w:cs="宋体"/>
          <w:color w:val="auto"/>
          <w:szCs w:val="21"/>
        </w:rPr>
        <w:t>。</w:t>
      </w:r>
    </w:p>
    <w:p w14:paraId="4DBAC31D">
      <w:pPr>
        <w:spacing w:line="360" w:lineRule="auto"/>
        <w:ind w:firstLine="422" w:firstLineChars="200"/>
        <w:rPr>
          <w:rFonts w:hint="eastAsia" w:ascii="宋体" w:hAnsi="宋体" w:cs="宋体"/>
          <w:b/>
          <w:bCs/>
          <w:color w:val="auto"/>
          <w:szCs w:val="21"/>
        </w:rPr>
      </w:pPr>
      <w:r>
        <w:rPr>
          <w:rFonts w:hint="eastAsia" w:ascii="宋体" w:hAnsi="宋体" w:cs="宋体"/>
          <w:b/>
          <w:bCs/>
          <w:color w:val="auto"/>
          <w:szCs w:val="21"/>
          <w:lang w:val="en-US" w:eastAsia="zh-CN"/>
        </w:rPr>
        <w:t>如果供应商的最后报价与首次报价不一致的，不能只报竞标总报价，必须同时提供“已标价工程量清单”，否则做无效响应处理。</w:t>
      </w:r>
    </w:p>
    <w:p w14:paraId="715AD60A">
      <w:pPr>
        <w:spacing w:line="360" w:lineRule="auto"/>
        <w:ind w:firstLine="420" w:firstLineChars="200"/>
        <w:rPr>
          <w:rFonts w:ascii="宋体" w:hAnsi="宋体" w:cs="宋体"/>
          <w:color w:val="auto"/>
          <w:szCs w:val="21"/>
        </w:rPr>
      </w:pPr>
      <w:r>
        <w:rPr>
          <w:rFonts w:ascii="宋体" w:hAnsi="宋体" w:cs="宋体"/>
          <w:color w:val="auto"/>
          <w:szCs w:val="21"/>
        </w:rPr>
        <w:t>4.3</w:t>
      </w:r>
      <w:r>
        <w:rPr>
          <w:rFonts w:hint="eastAsia" w:ascii="宋体" w:hAnsi="宋体" w:cs="宋体"/>
          <w:color w:val="auto"/>
          <w:szCs w:val="21"/>
        </w:rPr>
        <w:t xml:space="preserve"> 最后报价是供应商响应文件的有效组成部分。符合《政府采购竞争性磋商采购方式管理暂行办法》（财库〔2014〕214号）第三条第四项“市场竞争不充分的科研项目，以及需要扶持的科技成果转化项目”和本章第</w:t>
      </w:r>
      <w:r>
        <w:rPr>
          <w:rFonts w:ascii="宋体" w:hAnsi="宋体" w:cs="宋体"/>
          <w:color w:val="auto"/>
          <w:szCs w:val="21"/>
        </w:rPr>
        <w:t>3.8</w:t>
      </w:r>
      <w:r>
        <w:rPr>
          <w:rFonts w:hint="eastAsia" w:ascii="宋体" w:hAnsi="宋体" w:cs="宋体"/>
          <w:color w:val="auto"/>
          <w:szCs w:val="21"/>
        </w:rPr>
        <w:t>条情形的，提交最后报价的供应商可以为2家。</w:t>
      </w:r>
    </w:p>
    <w:p w14:paraId="6CD3B13E">
      <w:pPr>
        <w:spacing w:line="360" w:lineRule="auto"/>
        <w:ind w:firstLine="420" w:firstLineChars="200"/>
        <w:rPr>
          <w:rFonts w:ascii="宋体" w:hAnsi="宋体" w:cs="宋体"/>
          <w:color w:val="auto"/>
          <w:szCs w:val="21"/>
        </w:rPr>
      </w:pPr>
      <w:r>
        <w:rPr>
          <w:rFonts w:ascii="宋体" w:hAnsi="宋体" w:cs="宋体"/>
          <w:color w:val="auto"/>
          <w:szCs w:val="21"/>
        </w:rPr>
        <w:t>4.4</w:t>
      </w:r>
      <w:r>
        <w:rPr>
          <w:rFonts w:hint="eastAsia" w:ascii="宋体" w:hAnsi="宋体" w:cs="宋体"/>
          <w:color w:val="auto"/>
          <w:szCs w:val="21"/>
        </w:rPr>
        <w:t>已经提交响应文件的供应商，在提交最后报价之前，可以根据磋商情况退出磋商，退出磋商的供应商的响应文件按无效响应处理。采购人、采购代理机构将退还退出磋商的供应商的保证金。</w:t>
      </w:r>
    </w:p>
    <w:p w14:paraId="6DD880E0">
      <w:pPr>
        <w:spacing w:line="360" w:lineRule="auto"/>
        <w:ind w:firstLine="420" w:firstLineChars="200"/>
        <w:rPr>
          <w:rFonts w:ascii="宋体" w:hAnsi="宋体" w:cs="宋体"/>
          <w:color w:val="auto"/>
          <w:szCs w:val="21"/>
        </w:rPr>
      </w:pPr>
      <w:r>
        <w:rPr>
          <w:rFonts w:ascii="宋体" w:hAnsi="宋体" w:cs="宋体"/>
          <w:color w:val="auto"/>
          <w:szCs w:val="21"/>
        </w:rPr>
        <w:t>4.5</w:t>
      </w:r>
      <w:r>
        <w:rPr>
          <w:rFonts w:hint="eastAsia" w:ascii="宋体" w:hAnsi="宋体" w:cs="宋体"/>
          <w:color w:val="auto"/>
          <w:szCs w:val="21"/>
        </w:rPr>
        <w:t>供应商未在规定时间内提交最后报价的，视为退出磋商，其响应文件作无效处理。</w:t>
      </w:r>
    </w:p>
    <w:p w14:paraId="137F8ADA">
      <w:pPr>
        <w:spacing w:line="360" w:lineRule="auto"/>
        <w:ind w:firstLine="420" w:firstLineChars="200"/>
        <w:rPr>
          <w:rFonts w:ascii="宋体" w:hAnsi="宋体" w:cs="宋体"/>
          <w:color w:val="auto"/>
          <w:szCs w:val="21"/>
        </w:rPr>
      </w:pPr>
      <w:r>
        <w:rPr>
          <w:rFonts w:ascii="宋体" w:hAnsi="宋体" w:cs="宋体"/>
          <w:color w:val="auto"/>
          <w:szCs w:val="21"/>
        </w:rPr>
        <w:t>4.6</w:t>
      </w:r>
      <w:r>
        <w:rPr>
          <w:rFonts w:hint="eastAsia" w:ascii="宋体" w:hAnsi="宋体" w:cs="宋体"/>
          <w:color w:val="auto"/>
          <w:szCs w:val="21"/>
        </w:rPr>
        <w:t>最后报价后统一开启，磋商小组对最后报价进行有效性、完整性和响应程度的审查。</w:t>
      </w:r>
    </w:p>
    <w:p w14:paraId="6BAC0CDE">
      <w:pPr>
        <w:spacing w:line="360" w:lineRule="auto"/>
        <w:ind w:firstLine="420" w:firstLineChars="200"/>
        <w:rPr>
          <w:rFonts w:ascii="宋体" w:hAnsi="宋体" w:cs="宋体"/>
          <w:color w:val="auto"/>
          <w:szCs w:val="21"/>
        </w:rPr>
      </w:pPr>
      <w:r>
        <w:rPr>
          <w:rFonts w:ascii="宋体" w:hAnsi="宋体" w:cs="宋体"/>
          <w:color w:val="auto"/>
          <w:szCs w:val="21"/>
        </w:rPr>
        <w:t>4.7</w:t>
      </w:r>
      <w:r>
        <w:rPr>
          <w:rFonts w:hint="eastAsia" w:ascii="宋体" w:hAnsi="宋体" w:cs="宋体"/>
          <w:color w:val="auto"/>
          <w:szCs w:val="21"/>
        </w:rPr>
        <w:t>响应文件最后报价出现前后不一致的，按照本章第</w:t>
      </w:r>
      <w:r>
        <w:rPr>
          <w:rFonts w:ascii="宋体" w:hAnsi="宋体" w:cs="宋体"/>
          <w:color w:val="auto"/>
          <w:szCs w:val="21"/>
        </w:rPr>
        <w:t>2.4</w:t>
      </w:r>
      <w:r>
        <w:rPr>
          <w:rFonts w:hint="eastAsia" w:ascii="宋体" w:hAnsi="宋体" w:cs="宋体"/>
          <w:color w:val="auto"/>
          <w:szCs w:val="21"/>
        </w:rPr>
        <w:t xml:space="preserve">条的规定修正。 </w:t>
      </w:r>
    </w:p>
    <w:p w14:paraId="5813DE18">
      <w:pPr>
        <w:spacing w:line="360" w:lineRule="auto"/>
        <w:ind w:firstLine="420" w:firstLineChars="200"/>
        <w:rPr>
          <w:rFonts w:ascii="宋体" w:hAnsi="宋体" w:cs="宋体"/>
          <w:color w:val="auto"/>
          <w:szCs w:val="21"/>
        </w:rPr>
      </w:pPr>
      <w:r>
        <w:rPr>
          <w:rFonts w:ascii="宋体" w:hAnsi="宋体" w:cs="宋体"/>
          <w:color w:val="auto"/>
          <w:szCs w:val="21"/>
        </w:rPr>
        <w:t>4.8</w:t>
      </w:r>
      <w:r>
        <w:rPr>
          <w:rFonts w:hint="eastAsia" w:ascii="宋体" w:hAnsi="宋体" w:cs="宋体"/>
          <w:color w:val="auto"/>
          <w:szCs w:val="21"/>
        </w:rPr>
        <w:t>修正后的报价出现下列情形的，按无效响应处理：</w:t>
      </w:r>
    </w:p>
    <w:p w14:paraId="5370CFD1">
      <w:pPr>
        <w:spacing w:line="360" w:lineRule="auto"/>
        <w:ind w:firstLine="420" w:firstLineChars="200"/>
        <w:rPr>
          <w:rFonts w:ascii="宋体" w:hAnsi="宋体" w:cs="宋体"/>
          <w:color w:val="auto"/>
          <w:szCs w:val="21"/>
        </w:rPr>
      </w:pPr>
      <w:r>
        <w:rPr>
          <w:rFonts w:hint="eastAsia" w:ascii="宋体" w:hAnsi="宋体" w:cs="宋体"/>
          <w:color w:val="auto"/>
          <w:szCs w:val="21"/>
        </w:rPr>
        <w:t>（1）供应商不确认的；</w:t>
      </w:r>
    </w:p>
    <w:p w14:paraId="6DBC8B31">
      <w:pPr>
        <w:spacing w:line="360" w:lineRule="auto"/>
        <w:ind w:firstLine="420" w:firstLineChars="200"/>
        <w:rPr>
          <w:rFonts w:ascii="宋体" w:hAnsi="宋体" w:cs="宋体"/>
          <w:color w:val="auto"/>
          <w:szCs w:val="21"/>
        </w:rPr>
      </w:pPr>
      <w:r>
        <w:rPr>
          <w:rFonts w:hint="eastAsia" w:ascii="宋体" w:hAnsi="宋体" w:cs="宋体"/>
          <w:color w:val="auto"/>
          <w:szCs w:val="21"/>
        </w:rPr>
        <w:t>（2）经供应商确认修正后的竞标报价（包含首次报价、最后报价）超过所竞标分标规定的采购预算金额或者最高限价的（如本项目公布了最高限价）；</w:t>
      </w:r>
    </w:p>
    <w:p w14:paraId="3E533E09">
      <w:pPr>
        <w:spacing w:line="360" w:lineRule="auto"/>
        <w:ind w:firstLine="420" w:firstLineChars="200"/>
        <w:rPr>
          <w:rFonts w:ascii="宋体" w:hAnsi="宋体" w:cs="宋体"/>
          <w:color w:val="auto"/>
          <w:szCs w:val="21"/>
        </w:rPr>
      </w:pPr>
      <w:r>
        <w:rPr>
          <w:rFonts w:hint="eastAsia" w:ascii="宋体" w:hAnsi="宋体" w:cs="宋体"/>
          <w:color w:val="auto"/>
          <w:szCs w:val="21"/>
        </w:rPr>
        <w:t>（3）经供应商确认修正后的竞标报价（包含首次报价、最后报价）超过分项采购预算金额或者最高限价的（如本项目公布了最高限价）。</w:t>
      </w:r>
    </w:p>
    <w:p w14:paraId="0C414C6C">
      <w:pPr>
        <w:spacing w:line="360" w:lineRule="auto"/>
        <w:ind w:firstLine="420" w:firstLineChars="200"/>
        <w:rPr>
          <w:rFonts w:ascii="宋体" w:hAnsi="宋体" w:cs="宋体"/>
          <w:color w:val="auto"/>
          <w:szCs w:val="21"/>
        </w:rPr>
      </w:pPr>
      <w:r>
        <w:rPr>
          <w:rFonts w:ascii="宋体" w:hAnsi="宋体" w:cs="宋体"/>
          <w:color w:val="auto"/>
          <w:szCs w:val="21"/>
        </w:rPr>
        <w:t>4.9</w:t>
      </w:r>
      <w:r>
        <w:rPr>
          <w:rFonts w:hint="eastAsia" w:ascii="宋体" w:hAnsi="宋体" w:cs="宋体"/>
          <w:color w:val="auto"/>
          <w:szCs w:val="21"/>
        </w:rPr>
        <w:t>经供应商确认修正后的最后报价作为评审及签订合同的依据。</w:t>
      </w:r>
    </w:p>
    <w:p w14:paraId="7BD1FBCF">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4.10 异常低价响应审查 </w:t>
      </w:r>
    </w:p>
    <w:p w14:paraId="514A406F">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（1）磋商小组在评审中发现下列情形之一的，应当启动异常低价响应审查程序： </w:t>
      </w:r>
    </w:p>
    <w:p w14:paraId="48CEC2AB">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①响应报价低于全部通过符合性审查供应商响应报价平均值50%的，即响应报价＜全部通过符合性审查供应商响应报价平均值×50%； </w:t>
      </w:r>
    </w:p>
    <w:p w14:paraId="7C7521D6">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②响应报价低于通过符合性审查的次低报价供应商响应报价50%的，即响应报价＜通过符合性审查的次低报价供应商响应报价×50% ； </w:t>
      </w:r>
    </w:p>
    <w:p w14:paraId="12F76AAE">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③响应报价低于采购项目最高限价65%的，即响应报价＜采购项目最高限价×65%； </w:t>
      </w:r>
    </w:p>
    <w:p w14:paraId="07129DE6">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④磋商小组基于专业判断，认为供应商报价过低，有可能影响产品质量或者不能诚信履约的其他情形。 </w:t>
      </w:r>
    </w:p>
    <w:p w14:paraId="2B9FD326">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 </w:t>
      </w:r>
    </w:p>
    <w:p w14:paraId="37549382">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磋商小组依据专业经验，参考同类项目中标（成交）价格、类似产品市场价格水平、行业人工费用标准、国家有关部门指导行业协会发布的行业平均成本等情况，对报价合理性进行判断。 </w:t>
      </w:r>
    </w:p>
    <w:p w14:paraId="26028B6B">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相关供应商不能提供书面说明、证明材料，或者提供的书面说明、证明材料不能证明其报价合理性的，磋商小组应当将其作为无效响应处理。 </w:t>
      </w:r>
    </w:p>
    <w:p w14:paraId="529ECB40">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 </w:t>
      </w:r>
    </w:p>
    <w:p w14:paraId="3669E296">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 xml:space="preserve">异常低价响应审查的启动原因、审查意见和审查结果应当在评审报告中记录，并随供应商提供的相关书面说明及证明材料，以及磋商小组有关互联网浏览、查询历史一并归档。 </w:t>
      </w:r>
    </w:p>
    <w:p w14:paraId="38008F6D">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4.11 供应商出现最后报价按无效响应处理或者响应文件按无效处理时，磋商小组应当告知有关供应商。</w:t>
      </w:r>
    </w:p>
    <w:p w14:paraId="252EC55B">
      <w:pPr>
        <w:spacing w:line="360" w:lineRule="auto"/>
        <w:ind w:firstLine="420" w:firstLineChars="200"/>
        <w:rPr>
          <w:rFonts w:ascii="宋体" w:hAnsi="宋体" w:cs="宋体"/>
          <w:color w:val="auto"/>
          <w:szCs w:val="21"/>
        </w:rPr>
      </w:pPr>
      <w:r>
        <w:rPr>
          <w:rFonts w:ascii="宋体" w:hAnsi="宋体" w:cs="宋体"/>
          <w:color w:val="auto"/>
          <w:szCs w:val="21"/>
        </w:rPr>
        <w:t>4.1</w:t>
      </w:r>
      <w:r>
        <w:rPr>
          <w:rFonts w:hint="eastAsia" w:ascii="宋体" w:hAnsi="宋体" w:cs="宋体"/>
          <w:color w:val="auto"/>
          <w:szCs w:val="21"/>
          <w:lang w:val="en-US" w:eastAsia="zh-CN"/>
        </w:rPr>
        <w:t>2</w:t>
      </w:r>
      <w:r>
        <w:rPr>
          <w:rFonts w:hint="eastAsia" w:ascii="宋体" w:hAnsi="宋体" w:cs="宋体"/>
          <w:color w:val="auto"/>
          <w:szCs w:val="21"/>
        </w:rPr>
        <w:t>最后报价结束后，磋商小组不得再与供应商进行任何形式的商谈。</w:t>
      </w:r>
    </w:p>
    <w:p w14:paraId="6379337E">
      <w:pPr>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5.比较与评价</w:t>
      </w:r>
    </w:p>
    <w:p w14:paraId="00072121">
      <w:pPr>
        <w:spacing w:line="360" w:lineRule="auto"/>
        <w:ind w:firstLine="420" w:firstLineChars="200"/>
        <w:rPr>
          <w:rFonts w:ascii="宋体" w:hAnsi="宋体" w:cs="宋体"/>
          <w:color w:val="auto"/>
          <w:szCs w:val="21"/>
        </w:rPr>
      </w:pPr>
      <w:r>
        <w:rPr>
          <w:rFonts w:ascii="宋体" w:hAnsi="宋体" w:cs="宋体"/>
          <w:color w:val="auto"/>
          <w:szCs w:val="21"/>
        </w:rPr>
        <w:t>5.1</w:t>
      </w:r>
      <w:r>
        <w:rPr>
          <w:rFonts w:hint="eastAsia" w:ascii="宋体" w:hAnsi="宋体" w:cs="宋体"/>
          <w:color w:val="auto"/>
          <w:szCs w:val="21"/>
        </w:rPr>
        <w:t>评审方法：综合评分法。</w:t>
      </w:r>
    </w:p>
    <w:p w14:paraId="20C7BD7D">
      <w:pPr>
        <w:spacing w:line="360" w:lineRule="auto"/>
        <w:ind w:firstLine="420" w:firstLineChars="200"/>
        <w:rPr>
          <w:rFonts w:ascii="宋体" w:hAnsi="宋体" w:cs="宋体"/>
          <w:color w:val="auto"/>
          <w:szCs w:val="21"/>
        </w:rPr>
      </w:pPr>
      <w:r>
        <w:rPr>
          <w:rFonts w:ascii="宋体" w:hAnsi="宋体" w:cs="宋体"/>
          <w:color w:val="auto"/>
          <w:szCs w:val="21"/>
        </w:rPr>
        <w:t>5.2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010351A4">
      <w:pPr>
        <w:spacing w:line="360" w:lineRule="auto"/>
        <w:ind w:firstLine="420" w:firstLineChars="200"/>
        <w:rPr>
          <w:rFonts w:ascii="宋体" w:hAnsi="宋体" w:cs="宋体"/>
          <w:color w:val="auto"/>
          <w:szCs w:val="21"/>
        </w:rPr>
      </w:pPr>
      <w:r>
        <w:rPr>
          <w:rFonts w:ascii="宋体" w:hAnsi="宋体" w:cs="宋体"/>
          <w:color w:val="auto"/>
          <w:szCs w:val="21"/>
        </w:rPr>
        <w:t>5.3</w:t>
      </w:r>
      <w:r>
        <w:rPr>
          <w:rFonts w:hint="eastAsia" w:ascii="宋体" w:hAnsi="宋体" w:cs="宋体"/>
          <w:color w:val="auto"/>
          <w:szCs w:val="21"/>
        </w:rPr>
        <w:t>评审时，磋商小组各成员应当独立对每个有效响应的文件进行评价、打分，然后汇总每个供应商每项评分因素的得分。</w:t>
      </w:r>
    </w:p>
    <w:p w14:paraId="150103F4">
      <w:pPr>
        <w:spacing w:line="360" w:lineRule="auto"/>
        <w:ind w:firstLine="420" w:firstLineChars="200"/>
        <w:rPr>
          <w:rFonts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2A1F38BA">
      <w:pPr>
        <w:spacing w:line="360" w:lineRule="auto"/>
        <w:ind w:firstLine="420" w:firstLineChars="200"/>
        <w:rPr>
          <w:rFonts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42F4F85A">
      <w:pPr>
        <w:spacing w:line="360" w:lineRule="auto"/>
        <w:ind w:firstLine="420" w:firstLineChars="200"/>
        <w:rPr>
          <w:rFonts w:ascii="宋体" w:hAnsi="宋体" w:cs="宋体"/>
          <w:color w:val="auto"/>
          <w:szCs w:val="21"/>
        </w:rPr>
      </w:pPr>
      <w:r>
        <w:rPr>
          <w:rFonts w:ascii="宋体" w:hAnsi="宋体" w:cs="宋体"/>
          <w:color w:val="auto"/>
          <w:szCs w:val="21"/>
        </w:rPr>
        <w:t>5.4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4293B365">
      <w:pPr>
        <w:spacing w:line="360" w:lineRule="auto"/>
        <w:ind w:firstLine="420" w:firstLineChars="200"/>
        <w:rPr>
          <w:rFonts w:ascii="宋体" w:hAnsi="宋体"/>
          <w:color w:val="auto"/>
          <w:kern w:val="0"/>
          <w:szCs w:val="21"/>
        </w:rPr>
      </w:pPr>
      <w:r>
        <w:rPr>
          <w:rFonts w:ascii="宋体" w:hAnsi="宋体" w:cs="宋体"/>
          <w:color w:val="auto"/>
          <w:szCs w:val="21"/>
        </w:rPr>
        <w:t>5.5</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0E6F5004">
      <w:pPr>
        <w:spacing w:line="360" w:lineRule="auto"/>
        <w:ind w:firstLine="420" w:firstLineChars="200"/>
        <w:rPr>
          <w:rFonts w:hint="eastAsia" w:ascii="宋体" w:hAnsi="宋体"/>
          <w:b/>
          <w:color w:val="auto"/>
          <w:sz w:val="32"/>
          <w:szCs w:val="32"/>
        </w:rPr>
      </w:pPr>
      <w:r>
        <w:rPr>
          <w:rFonts w:ascii="宋体" w:hAnsi="宋体"/>
          <w:color w:val="auto"/>
          <w:kern w:val="0"/>
          <w:szCs w:val="21"/>
        </w:rPr>
        <w:t>5.6</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455774D">
      <w:pPr>
        <w:spacing w:line="360" w:lineRule="auto"/>
        <w:jc w:val="center"/>
        <w:rPr>
          <w:rFonts w:ascii="宋体" w:hAnsi="宋体"/>
          <w:b/>
          <w:color w:val="auto"/>
          <w:sz w:val="32"/>
          <w:szCs w:val="32"/>
        </w:rPr>
      </w:pPr>
      <w:r>
        <w:rPr>
          <w:rFonts w:hint="eastAsia" w:ascii="宋体" w:hAnsi="宋体"/>
          <w:b/>
          <w:color w:val="auto"/>
          <w:sz w:val="32"/>
          <w:szCs w:val="32"/>
        </w:rPr>
        <w:t>二、评审标准</w:t>
      </w:r>
    </w:p>
    <w:p w14:paraId="48D6C8F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ascii="宋体" w:hAnsi="宋体"/>
          <w:bCs/>
          <w:color w:val="auto"/>
          <w:szCs w:val="21"/>
        </w:rPr>
      </w:pPr>
      <w:r>
        <w:rPr>
          <w:rFonts w:hint="eastAsia" w:ascii="宋体" w:hAnsi="宋体"/>
          <w:bCs/>
          <w:color w:val="auto"/>
          <w:szCs w:val="21"/>
        </w:rPr>
        <w:t>6</w:t>
      </w:r>
      <w:r>
        <w:rPr>
          <w:rFonts w:ascii="宋体" w:hAnsi="宋体"/>
          <w:bCs/>
          <w:color w:val="auto"/>
          <w:szCs w:val="21"/>
        </w:rPr>
        <w:t>.</w:t>
      </w:r>
      <w:r>
        <w:rPr>
          <w:rFonts w:hint="eastAsia" w:ascii="宋体" w:hAnsi="宋体"/>
          <w:bCs/>
          <w:color w:val="auto"/>
          <w:szCs w:val="21"/>
        </w:rPr>
        <w:t>评审依据：磋商小组将以磋商响应文件为评审依据，对供应商的响应文件内容按百分制打分。（计分方法按四舍五入取至百分位）</w:t>
      </w:r>
    </w:p>
    <w:tbl>
      <w:tblPr>
        <w:tblStyle w:val="2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80"/>
        <w:gridCol w:w="1164"/>
        <w:gridCol w:w="6060"/>
        <w:gridCol w:w="853"/>
      </w:tblGrid>
      <w:tr w14:paraId="496C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25D9655F">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644" w:type="dxa"/>
            <w:gridSpan w:val="2"/>
            <w:noWrap w:val="0"/>
            <w:vAlign w:val="center"/>
          </w:tcPr>
          <w:p w14:paraId="5EAC75B2">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060" w:type="dxa"/>
            <w:noWrap w:val="0"/>
            <w:vAlign w:val="center"/>
          </w:tcPr>
          <w:p w14:paraId="6AD3139D">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评审标准</w:t>
            </w:r>
          </w:p>
        </w:tc>
        <w:tc>
          <w:tcPr>
            <w:tcW w:w="853" w:type="dxa"/>
            <w:noWrap w:val="0"/>
            <w:vAlign w:val="center"/>
          </w:tcPr>
          <w:p w14:paraId="2D4FA0D7">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75CD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72B0490C">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1644" w:type="dxa"/>
            <w:gridSpan w:val="2"/>
            <w:noWrap w:val="0"/>
            <w:vAlign w:val="center"/>
          </w:tcPr>
          <w:p w14:paraId="543D50CC">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价格分</w:t>
            </w:r>
          </w:p>
        </w:tc>
        <w:tc>
          <w:tcPr>
            <w:tcW w:w="6060" w:type="dxa"/>
            <w:noWrap w:val="0"/>
            <w:vAlign w:val="top"/>
          </w:tcPr>
          <w:p w14:paraId="24FF0922">
            <w:pPr>
              <w:pStyle w:val="14"/>
              <w:keepNext w:val="0"/>
              <w:keepLines w:val="0"/>
              <w:pageBreakBefore w:val="0"/>
              <w:numPr>
                <w:ilvl w:val="0"/>
                <w:numId w:val="5"/>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政府采购政策扣除</w:t>
            </w:r>
          </w:p>
          <w:p w14:paraId="0E03A9B1">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bCs/>
                <w:color w:val="auto"/>
                <w:sz w:val="21"/>
                <w:szCs w:val="21"/>
                <w:highlight w:val="none"/>
                <w:lang w:val="en-US" w:eastAsia="zh-CN"/>
              </w:rPr>
              <w:t>本项目为专门面向中小企业采购的项目（供应商应为中小微企业、监狱企业、残疾人福利单位），因此不享受政府采购政策扣除。</w:t>
            </w:r>
          </w:p>
          <w:p w14:paraId="6C74DA46">
            <w:pPr>
              <w:pStyle w:val="14"/>
              <w:keepNext w:val="0"/>
              <w:keepLines w:val="0"/>
              <w:pageBreakBefore w:val="0"/>
              <w:kinsoku/>
              <w:wordWrap/>
              <w:overflowPunct/>
              <w:topLinePunct w:val="0"/>
              <w:autoSpaceDE/>
              <w:autoSpaceDN/>
              <w:bidi w:val="0"/>
              <w:adjustRightInd/>
              <w:snapToGrid/>
              <w:spacing w:line="400" w:lineRule="exact"/>
              <w:textAlignment w:val="auto"/>
              <w:outlineLvl w:val="0"/>
              <w:rPr>
                <w:rFonts w:hint="eastAsia" w:ascii="宋体" w:hAnsi="宋体" w:eastAsia="宋体" w:cs="宋体"/>
                <w:b/>
                <w:color w:val="auto"/>
                <w:sz w:val="21"/>
                <w:szCs w:val="21"/>
                <w:highlight w:val="none"/>
                <w:lang w:val="en-US" w:eastAsia="zh-CN"/>
              </w:rPr>
            </w:pPr>
            <w:bookmarkStart w:id="89" w:name="_Toc25072"/>
            <w:r>
              <w:rPr>
                <w:rFonts w:hint="eastAsia" w:ascii="宋体" w:hAnsi="宋体" w:eastAsia="宋体" w:cs="宋体"/>
                <w:b/>
                <w:color w:val="auto"/>
                <w:sz w:val="21"/>
                <w:szCs w:val="21"/>
                <w:highlight w:val="none"/>
                <w:lang w:val="en-US" w:eastAsia="zh-CN"/>
              </w:rPr>
              <w:t>二、</w:t>
            </w:r>
            <w:r>
              <w:rPr>
                <w:rFonts w:hint="eastAsia" w:ascii="宋体" w:hAnsi="宋体" w:eastAsia="宋体" w:cs="宋体"/>
                <w:b/>
                <w:color w:val="auto"/>
                <w:sz w:val="21"/>
                <w:szCs w:val="21"/>
                <w:highlight w:val="none"/>
              </w:rPr>
              <w:t>报价</w:t>
            </w:r>
            <w:r>
              <w:rPr>
                <w:rFonts w:hint="eastAsia" w:ascii="宋体" w:hAnsi="宋体" w:eastAsia="宋体" w:cs="宋体"/>
                <w:b/>
                <w:color w:val="auto"/>
                <w:sz w:val="21"/>
                <w:szCs w:val="21"/>
                <w:highlight w:val="none"/>
                <w:lang w:val="en-US" w:eastAsia="zh-CN"/>
              </w:rPr>
              <w:t>分（满分20分）</w:t>
            </w:r>
            <w:bookmarkEnd w:id="89"/>
          </w:p>
          <w:p w14:paraId="7619B142">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报价分采用低价优先法计算，满足采购文件要求且评标价最低的有效供应商的评标价为评标基准价，其报价分为满分。</w:t>
            </w:r>
          </w:p>
          <w:p w14:paraId="0F6F6202">
            <w:pPr>
              <w:pStyle w:val="14"/>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2.其他供应商的价格分统一按照下列公式计算：</w:t>
            </w:r>
          </w:p>
          <w:p w14:paraId="6D4F9A2D">
            <w:pPr>
              <w:pStyle w:val="14"/>
              <w:spacing w:line="360" w:lineRule="auto"/>
              <w:ind w:firstLine="420" w:firstLineChars="200"/>
              <w:rPr>
                <w:rFonts w:hint="eastAsia" w:ascii="宋体" w:hAnsi="宋体" w:eastAsia="宋体" w:cs="宋体"/>
                <w:bCs/>
                <w:color w:val="auto"/>
                <w:kern w:val="2"/>
                <w:sz w:val="21"/>
                <w:highlight w:val="none"/>
              </w:rPr>
            </w:pPr>
            <w:r>
              <w:rPr>
                <w:rFonts w:hint="eastAsia" w:ascii="宋体" w:hAnsi="宋体" w:eastAsia="宋体" w:cs="宋体"/>
                <w:bCs/>
                <w:color w:val="auto"/>
                <w:sz w:val="21"/>
                <w:szCs w:val="21"/>
                <w:highlight w:val="none"/>
                <w:lang w:val="en-US" w:eastAsia="zh-CN"/>
              </w:rPr>
              <w:t>某有效供应商的报价分=（评标基准价／某有效供应商评标价）×20分</w:t>
            </w:r>
          </w:p>
        </w:tc>
        <w:tc>
          <w:tcPr>
            <w:tcW w:w="853" w:type="dxa"/>
            <w:noWrap w:val="0"/>
            <w:vAlign w:val="center"/>
          </w:tcPr>
          <w:p w14:paraId="5B9807F4">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20分</w:t>
            </w:r>
          </w:p>
        </w:tc>
      </w:tr>
      <w:tr w14:paraId="1FC8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noWrap w:val="0"/>
            <w:vAlign w:val="center"/>
          </w:tcPr>
          <w:p w14:paraId="3450337B">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2</w:t>
            </w:r>
          </w:p>
        </w:tc>
        <w:tc>
          <w:tcPr>
            <w:tcW w:w="1644" w:type="dxa"/>
            <w:gridSpan w:val="2"/>
            <w:noWrap w:val="0"/>
            <w:vAlign w:val="center"/>
          </w:tcPr>
          <w:p w14:paraId="309AAA57">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技术分</w:t>
            </w:r>
          </w:p>
        </w:tc>
        <w:tc>
          <w:tcPr>
            <w:tcW w:w="6060" w:type="dxa"/>
            <w:noWrap w:val="0"/>
            <w:vAlign w:val="center"/>
          </w:tcPr>
          <w:p w14:paraId="6440C786">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bCs/>
                <w:color w:val="auto"/>
                <w:highlight w:val="none"/>
              </w:rPr>
              <w:t>评审标准</w:t>
            </w:r>
          </w:p>
        </w:tc>
        <w:tc>
          <w:tcPr>
            <w:tcW w:w="853" w:type="dxa"/>
            <w:noWrap w:val="0"/>
            <w:vAlign w:val="center"/>
          </w:tcPr>
          <w:p w14:paraId="42956472">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65</w:t>
            </w:r>
            <w:r>
              <w:rPr>
                <w:rFonts w:hint="eastAsia" w:ascii="宋体" w:hAnsi="宋体" w:cs="Tahoma"/>
                <w:color w:val="auto"/>
                <w:kern w:val="0"/>
                <w:szCs w:val="21"/>
                <w:highlight w:val="none"/>
              </w:rPr>
              <w:t>分</w:t>
            </w:r>
          </w:p>
        </w:tc>
      </w:tr>
      <w:tr w14:paraId="4CFA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restart"/>
            <w:noWrap w:val="0"/>
            <w:vAlign w:val="center"/>
          </w:tcPr>
          <w:p w14:paraId="18E22D62">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2.1</w:t>
            </w:r>
          </w:p>
        </w:tc>
        <w:tc>
          <w:tcPr>
            <w:tcW w:w="480" w:type="dxa"/>
            <w:vMerge w:val="restart"/>
            <w:noWrap w:val="0"/>
            <w:vAlign w:val="center"/>
          </w:tcPr>
          <w:p w14:paraId="5DC1B0C6">
            <w:pPr>
              <w:spacing w:line="360" w:lineRule="auto"/>
              <w:jc w:val="left"/>
              <w:rPr>
                <w:color w:val="auto"/>
                <w:highlight w:val="none"/>
              </w:rPr>
            </w:pPr>
            <w:r>
              <w:rPr>
                <w:rFonts w:hint="eastAsia" w:cs="宋体"/>
                <w:color w:val="auto"/>
                <w:highlight w:val="none"/>
              </w:rPr>
              <w:t>项目管理机构</w:t>
            </w:r>
          </w:p>
        </w:tc>
        <w:tc>
          <w:tcPr>
            <w:tcW w:w="1164" w:type="dxa"/>
            <w:noWrap w:val="0"/>
            <w:vAlign w:val="center"/>
          </w:tcPr>
          <w:p w14:paraId="0F07B7D2">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项目经理情况（满分</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p>
        </w:tc>
        <w:tc>
          <w:tcPr>
            <w:tcW w:w="6060" w:type="dxa"/>
            <w:noWrap w:val="0"/>
            <w:vAlign w:val="center"/>
          </w:tcPr>
          <w:p w14:paraId="4DBB5324">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项目经理具备文物博物专业系列职称或建筑工程专业系列</w:t>
            </w:r>
            <w:r>
              <w:rPr>
                <w:rFonts w:hint="eastAsia" w:ascii="宋体" w:hAnsi="宋体" w:eastAsia="宋体" w:cs="宋体"/>
                <w:color w:val="auto"/>
                <w:highlight w:val="none"/>
                <w:lang w:val="en-US" w:eastAsia="zh-CN"/>
              </w:rPr>
              <w:t>中级</w:t>
            </w:r>
            <w:r>
              <w:rPr>
                <w:rFonts w:hint="eastAsia" w:ascii="宋体" w:hAnsi="宋体" w:eastAsia="宋体" w:cs="宋体"/>
                <w:color w:val="auto"/>
                <w:highlight w:val="none"/>
              </w:rPr>
              <w:t>职称的得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w:t>
            </w:r>
            <w:r>
              <w:rPr>
                <w:rFonts w:hint="eastAsia" w:ascii="宋体" w:hAnsi="宋体" w:eastAsia="宋体" w:cs="宋体"/>
                <w:color w:val="auto"/>
                <w:highlight w:val="none"/>
                <w:lang w:val="en-US" w:eastAsia="zh-CN"/>
              </w:rPr>
              <w:t>具备</w:t>
            </w:r>
            <w:r>
              <w:rPr>
                <w:rFonts w:hint="eastAsia" w:ascii="宋体" w:hAnsi="宋体" w:eastAsia="宋体" w:cs="宋体"/>
                <w:color w:val="auto"/>
                <w:highlight w:val="none"/>
              </w:rPr>
              <w:t>文物博物专业系列职称或建筑工程专业系列</w:t>
            </w:r>
            <w:r>
              <w:rPr>
                <w:rFonts w:hint="eastAsia" w:ascii="宋体" w:hAnsi="宋体" w:eastAsia="宋体" w:cs="宋体"/>
                <w:color w:val="auto"/>
                <w:highlight w:val="none"/>
                <w:lang w:val="en-US" w:eastAsia="zh-CN"/>
              </w:rPr>
              <w:t>副高级及以上</w:t>
            </w:r>
            <w:r>
              <w:rPr>
                <w:rFonts w:hint="eastAsia" w:ascii="宋体" w:hAnsi="宋体" w:eastAsia="宋体" w:cs="宋体"/>
                <w:color w:val="auto"/>
                <w:highlight w:val="none"/>
              </w:rPr>
              <w:t>职称的得</w:t>
            </w:r>
            <w:r>
              <w:rPr>
                <w:rFonts w:hint="eastAsia" w:ascii="宋体" w:hAnsi="宋体" w:eastAsia="宋体" w:cs="宋体"/>
                <w:color w:val="auto"/>
                <w:highlight w:val="none"/>
                <w:lang w:val="en-US" w:eastAsia="zh-CN"/>
              </w:rPr>
              <w:t>3分</w:t>
            </w:r>
            <w:r>
              <w:rPr>
                <w:rFonts w:hint="eastAsia" w:ascii="宋体" w:hAnsi="宋体" w:eastAsia="宋体" w:cs="宋体"/>
                <w:color w:val="auto"/>
                <w:highlight w:val="none"/>
              </w:rPr>
              <w:t>。</w:t>
            </w:r>
          </w:p>
        </w:tc>
        <w:tc>
          <w:tcPr>
            <w:tcW w:w="853" w:type="dxa"/>
            <w:noWrap w:val="0"/>
            <w:vAlign w:val="center"/>
          </w:tcPr>
          <w:p w14:paraId="0063F8B5">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3</w:t>
            </w:r>
            <w:r>
              <w:rPr>
                <w:rFonts w:hint="eastAsia" w:ascii="宋体" w:hAnsi="宋体" w:cs="Tahoma"/>
                <w:color w:val="auto"/>
                <w:kern w:val="0"/>
                <w:szCs w:val="21"/>
                <w:highlight w:val="none"/>
              </w:rPr>
              <w:t>分</w:t>
            </w:r>
          </w:p>
        </w:tc>
      </w:tr>
      <w:tr w14:paraId="7C7A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57D5B361">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70F7BBD4">
            <w:pPr>
              <w:spacing w:line="360" w:lineRule="auto"/>
              <w:jc w:val="left"/>
              <w:rPr>
                <w:color w:val="auto"/>
                <w:highlight w:val="none"/>
              </w:rPr>
            </w:pPr>
          </w:p>
        </w:tc>
        <w:tc>
          <w:tcPr>
            <w:tcW w:w="1164" w:type="dxa"/>
            <w:noWrap w:val="0"/>
            <w:vAlign w:val="center"/>
          </w:tcPr>
          <w:p w14:paraId="59DA0FA1">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技术负责人情况（满分</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w:t>
            </w:r>
          </w:p>
        </w:tc>
        <w:tc>
          <w:tcPr>
            <w:tcW w:w="6060" w:type="dxa"/>
            <w:noWrap w:val="0"/>
            <w:vAlign w:val="center"/>
          </w:tcPr>
          <w:p w14:paraId="12E955D6">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技术负责人具备文物博物专业系列职称或建筑工程专业系列</w:t>
            </w:r>
            <w:r>
              <w:rPr>
                <w:rFonts w:hint="eastAsia" w:ascii="宋体" w:hAnsi="宋体" w:eastAsia="宋体" w:cs="宋体"/>
                <w:color w:val="auto"/>
                <w:highlight w:val="none"/>
                <w:lang w:val="en-US" w:eastAsia="zh-CN"/>
              </w:rPr>
              <w:t>中级</w:t>
            </w:r>
            <w:r>
              <w:rPr>
                <w:rFonts w:hint="eastAsia" w:ascii="宋体" w:hAnsi="宋体" w:eastAsia="宋体" w:cs="宋体"/>
                <w:color w:val="auto"/>
                <w:highlight w:val="none"/>
              </w:rPr>
              <w:t>职称的得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w:t>
            </w:r>
            <w:r>
              <w:rPr>
                <w:rFonts w:hint="eastAsia" w:ascii="宋体" w:hAnsi="宋体" w:eastAsia="宋体" w:cs="宋体"/>
                <w:color w:val="auto"/>
                <w:highlight w:val="none"/>
                <w:lang w:val="en-US" w:eastAsia="zh-CN"/>
              </w:rPr>
              <w:t>具备</w:t>
            </w:r>
            <w:r>
              <w:rPr>
                <w:rFonts w:hint="eastAsia" w:ascii="宋体" w:hAnsi="宋体" w:eastAsia="宋体" w:cs="宋体"/>
                <w:color w:val="auto"/>
                <w:highlight w:val="none"/>
              </w:rPr>
              <w:t>文物博物专业系列职称或建筑工程专业系列</w:t>
            </w:r>
            <w:r>
              <w:rPr>
                <w:rFonts w:hint="eastAsia" w:ascii="宋体" w:hAnsi="宋体" w:eastAsia="宋体" w:cs="宋体"/>
                <w:color w:val="auto"/>
                <w:highlight w:val="none"/>
                <w:lang w:val="en-US" w:eastAsia="zh-CN"/>
              </w:rPr>
              <w:t>副高级及以上</w:t>
            </w:r>
            <w:r>
              <w:rPr>
                <w:rFonts w:hint="eastAsia" w:ascii="宋体" w:hAnsi="宋体" w:eastAsia="宋体" w:cs="宋体"/>
                <w:color w:val="auto"/>
                <w:highlight w:val="none"/>
              </w:rPr>
              <w:t>职称的得</w:t>
            </w:r>
            <w:r>
              <w:rPr>
                <w:rFonts w:hint="eastAsia" w:ascii="宋体" w:hAnsi="宋体" w:eastAsia="宋体" w:cs="宋体"/>
                <w:color w:val="auto"/>
                <w:highlight w:val="none"/>
                <w:lang w:val="en-US" w:eastAsia="zh-CN"/>
              </w:rPr>
              <w:t>2分</w:t>
            </w:r>
            <w:r>
              <w:rPr>
                <w:rFonts w:hint="eastAsia" w:ascii="宋体" w:hAnsi="宋体" w:eastAsia="宋体" w:cs="宋体"/>
                <w:color w:val="auto"/>
                <w:highlight w:val="none"/>
              </w:rPr>
              <w:t>。</w:t>
            </w:r>
          </w:p>
        </w:tc>
        <w:tc>
          <w:tcPr>
            <w:tcW w:w="853" w:type="dxa"/>
            <w:noWrap w:val="0"/>
            <w:vAlign w:val="center"/>
          </w:tcPr>
          <w:p w14:paraId="49A7583B">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2</w:t>
            </w:r>
            <w:r>
              <w:rPr>
                <w:rFonts w:hint="eastAsia" w:ascii="宋体" w:hAnsi="宋体" w:cs="Tahoma"/>
                <w:color w:val="auto"/>
                <w:kern w:val="0"/>
                <w:szCs w:val="21"/>
                <w:highlight w:val="none"/>
              </w:rPr>
              <w:t>分</w:t>
            </w:r>
          </w:p>
        </w:tc>
      </w:tr>
      <w:tr w14:paraId="1FDB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7A46707A">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3773AF44">
            <w:pPr>
              <w:spacing w:line="360" w:lineRule="auto"/>
              <w:jc w:val="left"/>
              <w:rPr>
                <w:color w:val="auto"/>
                <w:highlight w:val="none"/>
              </w:rPr>
            </w:pPr>
          </w:p>
        </w:tc>
        <w:tc>
          <w:tcPr>
            <w:tcW w:w="1164" w:type="dxa"/>
            <w:noWrap w:val="0"/>
            <w:vAlign w:val="center"/>
          </w:tcPr>
          <w:p w14:paraId="7A0C3FDD">
            <w:pPr>
              <w:spacing w:line="360" w:lineRule="auto"/>
              <w:jc w:val="left"/>
              <w:rPr>
                <w:color w:val="auto"/>
                <w:highlight w:val="none"/>
              </w:rPr>
            </w:pPr>
            <w:r>
              <w:rPr>
                <w:color w:val="auto"/>
                <w:highlight w:val="none"/>
              </w:rPr>
              <w:t>拟投入本工程管理人员情况（</w:t>
            </w:r>
            <w:r>
              <w:rPr>
                <w:rFonts w:hint="eastAsia"/>
                <w:color w:val="auto"/>
                <w:highlight w:val="none"/>
              </w:rPr>
              <w:t>满分</w:t>
            </w:r>
            <w:r>
              <w:rPr>
                <w:rFonts w:hint="default"/>
                <w:color w:val="auto"/>
                <w:highlight w:val="none"/>
                <w:lang w:val="en-US"/>
              </w:rPr>
              <w:t>5</w:t>
            </w:r>
            <w:r>
              <w:rPr>
                <w:color w:val="auto"/>
                <w:highlight w:val="none"/>
              </w:rPr>
              <w:t>分）</w:t>
            </w:r>
          </w:p>
        </w:tc>
        <w:tc>
          <w:tcPr>
            <w:tcW w:w="6060" w:type="dxa"/>
            <w:noWrap w:val="0"/>
            <w:vAlign w:val="center"/>
          </w:tcPr>
          <w:p w14:paraId="251EDE7C">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拟投入本工程施工员、质量员、材料员、资料员配备齐全且全部持证上岗的，按以下标准计分：</w:t>
            </w:r>
          </w:p>
          <w:p w14:paraId="5671EDF4">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eastAsia="宋体" w:cs="宋体"/>
                <w:color w:val="auto"/>
                <w:highlight w:val="none"/>
                <w:lang w:val="en-US"/>
              </w:rPr>
              <w:t>5</w:t>
            </w:r>
            <w:r>
              <w:rPr>
                <w:rFonts w:hint="eastAsia" w:ascii="宋体" w:hAnsi="宋体" w:eastAsia="宋体" w:cs="宋体"/>
                <w:color w:val="auto"/>
                <w:highlight w:val="none"/>
              </w:rPr>
              <w:t>分）：完全满足施工需要，管理人员配备齐全（至少每个岗位配备1名）且均具备持有相应施工现场专业人员职业培训合格证书</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文物保护工程从业资格证书。</w:t>
            </w:r>
          </w:p>
          <w:p w14:paraId="0A4E355A">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二档（3分）：满足施工需要，管理人员配备齐全（至少每个岗位配备1名）且部分管理人员具备持有相应施工现场专业人员职业培训合格证书或文物保护工程从业资格证书。</w:t>
            </w:r>
          </w:p>
          <w:p w14:paraId="048CD51A">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三档（2分）：基本满足施工需要，管理人员配备齐全（至少每个岗位配备1名）。</w:t>
            </w:r>
          </w:p>
          <w:p w14:paraId="627420A9">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四档（</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分）：不满足施工需要，管理人员配备不齐全。</w:t>
            </w:r>
          </w:p>
        </w:tc>
        <w:tc>
          <w:tcPr>
            <w:tcW w:w="853" w:type="dxa"/>
            <w:noWrap w:val="0"/>
            <w:vAlign w:val="center"/>
          </w:tcPr>
          <w:p w14:paraId="2FE7F6A2">
            <w:pPr>
              <w:spacing w:line="360" w:lineRule="auto"/>
              <w:jc w:val="center"/>
              <w:rPr>
                <w:rFonts w:ascii="宋体" w:hAnsi="宋体" w:cs="Tahoma"/>
                <w:color w:val="auto"/>
                <w:kern w:val="0"/>
                <w:szCs w:val="21"/>
                <w:highlight w:val="none"/>
              </w:rPr>
            </w:pPr>
            <w:r>
              <w:rPr>
                <w:rFonts w:hint="default" w:ascii="宋体" w:hAnsi="宋体" w:cs="Tahoma"/>
                <w:color w:val="auto"/>
                <w:kern w:val="0"/>
                <w:szCs w:val="21"/>
                <w:highlight w:val="none"/>
                <w:lang w:val="en-US"/>
              </w:rPr>
              <w:t>5</w:t>
            </w:r>
            <w:r>
              <w:rPr>
                <w:rFonts w:hint="eastAsia" w:ascii="宋体" w:hAnsi="宋体" w:cs="Tahoma"/>
                <w:color w:val="auto"/>
                <w:kern w:val="0"/>
                <w:szCs w:val="21"/>
                <w:highlight w:val="none"/>
              </w:rPr>
              <w:t>分</w:t>
            </w:r>
          </w:p>
        </w:tc>
      </w:tr>
      <w:tr w14:paraId="5141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restart"/>
            <w:noWrap w:val="0"/>
            <w:vAlign w:val="center"/>
          </w:tcPr>
          <w:p w14:paraId="606187A5">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2</w:t>
            </w:r>
          </w:p>
        </w:tc>
        <w:tc>
          <w:tcPr>
            <w:tcW w:w="480" w:type="dxa"/>
            <w:vMerge w:val="restart"/>
            <w:noWrap w:val="0"/>
            <w:vAlign w:val="center"/>
          </w:tcPr>
          <w:p w14:paraId="34297025">
            <w:pPr>
              <w:adjustRightInd w:val="0"/>
              <w:spacing w:line="360" w:lineRule="auto"/>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施工组织</w:t>
            </w:r>
            <w:r>
              <w:rPr>
                <w:rFonts w:ascii="宋体" w:hAnsi="宋体"/>
                <w:bCs/>
                <w:color w:val="auto"/>
                <w:kern w:val="0"/>
                <w:szCs w:val="21"/>
                <w:highlight w:val="none"/>
              </w:rPr>
              <w:t>设计</w:t>
            </w:r>
          </w:p>
        </w:tc>
        <w:tc>
          <w:tcPr>
            <w:tcW w:w="1164" w:type="dxa"/>
            <w:noWrap w:val="0"/>
            <w:vAlign w:val="center"/>
          </w:tcPr>
          <w:p w14:paraId="4E56FB3D">
            <w:pPr>
              <w:pStyle w:val="55"/>
              <w:spacing w:line="360" w:lineRule="auto"/>
              <w:jc w:val="center"/>
              <w:rPr>
                <w:color w:val="auto"/>
                <w:highlight w:val="none"/>
              </w:rPr>
            </w:pPr>
            <w:r>
              <w:rPr>
                <w:rFonts w:ascii="宋体" w:hAnsi="宋体" w:eastAsia="宋体" w:cs="宋体"/>
                <w:color w:val="auto"/>
                <w:sz w:val="21"/>
                <w:highlight w:val="none"/>
              </w:rPr>
              <w:t>主要施工方法</w:t>
            </w:r>
            <w:r>
              <w:rPr>
                <w:rFonts w:hint="eastAsia" w:ascii="宋体" w:hAnsi="宋体" w:eastAsia="宋体" w:cs="宋体"/>
                <w:color w:val="auto"/>
                <w:sz w:val="21"/>
                <w:highlight w:val="none"/>
              </w:rPr>
              <w:t>（满分</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060" w:type="dxa"/>
            <w:noWrap w:val="0"/>
            <w:vAlign w:val="center"/>
          </w:tcPr>
          <w:p w14:paraId="22EAE662">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8</w:t>
            </w:r>
            <w:r>
              <w:rPr>
                <w:rFonts w:hint="eastAsia" w:ascii="宋体" w:hAnsi="宋体" w:eastAsia="宋体" w:cs="宋体"/>
                <w:color w:val="auto"/>
                <w:sz w:val="21"/>
                <w:highlight w:val="none"/>
              </w:rPr>
              <w:t>分）：各主要分部施工方法符合项目实际，有详尽的施工技术方案，工艺先进、方法科学合理、可行，对工艺、方法有具体的文字介绍及图表展示，能指导具体施工并确保安全。</w:t>
            </w:r>
          </w:p>
          <w:p w14:paraId="2EA62ECF">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二档</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rPr>
              <w:t>分）：各主要分部施工方法符合项目实际，有详尽的施工技术方案，工艺、方法与项目实际要求相符，能指导具体施工并确保安全。</w:t>
            </w:r>
          </w:p>
          <w:p w14:paraId="5644C4A5">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rPr>
              <w:t>分）：各主要分部施工方法符合项目实际，有简单的施工技术方案，工艺、方法基本满足项目要求，能指导具体施工并确保安全。</w:t>
            </w:r>
          </w:p>
          <w:p w14:paraId="58750178">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分）：各主要分部施工方法符合项目实际，简单的施工技术方案，工艺、方法简单，勉强指导具体施工并确保安全。</w:t>
            </w:r>
          </w:p>
          <w:p w14:paraId="5C5EEB38">
            <w:pPr>
              <w:pStyle w:val="55"/>
              <w:spacing w:line="360" w:lineRule="auto"/>
              <w:rPr>
                <w:rFonts w:hint="eastAsia" w:ascii="宋体" w:hAnsi="宋体" w:eastAsia="宋体" w:cs="宋体"/>
                <w:color w:val="auto"/>
                <w:highlight w:val="none"/>
              </w:rPr>
            </w:pPr>
            <w:r>
              <w:rPr>
                <w:rFonts w:hint="eastAsia"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分）：各主要分部施工方法不符合项目实际，无详尽的施工技术方案，不能指导具体施工并确保安全。</w:t>
            </w:r>
          </w:p>
        </w:tc>
        <w:tc>
          <w:tcPr>
            <w:tcW w:w="853" w:type="dxa"/>
            <w:noWrap w:val="0"/>
            <w:vAlign w:val="center"/>
          </w:tcPr>
          <w:p w14:paraId="519509FE">
            <w:pPr>
              <w:spacing w:line="360" w:lineRule="auto"/>
              <w:jc w:val="center"/>
              <w:rPr>
                <w:color w:val="auto"/>
                <w:highlight w:val="none"/>
              </w:rPr>
            </w:pPr>
            <w:r>
              <w:rPr>
                <w:rFonts w:hint="eastAsia" w:ascii="宋体" w:hAnsi="宋体" w:cs="Tahoma"/>
                <w:color w:val="auto"/>
                <w:kern w:val="0"/>
                <w:szCs w:val="21"/>
                <w:highlight w:val="none"/>
                <w:lang w:val="en-US" w:eastAsia="zh-CN"/>
              </w:rPr>
              <w:t>8</w:t>
            </w:r>
            <w:r>
              <w:rPr>
                <w:rFonts w:hint="eastAsia" w:ascii="宋体" w:hAnsi="宋体" w:cs="Tahoma"/>
                <w:color w:val="auto"/>
                <w:kern w:val="0"/>
                <w:szCs w:val="21"/>
                <w:highlight w:val="none"/>
              </w:rPr>
              <w:t>分</w:t>
            </w:r>
          </w:p>
        </w:tc>
      </w:tr>
      <w:tr w14:paraId="0C9B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6A36CF79">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4EFD2F35">
            <w:pPr>
              <w:adjustRightInd w:val="0"/>
              <w:spacing w:line="360" w:lineRule="auto"/>
              <w:jc w:val="center"/>
              <w:textAlignment w:val="baseline"/>
              <w:rPr>
                <w:rFonts w:ascii="宋体" w:hAnsi="宋体"/>
                <w:bCs/>
                <w:color w:val="auto"/>
                <w:kern w:val="0"/>
                <w:szCs w:val="21"/>
                <w:highlight w:val="none"/>
              </w:rPr>
            </w:pPr>
          </w:p>
        </w:tc>
        <w:tc>
          <w:tcPr>
            <w:tcW w:w="1164" w:type="dxa"/>
            <w:noWrap w:val="0"/>
            <w:vAlign w:val="center"/>
          </w:tcPr>
          <w:p w14:paraId="13A7C618">
            <w:pPr>
              <w:pStyle w:val="55"/>
              <w:spacing w:line="360" w:lineRule="auto"/>
              <w:jc w:val="center"/>
              <w:rPr>
                <w:color w:val="auto"/>
                <w:highlight w:val="none"/>
              </w:rPr>
            </w:pPr>
            <w:r>
              <w:rPr>
                <w:rFonts w:ascii="宋体" w:hAnsi="宋体" w:eastAsia="宋体" w:cs="宋体"/>
                <w:color w:val="auto"/>
                <w:sz w:val="21"/>
                <w:highlight w:val="none"/>
              </w:rPr>
              <w:t>拟投入的主要物资计划</w:t>
            </w:r>
            <w:r>
              <w:rPr>
                <w:rFonts w:hint="eastAsia" w:ascii="宋体" w:hAnsi="宋体" w:eastAsia="宋体" w:cs="宋体"/>
                <w:color w:val="auto"/>
                <w:sz w:val="21"/>
                <w:highlight w:val="none"/>
              </w:rPr>
              <w:t>（满分</w:t>
            </w:r>
            <w:r>
              <w:rPr>
                <w:rFonts w:hint="eastAsia" w:ascii="宋体" w:hAnsi="宋体" w:eastAsia="宋体" w:cs="宋体"/>
                <w:color w:val="auto"/>
                <w:sz w:val="21"/>
                <w:highlight w:val="none"/>
                <w:lang w:val="en-US" w:eastAsia="zh-CN"/>
              </w:rPr>
              <w:t>7</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060" w:type="dxa"/>
            <w:noWrap w:val="0"/>
            <w:vAlign w:val="center"/>
          </w:tcPr>
          <w:p w14:paraId="331FB49B">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rPr>
              <w:t>分）：投入的施工材料有详细的组织计划且计划完整周密，数量、选型配置、进场时间安排科学合理，与施工进度相匹配，完全满足施工需要。</w:t>
            </w:r>
          </w:p>
          <w:p w14:paraId="1F633BA1">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分）：投入的施工材料有组织计划且计划周密，数量、选型配置、进场时间安排较好满足施工需要。</w:t>
            </w:r>
          </w:p>
          <w:p w14:paraId="69D8FA76">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3</w:t>
            </w:r>
            <w:r>
              <w:rPr>
                <w:rFonts w:hint="eastAsia" w:ascii="宋体" w:hAnsi="宋体" w:eastAsia="宋体" w:cs="宋体"/>
                <w:color w:val="auto"/>
                <w:sz w:val="21"/>
                <w:highlight w:val="none"/>
              </w:rPr>
              <w:t>分）：投入的施工材料有组织计划但计划简单，数量、选型配置、进场时间安排基本合理，满足施工需要。</w:t>
            </w:r>
          </w:p>
          <w:p w14:paraId="420FD066">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分）：投入的施工材料有组织计划但计划简单，数量、选型配置、进场时间安排没有完全和项目进度协调，但基本满足施工需要。</w:t>
            </w:r>
          </w:p>
          <w:p w14:paraId="361CEDA4">
            <w:pPr>
              <w:pStyle w:val="55"/>
              <w:spacing w:line="360" w:lineRule="auto"/>
              <w:rPr>
                <w:rFonts w:hint="eastAsia" w:ascii="宋体" w:hAnsi="宋体" w:eastAsia="宋体" w:cs="宋体"/>
                <w:color w:val="auto"/>
                <w:highlight w:val="none"/>
              </w:rPr>
            </w:pPr>
            <w:r>
              <w:rPr>
                <w:rFonts w:hint="eastAsia"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分）：投入的施工材料无详细的组织计划，数量、选型配置、进场时间安排不合理，不能满足施工需要。</w:t>
            </w:r>
          </w:p>
        </w:tc>
        <w:tc>
          <w:tcPr>
            <w:tcW w:w="853" w:type="dxa"/>
            <w:noWrap w:val="0"/>
            <w:vAlign w:val="center"/>
          </w:tcPr>
          <w:p w14:paraId="5850C058">
            <w:pPr>
              <w:spacing w:line="360" w:lineRule="auto"/>
              <w:jc w:val="center"/>
              <w:rPr>
                <w:color w:val="auto"/>
                <w:highlight w:val="none"/>
              </w:rPr>
            </w:pPr>
            <w:r>
              <w:rPr>
                <w:rFonts w:hint="eastAsia" w:ascii="宋体" w:hAnsi="宋体" w:cs="Tahoma"/>
                <w:color w:val="auto"/>
                <w:kern w:val="0"/>
                <w:szCs w:val="21"/>
                <w:highlight w:val="none"/>
                <w:lang w:val="en-US" w:eastAsia="zh-CN"/>
              </w:rPr>
              <w:t>7</w:t>
            </w:r>
            <w:r>
              <w:rPr>
                <w:rFonts w:hint="eastAsia" w:ascii="宋体" w:hAnsi="宋体" w:cs="Tahoma"/>
                <w:color w:val="auto"/>
                <w:kern w:val="0"/>
                <w:szCs w:val="21"/>
                <w:highlight w:val="none"/>
              </w:rPr>
              <w:t>分</w:t>
            </w:r>
          </w:p>
        </w:tc>
      </w:tr>
      <w:tr w14:paraId="126D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7BAE8C5B">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6FBE28D2">
            <w:pPr>
              <w:adjustRightInd w:val="0"/>
              <w:spacing w:line="360" w:lineRule="auto"/>
              <w:jc w:val="center"/>
              <w:textAlignment w:val="baseline"/>
              <w:rPr>
                <w:rFonts w:ascii="宋体" w:hAnsi="宋体"/>
                <w:bCs/>
                <w:color w:val="auto"/>
                <w:kern w:val="0"/>
                <w:szCs w:val="21"/>
                <w:highlight w:val="none"/>
              </w:rPr>
            </w:pPr>
          </w:p>
        </w:tc>
        <w:tc>
          <w:tcPr>
            <w:tcW w:w="1164" w:type="dxa"/>
            <w:noWrap w:val="0"/>
            <w:vAlign w:val="center"/>
          </w:tcPr>
          <w:p w14:paraId="26265EF1">
            <w:pPr>
              <w:pStyle w:val="55"/>
              <w:spacing w:line="360" w:lineRule="auto"/>
              <w:jc w:val="center"/>
              <w:rPr>
                <w:color w:val="auto"/>
                <w:highlight w:val="none"/>
              </w:rPr>
            </w:pPr>
            <w:r>
              <w:rPr>
                <w:rFonts w:ascii="宋体" w:hAnsi="宋体" w:eastAsia="宋体" w:cs="宋体"/>
                <w:color w:val="auto"/>
                <w:sz w:val="21"/>
                <w:highlight w:val="none"/>
              </w:rPr>
              <w:t>劳动力安排计划</w:t>
            </w:r>
            <w:r>
              <w:rPr>
                <w:rFonts w:hint="eastAsia" w:ascii="宋体" w:hAnsi="宋体" w:eastAsia="宋体" w:cs="宋体"/>
                <w:color w:val="auto"/>
                <w:sz w:val="21"/>
                <w:highlight w:val="none"/>
              </w:rPr>
              <w:t>（满分</w:t>
            </w:r>
            <w:r>
              <w:rPr>
                <w:rFonts w:hint="eastAsia" w:ascii="宋体" w:hAnsi="宋体" w:eastAsia="宋体" w:cs="宋体"/>
                <w:color w:val="auto"/>
                <w:sz w:val="21"/>
                <w:highlight w:val="none"/>
                <w:lang w:val="en-US" w:eastAsia="zh-CN"/>
              </w:rPr>
              <w:t>7</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060" w:type="dxa"/>
            <w:noWrap w:val="0"/>
            <w:vAlign w:val="center"/>
          </w:tcPr>
          <w:p w14:paraId="0B771A68">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rPr>
              <w:t>分）：各主要施工工序有非常详细周密的劳动力安排计划，有非常详细周密的各工种劳动力安排计划，劳动力投入的时间、人数、工种与项目进度要求相匹配，科学合理，完全满足施工需要。</w:t>
            </w:r>
          </w:p>
          <w:p w14:paraId="627D5D08">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分）：各主要施工工序有较详细周密的劳动力安排计划，有较详细周密的各工种劳动力安排计划，劳动力投入的时间、人数、工种满足项目进度要求，基本满足施工需要。</w:t>
            </w:r>
          </w:p>
          <w:p w14:paraId="62552828">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3</w:t>
            </w:r>
            <w:r>
              <w:rPr>
                <w:rFonts w:hint="eastAsia" w:ascii="宋体" w:hAnsi="宋体" w:eastAsia="宋体" w:cs="宋体"/>
                <w:color w:val="auto"/>
                <w:sz w:val="21"/>
                <w:highlight w:val="none"/>
              </w:rPr>
              <w:t>分）：各主要施工工序有劳动力安排计划，有各工种劳动力安排计划，劳动力投入的时间、人数、工种没有结合项目进度要求，基本满足施工需要。</w:t>
            </w:r>
          </w:p>
          <w:p w14:paraId="1615115E">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分）：各主要施工工序有劳动力安排计划，有各工种劳动力安排计划，勉强满足施工需要。</w:t>
            </w:r>
          </w:p>
          <w:p w14:paraId="1493FC38">
            <w:pPr>
              <w:pStyle w:val="55"/>
              <w:spacing w:line="360" w:lineRule="auto"/>
              <w:rPr>
                <w:rFonts w:hint="eastAsia" w:ascii="宋体" w:hAnsi="宋体" w:eastAsia="宋体" w:cs="宋体"/>
                <w:color w:val="auto"/>
                <w:highlight w:val="none"/>
              </w:rPr>
            </w:pPr>
            <w:r>
              <w:rPr>
                <w:rFonts w:hint="eastAsia"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分）：各主要施工工序无劳动力安排计划，无各工种劳动力安排计划，劳动力投入不合理，不能满足施工需要。</w:t>
            </w:r>
          </w:p>
        </w:tc>
        <w:tc>
          <w:tcPr>
            <w:tcW w:w="853" w:type="dxa"/>
            <w:noWrap w:val="0"/>
            <w:vAlign w:val="center"/>
          </w:tcPr>
          <w:p w14:paraId="1304DB05">
            <w:pPr>
              <w:spacing w:line="360" w:lineRule="auto"/>
              <w:jc w:val="center"/>
              <w:rPr>
                <w:color w:val="auto"/>
                <w:highlight w:val="none"/>
              </w:rPr>
            </w:pPr>
            <w:r>
              <w:rPr>
                <w:rFonts w:hint="eastAsia" w:ascii="宋体" w:hAnsi="宋体" w:cs="Tahoma"/>
                <w:color w:val="auto"/>
                <w:kern w:val="0"/>
                <w:szCs w:val="21"/>
                <w:highlight w:val="none"/>
                <w:lang w:val="en-US" w:eastAsia="zh-CN"/>
              </w:rPr>
              <w:t>7</w:t>
            </w:r>
            <w:r>
              <w:rPr>
                <w:rFonts w:hint="eastAsia" w:ascii="宋体" w:hAnsi="宋体" w:cs="Tahoma"/>
                <w:color w:val="auto"/>
                <w:kern w:val="0"/>
                <w:szCs w:val="21"/>
                <w:highlight w:val="none"/>
              </w:rPr>
              <w:t>分</w:t>
            </w:r>
          </w:p>
        </w:tc>
      </w:tr>
      <w:tr w14:paraId="069C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369483DE">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55F9FA91">
            <w:pPr>
              <w:adjustRightInd w:val="0"/>
              <w:spacing w:line="360" w:lineRule="auto"/>
              <w:jc w:val="center"/>
              <w:textAlignment w:val="baseline"/>
              <w:rPr>
                <w:rFonts w:ascii="宋体" w:hAnsi="宋体"/>
                <w:bCs/>
                <w:color w:val="auto"/>
                <w:kern w:val="0"/>
                <w:szCs w:val="21"/>
                <w:highlight w:val="none"/>
              </w:rPr>
            </w:pPr>
          </w:p>
        </w:tc>
        <w:tc>
          <w:tcPr>
            <w:tcW w:w="1164" w:type="dxa"/>
            <w:noWrap w:val="0"/>
            <w:vAlign w:val="center"/>
          </w:tcPr>
          <w:p w14:paraId="6153686D">
            <w:pPr>
              <w:pStyle w:val="55"/>
              <w:spacing w:line="360" w:lineRule="auto"/>
              <w:jc w:val="center"/>
              <w:rPr>
                <w:color w:val="auto"/>
                <w:highlight w:val="none"/>
              </w:rPr>
            </w:pPr>
            <w:r>
              <w:rPr>
                <w:rFonts w:ascii="宋体" w:hAnsi="宋体" w:eastAsia="宋体" w:cs="宋体"/>
                <w:color w:val="auto"/>
                <w:sz w:val="21"/>
                <w:highlight w:val="none"/>
              </w:rPr>
              <w:t>确保工程质量的技术组织措施</w:t>
            </w:r>
            <w:r>
              <w:rPr>
                <w:rFonts w:hint="eastAsia" w:ascii="宋体" w:hAnsi="宋体" w:eastAsia="宋体" w:cs="宋体"/>
                <w:color w:val="auto"/>
                <w:sz w:val="21"/>
                <w:highlight w:val="none"/>
              </w:rPr>
              <w:t>（满分</w:t>
            </w:r>
            <w:r>
              <w:rPr>
                <w:rFonts w:hint="eastAsia" w:ascii="宋体" w:hAnsi="宋体" w:eastAsia="宋体" w:cs="宋体"/>
                <w:color w:val="auto"/>
                <w:sz w:val="21"/>
                <w:highlight w:val="none"/>
                <w:lang w:val="en-US" w:eastAsia="zh-CN"/>
              </w:rPr>
              <w:t>7</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060" w:type="dxa"/>
            <w:noWrap w:val="0"/>
            <w:vAlign w:val="center"/>
          </w:tcPr>
          <w:p w14:paraId="24AEC609">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rPr>
              <w:t>分）：有专门且专业的质量技术管理班子和制度，且人员配备科学合理，制度科学合理健全。主要工序质量技术保证措施和手段科学合理，自控体系完整，能有效保证技术质量，达到承诺的质量标准。</w:t>
            </w:r>
          </w:p>
          <w:p w14:paraId="386E6756">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分）：有专门的质量技术管理班子和制度，且人员配备合理，制度合理健全。主要工序的质量技术保证措施和手段合理，自控体系完整，保证技术质量，达到承诺的质量标准。</w:t>
            </w:r>
          </w:p>
          <w:p w14:paraId="3058B2F2">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三档（3分）：有专门的质量技术管理班子和制度，且人员配备合理，制度健全。主要工序的质量技术保证措施和手段部分与本项目无关但基本满足要求，自控体系表述简单，基本保证技术质量，达到承诺的质量标准。</w:t>
            </w:r>
          </w:p>
          <w:p w14:paraId="547663F6">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分）：有专门的质量技术管理班子和制度，且人员配备基本合理，有基本的制度。主要工序的质量技术保证措施和手段有缺项，自控体系表述简单，基本保证技术质量，达到承诺的质量标准。</w:t>
            </w:r>
          </w:p>
          <w:p w14:paraId="2526F23F">
            <w:pPr>
              <w:pStyle w:val="55"/>
              <w:spacing w:line="360" w:lineRule="auto"/>
              <w:rPr>
                <w:rFonts w:hint="eastAsia" w:ascii="宋体" w:hAnsi="宋体" w:eastAsia="宋体" w:cs="宋体"/>
                <w:color w:val="auto"/>
                <w:highlight w:val="none"/>
              </w:rPr>
            </w:pPr>
            <w:r>
              <w:rPr>
                <w:rFonts w:hint="eastAsia"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分）：有专门的质量技术管理班子和制度，人员配备不合理，制度不健全。主要工序无质量技术保证措施和手段，自控体系不完整，不能有效保证技术质量，达不到承诺的质量标准。</w:t>
            </w:r>
          </w:p>
        </w:tc>
        <w:tc>
          <w:tcPr>
            <w:tcW w:w="853" w:type="dxa"/>
            <w:noWrap w:val="0"/>
            <w:vAlign w:val="center"/>
          </w:tcPr>
          <w:p w14:paraId="6C8DC0B9">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7</w:t>
            </w:r>
            <w:r>
              <w:rPr>
                <w:rFonts w:hint="eastAsia" w:ascii="宋体" w:hAnsi="宋体" w:cs="Tahoma"/>
                <w:color w:val="auto"/>
                <w:kern w:val="0"/>
                <w:szCs w:val="21"/>
                <w:highlight w:val="none"/>
              </w:rPr>
              <w:t>分</w:t>
            </w:r>
          </w:p>
        </w:tc>
      </w:tr>
      <w:tr w14:paraId="3CE8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26D025B1">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565DB3BA">
            <w:pPr>
              <w:adjustRightInd w:val="0"/>
              <w:spacing w:line="360" w:lineRule="auto"/>
              <w:jc w:val="center"/>
              <w:textAlignment w:val="baseline"/>
              <w:rPr>
                <w:rFonts w:ascii="宋体" w:hAnsi="宋体"/>
                <w:bCs/>
                <w:color w:val="auto"/>
                <w:kern w:val="0"/>
                <w:szCs w:val="21"/>
                <w:highlight w:val="none"/>
              </w:rPr>
            </w:pPr>
          </w:p>
        </w:tc>
        <w:tc>
          <w:tcPr>
            <w:tcW w:w="1164" w:type="dxa"/>
            <w:noWrap w:val="0"/>
            <w:vAlign w:val="center"/>
          </w:tcPr>
          <w:p w14:paraId="3626FE07">
            <w:pPr>
              <w:pStyle w:val="55"/>
              <w:spacing w:line="360" w:lineRule="auto"/>
              <w:jc w:val="center"/>
              <w:rPr>
                <w:color w:val="auto"/>
                <w:highlight w:val="none"/>
              </w:rPr>
            </w:pPr>
            <w:r>
              <w:rPr>
                <w:rFonts w:ascii="宋体" w:hAnsi="宋体" w:eastAsia="宋体" w:cs="宋体"/>
                <w:color w:val="auto"/>
                <w:sz w:val="21"/>
                <w:highlight w:val="none"/>
              </w:rPr>
              <w:t>确保安全生产的技术组织措施</w:t>
            </w:r>
            <w:r>
              <w:rPr>
                <w:rFonts w:hint="eastAsia" w:ascii="宋体" w:hAnsi="宋体" w:eastAsia="宋体" w:cs="宋体"/>
                <w:color w:val="auto"/>
                <w:sz w:val="21"/>
                <w:highlight w:val="none"/>
              </w:rPr>
              <w:t>（满分6</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060" w:type="dxa"/>
            <w:noWrap w:val="0"/>
            <w:vAlign w:val="center"/>
          </w:tcPr>
          <w:p w14:paraId="4AD03C5E">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一档（6分）：有专门的专业安全管理人员和制度，且人员配备科学合理，制度科学、合理、健全，各道工序安全技术措施针对性强，确保工程质量的技术组织措施符合实际且满足有关安全技术标准要求。现场防火、应急救援、社会治安安全措施得力。</w:t>
            </w:r>
          </w:p>
          <w:p w14:paraId="6FC8E4A2">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二档（4分）：有专门的专业安全管理人员和制度，且人员配备科学合理，制度健全、合理，各道工序安全技术措施符合实际，确保工程质量的技术组织措施符合实际且基本满足有关安全技术标准要求。现场防火、应急救援、社会治安安全措施符合项目要求。</w:t>
            </w:r>
          </w:p>
          <w:p w14:paraId="5ED3D88D">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三档（3分）：有专门的安全管理人员和制度，且人员配备合理，制度健全，各道工序安全技术措施基本符合项目实际，确保工程质量的技术组织措施符合实际且基本满足有关安全技术标准要求。现场防火、应急救援、社会治安安全措施符合项目要求。</w:t>
            </w:r>
          </w:p>
          <w:p w14:paraId="18268C08">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四档（2分）：有专门的安全管理人员和制度，人员配备基本合理，制度内容简单，各道工序安全技术措施针对性不强，确保工程质量的技术组织措施符合实际且基本满足有关安全技术标准要求。现场防火、应急救援、社会治安安全措施不具体。</w:t>
            </w:r>
          </w:p>
          <w:p w14:paraId="213C2A72">
            <w:pPr>
              <w:pStyle w:val="55"/>
              <w:spacing w:line="360" w:lineRule="auto"/>
              <w:rPr>
                <w:rFonts w:hint="eastAsia" w:ascii="宋体" w:hAnsi="宋体" w:eastAsia="宋体" w:cs="宋体"/>
                <w:color w:val="auto"/>
                <w:highlight w:val="none"/>
              </w:rPr>
            </w:pPr>
            <w:r>
              <w:rPr>
                <w:rFonts w:hint="eastAsia"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分）：有专门的安全管理人员和制度，人员配备不合理，制度不健全，各道工序安全技术措施无针对性，不满足有关安全技术标准要求。现场防火、应急救援、社会治安安全措施不得力。</w:t>
            </w:r>
          </w:p>
        </w:tc>
        <w:tc>
          <w:tcPr>
            <w:tcW w:w="853" w:type="dxa"/>
            <w:noWrap w:val="0"/>
            <w:vAlign w:val="center"/>
          </w:tcPr>
          <w:p w14:paraId="0950038D">
            <w:pPr>
              <w:spacing w:line="360" w:lineRule="auto"/>
              <w:jc w:val="center"/>
              <w:rPr>
                <w:color w:val="auto"/>
                <w:highlight w:val="none"/>
              </w:rPr>
            </w:pPr>
            <w:r>
              <w:rPr>
                <w:rFonts w:hint="eastAsia" w:ascii="宋体" w:hAnsi="宋体" w:cs="Tahoma"/>
                <w:color w:val="auto"/>
                <w:kern w:val="0"/>
                <w:szCs w:val="21"/>
                <w:highlight w:val="none"/>
              </w:rPr>
              <w:t>6分</w:t>
            </w:r>
          </w:p>
        </w:tc>
      </w:tr>
      <w:tr w14:paraId="0806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32C5B036">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12426296">
            <w:pPr>
              <w:adjustRightInd w:val="0"/>
              <w:spacing w:line="360" w:lineRule="auto"/>
              <w:jc w:val="center"/>
              <w:textAlignment w:val="baseline"/>
              <w:rPr>
                <w:rFonts w:ascii="宋体" w:hAnsi="宋体"/>
                <w:bCs/>
                <w:color w:val="auto"/>
                <w:kern w:val="0"/>
                <w:szCs w:val="21"/>
                <w:highlight w:val="none"/>
              </w:rPr>
            </w:pPr>
          </w:p>
        </w:tc>
        <w:tc>
          <w:tcPr>
            <w:tcW w:w="1164" w:type="dxa"/>
            <w:noWrap w:val="0"/>
            <w:vAlign w:val="center"/>
          </w:tcPr>
          <w:p w14:paraId="77FB57EF">
            <w:pPr>
              <w:pStyle w:val="55"/>
              <w:spacing w:line="360" w:lineRule="auto"/>
              <w:jc w:val="center"/>
              <w:rPr>
                <w:color w:val="auto"/>
                <w:highlight w:val="none"/>
              </w:rPr>
            </w:pPr>
            <w:r>
              <w:rPr>
                <w:rFonts w:ascii="宋体" w:hAnsi="宋体" w:eastAsia="宋体" w:cs="宋体"/>
                <w:color w:val="auto"/>
                <w:sz w:val="21"/>
                <w:highlight w:val="none"/>
              </w:rPr>
              <w:t>确保工期的技术组织措施</w:t>
            </w:r>
            <w:r>
              <w:rPr>
                <w:rFonts w:hint="eastAsia" w:ascii="宋体" w:hAnsi="宋体" w:eastAsia="宋体" w:cs="宋体"/>
                <w:color w:val="auto"/>
                <w:sz w:val="21"/>
                <w:highlight w:val="none"/>
              </w:rPr>
              <w:t>（满分</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060" w:type="dxa"/>
            <w:noWrap w:val="0"/>
            <w:vAlign w:val="center"/>
          </w:tcPr>
          <w:p w14:paraId="1639B99C">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分）：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符合本项目施工实际要求。</w:t>
            </w:r>
          </w:p>
          <w:p w14:paraId="7B2D9EF6">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二档（4分）：在施工工艺、施工方法、材料选用、劳动力安排、技术等方面有保证工期的措施，有赶工措施。有控制工期的施工进度计划。有施工总进度表或施工网络图，各项计划图表编制要素基本齐全，安排合理，基本符合本项目施工实际要求。</w:t>
            </w:r>
          </w:p>
          <w:p w14:paraId="41F5B549">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三档（3分）：在施工工艺、施工方法、材料选用、劳动力安排、技术等方面有保证工期的措施但措施基本可行，没有赶工措施。有控制工期的施工进度计划但不科学。有施工总进度表或施工网络图，各项计划图表编制简单，安排基本合理，仅基本符合本项目施工实际要求。</w:t>
            </w:r>
          </w:p>
          <w:p w14:paraId="099A3C15">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四档（2分）：在施工工艺、施工方法、材料选用、劳动力安排、技术等方面有保证工期的措施有缺陷但勉强符合项目实际。有控制工期的施工进度计划但不科学。有施工总进度表或施工网络图，各项计划图表编制简单且有错漏，安排基本合理，仅基本符合本项目施工实际要求。</w:t>
            </w:r>
          </w:p>
          <w:p w14:paraId="4A0F3AD0">
            <w:pPr>
              <w:pStyle w:val="55"/>
              <w:spacing w:line="360" w:lineRule="auto"/>
              <w:rPr>
                <w:rFonts w:hint="eastAsia" w:ascii="宋体" w:hAnsi="宋体" w:eastAsia="宋体" w:cs="宋体"/>
                <w:color w:val="auto"/>
                <w:highlight w:val="none"/>
              </w:rPr>
            </w:pPr>
            <w:r>
              <w:rPr>
                <w:rFonts w:hint="eastAsia"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分）：在施工工艺、施工方法、材料选用、劳动力安排、技术等方面有保证工期的措施但措施差。无控制工期的施工进度计划。无施工总进度表或施工网络图，不符合本项目施工实际要求。</w:t>
            </w:r>
          </w:p>
        </w:tc>
        <w:tc>
          <w:tcPr>
            <w:tcW w:w="853" w:type="dxa"/>
            <w:noWrap w:val="0"/>
            <w:vAlign w:val="center"/>
          </w:tcPr>
          <w:p w14:paraId="2D045918">
            <w:pPr>
              <w:spacing w:line="360" w:lineRule="auto"/>
              <w:jc w:val="center"/>
              <w:rPr>
                <w:color w:val="auto"/>
                <w:highlight w:val="none"/>
              </w:rPr>
            </w:pPr>
            <w:r>
              <w:rPr>
                <w:rFonts w:hint="eastAsia" w:ascii="宋体" w:hAnsi="宋体" w:cs="Tahoma"/>
                <w:color w:val="auto"/>
                <w:kern w:val="0"/>
                <w:szCs w:val="21"/>
                <w:highlight w:val="none"/>
                <w:lang w:val="en-US" w:eastAsia="zh-CN"/>
              </w:rPr>
              <w:t>5</w:t>
            </w:r>
            <w:r>
              <w:rPr>
                <w:rFonts w:hint="eastAsia" w:ascii="宋体" w:hAnsi="宋体" w:cs="Tahoma"/>
                <w:color w:val="auto"/>
                <w:kern w:val="0"/>
                <w:szCs w:val="21"/>
                <w:highlight w:val="none"/>
              </w:rPr>
              <w:t>分</w:t>
            </w:r>
          </w:p>
        </w:tc>
      </w:tr>
      <w:tr w14:paraId="1F32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5E7D8693">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7E900AB6">
            <w:pPr>
              <w:adjustRightInd w:val="0"/>
              <w:spacing w:line="360" w:lineRule="auto"/>
              <w:jc w:val="center"/>
              <w:textAlignment w:val="baseline"/>
              <w:rPr>
                <w:rFonts w:ascii="宋体" w:hAnsi="宋体"/>
                <w:bCs/>
                <w:color w:val="auto"/>
                <w:kern w:val="0"/>
                <w:szCs w:val="21"/>
                <w:highlight w:val="none"/>
              </w:rPr>
            </w:pPr>
          </w:p>
        </w:tc>
        <w:tc>
          <w:tcPr>
            <w:tcW w:w="1164" w:type="dxa"/>
            <w:noWrap w:val="0"/>
            <w:vAlign w:val="center"/>
          </w:tcPr>
          <w:p w14:paraId="21D5000E">
            <w:pPr>
              <w:pStyle w:val="55"/>
              <w:spacing w:line="360" w:lineRule="auto"/>
              <w:jc w:val="center"/>
              <w:rPr>
                <w:color w:val="auto"/>
                <w:highlight w:val="none"/>
              </w:rPr>
            </w:pPr>
            <w:r>
              <w:rPr>
                <w:rFonts w:ascii="宋体" w:hAnsi="宋体" w:eastAsia="宋体" w:cs="宋体"/>
                <w:color w:val="auto"/>
                <w:sz w:val="21"/>
                <w:highlight w:val="none"/>
              </w:rPr>
              <w:t>确保文明施工的技术组织措施</w:t>
            </w:r>
            <w:r>
              <w:rPr>
                <w:rFonts w:hint="eastAsia" w:ascii="宋体" w:hAnsi="宋体" w:eastAsia="宋体" w:cs="宋体"/>
                <w:color w:val="auto"/>
                <w:sz w:val="21"/>
                <w:highlight w:val="none"/>
              </w:rPr>
              <w:t>（满分</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060" w:type="dxa"/>
            <w:noWrap w:val="0"/>
            <w:vAlign w:val="center"/>
          </w:tcPr>
          <w:p w14:paraId="0B9DD9AD">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分）：针对本工程项目特点，有现场文明施工、环境保护措施，且措施内容达到《建筑施工安全生产检查标准》（JGJ59-2011）合格标准并符合《广西壮族自治区建筑工程文明施工导则》要求。各项措施周全、具体、有效。有具体实现现场文明施工目标的承诺。</w:t>
            </w:r>
          </w:p>
          <w:p w14:paraId="4D7D8AD8">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二档（4分）：针对本工程项目特点，有现场文明施工、环境保护措施，且措施内容达到《建筑施工安全生产检查标准》（JGJ59-2011）合格标准并符合《广西壮族自治区建筑工程文明施工导则》要求。各项措施满足项目实际要求。有具体实现现场文明施工目标的承诺。</w:t>
            </w:r>
          </w:p>
          <w:p w14:paraId="0211A1AE">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三档（3分）：有现场文明施工、环境保护措施，且措施内容达到《建筑施工安全生产检查标准》（JGJ59-2011）合格标准并符合《广西壮族自治区建筑工程文明施工导则》要求。有具体实现现场文明施工目标的承诺。</w:t>
            </w:r>
          </w:p>
          <w:p w14:paraId="3E633161">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四档（2分）：有现场文明施工、环境保护措施，且措施内容基本能符合《建筑施工安全生产检查标准》（JGJ59-2011）合格标准，基本符合《广西壮族自治区建筑工程文明施工导则》要求。有提供实现现场文明施工目标的承诺。</w:t>
            </w:r>
          </w:p>
          <w:p w14:paraId="658673AE">
            <w:pPr>
              <w:pStyle w:val="55"/>
              <w:spacing w:line="360" w:lineRule="auto"/>
              <w:rPr>
                <w:rFonts w:hint="eastAsia" w:ascii="宋体" w:hAnsi="宋体" w:eastAsia="宋体" w:cs="宋体"/>
                <w:color w:val="auto"/>
                <w:highlight w:val="none"/>
              </w:rPr>
            </w:pPr>
            <w:r>
              <w:rPr>
                <w:rFonts w:hint="eastAsia"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分）：没有现场文明施工、环境保护措施。无具体实现现场文明施工目标的承诺。</w:t>
            </w:r>
          </w:p>
        </w:tc>
        <w:tc>
          <w:tcPr>
            <w:tcW w:w="853" w:type="dxa"/>
            <w:noWrap w:val="0"/>
            <w:vAlign w:val="center"/>
          </w:tcPr>
          <w:p w14:paraId="068E8911">
            <w:pPr>
              <w:spacing w:line="360" w:lineRule="auto"/>
              <w:jc w:val="center"/>
              <w:rPr>
                <w:color w:val="auto"/>
                <w:highlight w:val="none"/>
              </w:rPr>
            </w:pPr>
            <w:r>
              <w:rPr>
                <w:rFonts w:hint="eastAsia" w:ascii="宋体" w:hAnsi="宋体" w:cs="Tahoma"/>
                <w:color w:val="auto"/>
                <w:kern w:val="0"/>
                <w:szCs w:val="21"/>
                <w:highlight w:val="none"/>
                <w:lang w:val="en-US" w:eastAsia="zh-CN"/>
              </w:rPr>
              <w:t>5</w:t>
            </w:r>
            <w:r>
              <w:rPr>
                <w:rFonts w:hint="eastAsia" w:ascii="宋体" w:hAnsi="宋体" w:cs="Tahoma"/>
                <w:color w:val="auto"/>
                <w:kern w:val="0"/>
                <w:szCs w:val="21"/>
                <w:highlight w:val="none"/>
              </w:rPr>
              <w:t>分</w:t>
            </w:r>
          </w:p>
        </w:tc>
      </w:tr>
      <w:tr w14:paraId="70D1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26EBE8B9">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3BCB7FA4">
            <w:pPr>
              <w:adjustRightInd w:val="0"/>
              <w:spacing w:line="360" w:lineRule="auto"/>
              <w:jc w:val="center"/>
              <w:textAlignment w:val="baseline"/>
              <w:rPr>
                <w:rFonts w:ascii="宋体" w:hAnsi="宋体"/>
                <w:bCs/>
                <w:color w:val="auto"/>
                <w:kern w:val="0"/>
                <w:szCs w:val="21"/>
                <w:highlight w:val="none"/>
              </w:rPr>
            </w:pPr>
          </w:p>
        </w:tc>
        <w:tc>
          <w:tcPr>
            <w:tcW w:w="1164" w:type="dxa"/>
            <w:noWrap w:val="0"/>
            <w:vAlign w:val="center"/>
          </w:tcPr>
          <w:p w14:paraId="27A7B2F5">
            <w:pPr>
              <w:pStyle w:val="55"/>
              <w:spacing w:line="360" w:lineRule="auto"/>
              <w:jc w:val="center"/>
              <w:rPr>
                <w:color w:val="auto"/>
                <w:highlight w:val="none"/>
              </w:rPr>
            </w:pPr>
            <w:r>
              <w:rPr>
                <w:rFonts w:ascii="宋体" w:hAnsi="宋体" w:eastAsia="宋体" w:cs="宋体"/>
                <w:color w:val="auto"/>
                <w:sz w:val="21"/>
                <w:highlight w:val="none"/>
              </w:rPr>
              <w:t>工程施工的重点和难点及保证措施</w:t>
            </w:r>
            <w:r>
              <w:rPr>
                <w:rFonts w:hint="eastAsia" w:ascii="宋体" w:hAnsi="宋体" w:eastAsia="宋体" w:cs="宋体"/>
                <w:color w:val="auto"/>
                <w:sz w:val="21"/>
                <w:highlight w:val="none"/>
              </w:rPr>
              <w:t>（满分</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060" w:type="dxa"/>
            <w:noWrap w:val="0"/>
            <w:vAlign w:val="center"/>
          </w:tcPr>
          <w:p w14:paraId="308E6CF0">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分）：针对本工程的特点，阐述本工程的重点和难点，解决重点和难点问题的方法科学合理且全面。</w:t>
            </w:r>
          </w:p>
          <w:p w14:paraId="102D982A">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二档（4分）：针对本工程的特点，阐述本工程的重点和难点，解决重点和难点问题的方法合理。</w:t>
            </w:r>
          </w:p>
          <w:p w14:paraId="68F4F63D">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三档（3分）：针对本工程的特点，阐述本工程的重点和难点，解决重点和难点问题的方法简单但基本合理。</w:t>
            </w:r>
          </w:p>
          <w:p w14:paraId="7989CA0C">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四档（2分）：针对本工程的特点，阐述本工程的重点和难点，解决重点和难点问题的方法有缺陷。</w:t>
            </w:r>
          </w:p>
          <w:p w14:paraId="538D4C24">
            <w:pPr>
              <w:pStyle w:val="55"/>
              <w:spacing w:line="360" w:lineRule="auto"/>
              <w:rPr>
                <w:rFonts w:hint="eastAsia" w:ascii="宋体" w:hAnsi="宋体" w:eastAsia="宋体" w:cs="宋体"/>
                <w:color w:val="auto"/>
                <w:highlight w:val="none"/>
              </w:rPr>
            </w:pPr>
            <w:r>
              <w:rPr>
                <w:rFonts w:hint="eastAsia"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分）：未针对本工程的特点，阐述本工程的重点和难点，解决重点和难点问题的方法不合理。</w:t>
            </w:r>
          </w:p>
        </w:tc>
        <w:tc>
          <w:tcPr>
            <w:tcW w:w="853" w:type="dxa"/>
            <w:noWrap w:val="0"/>
            <w:vAlign w:val="center"/>
          </w:tcPr>
          <w:p w14:paraId="2000DAD4">
            <w:pPr>
              <w:spacing w:line="360" w:lineRule="auto"/>
              <w:jc w:val="center"/>
              <w:rPr>
                <w:color w:val="auto"/>
                <w:highlight w:val="none"/>
              </w:rPr>
            </w:pPr>
            <w:r>
              <w:rPr>
                <w:rFonts w:hint="eastAsia" w:ascii="宋体" w:hAnsi="宋体" w:cs="Tahoma"/>
                <w:color w:val="auto"/>
                <w:kern w:val="0"/>
                <w:szCs w:val="21"/>
                <w:highlight w:val="none"/>
                <w:lang w:val="en-US" w:eastAsia="zh-CN"/>
              </w:rPr>
              <w:t>5</w:t>
            </w:r>
            <w:r>
              <w:rPr>
                <w:rFonts w:hint="eastAsia" w:ascii="宋体" w:hAnsi="宋体" w:cs="Tahoma"/>
                <w:color w:val="auto"/>
                <w:kern w:val="0"/>
                <w:szCs w:val="21"/>
                <w:highlight w:val="none"/>
              </w:rPr>
              <w:t>分</w:t>
            </w:r>
          </w:p>
        </w:tc>
      </w:tr>
      <w:tr w14:paraId="0398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noWrap w:val="0"/>
            <w:vAlign w:val="center"/>
          </w:tcPr>
          <w:p w14:paraId="71ED7C83">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noWrap w:val="0"/>
            <w:vAlign w:val="center"/>
          </w:tcPr>
          <w:p w14:paraId="5FDC8C2F">
            <w:pPr>
              <w:adjustRightInd w:val="0"/>
              <w:spacing w:line="360" w:lineRule="auto"/>
              <w:jc w:val="center"/>
              <w:textAlignment w:val="baseline"/>
              <w:rPr>
                <w:rFonts w:ascii="宋体" w:hAnsi="宋体"/>
                <w:bCs/>
                <w:color w:val="auto"/>
                <w:kern w:val="0"/>
                <w:szCs w:val="21"/>
                <w:highlight w:val="none"/>
              </w:rPr>
            </w:pPr>
          </w:p>
        </w:tc>
        <w:tc>
          <w:tcPr>
            <w:tcW w:w="1164" w:type="dxa"/>
            <w:noWrap w:val="0"/>
            <w:vAlign w:val="center"/>
          </w:tcPr>
          <w:p w14:paraId="350A7FF6">
            <w:pPr>
              <w:pStyle w:val="55"/>
              <w:spacing w:line="360" w:lineRule="auto"/>
              <w:jc w:val="center"/>
              <w:rPr>
                <w:color w:val="auto"/>
                <w:highlight w:val="none"/>
              </w:rPr>
            </w:pPr>
            <w:r>
              <w:rPr>
                <w:rFonts w:ascii="宋体" w:hAnsi="宋体" w:eastAsia="宋体" w:cs="宋体"/>
                <w:color w:val="auto"/>
                <w:sz w:val="21"/>
                <w:highlight w:val="none"/>
              </w:rPr>
              <w:t>施工总平面布置图</w:t>
            </w:r>
            <w:r>
              <w:rPr>
                <w:rFonts w:hint="eastAsia" w:ascii="宋体" w:hAnsi="宋体" w:eastAsia="宋体" w:cs="宋体"/>
                <w:color w:val="auto"/>
                <w:sz w:val="21"/>
                <w:highlight w:val="none"/>
              </w:rPr>
              <w:t>（满分</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060" w:type="dxa"/>
            <w:noWrap w:val="0"/>
            <w:vAlign w:val="center"/>
          </w:tcPr>
          <w:p w14:paraId="6F8D17E7">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分）：有施工总平面布置图，各功能分区详细、界线明确。安排科学合理，完全符合本项目施工实际要求。</w:t>
            </w:r>
          </w:p>
          <w:p w14:paraId="03BF5366">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二档（4分）：有施工总平面布置图，各功能分区基本明确。安排合理，仅符合本项目施工实际要求。</w:t>
            </w:r>
          </w:p>
          <w:p w14:paraId="14327665">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三档（3分）：有施工总平面布置图，安排基本合理，基本符合本项目施工实际要求。</w:t>
            </w:r>
          </w:p>
          <w:p w14:paraId="73CAC769">
            <w:pPr>
              <w:pStyle w:val="55"/>
              <w:spacing w:line="360" w:lineRule="auto"/>
              <w:rPr>
                <w:rFonts w:hint="eastAsia" w:ascii="宋体" w:hAnsi="宋体" w:eastAsia="宋体" w:cs="宋体"/>
                <w:color w:val="auto"/>
                <w:sz w:val="21"/>
                <w:highlight w:val="none"/>
              </w:rPr>
            </w:pPr>
            <w:r>
              <w:rPr>
                <w:rFonts w:hint="eastAsia" w:ascii="宋体" w:hAnsi="宋体" w:eastAsia="宋体" w:cs="宋体"/>
                <w:color w:val="auto"/>
                <w:sz w:val="21"/>
                <w:highlight w:val="none"/>
              </w:rPr>
              <w:t>四档（2分）：有施工总平面布置图，各功能分区比较混乱，勉强符合本项目施工实际要求。</w:t>
            </w:r>
          </w:p>
          <w:p w14:paraId="04BD23A4">
            <w:pPr>
              <w:pStyle w:val="55"/>
              <w:spacing w:line="360" w:lineRule="auto"/>
              <w:rPr>
                <w:rFonts w:hint="eastAsia" w:ascii="宋体" w:hAnsi="宋体" w:eastAsia="宋体" w:cs="宋体"/>
                <w:color w:val="auto"/>
                <w:highlight w:val="none"/>
              </w:rPr>
            </w:pPr>
            <w:r>
              <w:rPr>
                <w:rFonts w:hint="eastAsia"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rPr>
              <w:t>分）：无施工总平面布置图，安排不合理，不符合本项目施工实际要求。</w:t>
            </w:r>
          </w:p>
        </w:tc>
        <w:tc>
          <w:tcPr>
            <w:tcW w:w="853" w:type="dxa"/>
            <w:noWrap w:val="0"/>
            <w:vAlign w:val="center"/>
          </w:tcPr>
          <w:p w14:paraId="011CA22C">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5</w:t>
            </w:r>
            <w:r>
              <w:rPr>
                <w:rFonts w:hint="eastAsia" w:ascii="宋体" w:hAnsi="宋体" w:cs="Tahoma"/>
                <w:color w:val="auto"/>
                <w:kern w:val="0"/>
                <w:szCs w:val="21"/>
                <w:highlight w:val="none"/>
              </w:rPr>
              <w:t>分</w:t>
            </w:r>
          </w:p>
        </w:tc>
      </w:tr>
      <w:tr w14:paraId="7575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noWrap w:val="0"/>
            <w:vAlign w:val="center"/>
          </w:tcPr>
          <w:p w14:paraId="46BFFFF5">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3</w:t>
            </w:r>
          </w:p>
        </w:tc>
        <w:tc>
          <w:tcPr>
            <w:tcW w:w="1644" w:type="dxa"/>
            <w:gridSpan w:val="2"/>
            <w:noWrap w:val="0"/>
            <w:vAlign w:val="center"/>
          </w:tcPr>
          <w:p w14:paraId="1280F549">
            <w:pPr>
              <w:widowControl/>
              <w:spacing w:line="360" w:lineRule="auto"/>
              <w:jc w:val="center"/>
              <w:rPr>
                <w:rFonts w:ascii="宋体" w:hAnsi="宋体" w:cs="Courier New"/>
                <w:bCs/>
                <w:color w:val="auto"/>
                <w:szCs w:val="21"/>
                <w:highlight w:val="none"/>
              </w:rPr>
            </w:pPr>
            <w:r>
              <w:rPr>
                <w:rFonts w:hint="eastAsia" w:ascii="宋体" w:hAnsi="宋体" w:cs="Courier New"/>
                <w:bCs/>
                <w:color w:val="auto"/>
                <w:szCs w:val="21"/>
                <w:highlight w:val="none"/>
              </w:rPr>
              <w:t>商务分</w:t>
            </w:r>
          </w:p>
        </w:tc>
        <w:tc>
          <w:tcPr>
            <w:tcW w:w="6060" w:type="dxa"/>
            <w:noWrap w:val="0"/>
            <w:vAlign w:val="center"/>
          </w:tcPr>
          <w:p w14:paraId="234F1F6D">
            <w:pPr>
              <w:widowControl/>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评审标准</w:t>
            </w:r>
          </w:p>
        </w:tc>
        <w:tc>
          <w:tcPr>
            <w:tcW w:w="853" w:type="dxa"/>
            <w:noWrap w:val="0"/>
            <w:vAlign w:val="center"/>
          </w:tcPr>
          <w:p w14:paraId="7CA801DC">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15</w:t>
            </w:r>
            <w:r>
              <w:rPr>
                <w:rFonts w:hint="eastAsia" w:ascii="宋体" w:hAnsi="宋体" w:cs="Tahoma"/>
                <w:color w:val="auto"/>
                <w:kern w:val="0"/>
                <w:szCs w:val="21"/>
                <w:highlight w:val="none"/>
              </w:rPr>
              <w:t>分</w:t>
            </w:r>
          </w:p>
        </w:tc>
      </w:tr>
      <w:tr w14:paraId="5E5C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jc w:val="center"/>
        </w:trPr>
        <w:tc>
          <w:tcPr>
            <w:tcW w:w="533" w:type="dxa"/>
            <w:noWrap w:val="0"/>
            <w:vAlign w:val="center"/>
          </w:tcPr>
          <w:p w14:paraId="2F6BBABC">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3.1</w:t>
            </w:r>
          </w:p>
        </w:tc>
        <w:tc>
          <w:tcPr>
            <w:tcW w:w="1644" w:type="dxa"/>
            <w:gridSpan w:val="2"/>
            <w:noWrap w:val="0"/>
            <w:vAlign w:val="center"/>
          </w:tcPr>
          <w:p w14:paraId="0D63A364">
            <w:pPr>
              <w:spacing w:line="360" w:lineRule="auto"/>
              <w:jc w:val="center"/>
              <w:rPr>
                <w:rFonts w:ascii="宋体" w:hAnsi="宋体"/>
                <w:color w:val="auto"/>
                <w:szCs w:val="21"/>
                <w:highlight w:val="none"/>
              </w:rPr>
            </w:pPr>
            <w:r>
              <w:rPr>
                <w:rFonts w:hint="eastAsia" w:ascii="宋体" w:hAnsi="宋体"/>
                <w:color w:val="auto"/>
                <w:szCs w:val="21"/>
                <w:highlight w:val="none"/>
              </w:rPr>
              <w:t>业绩</w:t>
            </w:r>
            <w:r>
              <w:rPr>
                <w:rFonts w:ascii="宋体" w:hAnsi="宋体"/>
                <w:color w:val="auto"/>
                <w:szCs w:val="21"/>
                <w:highlight w:val="none"/>
              </w:rPr>
              <w:t>分</w:t>
            </w:r>
          </w:p>
          <w:p w14:paraId="4DCC29A4">
            <w:pPr>
              <w:spacing w:line="360" w:lineRule="auto"/>
              <w:jc w:val="center"/>
              <w:rPr>
                <w:rFonts w:ascii="宋体" w:hAnsi="宋体"/>
                <w:color w:val="auto"/>
                <w:szCs w:val="21"/>
                <w:highlight w:val="none"/>
              </w:rPr>
            </w:pPr>
            <w:r>
              <w:rPr>
                <w:rFonts w:hint="eastAsia" w:ascii="宋体" w:hAnsi="宋体"/>
                <w:color w:val="auto"/>
                <w:szCs w:val="21"/>
                <w:highlight w:val="none"/>
              </w:rPr>
              <w:t>（满分</w:t>
            </w:r>
            <w:r>
              <w:rPr>
                <w:rFonts w:hint="eastAsia" w:ascii="宋体" w:hAnsi="宋体"/>
                <w:color w:val="auto"/>
                <w:szCs w:val="21"/>
                <w:highlight w:val="none"/>
                <w:lang w:val="en-US" w:eastAsia="zh-CN"/>
              </w:rPr>
              <w:t>10</w:t>
            </w:r>
            <w:r>
              <w:rPr>
                <w:rFonts w:hint="eastAsia" w:ascii="宋体" w:hAnsi="宋体"/>
                <w:color w:val="auto"/>
                <w:szCs w:val="21"/>
                <w:highlight w:val="none"/>
              </w:rPr>
              <w:t>分）</w:t>
            </w:r>
          </w:p>
        </w:tc>
        <w:tc>
          <w:tcPr>
            <w:tcW w:w="6060" w:type="dxa"/>
            <w:noWrap w:val="0"/>
            <w:vAlign w:val="center"/>
          </w:tcPr>
          <w:p w14:paraId="1EAA89FD">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供应商自202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年1月1日以来完成过质量合格的</w:t>
            </w:r>
            <w:r>
              <w:rPr>
                <w:rFonts w:hint="eastAsia" w:ascii="宋体" w:hAnsi="宋体" w:eastAsia="宋体" w:cs="宋体"/>
                <w:color w:val="auto"/>
                <w:highlight w:val="none"/>
                <w:lang w:val="en-US" w:eastAsia="zh-CN"/>
              </w:rPr>
              <w:t>类似</w:t>
            </w:r>
            <w:r>
              <w:rPr>
                <w:rFonts w:hint="eastAsia" w:ascii="宋体" w:hAnsi="宋体" w:eastAsia="宋体" w:cs="宋体"/>
                <w:color w:val="auto"/>
                <w:highlight w:val="none"/>
              </w:rPr>
              <w:t>工程项目，每提供1个项目业绩计</w:t>
            </w: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分；此项满分</w:t>
            </w:r>
            <w:r>
              <w:rPr>
                <w:rFonts w:hint="eastAsia" w:ascii="宋体" w:hAnsi="宋体" w:cs="宋体"/>
                <w:color w:val="auto"/>
                <w:highlight w:val="none"/>
                <w:lang w:val="en-US" w:eastAsia="zh-CN"/>
              </w:rPr>
              <w:t>10</w:t>
            </w:r>
            <w:r>
              <w:rPr>
                <w:rFonts w:hint="eastAsia" w:ascii="宋体" w:hAnsi="宋体" w:eastAsia="宋体" w:cs="宋体"/>
                <w:color w:val="auto"/>
                <w:highlight w:val="none"/>
              </w:rPr>
              <w:t>分。</w:t>
            </w:r>
          </w:p>
          <w:p w14:paraId="0812583A">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注：以上业绩均须在响应文件中提供合同书</w:t>
            </w:r>
            <w:r>
              <w:rPr>
                <w:rFonts w:hint="eastAsia" w:ascii="宋体" w:hAnsi="宋体" w:cs="宋体"/>
                <w:color w:val="auto"/>
                <w:highlight w:val="none"/>
                <w:lang w:val="en-US" w:eastAsia="zh-CN"/>
              </w:rPr>
              <w:t>或</w:t>
            </w:r>
            <w:r>
              <w:rPr>
                <w:rFonts w:hint="eastAsia" w:ascii="宋体" w:hAnsi="宋体" w:eastAsia="宋体" w:cs="宋体"/>
                <w:color w:val="auto"/>
                <w:highlight w:val="none"/>
              </w:rPr>
              <w:t>中标（成交）通知书扫描件，否则不予认可。</w:t>
            </w:r>
          </w:p>
        </w:tc>
        <w:tc>
          <w:tcPr>
            <w:tcW w:w="853" w:type="dxa"/>
            <w:noWrap w:val="0"/>
            <w:vAlign w:val="center"/>
          </w:tcPr>
          <w:p w14:paraId="43297220">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134D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533" w:type="dxa"/>
            <w:noWrap w:val="0"/>
            <w:vAlign w:val="center"/>
          </w:tcPr>
          <w:p w14:paraId="08583E34">
            <w:pPr>
              <w:widowControl/>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lang w:val="en-US" w:eastAsia="zh-CN"/>
              </w:rPr>
              <w:t>3.2</w:t>
            </w:r>
          </w:p>
        </w:tc>
        <w:tc>
          <w:tcPr>
            <w:tcW w:w="1644" w:type="dxa"/>
            <w:gridSpan w:val="2"/>
            <w:noWrap w:val="0"/>
            <w:vAlign w:val="center"/>
          </w:tcPr>
          <w:p w14:paraId="3D2B8309">
            <w:pPr>
              <w:spacing w:line="360" w:lineRule="auto"/>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信誉分</w:t>
            </w:r>
          </w:p>
          <w:p w14:paraId="4398D4CB">
            <w:pPr>
              <w:spacing w:line="360" w:lineRule="auto"/>
              <w:jc w:val="center"/>
              <w:rPr>
                <w:rFonts w:hint="eastAsia" w:ascii="宋体" w:hAnsi="宋体"/>
                <w:color w:val="auto"/>
                <w:szCs w:val="21"/>
                <w:highlight w:val="none"/>
              </w:rPr>
            </w:pPr>
            <w:r>
              <w:rPr>
                <w:rFonts w:hint="eastAsia" w:ascii="宋体" w:hAnsi="宋体"/>
                <w:color w:val="auto"/>
                <w:szCs w:val="21"/>
                <w:highlight w:val="none"/>
              </w:rPr>
              <w:t>（满分</w:t>
            </w:r>
            <w:r>
              <w:rPr>
                <w:rFonts w:hint="eastAsia" w:ascii="宋体" w:hAnsi="宋体"/>
                <w:color w:val="auto"/>
                <w:szCs w:val="21"/>
                <w:highlight w:val="none"/>
                <w:lang w:val="en-US" w:eastAsia="zh-CN"/>
              </w:rPr>
              <w:t>5</w:t>
            </w:r>
            <w:r>
              <w:rPr>
                <w:rFonts w:hint="eastAsia" w:ascii="宋体" w:hAnsi="宋体"/>
                <w:color w:val="auto"/>
                <w:szCs w:val="21"/>
                <w:highlight w:val="none"/>
              </w:rPr>
              <w:t>分）</w:t>
            </w:r>
          </w:p>
        </w:tc>
        <w:tc>
          <w:tcPr>
            <w:tcW w:w="6060" w:type="dxa"/>
            <w:noWrap w:val="0"/>
            <w:vAlign w:val="center"/>
          </w:tcPr>
          <w:p w14:paraId="74AF2D2C">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供应商自 2020 年 1 月 1 日以来获得文物保护项目相关的奖项复印件，每一项得 2.5分，</w:t>
            </w:r>
            <w:r>
              <w:rPr>
                <w:rFonts w:hint="eastAsia" w:ascii="宋体" w:hAnsi="宋体" w:eastAsia="宋体" w:cs="宋体"/>
                <w:color w:val="auto"/>
                <w:highlight w:val="none"/>
              </w:rPr>
              <w:t>此项满分</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w:t>
            </w:r>
          </w:p>
        </w:tc>
        <w:tc>
          <w:tcPr>
            <w:tcW w:w="853" w:type="dxa"/>
            <w:noWrap w:val="0"/>
            <w:vAlign w:val="center"/>
          </w:tcPr>
          <w:p w14:paraId="6852ADD8">
            <w:pPr>
              <w:widowControl/>
              <w:spacing w:line="360" w:lineRule="auto"/>
              <w:jc w:val="center"/>
              <w:rPr>
                <w:rFonts w:hint="default" w:ascii="宋体" w:hAnsi="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5分</w:t>
            </w:r>
          </w:p>
        </w:tc>
      </w:tr>
      <w:tr w14:paraId="2649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237" w:type="dxa"/>
            <w:gridSpan w:val="4"/>
            <w:noWrap w:val="0"/>
            <w:vAlign w:val="top"/>
          </w:tcPr>
          <w:p w14:paraId="5AFDC10C">
            <w:pPr>
              <w:pStyle w:val="14"/>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总得分＝1＋2＋3</w:t>
            </w:r>
          </w:p>
        </w:tc>
        <w:tc>
          <w:tcPr>
            <w:tcW w:w="853" w:type="dxa"/>
            <w:noWrap w:val="0"/>
            <w:vAlign w:val="center"/>
          </w:tcPr>
          <w:p w14:paraId="75806DB1">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100分</w:t>
            </w:r>
          </w:p>
        </w:tc>
      </w:tr>
    </w:tbl>
    <w:p w14:paraId="20EDB844">
      <w:pPr>
        <w:spacing w:line="360" w:lineRule="auto"/>
        <w:rPr>
          <w:rFonts w:ascii="宋体" w:hAnsi="宋体"/>
          <w:b/>
          <w:color w:val="auto"/>
          <w:szCs w:val="21"/>
        </w:rPr>
      </w:pPr>
      <w:r>
        <w:rPr>
          <w:rFonts w:hint="eastAsia" w:ascii="宋体" w:hAnsi="宋体"/>
          <w:b/>
          <w:color w:val="auto"/>
          <w:szCs w:val="21"/>
        </w:rPr>
        <w:t>三、成交候选供应商推荐原则</w:t>
      </w:r>
    </w:p>
    <w:p w14:paraId="6B2A4CB7">
      <w:pPr>
        <w:spacing w:line="360" w:lineRule="auto"/>
        <w:ind w:firstLine="420" w:firstLineChars="200"/>
        <w:rPr>
          <w:rFonts w:ascii="宋体" w:hAnsi="宋体"/>
          <w:color w:val="auto"/>
          <w:szCs w:val="21"/>
        </w:rPr>
      </w:pPr>
      <w:r>
        <w:rPr>
          <w:rFonts w:hint="eastAsia" w:ascii="宋体" w:hAnsi="宋体"/>
          <w:bCs/>
          <w:color w:val="auto"/>
          <w:szCs w:val="21"/>
        </w:rPr>
        <w:t>由磋商小组根据综合评分情况，按照评审得分由高到低顺序推荐3名以上成交候选供应商，并编写评审报告。符合本章第</w:t>
      </w:r>
      <w:r>
        <w:rPr>
          <w:rFonts w:ascii="宋体" w:hAnsi="宋体"/>
          <w:bCs/>
          <w:color w:val="auto"/>
          <w:szCs w:val="21"/>
        </w:rPr>
        <w:t>4.3</w:t>
      </w:r>
      <w:r>
        <w:rPr>
          <w:rFonts w:hint="eastAsia" w:ascii="宋体" w:hAnsi="宋体"/>
          <w:bCs/>
          <w:color w:val="auto"/>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评审得分、最后报价（不计算价格折扣）、技术得分均相同的，由磋商小组随机抽取推荐。</w:t>
      </w:r>
    </w:p>
    <w:p w14:paraId="6947D3DC">
      <w:pPr>
        <w:pStyle w:val="35"/>
        <w:rPr>
          <w:rFonts w:hint="eastAsia" w:asciiTheme="majorEastAsia" w:hAnsiTheme="majorEastAsia" w:eastAsiaTheme="majorEastAsia" w:cstheme="majorEastAsia"/>
          <w:b/>
          <w:color w:val="auto"/>
          <w:sz w:val="32"/>
          <w:highlight w:val="none"/>
        </w:rPr>
      </w:pPr>
    </w:p>
    <w:p w14:paraId="12196B21">
      <w:pPr>
        <w:pStyle w:val="35"/>
        <w:rPr>
          <w:rFonts w:hint="eastAsia" w:asciiTheme="majorEastAsia" w:hAnsiTheme="majorEastAsia" w:eastAsiaTheme="majorEastAsia" w:cstheme="majorEastAsia"/>
          <w:b/>
          <w:color w:val="auto"/>
          <w:sz w:val="32"/>
          <w:highlight w:val="none"/>
        </w:rPr>
      </w:pPr>
    </w:p>
    <w:p w14:paraId="6F2813A1">
      <w:pPr>
        <w:pStyle w:val="33"/>
        <w:ind w:left="0" w:leftChars="0" w:firstLine="0" w:firstLineChars="0"/>
        <w:rPr>
          <w:rFonts w:hint="default" w:ascii="宋体" w:hAnsi="宋体" w:cs="Times New Roman"/>
          <w:b/>
          <w:bCs/>
          <w:color w:val="auto"/>
          <w:sz w:val="36"/>
          <w:szCs w:val="44"/>
          <w:lang w:val="en-US" w:eastAsia="zh-CN"/>
        </w:rPr>
      </w:pPr>
      <w:bookmarkStart w:id="90" w:name="_Toc44229897"/>
    </w:p>
    <w:p w14:paraId="2375C5AA">
      <w:pPr>
        <w:pStyle w:val="33"/>
        <w:rPr>
          <w:rFonts w:hint="default" w:ascii="宋体" w:hAnsi="宋体" w:cs="Times New Roman"/>
          <w:b/>
          <w:bCs/>
          <w:color w:val="auto"/>
          <w:sz w:val="36"/>
          <w:szCs w:val="44"/>
          <w:lang w:val="en-US" w:eastAsia="zh-CN"/>
        </w:rPr>
      </w:pPr>
    </w:p>
    <w:p w14:paraId="67A0C009">
      <w:pPr>
        <w:pStyle w:val="33"/>
        <w:rPr>
          <w:rFonts w:hint="default" w:ascii="宋体" w:hAnsi="宋体" w:cs="Times New Roman"/>
          <w:b/>
          <w:bCs/>
          <w:color w:val="auto"/>
          <w:sz w:val="36"/>
          <w:szCs w:val="44"/>
          <w:lang w:val="en-US" w:eastAsia="zh-CN"/>
        </w:rPr>
      </w:pPr>
    </w:p>
    <w:p w14:paraId="0F115378">
      <w:pPr>
        <w:pStyle w:val="33"/>
        <w:rPr>
          <w:rFonts w:hint="default" w:ascii="宋体" w:hAnsi="宋体" w:cs="Times New Roman"/>
          <w:b/>
          <w:bCs/>
          <w:color w:val="auto"/>
          <w:sz w:val="36"/>
          <w:szCs w:val="44"/>
          <w:lang w:val="en-US" w:eastAsia="zh-CN"/>
        </w:rPr>
      </w:pPr>
    </w:p>
    <w:p w14:paraId="48D198E8">
      <w:pPr>
        <w:pStyle w:val="2"/>
        <w:keepNext/>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color w:val="auto"/>
        </w:rPr>
      </w:pPr>
      <w:bookmarkStart w:id="91" w:name="_Toc19821"/>
      <w:r>
        <w:rPr>
          <w:rFonts w:hint="eastAsia"/>
          <w:color w:val="auto"/>
          <w:sz w:val="36"/>
          <w:szCs w:val="36"/>
          <w:lang w:val="en-US" w:eastAsia="zh-CN"/>
        </w:rPr>
        <w:t xml:space="preserve">               第五章 工程量清单及图纸</w:t>
      </w:r>
      <w:bookmarkEnd w:id="91"/>
      <w:bookmarkStart w:id="92" w:name="_Toc78449869"/>
      <w:bookmarkStart w:id="93" w:name="_Toc1392571603"/>
      <w:bookmarkStart w:id="94" w:name="_Toc1386396751"/>
      <w:bookmarkStart w:id="95" w:name="_Toc407135284"/>
      <w:bookmarkStart w:id="96" w:name="_Toc122424493"/>
    </w:p>
    <w:bookmarkEnd w:id="92"/>
    <w:bookmarkEnd w:id="93"/>
    <w:bookmarkEnd w:id="94"/>
    <w:bookmarkEnd w:id="95"/>
    <w:bookmarkEnd w:id="96"/>
    <w:p w14:paraId="659CFA88">
      <w:pPr>
        <w:pStyle w:val="4"/>
        <w:spacing w:before="0" w:after="0" w:line="360" w:lineRule="auto"/>
        <w:ind w:firstLine="4498" w:firstLineChars="1400"/>
        <w:outlineLvl w:val="1"/>
        <w:rPr>
          <w:rFonts w:ascii="Times New Roman" w:hAnsi="Times New Roman" w:cs="Times New Roman"/>
          <w:color w:val="auto"/>
          <w:highlight w:val="none"/>
        </w:rPr>
      </w:pPr>
      <w:bookmarkStart w:id="97" w:name="bookmark2000"/>
      <w:bookmarkEnd w:id="97"/>
      <w:r>
        <w:rPr>
          <w:rFonts w:hint="eastAsia"/>
          <w:color w:val="auto"/>
          <w:highlight w:val="none"/>
        </w:rPr>
        <w:t>（另册）</w:t>
      </w:r>
    </w:p>
    <w:p w14:paraId="57A60DD5">
      <w:pPr>
        <w:pStyle w:val="3"/>
        <w:spacing w:before="0" w:after="0" w:line="360" w:lineRule="auto"/>
        <w:jc w:val="both"/>
        <w:rPr>
          <w:rFonts w:hint="eastAsia"/>
          <w:color w:val="auto"/>
        </w:rPr>
      </w:pPr>
    </w:p>
    <w:p w14:paraId="658C1917">
      <w:pPr>
        <w:rPr>
          <w:rFonts w:hint="eastAsia"/>
          <w:color w:val="auto"/>
        </w:rPr>
      </w:pPr>
    </w:p>
    <w:p w14:paraId="44EAA5CA">
      <w:pPr>
        <w:pStyle w:val="34"/>
        <w:rPr>
          <w:rFonts w:hint="eastAsia"/>
          <w:color w:val="auto"/>
        </w:rPr>
      </w:pPr>
    </w:p>
    <w:p w14:paraId="1696FA36">
      <w:pPr>
        <w:pStyle w:val="11"/>
        <w:rPr>
          <w:rFonts w:hint="eastAsia"/>
          <w:color w:val="auto"/>
        </w:rPr>
      </w:pPr>
    </w:p>
    <w:p w14:paraId="210EFFC2">
      <w:pPr>
        <w:rPr>
          <w:rFonts w:hint="eastAsia"/>
          <w:color w:val="auto"/>
        </w:rPr>
      </w:pPr>
    </w:p>
    <w:p w14:paraId="070AB184">
      <w:pPr>
        <w:pStyle w:val="34"/>
        <w:rPr>
          <w:rFonts w:hint="eastAsia"/>
          <w:color w:val="auto"/>
        </w:rPr>
      </w:pPr>
    </w:p>
    <w:p w14:paraId="633CBCE4">
      <w:pPr>
        <w:pStyle w:val="11"/>
        <w:rPr>
          <w:rFonts w:hint="eastAsia"/>
          <w:color w:val="auto"/>
        </w:rPr>
      </w:pPr>
    </w:p>
    <w:p w14:paraId="24182813">
      <w:pPr>
        <w:pStyle w:val="33"/>
        <w:ind w:left="0" w:leftChars="0" w:firstLine="0" w:firstLineChars="0"/>
        <w:rPr>
          <w:rFonts w:hint="default" w:ascii="宋体" w:hAnsi="宋体" w:cs="Times New Roman"/>
          <w:b/>
          <w:bCs/>
          <w:color w:val="auto"/>
          <w:sz w:val="36"/>
          <w:szCs w:val="44"/>
          <w:lang w:val="en-US" w:eastAsia="zh-CN"/>
        </w:rPr>
      </w:pPr>
    </w:p>
    <w:p w14:paraId="7DCC36BE">
      <w:pPr>
        <w:pStyle w:val="33"/>
        <w:rPr>
          <w:rFonts w:hint="default" w:ascii="宋体" w:hAnsi="宋体" w:cs="Times New Roman"/>
          <w:b/>
          <w:bCs/>
          <w:color w:val="auto"/>
          <w:sz w:val="36"/>
          <w:szCs w:val="44"/>
          <w:lang w:val="en-US" w:eastAsia="zh-CN"/>
        </w:rPr>
      </w:pPr>
    </w:p>
    <w:p w14:paraId="319D1E0E">
      <w:pPr>
        <w:pStyle w:val="33"/>
        <w:rPr>
          <w:rFonts w:hint="default" w:ascii="宋体" w:hAnsi="宋体" w:cs="Times New Roman"/>
          <w:b/>
          <w:bCs/>
          <w:color w:val="auto"/>
          <w:sz w:val="36"/>
          <w:szCs w:val="44"/>
          <w:lang w:val="en-US" w:eastAsia="zh-CN"/>
        </w:rPr>
      </w:pPr>
    </w:p>
    <w:p w14:paraId="7692F9A6">
      <w:pPr>
        <w:pStyle w:val="33"/>
        <w:rPr>
          <w:rFonts w:hint="default" w:ascii="宋体" w:hAnsi="宋体" w:cs="Times New Roman"/>
          <w:b/>
          <w:bCs/>
          <w:color w:val="auto"/>
          <w:sz w:val="36"/>
          <w:szCs w:val="44"/>
          <w:lang w:val="en-US" w:eastAsia="zh-CN"/>
        </w:rPr>
      </w:pPr>
    </w:p>
    <w:p w14:paraId="436AAD3E">
      <w:pPr>
        <w:pStyle w:val="33"/>
        <w:rPr>
          <w:rFonts w:hint="default" w:ascii="宋体" w:hAnsi="宋体" w:cs="Times New Roman"/>
          <w:b/>
          <w:bCs/>
          <w:color w:val="auto"/>
          <w:sz w:val="36"/>
          <w:szCs w:val="44"/>
          <w:lang w:val="en-US" w:eastAsia="zh-CN"/>
        </w:rPr>
      </w:pPr>
    </w:p>
    <w:p w14:paraId="74488B25">
      <w:pPr>
        <w:pStyle w:val="33"/>
        <w:rPr>
          <w:rFonts w:hint="default" w:ascii="宋体" w:hAnsi="宋体" w:cs="Times New Roman"/>
          <w:b/>
          <w:bCs/>
          <w:color w:val="auto"/>
          <w:sz w:val="36"/>
          <w:szCs w:val="44"/>
          <w:lang w:val="en-US" w:eastAsia="zh-CN"/>
        </w:rPr>
      </w:pPr>
    </w:p>
    <w:p w14:paraId="5E186636">
      <w:pPr>
        <w:pStyle w:val="33"/>
        <w:rPr>
          <w:rFonts w:hint="default" w:ascii="宋体" w:hAnsi="宋体" w:cs="Times New Roman"/>
          <w:b/>
          <w:bCs/>
          <w:color w:val="auto"/>
          <w:sz w:val="36"/>
          <w:szCs w:val="44"/>
          <w:lang w:val="en-US" w:eastAsia="zh-CN"/>
        </w:rPr>
      </w:pPr>
    </w:p>
    <w:p w14:paraId="271E9326">
      <w:pPr>
        <w:pStyle w:val="33"/>
        <w:rPr>
          <w:rFonts w:hint="default" w:ascii="宋体" w:hAnsi="宋体" w:cs="Times New Roman"/>
          <w:b/>
          <w:bCs/>
          <w:color w:val="auto"/>
          <w:sz w:val="36"/>
          <w:szCs w:val="44"/>
          <w:lang w:val="en-US" w:eastAsia="zh-CN"/>
        </w:rPr>
      </w:pPr>
    </w:p>
    <w:p w14:paraId="03AA12CA">
      <w:pPr>
        <w:pStyle w:val="33"/>
        <w:rPr>
          <w:rFonts w:hint="default" w:ascii="宋体" w:hAnsi="宋体" w:cs="Times New Roman"/>
          <w:b/>
          <w:bCs/>
          <w:color w:val="auto"/>
          <w:sz w:val="36"/>
          <w:szCs w:val="44"/>
          <w:lang w:val="en-US" w:eastAsia="zh-CN"/>
        </w:rPr>
      </w:pPr>
    </w:p>
    <w:p w14:paraId="43DF172E">
      <w:pPr>
        <w:pStyle w:val="33"/>
        <w:rPr>
          <w:rFonts w:hint="default" w:ascii="宋体" w:hAnsi="宋体" w:cs="Times New Roman"/>
          <w:b/>
          <w:bCs/>
          <w:color w:val="auto"/>
          <w:sz w:val="36"/>
          <w:szCs w:val="44"/>
          <w:lang w:val="en-US" w:eastAsia="zh-CN"/>
        </w:rPr>
      </w:pPr>
    </w:p>
    <w:p w14:paraId="3FD697DB">
      <w:pPr>
        <w:pStyle w:val="33"/>
        <w:rPr>
          <w:rFonts w:hint="default" w:ascii="宋体" w:hAnsi="宋体" w:cs="Times New Roman"/>
          <w:b/>
          <w:bCs/>
          <w:color w:val="auto"/>
          <w:sz w:val="36"/>
          <w:szCs w:val="44"/>
          <w:lang w:val="en-US" w:eastAsia="zh-CN"/>
        </w:rPr>
      </w:pPr>
    </w:p>
    <w:p w14:paraId="7C37CC98">
      <w:pPr>
        <w:pStyle w:val="33"/>
        <w:rPr>
          <w:rFonts w:hint="default" w:ascii="宋体" w:hAnsi="宋体" w:cs="Times New Roman"/>
          <w:b/>
          <w:bCs/>
          <w:color w:val="auto"/>
          <w:sz w:val="36"/>
          <w:szCs w:val="44"/>
          <w:lang w:val="en-US" w:eastAsia="zh-CN"/>
        </w:rPr>
      </w:pPr>
    </w:p>
    <w:p w14:paraId="558B933B">
      <w:pPr>
        <w:pStyle w:val="33"/>
        <w:rPr>
          <w:rFonts w:hint="default" w:ascii="宋体" w:hAnsi="宋体" w:cs="Times New Roman"/>
          <w:b/>
          <w:bCs/>
          <w:color w:val="auto"/>
          <w:sz w:val="36"/>
          <w:szCs w:val="44"/>
          <w:lang w:val="en-US" w:eastAsia="zh-CN"/>
        </w:rPr>
      </w:pPr>
    </w:p>
    <w:p w14:paraId="20A897A2">
      <w:pPr>
        <w:pStyle w:val="33"/>
        <w:rPr>
          <w:rFonts w:hint="default" w:ascii="宋体" w:hAnsi="宋体" w:cs="Times New Roman"/>
          <w:b/>
          <w:bCs/>
          <w:color w:val="auto"/>
          <w:sz w:val="36"/>
          <w:szCs w:val="44"/>
          <w:lang w:val="en-US" w:eastAsia="zh-CN"/>
        </w:rPr>
      </w:pPr>
    </w:p>
    <w:p w14:paraId="20692F02">
      <w:pPr>
        <w:pStyle w:val="33"/>
        <w:rPr>
          <w:rFonts w:hint="default" w:ascii="宋体" w:hAnsi="宋体" w:cs="Times New Roman"/>
          <w:b/>
          <w:bCs/>
          <w:color w:val="auto"/>
          <w:sz w:val="36"/>
          <w:szCs w:val="44"/>
          <w:lang w:val="en-US" w:eastAsia="zh-CN"/>
        </w:rPr>
      </w:pPr>
    </w:p>
    <w:p w14:paraId="26E3173B">
      <w:pPr>
        <w:pStyle w:val="33"/>
        <w:rPr>
          <w:rFonts w:hint="default" w:ascii="宋体" w:hAnsi="宋体" w:cs="Times New Roman"/>
          <w:b/>
          <w:bCs/>
          <w:color w:val="auto"/>
          <w:sz w:val="36"/>
          <w:szCs w:val="44"/>
          <w:lang w:val="en-US" w:eastAsia="zh-CN"/>
        </w:rPr>
      </w:pPr>
    </w:p>
    <w:p w14:paraId="2D446BB1">
      <w:pPr>
        <w:pStyle w:val="33"/>
        <w:rPr>
          <w:rFonts w:hint="default" w:ascii="宋体" w:hAnsi="宋体" w:cs="Times New Roman"/>
          <w:b/>
          <w:bCs/>
          <w:color w:val="auto"/>
          <w:sz w:val="36"/>
          <w:szCs w:val="44"/>
          <w:lang w:val="en-US" w:eastAsia="zh-CN"/>
        </w:rPr>
      </w:pPr>
    </w:p>
    <w:p w14:paraId="2BF09D82">
      <w:pPr>
        <w:pStyle w:val="33"/>
        <w:ind w:left="0" w:leftChars="0" w:firstLine="0" w:firstLineChars="0"/>
        <w:rPr>
          <w:rFonts w:hint="default" w:ascii="宋体" w:hAnsi="宋体" w:cs="Times New Roman"/>
          <w:b/>
          <w:bCs/>
          <w:color w:val="auto"/>
          <w:sz w:val="36"/>
          <w:szCs w:val="44"/>
          <w:lang w:val="en-US" w:eastAsia="zh-CN"/>
        </w:rPr>
      </w:pPr>
    </w:p>
    <w:p w14:paraId="572FAD44">
      <w:pPr>
        <w:pStyle w:val="33"/>
        <w:rPr>
          <w:rFonts w:hint="default" w:ascii="宋体" w:hAnsi="宋体" w:cs="Times New Roman"/>
          <w:b/>
          <w:bCs/>
          <w:color w:val="auto"/>
          <w:sz w:val="36"/>
          <w:szCs w:val="44"/>
          <w:lang w:val="en-US" w:eastAsia="zh-CN"/>
        </w:rPr>
      </w:pPr>
    </w:p>
    <w:p w14:paraId="406E184B">
      <w:pPr>
        <w:pStyle w:val="2"/>
        <w:keepNext/>
        <w:keepLines w:val="0"/>
        <w:pageBreakBefore w:val="0"/>
        <w:widowControl w:val="0"/>
        <w:kinsoku/>
        <w:wordWrap/>
        <w:overflowPunct/>
        <w:topLinePunct w:val="0"/>
        <w:autoSpaceDE/>
        <w:autoSpaceDN/>
        <w:bidi w:val="0"/>
        <w:adjustRightInd/>
        <w:snapToGrid/>
        <w:spacing w:line="520" w:lineRule="exact"/>
        <w:ind w:firstLine="2650" w:firstLineChars="600"/>
        <w:textAlignment w:val="auto"/>
        <w:rPr>
          <w:rFonts w:hint="eastAsia"/>
          <w:color w:val="auto"/>
          <w:sz w:val="44"/>
          <w:szCs w:val="44"/>
        </w:rPr>
      </w:pPr>
      <w:bookmarkStart w:id="98" w:name="_Toc26975"/>
    </w:p>
    <w:p w14:paraId="7697F695">
      <w:pPr>
        <w:pStyle w:val="2"/>
        <w:keepNext/>
        <w:keepLines w:val="0"/>
        <w:pageBreakBefore w:val="0"/>
        <w:widowControl w:val="0"/>
        <w:kinsoku/>
        <w:wordWrap/>
        <w:overflowPunct/>
        <w:topLinePunct w:val="0"/>
        <w:autoSpaceDE/>
        <w:autoSpaceDN/>
        <w:bidi w:val="0"/>
        <w:adjustRightInd/>
        <w:snapToGrid/>
        <w:spacing w:line="520" w:lineRule="exact"/>
        <w:ind w:firstLine="2650" w:firstLineChars="600"/>
        <w:textAlignment w:val="auto"/>
        <w:rPr>
          <w:rFonts w:hint="eastAsia"/>
          <w:color w:val="auto"/>
          <w:sz w:val="44"/>
          <w:szCs w:val="44"/>
        </w:rPr>
      </w:pPr>
      <w:r>
        <w:rPr>
          <w:rFonts w:hint="eastAsia"/>
          <w:color w:val="auto"/>
          <w:sz w:val="44"/>
          <w:szCs w:val="44"/>
        </w:rPr>
        <w:t>第</w:t>
      </w:r>
      <w:r>
        <w:rPr>
          <w:rFonts w:hint="eastAsia"/>
          <w:color w:val="auto"/>
          <w:sz w:val="44"/>
          <w:szCs w:val="44"/>
          <w:lang w:val="en-US" w:eastAsia="zh-CN"/>
        </w:rPr>
        <w:t>六</w:t>
      </w:r>
      <w:r>
        <w:rPr>
          <w:rFonts w:hint="eastAsia"/>
          <w:color w:val="auto"/>
          <w:sz w:val="44"/>
          <w:szCs w:val="44"/>
        </w:rPr>
        <w:t>章 响应文件格式</w:t>
      </w:r>
      <w:bookmarkEnd w:id="90"/>
      <w:bookmarkEnd w:id="98"/>
    </w:p>
    <w:p w14:paraId="110E0668">
      <w:pPr>
        <w:snapToGrid w:val="0"/>
        <w:spacing w:before="156" w:beforeLines="50" w:after="50"/>
        <w:jc w:val="center"/>
        <w:rPr>
          <w:rFonts w:hint="eastAsia" w:ascii="宋体" w:hAnsi="宋体" w:eastAsia="宋体" w:cs="宋体"/>
          <w:bCs/>
          <w:color w:val="auto"/>
          <w:sz w:val="44"/>
          <w:szCs w:val="44"/>
          <w:highlight w:val="none"/>
        </w:rPr>
      </w:pPr>
      <w:bookmarkStart w:id="99" w:name="_Toc22189"/>
    </w:p>
    <w:p w14:paraId="7FA180BD">
      <w:pPr>
        <w:snapToGrid w:val="0"/>
        <w:spacing w:before="156" w:beforeLines="50" w:after="50"/>
        <w:jc w:val="center"/>
        <w:rPr>
          <w:rFonts w:hint="eastAsia" w:ascii="宋体" w:hAnsi="宋体" w:eastAsia="宋体" w:cs="宋体"/>
          <w:bCs/>
          <w:color w:val="auto"/>
          <w:sz w:val="44"/>
          <w:szCs w:val="44"/>
          <w:highlight w:val="none"/>
        </w:rPr>
      </w:pPr>
    </w:p>
    <w:p w14:paraId="5169CE55">
      <w:pPr>
        <w:snapToGrid w:val="0"/>
        <w:spacing w:before="156"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7D3D787F">
      <w:pPr>
        <w:snapToGrid w:val="0"/>
        <w:spacing w:before="156" w:beforeLines="50" w:after="50"/>
        <w:rPr>
          <w:rFonts w:hint="eastAsia" w:ascii="宋体" w:hAnsi="宋体" w:eastAsia="宋体" w:cs="宋体"/>
          <w:bCs/>
          <w:color w:val="auto"/>
          <w:sz w:val="24"/>
          <w:szCs w:val="20"/>
          <w:highlight w:val="none"/>
        </w:rPr>
      </w:pPr>
    </w:p>
    <w:p w14:paraId="6C39F102">
      <w:pPr>
        <w:snapToGrid w:val="0"/>
        <w:spacing w:before="156" w:beforeLines="50" w:after="50"/>
        <w:rPr>
          <w:rFonts w:hint="eastAsia" w:ascii="宋体" w:hAnsi="宋体" w:eastAsia="宋体" w:cs="宋体"/>
          <w:bCs/>
          <w:color w:val="auto"/>
          <w:sz w:val="24"/>
          <w:szCs w:val="20"/>
          <w:highlight w:val="none"/>
        </w:rPr>
      </w:pPr>
    </w:p>
    <w:p w14:paraId="4A92E3FB">
      <w:pPr>
        <w:snapToGrid w:val="0"/>
        <w:spacing w:before="156" w:beforeLines="50" w:after="50"/>
        <w:rPr>
          <w:rFonts w:hint="eastAsia" w:ascii="宋体" w:hAnsi="宋体" w:eastAsia="宋体" w:cs="宋体"/>
          <w:bCs/>
          <w:color w:val="auto"/>
          <w:sz w:val="32"/>
          <w:szCs w:val="32"/>
          <w:highlight w:val="none"/>
        </w:rPr>
      </w:pPr>
    </w:p>
    <w:p w14:paraId="6A1F385E">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16E41939">
      <w:pPr>
        <w:snapToGrid w:val="0"/>
        <w:spacing w:before="156" w:beforeLines="50" w:after="50"/>
        <w:ind w:firstLine="480" w:firstLineChars="150"/>
        <w:rPr>
          <w:rFonts w:hint="eastAsia" w:ascii="宋体" w:hAnsi="宋体" w:eastAsia="宋体" w:cs="宋体"/>
          <w:bCs/>
          <w:color w:val="auto"/>
          <w:sz w:val="32"/>
          <w:szCs w:val="32"/>
          <w:highlight w:val="none"/>
        </w:rPr>
      </w:pPr>
    </w:p>
    <w:p w14:paraId="126A4E8F">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w:t>
      </w:r>
    </w:p>
    <w:p w14:paraId="18CEE9C8">
      <w:pPr>
        <w:snapToGrid w:val="0"/>
        <w:spacing w:before="156" w:beforeLines="50" w:after="50"/>
        <w:ind w:firstLine="480" w:firstLineChars="150"/>
        <w:rPr>
          <w:rFonts w:hint="eastAsia" w:ascii="宋体" w:hAnsi="宋体" w:eastAsia="宋体" w:cs="宋体"/>
          <w:bCs/>
          <w:color w:val="auto"/>
          <w:sz w:val="32"/>
          <w:szCs w:val="32"/>
          <w:highlight w:val="none"/>
        </w:rPr>
      </w:pPr>
    </w:p>
    <w:p w14:paraId="0A7CC5E2">
      <w:pPr>
        <w:snapToGrid w:val="0"/>
        <w:spacing w:before="156" w:beforeLines="50" w:after="50"/>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4829D4DC">
      <w:pPr>
        <w:snapToGrid w:val="0"/>
        <w:spacing w:before="156" w:beforeLines="50" w:after="50"/>
        <w:rPr>
          <w:rFonts w:hint="eastAsia" w:ascii="宋体" w:hAnsi="宋体" w:eastAsia="宋体" w:cs="宋体"/>
          <w:bCs/>
          <w:color w:val="auto"/>
          <w:sz w:val="32"/>
          <w:szCs w:val="32"/>
          <w:highlight w:val="none"/>
        </w:rPr>
      </w:pPr>
    </w:p>
    <w:p w14:paraId="396B1CB8">
      <w:pPr>
        <w:snapToGrid w:val="0"/>
        <w:spacing w:before="156" w:beforeLines="50" w:after="50"/>
        <w:ind w:firstLine="5440" w:firstLineChars="1700"/>
        <w:jc w:val="center"/>
        <w:rPr>
          <w:rFonts w:hint="eastAsia" w:ascii="宋体" w:hAnsi="宋体" w:eastAsia="宋体" w:cs="宋体"/>
          <w:bCs/>
          <w:color w:val="auto"/>
          <w:sz w:val="32"/>
          <w:szCs w:val="32"/>
          <w:highlight w:val="none"/>
        </w:rPr>
      </w:pPr>
    </w:p>
    <w:p w14:paraId="7574D144">
      <w:pPr>
        <w:pStyle w:val="33"/>
        <w:rPr>
          <w:rFonts w:hint="eastAsia"/>
          <w:color w:val="auto"/>
        </w:rPr>
      </w:pPr>
    </w:p>
    <w:p w14:paraId="3C74FDDB">
      <w:pPr>
        <w:snapToGrid w:val="0"/>
        <w:spacing w:before="156" w:beforeLines="50" w:after="50"/>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25B78929">
      <w:pPr>
        <w:rPr>
          <w:rFonts w:hint="eastAsia"/>
          <w:b/>
          <w:color w:val="auto"/>
          <w:sz w:val="28"/>
          <w:szCs w:val="28"/>
          <w:highlight w:val="none"/>
        </w:rPr>
      </w:pPr>
      <w:r>
        <w:rPr>
          <w:rFonts w:hint="eastAsia" w:ascii="宋体" w:hAnsi="宋体" w:eastAsia="宋体" w:cs="宋体"/>
          <w:bCs/>
          <w:color w:val="auto"/>
          <w:sz w:val="24"/>
          <w:highlight w:val="none"/>
        </w:rPr>
        <w:br w:type="page"/>
      </w:r>
      <w:bookmarkStart w:id="100" w:name="_Toc71366186"/>
      <w:bookmarkStart w:id="101" w:name="_Toc35611516"/>
      <w:bookmarkStart w:id="102" w:name="_Toc31728084"/>
      <w:bookmarkStart w:id="103" w:name="_Toc44229899"/>
      <w:bookmarkStart w:id="104" w:name="_Toc35611438"/>
      <w:bookmarkStart w:id="105" w:name="_Toc31723070"/>
      <w:r>
        <w:rPr>
          <w:rFonts w:hint="eastAsia"/>
          <w:b/>
          <w:color w:val="auto"/>
          <w:sz w:val="28"/>
          <w:szCs w:val="28"/>
          <w:highlight w:val="none"/>
        </w:rPr>
        <w:t>一、资格证明文件格式</w:t>
      </w:r>
      <w:bookmarkEnd w:id="100"/>
      <w:bookmarkEnd w:id="101"/>
      <w:bookmarkEnd w:id="102"/>
      <w:bookmarkEnd w:id="103"/>
      <w:bookmarkEnd w:id="104"/>
      <w:bookmarkEnd w:id="105"/>
    </w:p>
    <w:p w14:paraId="729A9DAE">
      <w:pPr>
        <w:snapToGrid w:val="0"/>
        <w:spacing w:before="156" w:beforeLines="50" w:after="50" w:line="360" w:lineRule="auto"/>
        <w:jc w:val="left"/>
        <w:rPr>
          <w:rFonts w:hint="eastAsia" w:ascii="宋体" w:hAnsi="宋体"/>
          <w:b/>
          <w:color w:val="auto"/>
          <w:sz w:val="22"/>
          <w:szCs w:val="22"/>
          <w:highlight w:val="none"/>
        </w:rPr>
      </w:pPr>
      <w:r>
        <w:rPr>
          <w:rFonts w:hint="eastAsia" w:ascii="宋体" w:hAnsi="宋体"/>
          <w:b/>
          <w:color w:val="auto"/>
          <w:sz w:val="28"/>
          <w:szCs w:val="28"/>
          <w:highlight w:val="none"/>
        </w:rPr>
        <w:t>1.资格证明文件封面格式：</w:t>
      </w:r>
      <w:r>
        <w:rPr>
          <w:rFonts w:hint="eastAsia" w:ascii="宋体" w:hAnsi="宋体"/>
          <w:b/>
          <w:color w:val="auto"/>
          <w:sz w:val="22"/>
          <w:szCs w:val="22"/>
          <w:highlight w:val="none"/>
        </w:rPr>
        <w:t xml:space="preserve"> </w:t>
      </w:r>
    </w:p>
    <w:p w14:paraId="4DD6A63D">
      <w:pPr>
        <w:snapToGrid w:val="0"/>
        <w:spacing w:before="156" w:beforeLines="50" w:after="50"/>
        <w:jc w:val="center"/>
        <w:rPr>
          <w:rFonts w:ascii="宋体" w:hAnsi="宋体"/>
          <w:color w:val="auto"/>
          <w:sz w:val="40"/>
          <w:szCs w:val="40"/>
          <w:highlight w:val="none"/>
        </w:rPr>
      </w:pPr>
    </w:p>
    <w:p w14:paraId="1BB2621A">
      <w:pPr>
        <w:snapToGrid w:val="0"/>
        <w:spacing w:before="156" w:beforeLines="50" w:after="50"/>
        <w:jc w:val="center"/>
        <w:rPr>
          <w:rFonts w:ascii="宋体" w:hAnsi="宋体"/>
          <w:color w:val="auto"/>
          <w:sz w:val="40"/>
          <w:szCs w:val="40"/>
          <w:highlight w:val="none"/>
        </w:rPr>
      </w:pPr>
      <w:r>
        <w:rPr>
          <w:rFonts w:hint="eastAsia" w:ascii="宋体" w:hAnsi="宋体"/>
          <w:color w:val="auto"/>
          <w:sz w:val="40"/>
          <w:szCs w:val="40"/>
          <w:highlight w:val="none"/>
        </w:rPr>
        <w:t>电 子 响 应 文 件</w:t>
      </w:r>
    </w:p>
    <w:p w14:paraId="1E457C0A">
      <w:pPr>
        <w:snapToGrid w:val="0"/>
        <w:spacing w:before="156" w:beforeLines="50" w:after="50"/>
        <w:rPr>
          <w:rFonts w:hint="eastAsia" w:ascii="宋体" w:hAnsi="宋体"/>
          <w:color w:val="auto"/>
          <w:sz w:val="22"/>
          <w:szCs w:val="18"/>
          <w:highlight w:val="none"/>
        </w:rPr>
      </w:pPr>
    </w:p>
    <w:p w14:paraId="6720EA53">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资  格  证  明  文  件</w:t>
      </w:r>
    </w:p>
    <w:p w14:paraId="1CB09BB1">
      <w:pPr>
        <w:snapToGrid w:val="0"/>
        <w:spacing w:before="156" w:beforeLines="50" w:after="50"/>
        <w:rPr>
          <w:rFonts w:hint="eastAsia" w:ascii="宋体" w:hAnsi="宋体"/>
          <w:bCs/>
          <w:color w:val="auto"/>
          <w:sz w:val="22"/>
          <w:szCs w:val="18"/>
          <w:highlight w:val="none"/>
        </w:rPr>
      </w:pPr>
    </w:p>
    <w:p w14:paraId="749028B1">
      <w:pPr>
        <w:snapToGrid w:val="0"/>
        <w:spacing w:before="156" w:beforeLines="50" w:after="50"/>
        <w:rPr>
          <w:rFonts w:hint="eastAsia" w:ascii="宋体" w:hAnsi="宋体"/>
          <w:bCs/>
          <w:color w:val="auto"/>
          <w:sz w:val="22"/>
          <w:szCs w:val="18"/>
          <w:highlight w:val="none"/>
        </w:rPr>
      </w:pPr>
    </w:p>
    <w:p w14:paraId="2EDECF35">
      <w:pPr>
        <w:snapToGrid w:val="0"/>
        <w:spacing w:before="156" w:beforeLines="50" w:after="50"/>
        <w:rPr>
          <w:rFonts w:hint="eastAsia" w:ascii="宋体" w:hAnsi="宋体"/>
          <w:bCs/>
          <w:color w:val="auto"/>
          <w:sz w:val="22"/>
          <w:szCs w:val="18"/>
          <w:highlight w:val="none"/>
        </w:rPr>
      </w:pPr>
    </w:p>
    <w:p w14:paraId="3EE9966E">
      <w:pPr>
        <w:snapToGrid w:val="0"/>
        <w:spacing w:before="156" w:beforeLines="50" w:after="50"/>
        <w:rPr>
          <w:rFonts w:hint="eastAsia" w:ascii="宋体" w:hAnsi="宋体"/>
          <w:bCs/>
          <w:color w:val="auto"/>
          <w:sz w:val="22"/>
          <w:szCs w:val="18"/>
          <w:highlight w:val="none"/>
        </w:rPr>
      </w:pPr>
    </w:p>
    <w:p w14:paraId="7081CE9B">
      <w:pPr>
        <w:snapToGrid w:val="0"/>
        <w:spacing w:before="156" w:beforeLines="50" w:after="50"/>
        <w:rPr>
          <w:rFonts w:hint="eastAsia" w:ascii="宋体" w:hAnsi="宋体"/>
          <w:bCs/>
          <w:color w:val="auto"/>
          <w:sz w:val="22"/>
          <w:szCs w:val="18"/>
          <w:highlight w:val="none"/>
        </w:rPr>
      </w:pPr>
    </w:p>
    <w:p w14:paraId="01192328">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0E90F98D">
      <w:pPr>
        <w:snapToGrid w:val="0"/>
        <w:spacing w:before="156" w:beforeLines="50" w:after="50"/>
        <w:ind w:firstLine="630" w:firstLineChars="225"/>
        <w:rPr>
          <w:rFonts w:hint="eastAsia" w:ascii="宋体" w:hAnsi="宋体" w:cs="仿宋_GB2312"/>
          <w:bCs/>
          <w:color w:val="auto"/>
          <w:sz w:val="28"/>
          <w:szCs w:val="28"/>
          <w:highlight w:val="none"/>
        </w:rPr>
      </w:pPr>
    </w:p>
    <w:p w14:paraId="228C0354">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0238A5C4">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448DC460">
      <w:pPr>
        <w:pStyle w:val="7"/>
        <w:snapToGrid w:val="0"/>
        <w:spacing w:before="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07BF2921">
      <w:pPr>
        <w:snapToGrid w:val="0"/>
        <w:spacing w:before="156" w:beforeLines="50" w:after="50"/>
        <w:ind w:firstLine="560" w:firstLineChars="200"/>
        <w:rPr>
          <w:rFonts w:hint="eastAsia" w:ascii="宋体" w:hAnsi="宋体" w:cs="仿宋_GB2312"/>
          <w:bCs/>
          <w:color w:val="auto"/>
          <w:sz w:val="28"/>
          <w:szCs w:val="28"/>
          <w:highlight w:val="none"/>
        </w:rPr>
      </w:pPr>
    </w:p>
    <w:p w14:paraId="167BEECF">
      <w:pPr>
        <w:pStyle w:val="7"/>
        <w:snapToGrid w:val="0"/>
        <w:spacing w:before="50" w:after="50"/>
        <w:ind w:firstLine="630" w:firstLineChars="225"/>
        <w:rPr>
          <w:rFonts w:hint="eastAsia" w:ascii="宋体" w:hAnsi="宋体" w:cs="仿宋_GB2312"/>
          <w:bCs/>
          <w:color w:val="auto"/>
          <w:sz w:val="28"/>
          <w:szCs w:val="28"/>
          <w:highlight w:val="none"/>
        </w:rPr>
      </w:pPr>
    </w:p>
    <w:p w14:paraId="3D0731DB">
      <w:pPr>
        <w:pStyle w:val="7"/>
        <w:snapToGrid w:val="0"/>
        <w:spacing w:before="50" w:after="50"/>
        <w:ind w:firstLine="630" w:firstLineChars="225"/>
        <w:rPr>
          <w:rFonts w:hint="eastAsia" w:ascii="宋体" w:hAnsi="宋体" w:cs="仿宋_GB2312"/>
          <w:bCs/>
          <w:color w:val="auto"/>
          <w:sz w:val="28"/>
          <w:szCs w:val="28"/>
          <w:highlight w:val="none"/>
        </w:rPr>
      </w:pPr>
    </w:p>
    <w:p w14:paraId="10C0DE68">
      <w:pPr>
        <w:pStyle w:val="7"/>
        <w:snapToGrid w:val="0"/>
        <w:spacing w:before="50" w:after="50"/>
        <w:ind w:firstLine="1120" w:firstLineChars="400"/>
        <w:rPr>
          <w:rFonts w:hint="eastAsia" w:ascii="宋体" w:hAnsi="宋体" w:cs="仿宋_GB2312"/>
          <w:bCs/>
          <w:color w:val="auto"/>
          <w:sz w:val="28"/>
          <w:szCs w:val="28"/>
          <w:highlight w:val="none"/>
        </w:rPr>
      </w:pPr>
    </w:p>
    <w:p w14:paraId="272FE348">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0B5CAD78">
      <w:pPr>
        <w:snapToGrid w:val="0"/>
        <w:spacing w:before="156" w:beforeLines="50" w:after="50" w:line="360" w:lineRule="auto"/>
        <w:ind w:left="142"/>
        <w:jc w:val="left"/>
        <w:rPr>
          <w:rFonts w:hint="eastAsia" w:ascii="宋体" w:hAnsi="宋体"/>
          <w:b/>
          <w:bCs/>
          <w:color w:val="auto"/>
          <w:sz w:val="28"/>
          <w:szCs w:val="28"/>
          <w:highlight w:val="none"/>
        </w:rPr>
      </w:pPr>
      <w:r>
        <w:rPr>
          <w:rFonts w:ascii="宋体" w:hAnsi="宋体"/>
          <w:color w:val="auto"/>
          <w:sz w:val="22"/>
          <w:szCs w:val="22"/>
          <w:highlight w:val="none"/>
        </w:rPr>
        <w:br w:type="page"/>
      </w:r>
      <w:r>
        <w:rPr>
          <w:rFonts w:hint="eastAsia" w:ascii="宋体" w:hAnsi="宋体"/>
          <w:b/>
          <w:bCs/>
          <w:color w:val="auto"/>
          <w:sz w:val="28"/>
          <w:szCs w:val="28"/>
          <w:highlight w:val="none"/>
        </w:rPr>
        <w:t>2.资格证明文件目录</w:t>
      </w:r>
    </w:p>
    <w:p w14:paraId="40B6F977">
      <w:pPr>
        <w:snapToGrid w:val="0"/>
        <w:spacing w:before="156" w:beforeLines="50" w:after="50"/>
        <w:ind w:firstLine="880" w:firstLineChars="400"/>
        <w:rPr>
          <w:rFonts w:ascii="宋体" w:hAnsi="宋体"/>
          <w:color w:val="auto"/>
          <w:sz w:val="22"/>
          <w:szCs w:val="18"/>
          <w:highlight w:val="none"/>
        </w:rPr>
      </w:pPr>
      <w:r>
        <w:rPr>
          <w:rFonts w:hint="eastAsia" w:ascii="宋体" w:hAnsi="宋体"/>
          <w:color w:val="auto"/>
          <w:sz w:val="22"/>
          <w:szCs w:val="18"/>
          <w:highlight w:val="none"/>
          <w:lang w:val="en-US" w:eastAsia="zh-CN"/>
        </w:rPr>
        <w:t>根据磋商文件规定及供应商提供的材料自行编写目录（部分格式后附）。</w:t>
      </w:r>
    </w:p>
    <w:p w14:paraId="6DDA2D51">
      <w:pPr>
        <w:snapToGrid w:val="0"/>
        <w:spacing w:before="156" w:beforeLines="50" w:after="50"/>
        <w:rPr>
          <w:rFonts w:ascii="宋体" w:hAnsi="宋体"/>
          <w:color w:val="auto"/>
          <w:sz w:val="22"/>
          <w:szCs w:val="18"/>
          <w:highlight w:val="none"/>
        </w:rPr>
      </w:pPr>
      <w:r>
        <w:rPr>
          <w:rFonts w:ascii="宋体" w:hAnsi="宋体"/>
          <w:color w:val="auto"/>
          <w:sz w:val="22"/>
          <w:szCs w:val="18"/>
          <w:highlight w:val="none"/>
        </w:rPr>
        <w:t xml:space="preserve"> </w:t>
      </w:r>
    </w:p>
    <w:p w14:paraId="08D695BF">
      <w:pPr>
        <w:spacing w:line="300" w:lineRule="auto"/>
        <w:rPr>
          <w:rFonts w:hint="eastAsia" w:ascii="宋体" w:hAnsi="宋体"/>
          <w:color w:val="auto"/>
          <w:sz w:val="20"/>
          <w:szCs w:val="20"/>
          <w:highlight w:val="none"/>
        </w:rPr>
      </w:pPr>
    </w:p>
    <w:p w14:paraId="0950A684">
      <w:pPr>
        <w:spacing w:line="300" w:lineRule="auto"/>
        <w:rPr>
          <w:rFonts w:hint="eastAsia" w:ascii="宋体" w:hAnsi="宋体"/>
          <w:color w:val="auto"/>
          <w:sz w:val="20"/>
          <w:szCs w:val="20"/>
          <w:highlight w:val="none"/>
        </w:rPr>
      </w:pPr>
    </w:p>
    <w:p w14:paraId="658B74C3">
      <w:pPr>
        <w:spacing w:line="300" w:lineRule="auto"/>
        <w:rPr>
          <w:rFonts w:hint="eastAsia" w:ascii="宋体" w:hAnsi="宋体"/>
          <w:color w:val="auto"/>
          <w:sz w:val="20"/>
          <w:szCs w:val="20"/>
          <w:highlight w:val="none"/>
        </w:rPr>
      </w:pPr>
    </w:p>
    <w:p w14:paraId="392C4A4A">
      <w:pPr>
        <w:spacing w:line="300" w:lineRule="auto"/>
        <w:rPr>
          <w:rFonts w:hint="eastAsia" w:ascii="宋体" w:hAnsi="宋体"/>
          <w:color w:val="auto"/>
          <w:sz w:val="20"/>
          <w:szCs w:val="20"/>
          <w:highlight w:val="none"/>
        </w:rPr>
      </w:pPr>
    </w:p>
    <w:p w14:paraId="3DC04E37">
      <w:pPr>
        <w:spacing w:line="300" w:lineRule="auto"/>
        <w:rPr>
          <w:rFonts w:hint="eastAsia" w:ascii="宋体" w:hAnsi="宋体"/>
          <w:color w:val="auto"/>
          <w:sz w:val="20"/>
          <w:szCs w:val="20"/>
          <w:highlight w:val="none"/>
        </w:rPr>
      </w:pPr>
    </w:p>
    <w:p w14:paraId="0DC7A715">
      <w:pPr>
        <w:spacing w:line="300" w:lineRule="auto"/>
        <w:rPr>
          <w:rFonts w:hint="eastAsia" w:ascii="宋体" w:hAnsi="宋体"/>
          <w:color w:val="auto"/>
          <w:sz w:val="20"/>
          <w:szCs w:val="20"/>
          <w:highlight w:val="none"/>
        </w:rPr>
      </w:pPr>
    </w:p>
    <w:p w14:paraId="40DBC78B">
      <w:pPr>
        <w:spacing w:line="300" w:lineRule="auto"/>
        <w:rPr>
          <w:rFonts w:hint="eastAsia" w:ascii="宋体" w:hAnsi="宋体"/>
          <w:color w:val="auto"/>
          <w:sz w:val="20"/>
          <w:szCs w:val="20"/>
          <w:highlight w:val="none"/>
        </w:rPr>
      </w:pPr>
    </w:p>
    <w:p w14:paraId="41F3D626">
      <w:pPr>
        <w:spacing w:line="300" w:lineRule="auto"/>
        <w:rPr>
          <w:rFonts w:hint="eastAsia" w:ascii="宋体" w:hAnsi="宋体"/>
          <w:color w:val="auto"/>
          <w:sz w:val="20"/>
          <w:szCs w:val="20"/>
          <w:highlight w:val="none"/>
        </w:rPr>
      </w:pPr>
    </w:p>
    <w:p w14:paraId="0DB1BD8D">
      <w:pPr>
        <w:spacing w:line="300" w:lineRule="auto"/>
        <w:rPr>
          <w:rFonts w:hint="eastAsia" w:ascii="宋体" w:hAnsi="宋体"/>
          <w:color w:val="auto"/>
          <w:sz w:val="20"/>
          <w:szCs w:val="20"/>
          <w:highlight w:val="none"/>
        </w:rPr>
      </w:pPr>
    </w:p>
    <w:p w14:paraId="53A076F0">
      <w:pPr>
        <w:spacing w:line="300" w:lineRule="auto"/>
        <w:rPr>
          <w:rFonts w:hint="eastAsia" w:ascii="宋体" w:hAnsi="宋体"/>
          <w:color w:val="auto"/>
          <w:sz w:val="20"/>
          <w:szCs w:val="20"/>
          <w:highlight w:val="none"/>
        </w:rPr>
      </w:pPr>
    </w:p>
    <w:p w14:paraId="109C8899">
      <w:pPr>
        <w:spacing w:line="300" w:lineRule="auto"/>
        <w:rPr>
          <w:rFonts w:hint="eastAsia" w:ascii="宋体" w:hAnsi="宋体"/>
          <w:color w:val="auto"/>
          <w:sz w:val="20"/>
          <w:szCs w:val="20"/>
          <w:highlight w:val="none"/>
        </w:rPr>
      </w:pPr>
    </w:p>
    <w:p w14:paraId="7A2E561F">
      <w:pPr>
        <w:spacing w:line="300" w:lineRule="auto"/>
        <w:rPr>
          <w:rFonts w:hint="eastAsia" w:ascii="宋体" w:hAnsi="宋体"/>
          <w:color w:val="auto"/>
          <w:sz w:val="20"/>
          <w:szCs w:val="20"/>
          <w:highlight w:val="none"/>
        </w:rPr>
      </w:pPr>
    </w:p>
    <w:p w14:paraId="303E2290">
      <w:pPr>
        <w:spacing w:line="300" w:lineRule="auto"/>
        <w:rPr>
          <w:rFonts w:hint="eastAsia" w:ascii="宋体" w:hAnsi="宋体"/>
          <w:color w:val="auto"/>
          <w:sz w:val="20"/>
          <w:szCs w:val="20"/>
          <w:highlight w:val="none"/>
        </w:rPr>
      </w:pPr>
    </w:p>
    <w:p w14:paraId="60E513C4">
      <w:pPr>
        <w:spacing w:line="300" w:lineRule="auto"/>
        <w:rPr>
          <w:rFonts w:hint="eastAsia" w:ascii="宋体" w:hAnsi="宋体"/>
          <w:color w:val="auto"/>
          <w:sz w:val="20"/>
          <w:szCs w:val="20"/>
          <w:highlight w:val="none"/>
        </w:rPr>
      </w:pPr>
    </w:p>
    <w:p w14:paraId="54D1DC34">
      <w:pPr>
        <w:spacing w:line="300" w:lineRule="auto"/>
        <w:rPr>
          <w:rFonts w:hint="eastAsia" w:ascii="宋体" w:hAnsi="宋体"/>
          <w:color w:val="auto"/>
          <w:sz w:val="20"/>
          <w:szCs w:val="20"/>
          <w:highlight w:val="none"/>
        </w:rPr>
      </w:pPr>
    </w:p>
    <w:p w14:paraId="56A5343C">
      <w:pPr>
        <w:spacing w:line="320" w:lineRule="exact"/>
        <w:jc w:val="left"/>
        <w:rPr>
          <w:rFonts w:hint="eastAsia"/>
          <w:color w:val="auto"/>
        </w:rPr>
      </w:pPr>
      <w:r>
        <w:rPr>
          <w:rFonts w:ascii="宋体" w:hAnsi="宋体"/>
          <w:color w:val="auto"/>
          <w:sz w:val="20"/>
          <w:szCs w:val="20"/>
          <w:highlight w:val="none"/>
        </w:rPr>
        <w:br w:type="page"/>
      </w:r>
    </w:p>
    <w:p w14:paraId="03D1C357">
      <w:pPr>
        <w:pStyle w:val="34"/>
        <w:jc w:val="both"/>
        <w:rPr>
          <w:rFonts w:hint="eastAsia" w:ascii="宋体" w:hAnsi="宋体" w:eastAsia="宋体" w:cs="宋体"/>
          <w:b/>
          <w:bCs/>
          <w:color w:val="auto"/>
          <w:sz w:val="32"/>
          <w:szCs w:val="32"/>
          <w:highlight w:val="none"/>
        </w:rPr>
      </w:pPr>
    </w:p>
    <w:p w14:paraId="0C05C2CF">
      <w:pPr>
        <w:spacing w:line="32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供应商直接控股、管理关系信息表</w:t>
      </w:r>
    </w:p>
    <w:p w14:paraId="51DF809A">
      <w:pPr>
        <w:snapToGrid w:val="0"/>
        <w:spacing w:before="156" w:beforeLines="50" w:after="50" w:line="360" w:lineRule="auto"/>
        <w:jc w:val="center"/>
        <w:rPr>
          <w:rFonts w:hint="eastAsia" w:ascii="宋体" w:hAnsi="宋体"/>
          <w:b/>
          <w:color w:val="auto"/>
          <w:sz w:val="22"/>
          <w:szCs w:val="22"/>
          <w:highlight w:val="none"/>
        </w:rPr>
      </w:pPr>
    </w:p>
    <w:p w14:paraId="78693BCC">
      <w:pPr>
        <w:spacing w:line="360" w:lineRule="auto"/>
        <w:contextualSpacing/>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供应商直接控股股东信息表</w:t>
      </w:r>
    </w:p>
    <w:p w14:paraId="31D10EB6">
      <w:pPr>
        <w:spacing w:line="360" w:lineRule="auto"/>
        <w:contextualSpacing/>
        <w:jc w:val="center"/>
        <w:rPr>
          <w:rFonts w:hint="eastAsia" w:ascii="宋体" w:hAnsi="宋体"/>
          <w:b/>
          <w:color w:val="auto"/>
          <w:sz w:val="22"/>
          <w:szCs w:val="22"/>
          <w:highlight w:val="none"/>
        </w:rPr>
      </w:pPr>
    </w:p>
    <w:tbl>
      <w:tblPr>
        <w:tblStyle w:val="25"/>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7166BB82">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B2F956E">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3E4C64">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B42876">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BC7FF0">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CCF140">
            <w:pPr>
              <w:widowControl/>
              <w:spacing w:line="360" w:lineRule="auto"/>
              <w:contextualSpacing/>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52C9631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C9A89D">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2F8D72">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7C0A9C0">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8ACF2A">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1E83F9">
            <w:pPr>
              <w:widowControl/>
              <w:spacing w:line="360" w:lineRule="auto"/>
              <w:contextualSpacing/>
              <w:jc w:val="center"/>
              <w:rPr>
                <w:rFonts w:hint="eastAsia" w:ascii="宋体" w:hAnsi="宋体" w:cs="宋体"/>
                <w:color w:val="auto"/>
                <w:kern w:val="0"/>
                <w:sz w:val="22"/>
                <w:szCs w:val="22"/>
                <w:highlight w:val="none"/>
              </w:rPr>
            </w:pPr>
          </w:p>
        </w:tc>
      </w:tr>
      <w:tr w14:paraId="3E5517B2">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6C9DB5">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4E080D">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99AFA57">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1FE895">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C792E5">
            <w:pPr>
              <w:widowControl/>
              <w:spacing w:line="360" w:lineRule="auto"/>
              <w:contextualSpacing/>
              <w:jc w:val="center"/>
              <w:rPr>
                <w:rFonts w:hint="eastAsia" w:ascii="宋体" w:hAnsi="宋体" w:cs="宋体"/>
                <w:color w:val="auto"/>
                <w:kern w:val="0"/>
                <w:sz w:val="22"/>
                <w:szCs w:val="22"/>
                <w:highlight w:val="none"/>
              </w:rPr>
            </w:pPr>
          </w:p>
        </w:tc>
      </w:tr>
      <w:tr w14:paraId="33CB4AEF">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563B361">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1490E5">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250F8B">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4DCF5E">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BBDD233">
            <w:pPr>
              <w:widowControl/>
              <w:spacing w:line="360" w:lineRule="auto"/>
              <w:contextualSpacing/>
              <w:jc w:val="center"/>
              <w:rPr>
                <w:rFonts w:hint="eastAsia" w:ascii="宋体" w:hAnsi="宋体" w:cs="宋体"/>
                <w:color w:val="auto"/>
                <w:kern w:val="0"/>
                <w:sz w:val="22"/>
                <w:szCs w:val="22"/>
                <w:highlight w:val="none"/>
              </w:rPr>
            </w:pPr>
          </w:p>
        </w:tc>
      </w:tr>
      <w:tr w14:paraId="3C2F59C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6594A5">
            <w:pPr>
              <w:widowControl/>
              <w:spacing w:line="360" w:lineRule="auto"/>
              <w:contextualSpacing/>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8481DA">
            <w:pPr>
              <w:widowControl/>
              <w:spacing w:line="360" w:lineRule="auto"/>
              <w:contextualSpacing/>
              <w:jc w:val="center"/>
              <w:rPr>
                <w:rFonts w:hint="eastAsia" w:ascii="宋体" w:hAnsi="宋体" w:cs="宋体"/>
                <w:color w:val="auto"/>
                <w:kern w:val="0"/>
                <w:sz w:val="22"/>
                <w:szCs w:val="22"/>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D661EE">
            <w:pPr>
              <w:widowControl/>
              <w:spacing w:line="360" w:lineRule="auto"/>
              <w:contextualSpacing/>
              <w:jc w:val="center"/>
              <w:rPr>
                <w:rFonts w:hint="eastAsia" w:ascii="宋体" w:hAnsi="宋体" w:cs="宋体"/>
                <w:color w:val="auto"/>
                <w:kern w:val="0"/>
                <w:sz w:val="22"/>
                <w:szCs w:val="22"/>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8DEE59">
            <w:pPr>
              <w:widowControl/>
              <w:spacing w:line="360" w:lineRule="auto"/>
              <w:contextualSpacing/>
              <w:jc w:val="center"/>
              <w:rPr>
                <w:rFonts w:hint="eastAsia" w:ascii="宋体" w:hAnsi="宋体" w:cs="宋体"/>
                <w:color w:val="auto"/>
                <w:kern w:val="0"/>
                <w:sz w:val="22"/>
                <w:szCs w:val="22"/>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F3C7B5">
            <w:pPr>
              <w:widowControl/>
              <w:spacing w:line="360" w:lineRule="auto"/>
              <w:contextualSpacing/>
              <w:jc w:val="center"/>
              <w:rPr>
                <w:rFonts w:hint="eastAsia" w:ascii="宋体" w:hAnsi="宋体" w:cs="宋体"/>
                <w:color w:val="auto"/>
                <w:kern w:val="0"/>
                <w:sz w:val="22"/>
                <w:szCs w:val="22"/>
                <w:highlight w:val="none"/>
              </w:rPr>
            </w:pPr>
          </w:p>
        </w:tc>
      </w:tr>
    </w:tbl>
    <w:p w14:paraId="7DECA7B4">
      <w:pPr>
        <w:spacing w:line="360" w:lineRule="auto"/>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263EA0DD">
      <w:pPr>
        <w:spacing w:line="360" w:lineRule="auto"/>
        <w:ind w:firstLine="420" w:firstLineChars="200"/>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BDADD67">
      <w:pPr>
        <w:spacing w:line="360" w:lineRule="auto"/>
        <w:ind w:firstLine="420" w:firstLineChars="200"/>
        <w:contextualSpacing/>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2.本表所指的控股关系仅限于直接控股关系，不包括间接的控股关系。公司实际控制人与公司之间的关系不属于本表所指的直接控股关系。</w:t>
      </w:r>
    </w:p>
    <w:p w14:paraId="483658A1">
      <w:pPr>
        <w:spacing w:line="360" w:lineRule="auto"/>
        <w:ind w:firstLine="420" w:firstLineChars="20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3.供应商不存在直接控股股东的，</w:t>
      </w:r>
      <w:r>
        <w:rPr>
          <w:rFonts w:hint="eastAsia" w:ascii="宋体" w:hAnsi="宋体"/>
          <w:color w:val="auto"/>
          <w:sz w:val="21"/>
          <w:szCs w:val="21"/>
          <w:highlight w:val="none"/>
        </w:rPr>
        <w:t>则在“直接控股股东名称”填“无”</w:t>
      </w:r>
      <w:r>
        <w:rPr>
          <w:rFonts w:hint="eastAsia" w:ascii="宋体" w:hAnsi="宋体" w:cs="宋体"/>
          <w:color w:val="auto"/>
          <w:sz w:val="21"/>
          <w:szCs w:val="21"/>
          <w:highlight w:val="none"/>
        </w:rPr>
        <w:t>。</w:t>
      </w:r>
    </w:p>
    <w:p w14:paraId="7D4622E6">
      <w:pPr>
        <w:spacing w:line="360" w:lineRule="auto"/>
        <w:ind w:firstLine="420" w:firstLineChars="200"/>
        <w:contextualSpacing/>
        <w:jc w:val="left"/>
        <w:rPr>
          <w:rFonts w:ascii="宋体" w:hAnsi="宋体" w:cs="宋体"/>
          <w:color w:val="auto"/>
          <w:sz w:val="21"/>
          <w:szCs w:val="21"/>
          <w:highlight w:val="none"/>
        </w:rPr>
      </w:pPr>
    </w:p>
    <w:p w14:paraId="1BABBFEE">
      <w:pPr>
        <w:spacing w:line="360" w:lineRule="auto"/>
        <w:ind w:firstLine="420" w:firstLineChars="200"/>
        <w:contextualSpacing/>
        <w:jc w:val="left"/>
        <w:rPr>
          <w:rFonts w:hint="eastAsia" w:ascii="宋体" w:hAnsi="宋体" w:cs="宋体"/>
          <w:color w:val="auto"/>
          <w:sz w:val="21"/>
          <w:szCs w:val="21"/>
          <w:highlight w:val="none"/>
        </w:rPr>
      </w:pPr>
    </w:p>
    <w:p w14:paraId="2564290B">
      <w:pPr>
        <w:spacing w:line="360" w:lineRule="auto"/>
        <w:ind w:firstLine="4200" w:firstLineChars="2000"/>
        <w:jc w:val="left"/>
        <w:rPr>
          <w:rFonts w:hint="eastAsia" w:ascii="宋体" w:hAnsi="宋体" w:eastAsia="宋体" w:cs="宋体"/>
          <w:color w:val="auto"/>
          <w:u w:val="single"/>
        </w:rPr>
      </w:pPr>
      <w:r>
        <w:rPr>
          <w:rFonts w:hint="eastAsia" w:ascii="宋体" w:hAnsi="宋体" w:cs="宋体"/>
          <w:color w:val="auto"/>
          <w:sz w:val="21"/>
          <w:szCs w:val="21"/>
          <w:highlight w:val="none"/>
        </w:rPr>
        <w:t xml:space="preserve"> </w:t>
      </w:r>
      <w:r>
        <w:rPr>
          <w:rFonts w:ascii="宋体" w:hAnsi="宋体" w:cs="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0B97714D">
      <w:pPr>
        <w:pStyle w:val="46"/>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pacing w:val="0"/>
          <w:w w:val="100"/>
          <w:position w:val="0"/>
          <w:sz w:val="21"/>
          <w:szCs w:val="21"/>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11C17DC0">
      <w:pPr>
        <w:spacing w:line="360" w:lineRule="auto"/>
        <w:ind w:firstLine="420" w:firstLineChars="200"/>
        <w:contextualSpacing/>
        <w:jc w:val="center"/>
        <w:rPr>
          <w:rFonts w:hint="eastAsia" w:ascii="宋体" w:hAnsi="宋体" w:cs="宋体"/>
          <w:color w:val="auto"/>
          <w:sz w:val="21"/>
          <w:szCs w:val="21"/>
          <w:highlight w:val="none"/>
        </w:rPr>
      </w:pPr>
    </w:p>
    <w:p w14:paraId="2C5060DD">
      <w:pPr>
        <w:snapToGrid w:val="0"/>
        <w:jc w:val="center"/>
        <w:rPr>
          <w:rFonts w:hint="eastAsia" w:ascii="宋体" w:hAnsi="宋体"/>
          <w:b/>
          <w:color w:val="auto"/>
          <w:sz w:val="28"/>
          <w:szCs w:val="28"/>
          <w:highlight w:val="none"/>
        </w:rPr>
      </w:pPr>
      <w:r>
        <w:rPr>
          <w:rFonts w:hint="eastAsia" w:ascii="宋体" w:hAnsi="宋体"/>
          <w:b/>
          <w:color w:val="auto"/>
          <w:sz w:val="28"/>
          <w:szCs w:val="28"/>
          <w:highlight w:val="none"/>
        </w:rPr>
        <w:t>供应商直接管理关系信息表</w:t>
      </w:r>
    </w:p>
    <w:p w14:paraId="6F13BBA5">
      <w:pPr>
        <w:snapToGrid w:val="0"/>
        <w:spacing w:line="360" w:lineRule="auto"/>
        <w:jc w:val="center"/>
        <w:rPr>
          <w:rFonts w:hint="eastAsia" w:ascii="宋体" w:hAnsi="宋体"/>
          <w:b/>
          <w:color w:val="auto"/>
          <w:sz w:val="22"/>
          <w:szCs w:val="22"/>
          <w:highlight w:val="none"/>
        </w:rPr>
      </w:pPr>
    </w:p>
    <w:tbl>
      <w:tblPr>
        <w:tblStyle w:val="25"/>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88D5477">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89B6D">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FD3CEF">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C833BF">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AA45BA">
            <w:pPr>
              <w:widowControl/>
              <w:spacing w:line="360" w:lineRule="auto"/>
              <w:contextualSpacing/>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备注</w:t>
            </w:r>
          </w:p>
        </w:tc>
      </w:tr>
      <w:tr w14:paraId="509AC78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103608">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DA0D1F">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FFC0D6">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7DED74">
            <w:pPr>
              <w:widowControl/>
              <w:spacing w:line="360" w:lineRule="auto"/>
              <w:contextualSpacing/>
              <w:jc w:val="center"/>
              <w:rPr>
                <w:rFonts w:ascii="宋体" w:hAnsi="宋体" w:cs="宋体"/>
                <w:color w:val="auto"/>
                <w:kern w:val="0"/>
                <w:sz w:val="22"/>
                <w:szCs w:val="22"/>
                <w:highlight w:val="none"/>
              </w:rPr>
            </w:pPr>
          </w:p>
        </w:tc>
      </w:tr>
      <w:tr w14:paraId="5B85017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74A72C">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88B698">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5FF4D1">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652D94">
            <w:pPr>
              <w:widowControl/>
              <w:spacing w:line="360" w:lineRule="auto"/>
              <w:contextualSpacing/>
              <w:jc w:val="center"/>
              <w:rPr>
                <w:rFonts w:ascii="宋体" w:hAnsi="宋体" w:cs="宋体"/>
                <w:color w:val="auto"/>
                <w:kern w:val="0"/>
                <w:sz w:val="22"/>
                <w:szCs w:val="22"/>
                <w:highlight w:val="none"/>
              </w:rPr>
            </w:pPr>
          </w:p>
        </w:tc>
      </w:tr>
      <w:tr w14:paraId="3D1DEEB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1C8228">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5C081D">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B6523EF">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7C5415">
            <w:pPr>
              <w:widowControl/>
              <w:spacing w:line="360" w:lineRule="auto"/>
              <w:contextualSpacing/>
              <w:jc w:val="center"/>
              <w:rPr>
                <w:rFonts w:ascii="宋体" w:hAnsi="宋体" w:cs="宋体"/>
                <w:color w:val="auto"/>
                <w:kern w:val="0"/>
                <w:sz w:val="22"/>
                <w:szCs w:val="22"/>
                <w:highlight w:val="none"/>
              </w:rPr>
            </w:pPr>
          </w:p>
        </w:tc>
      </w:tr>
      <w:tr w14:paraId="0A16D49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B22AF">
            <w:pPr>
              <w:widowControl/>
              <w:spacing w:line="360" w:lineRule="auto"/>
              <w:contextualSpacing/>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858E39">
            <w:pPr>
              <w:widowControl/>
              <w:spacing w:line="360" w:lineRule="auto"/>
              <w:contextualSpacing/>
              <w:jc w:val="center"/>
              <w:rPr>
                <w:rFonts w:ascii="宋体" w:hAnsi="宋体" w:cs="宋体"/>
                <w:color w:val="auto"/>
                <w:kern w:val="0"/>
                <w:sz w:val="22"/>
                <w:szCs w:val="22"/>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F76601">
            <w:pPr>
              <w:widowControl/>
              <w:spacing w:line="360" w:lineRule="auto"/>
              <w:contextualSpacing/>
              <w:jc w:val="center"/>
              <w:rPr>
                <w:rFonts w:ascii="宋体" w:hAnsi="宋体" w:cs="宋体"/>
                <w:color w:val="auto"/>
                <w:kern w:val="0"/>
                <w:sz w:val="22"/>
                <w:szCs w:val="22"/>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58E82A">
            <w:pPr>
              <w:widowControl/>
              <w:spacing w:line="360" w:lineRule="auto"/>
              <w:contextualSpacing/>
              <w:jc w:val="center"/>
              <w:rPr>
                <w:rFonts w:ascii="宋体" w:hAnsi="宋体" w:cs="宋体"/>
                <w:color w:val="auto"/>
                <w:kern w:val="0"/>
                <w:sz w:val="22"/>
                <w:szCs w:val="22"/>
                <w:highlight w:val="none"/>
              </w:rPr>
            </w:pPr>
          </w:p>
        </w:tc>
      </w:tr>
    </w:tbl>
    <w:p w14:paraId="7E774277">
      <w:pPr>
        <w:spacing w:line="360" w:lineRule="auto"/>
        <w:contextualSpacing/>
        <w:jc w:val="left"/>
        <w:rPr>
          <w:rFonts w:hint="eastAsia" w:ascii="宋体" w:hAnsi="宋体"/>
          <w:color w:val="auto"/>
          <w:sz w:val="21"/>
          <w:szCs w:val="21"/>
          <w:highlight w:val="none"/>
        </w:rPr>
      </w:pPr>
      <w:r>
        <w:rPr>
          <w:rFonts w:hint="eastAsia" w:ascii="宋体" w:hAnsi="宋体"/>
          <w:color w:val="auto"/>
          <w:sz w:val="21"/>
          <w:szCs w:val="21"/>
          <w:highlight w:val="none"/>
        </w:rPr>
        <w:t>注：</w:t>
      </w:r>
    </w:p>
    <w:p w14:paraId="16442E24">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0A08F5DA">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pacing w:val="-6"/>
          <w:sz w:val="21"/>
          <w:szCs w:val="21"/>
          <w:highlight w:val="none"/>
        </w:rPr>
        <w:t>本表所指的管理关系仅限于直接管理关系，不包括间接的管理关系。</w:t>
      </w:r>
    </w:p>
    <w:p w14:paraId="2037B61E">
      <w:pPr>
        <w:spacing w:line="360" w:lineRule="auto"/>
        <w:ind w:firstLine="420" w:firstLineChars="200"/>
        <w:contextualSpacing/>
        <w:jc w:val="left"/>
        <w:rPr>
          <w:rFonts w:hint="eastAsia" w:ascii="宋体" w:hAnsi="宋体"/>
          <w:color w:val="auto"/>
          <w:sz w:val="21"/>
          <w:szCs w:val="21"/>
          <w:highlight w:val="none"/>
        </w:rPr>
      </w:pPr>
      <w:r>
        <w:rPr>
          <w:rFonts w:hint="eastAsia" w:ascii="宋体" w:hAnsi="宋体"/>
          <w:color w:val="auto"/>
          <w:sz w:val="21"/>
          <w:szCs w:val="21"/>
          <w:highlight w:val="none"/>
        </w:rPr>
        <w:t>3.供应商不存在直接管理关系的，则在“直接管理关系单位名称”填“无”。</w:t>
      </w:r>
    </w:p>
    <w:p w14:paraId="056748A5">
      <w:pPr>
        <w:spacing w:line="360" w:lineRule="auto"/>
        <w:contextualSpacing/>
        <w:jc w:val="left"/>
        <w:rPr>
          <w:rFonts w:hint="eastAsia" w:ascii="宋体" w:hAnsi="宋体"/>
          <w:color w:val="auto"/>
          <w:sz w:val="21"/>
          <w:szCs w:val="21"/>
          <w:highlight w:val="none"/>
        </w:rPr>
      </w:pPr>
    </w:p>
    <w:p w14:paraId="314CE91A">
      <w:pPr>
        <w:spacing w:line="360" w:lineRule="auto"/>
        <w:contextualSpacing/>
        <w:jc w:val="left"/>
        <w:rPr>
          <w:rFonts w:hint="eastAsia" w:ascii="宋体" w:hAnsi="宋体"/>
          <w:color w:val="auto"/>
          <w:sz w:val="21"/>
          <w:szCs w:val="21"/>
          <w:highlight w:val="none"/>
        </w:rPr>
      </w:pPr>
    </w:p>
    <w:p w14:paraId="646CB420">
      <w:pPr>
        <w:spacing w:line="360" w:lineRule="auto"/>
        <w:contextualSpacing/>
        <w:jc w:val="left"/>
        <w:rPr>
          <w:rFonts w:hint="eastAsia"/>
          <w:color w:val="auto"/>
          <w:sz w:val="21"/>
          <w:szCs w:val="21"/>
          <w:highlight w:val="none"/>
        </w:rPr>
      </w:pPr>
    </w:p>
    <w:p w14:paraId="785DBA07">
      <w:pPr>
        <w:spacing w:line="360" w:lineRule="auto"/>
        <w:contextualSpacing/>
        <w:jc w:val="left"/>
        <w:rPr>
          <w:rFonts w:hint="eastAsia" w:ascii="宋体" w:hAnsi="宋体"/>
          <w:color w:val="auto"/>
          <w:sz w:val="21"/>
          <w:szCs w:val="21"/>
          <w:highlight w:val="none"/>
        </w:rPr>
      </w:pPr>
    </w:p>
    <w:p w14:paraId="1B532DC1">
      <w:pPr>
        <w:spacing w:line="360" w:lineRule="auto"/>
        <w:ind w:firstLine="4200" w:firstLineChars="2000"/>
        <w:jc w:val="left"/>
        <w:rPr>
          <w:rFonts w:hint="eastAsia" w:ascii="宋体" w:hAnsi="宋体" w:eastAsia="宋体" w:cs="宋体"/>
          <w:color w:val="auto"/>
          <w:u w:val="single"/>
        </w:rPr>
      </w:pPr>
      <w:r>
        <w:rPr>
          <w:rFonts w:hint="eastAsia" w:ascii="宋体" w:hAnsi="宋体"/>
          <w:color w:val="auto"/>
          <w:sz w:val="21"/>
          <w:szCs w:val="21"/>
          <w:highlight w:val="none"/>
        </w:rPr>
        <w:t xml:space="preserve"> </w:t>
      </w:r>
      <w:r>
        <w:rPr>
          <w:rFonts w:ascii="宋体" w:hAnsi="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245EDCEB">
      <w:pPr>
        <w:pStyle w:val="46"/>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pacing w:val="0"/>
          <w:w w:val="100"/>
          <w:position w:val="0"/>
          <w:sz w:val="21"/>
          <w:szCs w:val="21"/>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1FC2385C">
      <w:pPr>
        <w:spacing w:line="320" w:lineRule="exact"/>
        <w:jc w:val="center"/>
        <w:rPr>
          <w:rFonts w:hint="eastAsia" w:ascii="宋体" w:hAnsi="宋体"/>
          <w:b/>
          <w:color w:val="auto"/>
          <w:sz w:val="28"/>
          <w:szCs w:val="28"/>
          <w:highlight w:val="none"/>
        </w:rPr>
      </w:pPr>
    </w:p>
    <w:p w14:paraId="729BBD51">
      <w:pPr>
        <w:spacing w:line="32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竞标声明</w:t>
      </w:r>
    </w:p>
    <w:p w14:paraId="06144F06">
      <w:pPr>
        <w:spacing w:line="320" w:lineRule="exact"/>
        <w:jc w:val="center"/>
        <w:rPr>
          <w:rFonts w:hint="eastAsia" w:ascii="宋体" w:hAnsi="宋体"/>
          <w:color w:val="auto"/>
          <w:sz w:val="22"/>
          <w:szCs w:val="18"/>
          <w:highlight w:val="none"/>
        </w:rPr>
      </w:pPr>
    </w:p>
    <w:p w14:paraId="47E3C9F1">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致：</w:t>
      </w:r>
      <w:r>
        <w:rPr>
          <w:rFonts w:hint="eastAsia" w:ascii="宋体" w:hAnsi="宋体" w:cs="Times New Roman"/>
          <w:color w:val="auto"/>
          <w:sz w:val="21"/>
          <w:szCs w:val="21"/>
          <w:highlight w:val="none"/>
          <w:u w:val="single"/>
          <w:lang w:val="en-US" w:eastAsia="zh-CN"/>
        </w:rPr>
        <w:t xml:space="preserve">             </w:t>
      </w:r>
      <w:r>
        <w:rPr>
          <w:rFonts w:hint="eastAsia" w:ascii="宋体" w:hAnsi="宋体" w:eastAsia="宋体" w:cs="Times New Roman"/>
          <w:color w:val="auto"/>
          <w:sz w:val="21"/>
          <w:szCs w:val="21"/>
          <w:highlight w:val="none"/>
          <w:u w:val="single"/>
        </w:rPr>
        <w:t>（采购人名称）</w:t>
      </w:r>
      <w:r>
        <w:rPr>
          <w:rFonts w:hint="eastAsia" w:ascii="宋体" w:hAnsi="宋体" w:cs="Times New Roman"/>
          <w:color w:val="auto"/>
          <w:sz w:val="21"/>
          <w:szCs w:val="21"/>
          <w:highlight w:val="none"/>
          <w:u w:val="single"/>
          <w:lang w:val="en-US" w:eastAsia="zh-CN"/>
        </w:rPr>
        <w:t xml:space="preserve"> </w:t>
      </w:r>
      <w:r>
        <w:rPr>
          <w:rFonts w:hint="eastAsia" w:ascii="宋体" w:hAnsi="宋体" w:eastAsia="宋体" w:cs="Times New Roman"/>
          <w:color w:val="auto"/>
          <w:sz w:val="21"/>
          <w:szCs w:val="21"/>
          <w:highlight w:val="none"/>
        </w:rPr>
        <w:t>：</w:t>
      </w:r>
    </w:p>
    <w:p w14:paraId="5464ABDC">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u w:val="single"/>
        </w:rPr>
        <w:t>（供应商名称）</w:t>
      </w:r>
      <w:r>
        <w:rPr>
          <w:rFonts w:hint="eastAsia" w:ascii="宋体" w:hAnsi="宋体" w:eastAsia="宋体" w:cs="Times New Roman"/>
          <w:color w:val="auto"/>
          <w:sz w:val="21"/>
          <w:szCs w:val="21"/>
          <w:highlight w:val="none"/>
        </w:rPr>
        <w:t>系中华人民共和国合法供应商，经营地址</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1672D488">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我方愿意参加贵方组织的</w:t>
      </w:r>
      <w:r>
        <w:rPr>
          <w:rFonts w:hint="eastAsia" w:ascii="宋体" w:hAnsi="宋体" w:eastAsia="宋体" w:cs="Times New Roman"/>
          <w:color w:val="auto"/>
          <w:sz w:val="21"/>
          <w:szCs w:val="21"/>
          <w:highlight w:val="none"/>
          <w:u w:val="single"/>
        </w:rPr>
        <w:t>（项目名称）</w:t>
      </w:r>
      <w:r>
        <w:rPr>
          <w:rFonts w:hint="eastAsia" w:ascii="宋体" w:hAnsi="宋体" w:eastAsia="宋体" w:cs="Times New Roman"/>
          <w:color w:val="auto"/>
          <w:sz w:val="21"/>
          <w:szCs w:val="21"/>
          <w:highlight w:val="none"/>
        </w:rPr>
        <w:t>项目的竞标，为便于贵方公正、择优地确定成交供应商及其竞标产品和服务，我方就本次竞标有关事项郑重声明如下：</w:t>
      </w:r>
    </w:p>
    <w:p w14:paraId="0B552BF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1.我方向贵方提交的所有响应文件、资料都是准确的和真实的。</w:t>
      </w:r>
    </w:p>
    <w:p w14:paraId="0629CB39">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2.在此，我方宣布同意如下：</w:t>
      </w:r>
    </w:p>
    <w:p w14:paraId="5833B9B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（1）将按磋商文件的约定履行合同责任和义务；</w:t>
      </w:r>
    </w:p>
    <w:p w14:paraId="1F1C334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（2）已详细审查全部磋商文件，包括澄清或者更正公告（如有）；</w:t>
      </w:r>
    </w:p>
    <w:p w14:paraId="739059AE">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（3）同意提供按照贵方可能要求的与磋商有关的一切数据或者资料；</w:t>
      </w:r>
    </w:p>
    <w:p w14:paraId="1962697B">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（4）响应磋商文件规定的竞标有效期。</w:t>
      </w:r>
    </w:p>
    <w:p w14:paraId="6B5560E9">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.我方承诺符合《中华人民共和国政府采购法》第二十二条规定：</w:t>
      </w:r>
    </w:p>
    <w:p w14:paraId="12B7C618">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（1）具有独立承担民事责任的能力；</w:t>
      </w:r>
    </w:p>
    <w:p w14:paraId="2E726500">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（2）具有良好的商业信誉和健全的财务会计制度；</w:t>
      </w:r>
    </w:p>
    <w:p w14:paraId="63984B7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（3）具有履行合同所必需的设备和专业技术能力；</w:t>
      </w:r>
    </w:p>
    <w:p w14:paraId="021AC30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（4）有依法缴纳税收和社会保障资金的良好记录；</w:t>
      </w:r>
    </w:p>
    <w:p w14:paraId="7075ACA8">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（5）参加政府采购活动前三年内，在经营活动中没有重大违法记录；</w:t>
      </w:r>
    </w:p>
    <w:p w14:paraId="2547962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（6）法律、行政法规规定的其他条件。</w:t>
      </w:r>
    </w:p>
    <w:p w14:paraId="6AF8E8D9">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5DD659E">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3349884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□我方本次响应文件内容中未涉及商业秘密；</w:t>
      </w:r>
    </w:p>
    <w:p w14:paraId="60C634B6">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□我方本次响应文件涉及商业秘密的内容有：</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w:t>
      </w:r>
    </w:p>
    <w:p w14:paraId="05403307">
      <w:pPr>
        <w:spacing w:line="360" w:lineRule="auto"/>
        <w:ind w:firstLine="420" w:firstLineChars="200"/>
        <w:contextualSpacing/>
        <w:jc w:val="left"/>
        <w:rPr>
          <w:rFonts w:hint="eastAsia" w:ascii="宋体" w:hAnsi="宋体" w:eastAsia="宋体" w:cs="Times New Roman"/>
          <w:color w:val="auto"/>
          <w:sz w:val="21"/>
          <w:szCs w:val="21"/>
          <w:highlight w:val="none"/>
          <w:u w:val="single"/>
        </w:rPr>
      </w:pPr>
      <w:r>
        <w:rPr>
          <w:rFonts w:hint="eastAsia" w:ascii="宋体" w:hAnsi="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 xml:space="preserve">.与本磋商有关的一切正式往来信函请寄：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邮政编号： </w:t>
      </w:r>
      <w:r>
        <w:rPr>
          <w:rFonts w:hint="eastAsia" w:ascii="宋体" w:hAnsi="宋体" w:eastAsia="宋体" w:cs="Times New Roman"/>
          <w:color w:val="auto"/>
          <w:sz w:val="21"/>
          <w:szCs w:val="21"/>
          <w:highlight w:val="none"/>
          <w:u w:val="single"/>
        </w:rPr>
        <w:t xml:space="preserve">       </w:t>
      </w:r>
    </w:p>
    <w:p w14:paraId="2E50F8C0">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电话/传真：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电子</w:t>
      </w:r>
      <w:r>
        <w:rPr>
          <w:rFonts w:hint="eastAsia" w:ascii="宋体" w:hAnsi="宋体" w:eastAsia="宋体" w:cs="Times New Roman"/>
          <w:color w:val="auto"/>
          <w:sz w:val="21"/>
          <w:szCs w:val="21"/>
          <w:highlight w:val="none"/>
          <w:lang w:eastAsia="zh-CN"/>
        </w:rPr>
        <w:t>邮箱</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6021D6DA">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开户银行：</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账</w:t>
      </w:r>
      <w:r>
        <w:rPr>
          <w:rFonts w:hint="eastAsia" w:ascii="宋体" w:hAnsi="宋体" w:eastAsia="宋体" w:cs="Times New Roman"/>
          <w:color w:val="auto"/>
          <w:sz w:val="21"/>
          <w:szCs w:val="21"/>
          <w:highlight w:val="none"/>
        </w:rPr>
        <w:t xml:space="preserve">号：  </w:t>
      </w:r>
      <w:r>
        <w:rPr>
          <w:rFonts w:hint="eastAsia" w:ascii="宋体" w:hAnsi="宋体" w:eastAsia="宋体" w:cs="Times New Roman"/>
          <w:color w:val="auto"/>
          <w:sz w:val="21"/>
          <w:szCs w:val="21"/>
          <w:highlight w:val="none"/>
          <w:u w:val="single"/>
        </w:rPr>
        <w:t xml:space="preserve">                 </w:t>
      </w:r>
      <w:r>
        <w:rPr>
          <w:rFonts w:hint="eastAsia" w:ascii="宋体" w:hAnsi="宋体" w:eastAsia="宋体" w:cs="Times New Roman"/>
          <w:color w:val="auto"/>
          <w:sz w:val="21"/>
          <w:szCs w:val="21"/>
          <w:highlight w:val="none"/>
        </w:rPr>
        <w:t xml:space="preserve">            </w:t>
      </w:r>
    </w:p>
    <w:p w14:paraId="4E9F7AB8">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.以上事项如有虚假或者隐瞒，我方愿意承担一切后果，并不再寻求任何旨在减轻或者免除法律责任的辩解。</w:t>
      </w:r>
    </w:p>
    <w:p w14:paraId="296C970D">
      <w:pPr>
        <w:spacing w:line="360" w:lineRule="auto"/>
        <w:ind w:firstLine="420" w:firstLineChars="200"/>
        <w:contextualSpacing/>
        <w:jc w:val="lef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特此承诺。</w:t>
      </w:r>
    </w:p>
    <w:p w14:paraId="20ECDA01">
      <w:pPr>
        <w:spacing w:line="360" w:lineRule="auto"/>
        <w:contextualSpacing/>
        <w:jc w:val="left"/>
        <w:rPr>
          <w:rFonts w:hint="eastAsia" w:ascii="宋体" w:hAnsi="宋体"/>
          <w:b/>
          <w:color w:val="auto"/>
          <w:sz w:val="22"/>
          <w:szCs w:val="22"/>
          <w:highlight w:val="none"/>
        </w:rPr>
      </w:pPr>
      <w:r>
        <w:rPr>
          <w:rFonts w:hint="eastAsia" w:ascii="宋体" w:hAnsi="宋体" w:cs="宋体"/>
          <w:b/>
          <w:color w:val="auto"/>
          <w:sz w:val="22"/>
          <w:szCs w:val="22"/>
          <w:highlight w:val="none"/>
        </w:rPr>
        <w:t>注：</w:t>
      </w:r>
      <w:r>
        <w:rPr>
          <w:rFonts w:hint="eastAsia" w:ascii="宋体" w:hAnsi="宋体"/>
          <w:b/>
          <w:color w:val="auto"/>
          <w:sz w:val="22"/>
          <w:szCs w:val="22"/>
          <w:highlight w:val="none"/>
        </w:rPr>
        <w:t>如为联合体竞标，盖章处须加盖联合体牵头人电子签章并由联合体牵头人法定代表人分别签字或者盖章或者电子签名，否则响应文件按无效处理。</w:t>
      </w:r>
    </w:p>
    <w:p w14:paraId="1EA20D3F">
      <w:pPr>
        <w:spacing w:line="360" w:lineRule="auto"/>
        <w:contextualSpacing/>
        <w:jc w:val="left"/>
        <w:rPr>
          <w:rFonts w:hint="eastAsia" w:ascii="宋体" w:hAnsi="宋体" w:cs="宋体"/>
          <w:color w:val="auto"/>
          <w:sz w:val="20"/>
          <w:szCs w:val="20"/>
          <w:highlight w:val="none"/>
        </w:rPr>
      </w:pPr>
    </w:p>
    <w:p w14:paraId="137F4997">
      <w:pPr>
        <w:spacing w:line="360" w:lineRule="auto"/>
        <w:ind w:firstLine="4180" w:firstLineChars="1900"/>
        <w:contextualSpacing/>
        <w:rPr>
          <w:rFonts w:hint="eastAsia"/>
          <w:color w:val="auto"/>
          <w:sz w:val="20"/>
          <w:szCs w:val="22"/>
          <w:highlight w:val="none"/>
        </w:rPr>
      </w:pPr>
      <w:r>
        <w:rPr>
          <w:rFonts w:hint="eastAsia" w:ascii="宋体" w:hAnsi="宋体" w:eastAsia="宋体" w:cs="Times New Roman"/>
          <w:color w:val="auto"/>
          <w:sz w:val="22"/>
          <w:szCs w:val="22"/>
          <w:highlight w:val="none"/>
        </w:rPr>
        <w:t>法定代表人</w:t>
      </w:r>
      <w:r>
        <w:rPr>
          <w:rFonts w:hint="eastAsia" w:ascii="宋体" w:hAnsi="宋体" w:eastAsia="宋体" w:cs="宋体"/>
          <w:color w:val="auto"/>
          <w:sz w:val="22"/>
          <w:szCs w:val="22"/>
          <w:highlight w:val="none"/>
        </w:rPr>
        <w:t>（签字）</w:t>
      </w:r>
      <w:r>
        <w:rPr>
          <w:rFonts w:hint="eastAsia"/>
          <w:color w:val="auto"/>
          <w:sz w:val="20"/>
          <w:szCs w:val="22"/>
          <w:highlight w:val="none"/>
        </w:rPr>
        <w:t>：</w:t>
      </w:r>
      <w:r>
        <w:rPr>
          <w:rFonts w:hint="eastAsia"/>
          <w:color w:val="auto"/>
          <w:sz w:val="20"/>
          <w:szCs w:val="22"/>
          <w:highlight w:val="none"/>
          <w:u w:val="single"/>
        </w:rPr>
        <w:t xml:space="preserve">          </w:t>
      </w:r>
      <w:r>
        <w:rPr>
          <w:rFonts w:hint="eastAsia"/>
          <w:color w:val="auto"/>
          <w:sz w:val="20"/>
          <w:szCs w:val="22"/>
          <w:highlight w:val="none"/>
          <w:u w:val="single"/>
          <w:lang w:val="en-US" w:eastAsia="zh-CN"/>
        </w:rPr>
        <w:t xml:space="preserve">            </w:t>
      </w:r>
      <w:r>
        <w:rPr>
          <w:rFonts w:hint="eastAsia"/>
          <w:color w:val="auto"/>
          <w:sz w:val="20"/>
          <w:szCs w:val="22"/>
          <w:highlight w:val="none"/>
          <w:u w:val="single"/>
        </w:rPr>
        <w:t xml:space="preserve"> </w:t>
      </w:r>
      <w:r>
        <w:rPr>
          <w:rFonts w:hint="eastAsia"/>
          <w:color w:val="auto"/>
          <w:sz w:val="20"/>
          <w:szCs w:val="22"/>
          <w:highlight w:val="none"/>
        </w:rPr>
        <w:t xml:space="preserve"> </w:t>
      </w:r>
      <w:r>
        <w:rPr>
          <w:rFonts w:hint="eastAsia"/>
          <w:color w:val="auto"/>
          <w:sz w:val="20"/>
          <w:szCs w:val="22"/>
          <w:highlight w:val="none"/>
          <w:lang w:val="en-US" w:eastAsia="zh-CN"/>
        </w:rPr>
        <w:t xml:space="preserve">   </w:t>
      </w:r>
      <w:r>
        <w:rPr>
          <w:rFonts w:hint="eastAsia"/>
          <w:color w:val="auto"/>
          <w:sz w:val="20"/>
          <w:szCs w:val="22"/>
          <w:highlight w:val="none"/>
        </w:rPr>
        <w:t xml:space="preserve">                                    </w:t>
      </w:r>
    </w:p>
    <w:p w14:paraId="3BC826AF">
      <w:pPr>
        <w:spacing w:line="360" w:lineRule="auto"/>
        <w:ind w:firstLine="3740" w:firstLineChars="1700"/>
        <w:contextualSpacing/>
        <w:rPr>
          <w:rFonts w:hint="eastAsia" w:ascii="宋体" w:hAnsi="宋体" w:cs="宋体"/>
          <w:color w:val="auto"/>
          <w:sz w:val="20"/>
          <w:szCs w:val="20"/>
          <w:highlight w:val="none"/>
          <w:u w:val="single"/>
        </w:rPr>
      </w:pPr>
      <w:r>
        <w:rPr>
          <w:rFonts w:hint="eastAsia"/>
          <w:color w:val="auto"/>
          <w:sz w:val="22"/>
          <w:szCs w:val="22"/>
          <w:highlight w:val="none"/>
        </w:rPr>
        <w:t>供应商</w:t>
      </w:r>
      <w:r>
        <w:rPr>
          <w:rFonts w:hint="eastAsia"/>
          <w:color w:val="auto"/>
          <w:sz w:val="22"/>
          <w:szCs w:val="22"/>
          <w:highlight w:val="none"/>
          <w:lang w:val="en-US" w:eastAsia="zh-CN"/>
        </w:rPr>
        <w:t>名称</w:t>
      </w:r>
      <w:r>
        <w:rPr>
          <w:rFonts w:hint="eastAsia"/>
          <w:color w:val="auto"/>
          <w:sz w:val="22"/>
          <w:szCs w:val="22"/>
          <w:highlight w:val="none"/>
        </w:rPr>
        <w:t>（电子签章）：</w:t>
      </w:r>
      <w:r>
        <w:rPr>
          <w:rFonts w:hint="eastAsia"/>
          <w:color w:val="auto"/>
          <w:sz w:val="20"/>
          <w:szCs w:val="22"/>
          <w:highlight w:val="none"/>
          <w:u w:val="single"/>
        </w:rPr>
        <w:t xml:space="preserve">        </w:t>
      </w:r>
      <w:r>
        <w:rPr>
          <w:rFonts w:hint="eastAsia"/>
          <w:color w:val="auto"/>
          <w:sz w:val="20"/>
          <w:szCs w:val="22"/>
          <w:highlight w:val="none"/>
          <w:u w:val="single"/>
          <w:lang w:val="en-US" w:eastAsia="zh-CN"/>
        </w:rPr>
        <w:t xml:space="preserve"> </w:t>
      </w:r>
      <w:r>
        <w:rPr>
          <w:rFonts w:hint="eastAsia"/>
          <w:color w:val="auto"/>
          <w:sz w:val="20"/>
          <w:szCs w:val="22"/>
          <w:highlight w:val="none"/>
          <w:u w:val="single"/>
        </w:rPr>
        <w:t xml:space="preserve">       </w:t>
      </w:r>
      <w:r>
        <w:rPr>
          <w:rFonts w:hint="eastAsia"/>
          <w:color w:val="auto"/>
          <w:sz w:val="20"/>
          <w:szCs w:val="22"/>
          <w:highlight w:val="none"/>
          <w:u w:val="single"/>
          <w:lang w:val="en-US" w:eastAsia="zh-CN"/>
        </w:rPr>
        <w:t xml:space="preserve">    </w:t>
      </w:r>
      <w:r>
        <w:rPr>
          <w:rFonts w:hint="eastAsia"/>
          <w:color w:val="auto"/>
          <w:sz w:val="20"/>
          <w:szCs w:val="22"/>
          <w:highlight w:val="none"/>
          <w:u w:val="single"/>
        </w:rPr>
        <w:t xml:space="preserve">   </w:t>
      </w:r>
      <w:r>
        <w:rPr>
          <w:rFonts w:hint="eastAsia"/>
          <w:color w:val="auto"/>
          <w:sz w:val="20"/>
          <w:szCs w:val="22"/>
          <w:highlight w:val="none"/>
        </w:rPr>
        <w:t xml:space="preserve">       </w:t>
      </w:r>
      <w:r>
        <w:rPr>
          <w:rFonts w:hint="eastAsia" w:ascii="宋体" w:hAnsi="宋体" w:cs="宋体"/>
          <w:color w:val="auto"/>
          <w:sz w:val="20"/>
          <w:szCs w:val="20"/>
          <w:highlight w:val="none"/>
        </w:rPr>
        <w:t xml:space="preserve">    </w:t>
      </w:r>
    </w:p>
    <w:p w14:paraId="271F8245">
      <w:pPr>
        <w:pStyle w:val="13"/>
        <w:tabs>
          <w:tab w:val="left" w:pos="939"/>
        </w:tabs>
        <w:spacing w:line="360" w:lineRule="auto"/>
        <w:ind w:left="0" w:leftChars="0" w:firstLine="400" w:firstLineChars="200"/>
        <w:rPr>
          <w:rFonts w:hint="default" w:eastAsia="宋体"/>
          <w:color w:val="auto"/>
          <w:sz w:val="22"/>
          <w:szCs w:val="22"/>
          <w:highlight w:val="none"/>
          <w:lang w:val="en-US" w:eastAsia="zh-CN"/>
        </w:rPr>
      </w:pPr>
      <w:r>
        <w:rPr>
          <w:rFonts w:hint="eastAsia" w:ascii="宋体" w:hAnsi="宋体" w:cs="宋体"/>
          <w:color w:val="auto"/>
          <w:sz w:val="20"/>
          <w:szCs w:val="20"/>
          <w:highlight w:val="none"/>
        </w:rPr>
        <w:t xml:space="preserve">                                                </w:t>
      </w: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r>
        <w:rPr>
          <w:rFonts w:hint="eastAsia" w:ascii="宋体" w:hAnsi="宋体" w:cs="宋体"/>
          <w:color w:val="auto"/>
          <w:sz w:val="20"/>
          <w:szCs w:val="20"/>
          <w:highlight w:val="none"/>
        </w:rPr>
        <w:t xml:space="preserve">        </w:t>
      </w:r>
    </w:p>
    <w:p w14:paraId="1DAA4B51">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08EDC691">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138DEE14">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3934FB8C">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3290F103">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0449CC0A">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451E4DD5">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6C84F589">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5A1AE27A">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14191871">
      <w:pPr>
        <w:snapToGrid w:val="0"/>
        <w:spacing w:before="156" w:beforeLines="50" w:after="50"/>
        <w:ind w:right="480" w:firstLine="281" w:firstLineChars="100"/>
        <w:rPr>
          <w:rFonts w:hint="eastAsia" w:ascii="宋体" w:hAnsi="宋体" w:eastAsia="宋体" w:cs="宋体"/>
          <w:b/>
          <w:bCs/>
          <w:color w:val="auto"/>
          <w:sz w:val="28"/>
          <w:szCs w:val="28"/>
          <w:highlight w:val="none"/>
        </w:rPr>
      </w:pPr>
    </w:p>
    <w:p w14:paraId="1652F0DA">
      <w:pPr>
        <w:pStyle w:val="35"/>
        <w:rPr>
          <w:rFonts w:hint="eastAsia" w:ascii="宋体" w:hAnsi="宋体" w:eastAsia="宋体" w:cs="宋体"/>
          <w:b/>
          <w:bCs/>
          <w:color w:val="auto"/>
          <w:sz w:val="28"/>
          <w:szCs w:val="28"/>
          <w:highlight w:val="none"/>
        </w:rPr>
      </w:pPr>
    </w:p>
    <w:p w14:paraId="22E784EA">
      <w:pPr>
        <w:pStyle w:val="36"/>
        <w:rPr>
          <w:rFonts w:hint="eastAsia" w:ascii="宋体" w:hAnsi="宋体" w:eastAsia="宋体" w:cs="宋体"/>
          <w:b/>
          <w:bCs/>
          <w:color w:val="auto"/>
          <w:sz w:val="28"/>
          <w:szCs w:val="28"/>
          <w:highlight w:val="none"/>
        </w:rPr>
      </w:pPr>
    </w:p>
    <w:p w14:paraId="24609000">
      <w:pPr>
        <w:rPr>
          <w:rFonts w:hint="eastAsia"/>
          <w:color w:val="auto"/>
        </w:rPr>
      </w:pPr>
    </w:p>
    <w:p w14:paraId="3CAA2F73">
      <w:pPr>
        <w:pStyle w:val="35"/>
        <w:rPr>
          <w:rFonts w:hint="eastAsia"/>
          <w:color w:val="auto"/>
        </w:rPr>
      </w:pPr>
    </w:p>
    <w:p w14:paraId="582757DC">
      <w:pPr>
        <w:pStyle w:val="36"/>
        <w:rPr>
          <w:rFonts w:hint="eastAsia"/>
          <w:color w:val="auto"/>
        </w:rPr>
      </w:pPr>
    </w:p>
    <w:p w14:paraId="199FBBF5">
      <w:pPr>
        <w:rPr>
          <w:rFonts w:hint="eastAsia"/>
          <w:color w:val="auto"/>
        </w:rPr>
      </w:pPr>
    </w:p>
    <w:p w14:paraId="0B1A8486">
      <w:pPr>
        <w:snapToGrid w:val="0"/>
        <w:spacing w:before="156" w:beforeLines="50" w:after="50"/>
        <w:ind w:right="480"/>
        <w:rPr>
          <w:rFonts w:hint="eastAsia" w:ascii="宋体" w:hAnsi="宋体" w:eastAsia="宋体" w:cs="宋体"/>
          <w:b/>
          <w:bCs/>
          <w:color w:val="auto"/>
          <w:sz w:val="28"/>
          <w:szCs w:val="28"/>
          <w:highlight w:val="none"/>
        </w:rPr>
      </w:pPr>
    </w:p>
    <w:p w14:paraId="5CF60089">
      <w:pPr>
        <w:spacing w:line="520" w:lineRule="exact"/>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中小企业声明函</w:t>
      </w:r>
    </w:p>
    <w:p w14:paraId="0D12E2E1">
      <w:pPr>
        <w:pStyle w:val="34"/>
        <w:rPr>
          <w:rFonts w:hint="eastAsia"/>
          <w:color w:val="auto"/>
        </w:rPr>
      </w:pPr>
    </w:p>
    <w:p w14:paraId="43A9C67C">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本公司郑重声明，根据《政府采购促进中小企业发展管理办法》（财库﹝2020﹞46 号）的规定，本公司参加</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（单位名称）</w:t>
      </w:r>
      <w:r>
        <w:rPr>
          <w:rFonts w:hint="eastAsia" w:ascii="宋体" w:hAnsi="宋体" w:eastAsia="宋体" w:cs="宋体"/>
          <w:color w:val="auto"/>
          <w:kern w:val="0"/>
          <w:sz w:val="21"/>
          <w:szCs w:val="21"/>
        </w:rPr>
        <w:t>的</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（项目名称）</w:t>
      </w:r>
      <w:r>
        <w:rPr>
          <w:rFonts w:hint="eastAsia" w:ascii="宋体" w:hAnsi="宋体" w:eastAsia="宋体" w:cs="宋体"/>
          <w:color w:val="auto"/>
          <w:kern w:val="0"/>
          <w:sz w:val="21"/>
          <w:szCs w:val="21"/>
        </w:rPr>
        <w:t>采购活动，</w:t>
      </w:r>
      <w:r>
        <w:rPr>
          <w:rFonts w:hint="eastAsia" w:ascii="宋体" w:hAnsi="宋体" w:cs="宋体"/>
          <w:color w:val="auto"/>
          <w:kern w:val="0"/>
          <w:sz w:val="21"/>
          <w:szCs w:val="21"/>
          <w:lang w:val="en-US" w:eastAsia="zh-CN"/>
        </w:rPr>
        <w:t>工程</w:t>
      </w:r>
      <w:r>
        <w:rPr>
          <w:rFonts w:hint="eastAsia" w:ascii="宋体" w:hAnsi="宋体" w:eastAsia="宋体" w:cs="宋体"/>
          <w:color w:val="auto"/>
          <w:kern w:val="0"/>
          <w:sz w:val="21"/>
          <w:szCs w:val="21"/>
        </w:rPr>
        <w:t>全部由符合政策要求的中小企业承接）。相关企业的具体情况如下：</w:t>
      </w:r>
    </w:p>
    <w:p w14:paraId="13ADBB63">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（标的名称） </w:t>
      </w:r>
      <w:r>
        <w:rPr>
          <w:rFonts w:hint="eastAsia" w:ascii="宋体" w:hAnsi="宋体" w:eastAsia="宋体" w:cs="宋体"/>
          <w:color w:val="auto"/>
          <w:kern w:val="0"/>
          <w:sz w:val="21"/>
          <w:szCs w:val="21"/>
        </w:rPr>
        <w:t>，属于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（采购文件中明确的所属行业）</w:t>
      </w:r>
      <w:r>
        <w:rPr>
          <w:rFonts w:hint="eastAsia" w:ascii="宋体" w:hAnsi="宋体" w:eastAsia="宋体" w:cs="宋体"/>
          <w:color w:val="auto"/>
          <w:kern w:val="0"/>
          <w:sz w:val="21"/>
          <w:szCs w:val="21"/>
        </w:rPr>
        <w:t>；承建（承接）企业为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（企业名称）</w:t>
      </w:r>
      <w:r>
        <w:rPr>
          <w:rFonts w:hint="eastAsia" w:ascii="宋体" w:hAnsi="宋体" w:eastAsia="宋体" w:cs="宋体"/>
          <w:color w:val="auto"/>
          <w:kern w:val="0"/>
          <w:sz w:val="21"/>
          <w:szCs w:val="21"/>
        </w:rPr>
        <w:t>，从业人员</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人，营业收入为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万元，资产总额为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万元</w:t>
      </w:r>
      <w:r>
        <w:rPr>
          <w:rFonts w:hint="eastAsia" w:ascii="宋体" w:hAnsi="宋体" w:eastAsia="宋体" w:cs="宋体"/>
          <w:color w:val="auto"/>
          <w:kern w:val="0"/>
          <w:sz w:val="21"/>
          <w:szCs w:val="21"/>
          <w:vertAlign w:val="superscript"/>
        </w:rPr>
        <w:t>1</w:t>
      </w:r>
      <w:r>
        <w:rPr>
          <w:rFonts w:hint="eastAsia" w:ascii="宋体" w:hAnsi="宋体" w:eastAsia="宋体" w:cs="宋体"/>
          <w:color w:val="auto"/>
          <w:kern w:val="0"/>
          <w:sz w:val="21"/>
          <w:szCs w:val="21"/>
        </w:rPr>
        <w:t>，属于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（中型企业、小型企业、微型企业）</w:t>
      </w:r>
      <w:r>
        <w:rPr>
          <w:rFonts w:hint="eastAsia" w:ascii="宋体" w:hAnsi="宋体" w:eastAsia="宋体" w:cs="宋体"/>
          <w:color w:val="auto"/>
          <w:kern w:val="0"/>
          <w:sz w:val="21"/>
          <w:szCs w:val="21"/>
        </w:rPr>
        <w:t>；</w:t>
      </w:r>
    </w:p>
    <w:p w14:paraId="1BCAA46A">
      <w:pPr>
        <w:keepNext w:val="0"/>
        <w:keepLines w:val="0"/>
        <w:pageBreakBefore w:val="0"/>
        <w:widowControl/>
        <w:kinsoku/>
        <w:wordWrap/>
        <w:overflowPunct/>
        <w:topLinePunct w:val="0"/>
        <w:autoSpaceDE/>
        <w:autoSpaceDN/>
        <w:bidi w:val="0"/>
        <w:adjustRightInd/>
        <w:snapToGrid/>
        <w:spacing w:line="600" w:lineRule="exact"/>
        <w:ind w:firstLine="42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2.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（标的名称）</w:t>
      </w:r>
      <w:r>
        <w:rPr>
          <w:rFonts w:hint="eastAsia" w:ascii="宋体" w:hAnsi="宋体" w:eastAsia="宋体" w:cs="宋体"/>
          <w:color w:val="auto"/>
          <w:kern w:val="0"/>
          <w:sz w:val="21"/>
          <w:szCs w:val="21"/>
        </w:rPr>
        <w:t xml:space="preserve"> ，属于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（采购文件中明确的所属行业）</w:t>
      </w:r>
      <w:r>
        <w:rPr>
          <w:rFonts w:hint="eastAsia" w:ascii="宋体" w:hAnsi="宋体" w:eastAsia="宋体" w:cs="宋体"/>
          <w:color w:val="auto"/>
          <w:kern w:val="0"/>
          <w:sz w:val="21"/>
          <w:szCs w:val="21"/>
        </w:rPr>
        <w:t>；承建（承接）企业为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（企业名称）</w:t>
      </w:r>
      <w:r>
        <w:rPr>
          <w:rFonts w:hint="eastAsia" w:ascii="宋体" w:hAnsi="宋体" w:eastAsia="宋体" w:cs="宋体"/>
          <w:color w:val="auto"/>
          <w:kern w:val="0"/>
          <w:sz w:val="21"/>
          <w:szCs w:val="21"/>
        </w:rPr>
        <w:t>，从业人员</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rPr>
        <w:t>人，营业收入为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rPr>
        <w:t>万元，资产总额为</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万元，属于</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rPr>
        <w:t>（中型企业、小型企业、微型企业）</w:t>
      </w:r>
      <w:r>
        <w:rPr>
          <w:rFonts w:hint="eastAsia" w:ascii="宋体" w:hAnsi="宋体" w:eastAsia="宋体" w:cs="宋体"/>
          <w:color w:val="auto"/>
          <w:kern w:val="0"/>
          <w:sz w:val="21"/>
          <w:szCs w:val="21"/>
        </w:rPr>
        <w:t>；</w:t>
      </w:r>
    </w:p>
    <w:p w14:paraId="090C3685">
      <w:pPr>
        <w:pStyle w:val="34"/>
        <w:rPr>
          <w:rFonts w:hint="eastAsia"/>
          <w:color w:val="auto"/>
        </w:rPr>
      </w:pPr>
    </w:p>
    <w:p w14:paraId="15B34013">
      <w:pPr>
        <w:keepNext w:val="0"/>
        <w:keepLines w:val="0"/>
        <w:pageBreakBefore w:val="0"/>
        <w:widowControl/>
        <w:kinsoku/>
        <w:wordWrap/>
        <w:overflowPunct/>
        <w:topLinePunct w:val="0"/>
        <w:autoSpaceDE/>
        <w:autoSpaceDN/>
        <w:bidi w:val="0"/>
        <w:adjustRightInd/>
        <w:snapToGrid/>
        <w:spacing w:line="500" w:lineRule="exact"/>
        <w:ind w:firstLine="420"/>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以上企业，不属于大企业的分支机构，不存在控股股东为大企业的情形，也不存在与大企业的负责人为同一人的情形。</w:t>
      </w:r>
    </w:p>
    <w:p w14:paraId="49CFE5D5">
      <w:pPr>
        <w:keepNext w:val="0"/>
        <w:keepLines w:val="0"/>
        <w:pageBreakBefore w:val="0"/>
        <w:widowControl/>
        <w:kinsoku/>
        <w:wordWrap/>
        <w:overflowPunct/>
        <w:topLinePunct w:val="0"/>
        <w:autoSpaceDE/>
        <w:autoSpaceDN/>
        <w:bidi w:val="0"/>
        <w:adjustRightInd/>
        <w:snapToGrid/>
        <w:spacing w:line="500" w:lineRule="exact"/>
        <w:ind w:firstLine="420"/>
        <w:textAlignment w:val="auto"/>
        <w:rPr>
          <w:rFonts w:hint="eastAsia"/>
          <w:color w:val="auto"/>
        </w:rPr>
      </w:pPr>
      <w:r>
        <w:rPr>
          <w:rFonts w:hint="eastAsia" w:ascii="宋体" w:hAnsi="宋体" w:eastAsia="宋体" w:cs="宋体"/>
          <w:color w:val="auto"/>
          <w:kern w:val="0"/>
          <w:szCs w:val="21"/>
        </w:rPr>
        <w:t xml:space="preserve">本企业对上述声明内容的真实性负责。如有虚假，将依法承担相应责任。  </w:t>
      </w:r>
    </w:p>
    <w:p w14:paraId="7359BB34">
      <w:pPr>
        <w:widowControl/>
        <w:spacing w:line="400" w:lineRule="atLeast"/>
        <w:ind w:firstLine="420"/>
        <w:rPr>
          <w:rFonts w:hint="eastAsia" w:ascii="宋体" w:hAnsi="宋体" w:eastAsia="宋体" w:cs="宋体"/>
          <w:color w:val="auto"/>
          <w:kern w:val="0"/>
          <w:szCs w:val="21"/>
        </w:rPr>
      </w:pPr>
      <w:r>
        <w:rPr>
          <w:rFonts w:hint="eastAsia" w:ascii="宋体" w:hAnsi="宋体" w:eastAsia="宋体" w:cs="宋体"/>
          <w:color w:val="auto"/>
          <w:kern w:val="0"/>
          <w:szCs w:val="21"/>
        </w:rPr>
        <w:t> </w:t>
      </w:r>
      <w:r>
        <w:rPr>
          <w:rFonts w:hint="eastAsia" w:ascii="宋体" w:hAnsi="宋体" w:cs="宋体"/>
          <w:color w:val="auto"/>
          <w:kern w:val="0"/>
          <w:szCs w:val="21"/>
          <w:lang w:eastAsia="zh-CN"/>
        </w:rPr>
        <w:t>注</w:t>
      </w:r>
      <w:r>
        <w:rPr>
          <w:rFonts w:hint="eastAsia" w:ascii="宋体" w:hAnsi="宋体" w:eastAsia="宋体" w:cs="宋体"/>
          <w:color w:val="auto"/>
          <w:kern w:val="0"/>
          <w:szCs w:val="21"/>
        </w:rPr>
        <w:t>1</w:t>
      </w:r>
      <w:r>
        <w:rPr>
          <w:rFonts w:hint="eastAsia" w:ascii="宋体" w:hAnsi="宋体" w:cs="宋体"/>
          <w:color w:val="auto"/>
          <w:kern w:val="0"/>
          <w:szCs w:val="21"/>
          <w:lang w:eastAsia="zh-CN"/>
        </w:rPr>
        <w:t>：</w:t>
      </w:r>
      <w:r>
        <w:rPr>
          <w:rFonts w:hint="eastAsia" w:ascii="宋体" w:hAnsi="宋体" w:eastAsia="宋体" w:cs="宋体"/>
          <w:color w:val="auto"/>
          <w:kern w:val="0"/>
          <w:szCs w:val="21"/>
        </w:rPr>
        <w:t>从业人员、营业收入、资产总额填报上一年度数据，无上一年度数据的新成立企业可不填报。</w:t>
      </w:r>
    </w:p>
    <w:p w14:paraId="5B7704FC">
      <w:pPr>
        <w:pStyle w:val="12"/>
        <w:spacing w:line="360" w:lineRule="auto"/>
        <w:ind w:firstLine="0" w:firstLineChars="0"/>
        <w:jc w:val="both"/>
        <w:rPr>
          <w:rFonts w:hint="eastAsia" w:asciiTheme="minorEastAsia" w:hAnsiTheme="minorEastAsia" w:eastAsiaTheme="minorEastAsia" w:cstheme="minorEastAsia"/>
          <w:color w:val="auto"/>
          <w:kern w:val="2"/>
          <w:sz w:val="21"/>
          <w:szCs w:val="21"/>
          <w:lang w:val="en-US" w:eastAsia="zh-CN"/>
        </w:rPr>
      </w:pPr>
    </w:p>
    <w:p w14:paraId="432160D9">
      <w:pPr>
        <w:spacing w:line="360" w:lineRule="auto"/>
        <w:ind w:firstLine="4200" w:firstLineChars="2000"/>
        <w:jc w:val="left"/>
        <w:rPr>
          <w:rFonts w:hint="eastAsia" w:ascii="宋体" w:hAnsi="宋体" w:eastAsia="宋体" w:cs="宋体"/>
          <w:color w:val="auto"/>
          <w:u w:val="single"/>
        </w:rPr>
      </w:pPr>
      <w:r>
        <w:rPr>
          <w:rFonts w:hint="eastAsia" w:asciiTheme="minorEastAsia" w:hAnsiTheme="minorEastAsia" w:eastAsiaTheme="minorEastAsia" w:cstheme="minorEastAsia"/>
          <w:color w:val="auto"/>
          <w:kern w:val="2"/>
          <w:sz w:val="21"/>
          <w:szCs w:val="21"/>
          <w:lang w:val="en-US" w:eastAsia="zh-CN"/>
        </w:rPr>
        <w:t xml:space="preserve">   </w:t>
      </w:r>
      <w:r>
        <w:rPr>
          <w:rFonts w:ascii="宋体" w:hAnsi="宋体"/>
          <w:color w:val="auto"/>
          <w:sz w:val="21"/>
          <w:szCs w:val="21"/>
          <w:highlight w:val="none"/>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2D6FBB5A">
      <w:pPr>
        <w:pStyle w:val="46"/>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43B7FAA8">
      <w:pPr>
        <w:pStyle w:val="46"/>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p>
    <w:p w14:paraId="3D550625">
      <w:pPr>
        <w:spacing w:line="360" w:lineRule="auto"/>
        <w:rPr>
          <w:rFonts w:hint="eastAsia" w:ascii="宋体" w:hAnsi="宋体" w:cs="仿宋_GB2312"/>
          <w:color w:val="auto"/>
          <w:sz w:val="24"/>
        </w:rPr>
      </w:pPr>
    </w:p>
    <w:p w14:paraId="0EDABF39">
      <w:pPr>
        <w:spacing w:line="360" w:lineRule="auto"/>
        <w:rPr>
          <w:rFonts w:hint="eastAsia" w:ascii="仿宋_GB2312" w:hAnsi="仿宋_GB2312" w:eastAsia="仿宋_GB2312" w:cs="仿宋_GB2312"/>
          <w:color w:val="auto"/>
          <w:sz w:val="21"/>
          <w:szCs w:val="21"/>
        </w:rPr>
      </w:pPr>
      <w:r>
        <w:rPr>
          <w:rFonts w:hint="eastAsia" w:ascii="宋体" w:hAnsi="宋体" w:cs="仿宋_GB2312"/>
          <w:color w:val="auto"/>
          <w:sz w:val="21"/>
          <w:szCs w:val="21"/>
        </w:rPr>
        <w:t>注：请根据自己的真实情况出具《中小企业声明函》。依法享受中小企业优惠政策的，采购人或者采购代理机构在公告</w:t>
      </w:r>
      <w:r>
        <w:rPr>
          <w:rFonts w:hint="eastAsia" w:ascii="宋体" w:hAnsi="宋体" w:cs="仿宋_GB2312"/>
          <w:color w:val="auto"/>
          <w:sz w:val="21"/>
          <w:szCs w:val="21"/>
          <w:lang w:eastAsia="zh-CN"/>
        </w:rPr>
        <w:t>成交</w:t>
      </w:r>
      <w:r>
        <w:rPr>
          <w:rFonts w:hint="eastAsia" w:ascii="宋体" w:hAnsi="宋体" w:cs="仿宋_GB2312"/>
          <w:color w:val="auto"/>
          <w:sz w:val="21"/>
          <w:szCs w:val="21"/>
        </w:rPr>
        <w:t>结果时，同时公告其《中小企业声明函》，接受社会监督。</w:t>
      </w:r>
    </w:p>
    <w:p w14:paraId="36F280EB">
      <w:pPr>
        <w:pStyle w:val="46"/>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sectPr>
          <w:footnotePr>
            <w:numFmt w:val="decimal"/>
          </w:footnotePr>
          <w:pgSz w:w="11905" w:h="16838"/>
          <w:pgMar w:top="1134" w:right="1134" w:bottom="1134" w:left="1134" w:header="720" w:footer="720" w:gutter="0"/>
          <w:pgNumType w:fmt="decimal"/>
          <w:cols w:space="720" w:num="1"/>
          <w:rtlGutter w:val="0"/>
          <w:docGrid w:type="lines" w:linePitch="332" w:charSpace="0"/>
        </w:sectPr>
      </w:pPr>
    </w:p>
    <w:p w14:paraId="5952C779">
      <w:pPr>
        <w:pStyle w:val="12"/>
        <w:spacing w:line="360" w:lineRule="auto"/>
        <w:ind w:firstLine="0" w:firstLineChars="0"/>
        <w:jc w:val="both"/>
        <w:rPr>
          <w:rFonts w:hint="eastAsia" w:asciiTheme="minorEastAsia" w:hAnsiTheme="minorEastAsia" w:eastAsiaTheme="minorEastAsia" w:cstheme="minorEastAsia"/>
          <w:color w:val="auto"/>
          <w:kern w:val="2"/>
          <w:sz w:val="21"/>
          <w:szCs w:val="21"/>
          <w:lang w:val="en-US" w:eastAsia="zh-CN"/>
        </w:rPr>
      </w:pPr>
    </w:p>
    <w:p w14:paraId="46DE964F">
      <w:pPr>
        <w:spacing w:line="520" w:lineRule="exact"/>
        <w:jc w:val="center"/>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残疾人福利性单位声明函</w:t>
      </w:r>
    </w:p>
    <w:p w14:paraId="1BCC6E17">
      <w:pPr>
        <w:spacing w:line="520" w:lineRule="exact"/>
        <w:rPr>
          <w:rFonts w:hint="eastAsia" w:ascii="仿宋_GB2312" w:hAnsi="仿宋_GB2312" w:eastAsia="仿宋_GB2312" w:cs="仿宋_GB2312"/>
          <w:color w:val="auto"/>
          <w:sz w:val="32"/>
          <w:szCs w:val="32"/>
        </w:rPr>
      </w:pPr>
    </w:p>
    <w:p w14:paraId="49518CFD">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单位的</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项目采购活动提供本单位制造的货物（由本单位承担工程/提供服务），或者提供其他残疾人福利性单位制造的货物（不包括使用非残疾人福利性单位注册商标的货物）。</w:t>
      </w:r>
    </w:p>
    <w:p w14:paraId="55608753">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本单位对上述声明的真实性负责。如有虚假，将依法承担相应责任。</w:t>
      </w:r>
    </w:p>
    <w:p w14:paraId="6081A88D">
      <w:pPr>
        <w:spacing w:line="360" w:lineRule="auto"/>
        <w:rPr>
          <w:rFonts w:hint="eastAsia" w:asciiTheme="minorEastAsia" w:hAnsiTheme="minorEastAsia" w:eastAsiaTheme="minorEastAsia" w:cstheme="minorEastAsia"/>
          <w:color w:val="auto"/>
          <w:sz w:val="21"/>
          <w:szCs w:val="21"/>
        </w:rPr>
      </w:pPr>
    </w:p>
    <w:p w14:paraId="6A31803C">
      <w:pPr>
        <w:spacing w:line="360" w:lineRule="auto"/>
        <w:rPr>
          <w:rFonts w:hint="eastAsia" w:asciiTheme="minorEastAsia" w:hAnsiTheme="minorEastAsia" w:eastAsiaTheme="minorEastAsia" w:cstheme="minorEastAsia"/>
          <w:color w:val="auto"/>
          <w:sz w:val="21"/>
          <w:szCs w:val="21"/>
        </w:rPr>
      </w:pPr>
    </w:p>
    <w:p w14:paraId="54B4EB61">
      <w:pPr>
        <w:spacing w:line="360" w:lineRule="auto"/>
        <w:rPr>
          <w:rFonts w:hint="eastAsia" w:asciiTheme="minorEastAsia" w:hAnsiTheme="minorEastAsia" w:eastAsiaTheme="minorEastAsia" w:cstheme="minorEastAsia"/>
          <w:color w:val="auto"/>
          <w:sz w:val="21"/>
          <w:szCs w:val="21"/>
        </w:rPr>
      </w:pPr>
    </w:p>
    <w:p w14:paraId="555E1417">
      <w:pPr>
        <w:spacing w:line="360" w:lineRule="auto"/>
        <w:ind w:firstLine="4200" w:firstLineChars="2000"/>
        <w:jc w:val="left"/>
        <w:rPr>
          <w:rFonts w:hint="eastAsia" w:ascii="宋体" w:hAnsi="宋体" w:eastAsia="宋体" w:cs="宋体"/>
          <w:color w:val="auto"/>
          <w:u w:val="single"/>
        </w:rPr>
      </w:pPr>
      <w:r>
        <w:rPr>
          <w:rFonts w:hint="eastAsia" w:asciiTheme="minorEastAsia" w:hAnsiTheme="minorEastAsia" w:eastAsiaTheme="minorEastAsia" w:cstheme="minorEastAsia"/>
          <w:color w:val="auto"/>
          <w:kern w:val="2"/>
          <w:sz w:val="21"/>
          <w:szCs w:val="21"/>
          <w:lang w:val="en-US" w:eastAsia="zh-CN"/>
        </w:rPr>
        <w:t xml:space="preserve"> </w:t>
      </w:r>
      <w:r>
        <w:rPr>
          <w:rFonts w:hint="eastAsia" w:ascii="宋体" w:hAnsi="宋体" w:eastAsia="宋体" w:cs="宋体"/>
          <w:color w:val="auto"/>
          <w:sz w:val="21"/>
          <w:szCs w:val="21"/>
          <w:lang w:eastAsia="zh-CN"/>
        </w:rPr>
        <w:t>供应商</w:t>
      </w:r>
      <w:r>
        <w:rPr>
          <w:rFonts w:hint="eastAsia" w:ascii="宋体" w:hAnsi="宋体" w:eastAsia="宋体" w:cs="宋体"/>
          <w:color w:val="auto"/>
          <w:kern w:val="0"/>
          <w:sz w:val="21"/>
          <w:szCs w:val="21"/>
          <w:highlight w:val="none"/>
          <w:lang w:val="zh-CN"/>
        </w:rPr>
        <w:t>名称（</w:t>
      </w:r>
      <w:r>
        <w:rPr>
          <w:rFonts w:hint="eastAsia" w:ascii="宋体" w:hAnsi="宋体" w:eastAsia="宋体" w:cs="宋体"/>
          <w:color w:val="auto"/>
          <w:kern w:val="0"/>
          <w:sz w:val="21"/>
          <w:szCs w:val="21"/>
          <w:highlight w:val="none"/>
          <w:lang w:val="zh-CN" w:eastAsia="zh-CN"/>
        </w:rPr>
        <w:t>电子签章</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sz w:val="21"/>
          <w:szCs w:val="21"/>
        </w:rPr>
        <w:t>：</w:t>
      </w:r>
      <w:r>
        <w:rPr>
          <w:rFonts w:hint="eastAsia" w:ascii="宋体" w:hAnsi="宋体" w:eastAsia="宋体" w:cs="宋体"/>
          <w:color w:val="auto"/>
          <w:u w:val="single"/>
        </w:rPr>
        <w:t xml:space="preserve">                     </w:t>
      </w:r>
    </w:p>
    <w:p w14:paraId="67922535">
      <w:pPr>
        <w:pStyle w:val="46"/>
        <w:keepNext w:val="0"/>
        <w:keepLines w:val="0"/>
        <w:widowControl w:val="0"/>
        <w:shd w:val="clear" w:color="auto" w:fill="auto"/>
        <w:bidi w:val="0"/>
        <w:spacing w:before="0" w:afterAutospacing="0" w:line="415" w:lineRule="exact"/>
        <w:ind w:left="0" w:leftChars="0" w:right="0" w:firstLine="0" w:firstLineChars="0"/>
        <w:jc w:val="left"/>
        <w:rPr>
          <w:rFonts w:hint="eastAsia" w:ascii="宋体" w:hAnsi="宋体" w:eastAsia="宋体" w:cs="宋体"/>
          <w:color w:val="auto"/>
          <w:sz w:val="21"/>
          <w:szCs w:val="21"/>
          <w:u w:val="none"/>
          <w:lang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日</w:t>
      </w:r>
    </w:p>
    <w:p w14:paraId="42639115">
      <w:pPr>
        <w:pStyle w:val="12"/>
        <w:spacing w:line="360" w:lineRule="auto"/>
        <w:ind w:firstLine="0" w:firstLineChars="0"/>
        <w:jc w:val="center"/>
        <w:rPr>
          <w:rFonts w:hint="eastAsia" w:asciiTheme="minorEastAsia" w:hAnsiTheme="minorEastAsia" w:eastAsiaTheme="minorEastAsia" w:cstheme="minorEastAsia"/>
          <w:color w:val="auto"/>
          <w:kern w:val="2"/>
          <w:sz w:val="21"/>
          <w:szCs w:val="21"/>
          <w:lang w:val="en-US" w:eastAsia="zh-CN"/>
        </w:rPr>
      </w:pPr>
    </w:p>
    <w:p w14:paraId="29679893">
      <w:pPr>
        <w:spacing w:line="360" w:lineRule="auto"/>
        <w:rPr>
          <w:rFonts w:hint="eastAsia" w:asciiTheme="minorEastAsia" w:hAnsiTheme="minorEastAsia" w:eastAsiaTheme="minorEastAsia" w:cstheme="minorEastAsia"/>
          <w:color w:val="auto"/>
          <w:sz w:val="21"/>
          <w:szCs w:val="21"/>
        </w:rPr>
      </w:pPr>
    </w:p>
    <w:p w14:paraId="6C26BAEC">
      <w:pPr>
        <w:spacing w:line="360" w:lineRule="auto"/>
        <w:rPr>
          <w:rFonts w:hint="eastAsia" w:asciiTheme="minorEastAsia" w:hAnsiTheme="minorEastAsia" w:eastAsiaTheme="minorEastAsia" w:cstheme="minorEastAsia"/>
          <w:color w:val="auto"/>
          <w:sz w:val="21"/>
          <w:szCs w:val="21"/>
        </w:rPr>
      </w:pPr>
    </w:p>
    <w:p w14:paraId="4B142B8E">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注：请根据自己的真实情况出具《残疾人福利性单位声明函》。依法享受中小企业优惠政策的，采购人或者采购代理机构在公告中标结果时，同时公告其《残疾人福利性单位声明函》，接受社会监督。</w:t>
      </w:r>
    </w:p>
    <w:p w14:paraId="4241F539">
      <w:pPr>
        <w:pStyle w:val="22"/>
        <w:rPr>
          <w:rFonts w:hint="eastAsia" w:ascii="宋体" w:hAnsi="宋体" w:eastAsia="宋体" w:cs="宋体"/>
          <w:bCs/>
          <w:color w:val="auto"/>
          <w:sz w:val="40"/>
          <w:szCs w:val="40"/>
          <w:highlight w:val="none"/>
        </w:rPr>
      </w:pPr>
      <w:r>
        <w:rPr>
          <w:rFonts w:hint="eastAsia" w:asciiTheme="minorEastAsia" w:hAnsiTheme="minorEastAsia" w:eastAsiaTheme="minorEastAsia" w:cstheme="minorEastAsia"/>
          <w:color w:val="auto"/>
          <w:sz w:val="21"/>
          <w:szCs w:val="21"/>
        </w:rPr>
        <w:br w:type="page"/>
      </w:r>
    </w:p>
    <w:p w14:paraId="43EF162A">
      <w:pPr>
        <w:spacing w:line="360" w:lineRule="auto"/>
        <w:ind w:right="420"/>
        <w:contextualSpacing/>
        <w:jc w:val="left"/>
        <w:rPr>
          <w:rFonts w:hint="eastAsia" w:ascii="宋体" w:hAnsi="宋体"/>
          <w:b/>
          <w:bCs/>
          <w:color w:val="auto"/>
          <w:sz w:val="28"/>
          <w:szCs w:val="28"/>
          <w:highlight w:val="none"/>
        </w:rPr>
      </w:pPr>
    </w:p>
    <w:p w14:paraId="6188A873">
      <w:pPr>
        <w:spacing w:line="360" w:lineRule="auto"/>
        <w:ind w:right="420"/>
        <w:contextualSpacing/>
        <w:jc w:val="left"/>
        <w:rPr>
          <w:rFonts w:ascii="宋体" w:hAnsi="宋体"/>
          <w:b/>
          <w:color w:val="auto"/>
          <w:sz w:val="28"/>
          <w:szCs w:val="28"/>
          <w:highlight w:val="none"/>
        </w:rPr>
      </w:pPr>
      <w:r>
        <w:rPr>
          <w:rFonts w:hint="eastAsia" w:ascii="宋体" w:hAnsi="宋体"/>
          <w:b/>
          <w:bCs/>
          <w:color w:val="auto"/>
          <w:sz w:val="28"/>
          <w:szCs w:val="28"/>
          <w:highlight w:val="none"/>
        </w:rPr>
        <w:t>二、</w:t>
      </w:r>
      <w:r>
        <w:rPr>
          <w:rFonts w:hint="eastAsia" w:ascii="宋体" w:hAnsi="宋体"/>
          <w:b/>
          <w:color w:val="auto"/>
          <w:sz w:val="28"/>
          <w:szCs w:val="28"/>
          <w:highlight w:val="none"/>
        </w:rPr>
        <w:t xml:space="preserve">报价文件格式 </w:t>
      </w:r>
    </w:p>
    <w:p w14:paraId="094494E6">
      <w:pPr>
        <w:spacing w:line="360" w:lineRule="auto"/>
        <w:ind w:firstLine="562" w:firstLineChars="200"/>
        <w:rPr>
          <w:rFonts w:hint="eastAsia" w:ascii="宋体" w:hAnsi="宋体"/>
          <w:b/>
          <w:color w:val="auto"/>
          <w:sz w:val="28"/>
          <w:szCs w:val="28"/>
          <w:highlight w:val="none"/>
        </w:rPr>
      </w:pPr>
      <w:r>
        <w:rPr>
          <w:rFonts w:hint="eastAsia" w:ascii="宋体" w:hAnsi="宋体"/>
          <w:b/>
          <w:color w:val="auto"/>
          <w:sz w:val="28"/>
          <w:szCs w:val="28"/>
          <w:highlight w:val="none"/>
        </w:rPr>
        <w:t>1.报价文件封面格式</w:t>
      </w:r>
    </w:p>
    <w:p w14:paraId="45F950F0">
      <w:pPr>
        <w:snapToGrid w:val="0"/>
        <w:spacing w:before="156" w:beforeLines="50" w:after="50"/>
        <w:rPr>
          <w:rFonts w:hint="eastAsia" w:ascii="宋体" w:hAnsi="宋体"/>
          <w:bCs/>
          <w:color w:val="auto"/>
          <w:sz w:val="28"/>
          <w:szCs w:val="18"/>
          <w:highlight w:val="none"/>
        </w:rPr>
      </w:pPr>
      <w:r>
        <w:rPr>
          <w:rFonts w:hint="eastAsia" w:ascii="宋体" w:hAnsi="宋体"/>
          <w:color w:val="auto"/>
          <w:sz w:val="22"/>
          <w:szCs w:val="22"/>
          <w:highlight w:val="none"/>
        </w:rPr>
        <w:t xml:space="preserve">                                                    </w:t>
      </w:r>
    </w:p>
    <w:p w14:paraId="70ECE156">
      <w:pPr>
        <w:snapToGrid w:val="0"/>
        <w:spacing w:before="156" w:beforeLines="50" w:after="50"/>
        <w:jc w:val="center"/>
        <w:rPr>
          <w:rFonts w:hint="eastAsia" w:ascii="宋体" w:hAnsi="宋体"/>
          <w:color w:val="auto"/>
          <w:sz w:val="22"/>
          <w:szCs w:val="18"/>
          <w:highlight w:val="none"/>
        </w:rPr>
      </w:pPr>
      <w:r>
        <w:rPr>
          <w:rFonts w:hint="eastAsia" w:ascii="宋体" w:hAnsi="宋体"/>
          <w:color w:val="auto"/>
          <w:sz w:val="40"/>
          <w:szCs w:val="40"/>
          <w:highlight w:val="none"/>
        </w:rPr>
        <w:t>电 子 响 应 文 件</w:t>
      </w:r>
    </w:p>
    <w:p w14:paraId="442F3FFB">
      <w:pPr>
        <w:snapToGrid w:val="0"/>
        <w:spacing w:before="156" w:beforeLines="50" w:after="50"/>
        <w:rPr>
          <w:rFonts w:hint="eastAsia" w:ascii="宋体" w:hAnsi="宋体"/>
          <w:color w:val="auto"/>
          <w:sz w:val="22"/>
          <w:szCs w:val="18"/>
          <w:highlight w:val="none"/>
        </w:rPr>
      </w:pPr>
    </w:p>
    <w:p w14:paraId="0F0A4F73">
      <w:pPr>
        <w:snapToGrid w:val="0"/>
        <w:spacing w:before="156" w:beforeLines="50" w:after="50"/>
        <w:rPr>
          <w:rFonts w:hint="eastAsia" w:ascii="宋体" w:hAnsi="宋体"/>
          <w:color w:val="auto"/>
          <w:sz w:val="22"/>
          <w:szCs w:val="18"/>
          <w:highlight w:val="none"/>
        </w:rPr>
      </w:pPr>
    </w:p>
    <w:p w14:paraId="06BA190A">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报  价  文  件</w:t>
      </w:r>
    </w:p>
    <w:p w14:paraId="5925752F">
      <w:pPr>
        <w:snapToGrid w:val="0"/>
        <w:spacing w:before="156" w:beforeLines="50" w:after="50"/>
        <w:rPr>
          <w:rFonts w:hint="eastAsia" w:ascii="宋体" w:hAnsi="宋体"/>
          <w:bCs/>
          <w:color w:val="auto"/>
          <w:sz w:val="22"/>
          <w:szCs w:val="18"/>
          <w:highlight w:val="none"/>
        </w:rPr>
      </w:pPr>
    </w:p>
    <w:p w14:paraId="41FDD1FB">
      <w:pPr>
        <w:snapToGrid w:val="0"/>
        <w:spacing w:before="156" w:beforeLines="50" w:after="50"/>
        <w:rPr>
          <w:rFonts w:hint="eastAsia" w:ascii="宋体" w:hAnsi="宋体"/>
          <w:bCs/>
          <w:color w:val="auto"/>
          <w:sz w:val="22"/>
          <w:szCs w:val="18"/>
          <w:highlight w:val="none"/>
        </w:rPr>
      </w:pPr>
    </w:p>
    <w:p w14:paraId="73D2510B">
      <w:pPr>
        <w:snapToGrid w:val="0"/>
        <w:spacing w:before="156" w:beforeLines="50" w:after="50"/>
        <w:rPr>
          <w:rFonts w:hint="eastAsia" w:ascii="宋体" w:hAnsi="宋体"/>
          <w:bCs/>
          <w:color w:val="auto"/>
          <w:sz w:val="22"/>
          <w:szCs w:val="18"/>
          <w:highlight w:val="none"/>
        </w:rPr>
      </w:pPr>
    </w:p>
    <w:p w14:paraId="70BBDB8D">
      <w:pPr>
        <w:snapToGrid w:val="0"/>
        <w:spacing w:before="156" w:beforeLines="50" w:after="50"/>
        <w:rPr>
          <w:rFonts w:hint="eastAsia" w:ascii="宋体" w:hAnsi="宋体"/>
          <w:bCs/>
          <w:color w:val="auto"/>
          <w:sz w:val="22"/>
          <w:szCs w:val="18"/>
          <w:highlight w:val="none"/>
        </w:rPr>
      </w:pPr>
    </w:p>
    <w:p w14:paraId="23456E61">
      <w:pPr>
        <w:snapToGrid w:val="0"/>
        <w:spacing w:before="156" w:beforeLines="50" w:after="50"/>
        <w:rPr>
          <w:rFonts w:hint="eastAsia" w:ascii="宋体" w:hAnsi="宋体"/>
          <w:bCs/>
          <w:color w:val="auto"/>
          <w:sz w:val="22"/>
          <w:szCs w:val="18"/>
          <w:highlight w:val="none"/>
        </w:rPr>
      </w:pPr>
    </w:p>
    <w:p w14:paraId="381987E0">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2417B7BA">
      <w:pPr>
        <w:snapToGrid w:val="0"/>
        <w:spacing w:before="156" w:beforeLines="50" w:after="50"/>
        <w:ind w:firstLine="630" w:firstLineChars="225"/>
        <w:rPr>
          <w:rFonts w:hint="eastAsia" w:ascii="宋体" w:hAnsi="宋体" w:cs="仿宋_GB2312"/>
          <w:bCs/>
          <w:color w:val="auto"/>
          <w:sz w:val="28"/>
          <w:szCs w:val="28"/>
          <w:highlight w:val="none"/>
        </w:rPr>
      </w:pPr>
    </w:p>
    <w:p w14:paraId="21ADC6BB">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563A00B8">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7BB82701">
      <w:pPr>
        <w:pStyle w:val="7"/>
        <w:snapToGrid w:val="0"/>
        <w:spacing w:before="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3AF2F816">
      <w:pPr>
        <w:pStyle w:val="7"/>
        <w:snapToGrid w:val="0"/>
        <w:spacing w:before="50" w:after="50"/>
        <w:ind w:firstLine="560" w:firstLineChars="200"/>
        <w:rPr>
          <w:rFonts w:hint="eastAsia" w:ascii="宋体" w:hAnsi="宋体" w:cs="仿宋_GB2312"/>
          <w:bCs/>
          <w:color w:val="auto"/>
          <w:sz w:val="28"/>
          <w:szCs w:val="28"/>
          <w:highlight w:val="none"/>
        </w:rPr>
      </w:pPr>
    </w:p>
    <w:p w14:paraId="0D415A1C">
      <w:pPr>
        <w:pStyle w:val="7"/>
        <w:snapToGrid w:val="0"/>
        <w:spacing w:before="50" w:after="50"/>
        <w:ind w:firstLine="630" w:firstLineChars="225"/>
        <w:rPr>
          <w:rFonts w:hint="eastAsia" w:ascii="宋体" w:hAnsi="宋体" w:cs="仿宋_GB2312"/>
          <w:bCs/>
          <w:color w:val="auto"/>
          <w:sz w:val="28"/>
          <w:szCs w:val="28"/>
          <w:highlight w:val="none"/>
        </w:rPr>
      </w:pPr>
    </w:p>
    <w:p w14:paraId="7E6E3CA7">
      <w:pPr>
        <w:pStyle w:val="7"/>
        <w:snapToGrid w:val="0"/>
        <w:spacing w:before="50" w:after="50"/>
        <w:ind w:firstLine="0"/>
        <w:rPr>
          <w:rFonts w:hint="eastAsia" w:ascii="宋体" w:hAnsi="宋体" w:cs="仿宋_GB2312"/>
          <w:bCs/>
          <w:color w:val="auto"/>
          <w:sz w:val="28"/>
          <w:szCs w:val="28"/>
          <w:highlight w:val="none"/>
        </w:rPr>
      </w:pPr>
    </w:p>
    <w:p w14:paraId="6AF4DC8D">
      <w:pPr>
        <w:pStyle w:val="7"/>
        <w:snapToGrid w:val="0"/>
        <w:spacing w:before="50" w:after="50"/>
        <w:ind w:firstLine="1120" w:firstLineChars="400"/>
        <w:rPr>
          <w:rFonts w:hint="eastAsia" w:ascii="宋体" w:hAnsi="宋体" w:cs="仿宋_GB2312"/>
          <w:bCs/>
          <w:color w:val="auto"/>
          <w:sz w:val="28"/>
          <w:szCs w:val="28"/>
          <w:highlight w:val="none"/>
        </w:rPr>
      </w:pPr>
    </w:p>
    <w:p w14:paraId="764DBECE">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60D5EAF5">
      <w:pPr>
        <w:snapToGrid w:val="0"/>
        <w:spacing w:before="156" w:beforeLines="50" w:after="50" w:line="360" w:lineRule="auto"/>
        <w:ind w:left="142"/>
        <w:jc w:val="left"/>
        <w:rPr>
          <w:rFonts w:hint="eastAsia" w:ascii="宋体" w:hAnsi="宋体"/>
          <w:color w:val="auto"/>
          <w:sz w:val="20"/>
          <w:szCs w:val="20"/>
          <w:highlight w:val="none"/>
        </w:rPr>
      </w:pPr>
      <w:r>
        <w:rPr>
          <w:rFonts w:hint="eastAsia" w:ascii="宋体" w:hAnsi="宋体"/>
          <w:color w:val="auto"/>
          <w:sz w:val="20"/>
          <w:szCs w:val="20"/>
          <w:highlight w:val="none"/>
        </w:rPr>
        <w:br w:type="page"/>
      </w:r>
    </w:p>
    <w:p w14:paraId="0E5AFF62">
      <w:pPr>
        <w:snapToGrid w:val="0"/>
        <w:spacing w:before="156" w:beforeLines="50" w:after="50" w:line="360" w:lineRule="auto"/>
        <w:jc w:val="left"/>
        <w:rPr>
          <w:rFonts w:hint="eastAsia" w:ascii="宋体" w:hAnsi="宋体"/>
          <w:color w:val="auto"/>
          <w:sz w:val="20"/>
          <w:szCs w:val="20"/>
          <w:highlight w:val="none"/>
        </w:rPr>
      </w:pPr>
    </w:p>
    <w:p w14:paraId="446C9CD9">
      <w:pPr>
        <w:snapToGrid w:val="0"/>
        <w:spacing w:before="156" w:beforeLines="50" w:after="50" w:line="360" w:lineRule="auto"/>
        <w:ind w:left="142"/>
        <w:jc w:val="left"/>
        <w:rPr>
          <w:rFonts w:hint="eastAsia" w:ascii="宋体" w:hAnsi="宋体"/>
          <w:b/>
          <w:bCs/>
          <w:color w:val="auto"/>
          <w:sz w:val="22"/>
          <w:szCs w:val="22"/>
          <w:highlight w:val="none"/>
        </w:rPr>
      </w:pPr>
      <w:r>
        <w:rPr>
          <w:rFonts w:hint="eastAsia" w:ascii="宋体" w:hAnsi="宋体"/>
          <w:b/>
          <w:bCs/>
          <w:color w:val="auto"/>
          <w:sz w:val="28"/>
          <w:szCs w:val="28"/>
          <w:highlight w:val="none"/>
        </w:rPr>
        <w:t>2.报价文件目录</w:t>
      </w:r>
    </w:p>
    <w:p w14:paraId="7DD721DC">
      <w:pPr>
        <w:spacing w:line="520" w:lineRule="exact"/>
        <w:jc w:val="center"/>
        <w:rPr>
          <w:rFonts w:hint="eastAsia" w:asciiTheme="majorEastAsia" w:hAnsiTheme="majorEastAsia" w:eastAsiaTheme="majorEastAsia" w:cstheme="majorEastAsia"/>
          <w:b/>
          <w:bCs/>
          <w:color w:val="auto"/>
          <w:sz w:val="28"/>
          <w:szCs w:val="28"/>
          <w:highlight w:val="none"/>
        </w:rPr>
      </w:pPr>
      <w:r>
        <w:rPr>
          <w:rFonts w:hint="eastAsia" w:asciiTheme="majorEastAsia" w:hAnsiTheme="majorEastAsia" w:eastAsiaTheme="majorEastAsia" w:cstheme="majorEastAsia"/>
          <w:b/>
          <w:bCs/>
          <w:color w:val="auto"/>
          <w:sz w:val="28"/>
          <w:szCs w:val="28"/>
          <w:highlight w:val="none"/>
          <w:lang w:val="en-US" w:eastAsia="zh-CN"/>
        </w:rPr>
        <w:t>根据磋商文件规定及供应商提供的材料自行编写目录（部分格式后附）。</w:t>
      </w:r>
    </w:p>
    <w:p w14:paraId="34AF7E12">
      <w:pPr>
        <w:spacing w:line="520" w:lineRule="exact"/>
        <w:jc w:val="center"/>
        <w:rPr>
          <w:rFonts w:hint="eastAsia" w:ascii="方正小标宋简体" w:hAnsi="方正小标宋简体" w:eastAsia="方正小标宋简体" w:cs="方正小标宋简体"/>
          <w:color w:val="auto"/>
          <w:sz w:val="44"/>
          <w:szCs w:val="44"/>
          <w:highlight w:val="none"/>
        </w:rPr>
      </w:pPr>
    </w:p>
    <w:p w14:paraId="29CC60D9">
      <w:pPr>
        <w:spacing w:line="520" w:lineRule="exact"/>
        <w:jc w:val="center"/>
        <w:rPr>
          <w:rFonts w:hint="eastAsia" w:ascii="方正小标宋简体" w:hAnsi="方正小标宋简体" w:eastAsia="方正小标宋简体" w:cs="方正小标宋简体"/>
          <w:color w:val="auto"/>
          <w:sz w:val="44"/>
          <w:szCs w:val="44"/>
          <w:highlight w:val="none"/>
        </w:rPr>
      </w:pPr>
    </w:p>
    <w:p w14:paraId="5FDD44EB">
      <w:pPr>
        <w:spacing w:line="520" w:lineRule="exact"/>
        <w:jc w:val="center"/>
        <w:rPr>
          <w:rFonts w:hint="eastAsia" w:ascii="方正小标宋简体" w:hAnsi="方正小标宋简体" w:eastAsia="方正小标宋简体" w:cs="方正小标宋简体"/>
          <w:color w:val="auto"/>
          <w:sz w:val="44"/>
          <w:szCs w:val="44"/>
          <w:highlight w:val="none"/>
        </w:rPr>
      </w:pPr>
    </w:p>
    <w:p w14:paraId="6580FEB6">
      <w:pPr>
        <w:spacing w:line="520" w:lineRule="exact"/>
        <w:jc w:val="center"/>
        <w:rPr>
          <w:rFonts w:hint="eastAsia" w:ascii="方正小标宋简体" w:hAnsi="方正小标宋简体" w:eastAsia="方正小标宋简体" w:cs="方正小标宋简体"/>
          <w:color w:val="auto"/>
          <w:sz w:val="44"/>
          <w:szCs w:val="44"/>
          <w:highlight w:val="none"/>
        </w:rPr>
      </w:pPr>
    </w:p>
    <w:p w14:paraId="744B6FD2">
      <w:pPr>
        <w:spacing w:line="520" w:lineRule="exact"/>
        <w:jc w:val="center"/>
        <w:rPr>
          <w:rFonts w:hint="eastAsia" w:ascii="方正小标宋简体" w:hAnsi="方正小标宋简体" w:eastAsia="方正小标宋简体" w:cs="方正小标宋简体"/>
          <w:color w:val="auto"/>
          <w:sz w:val="44"/>
          <w:szCs w:val="44"/>
          <w:highlight w:val="none"/>
        </w:rPr>
      </w:pPr>
    </w:p>
    <w:p w14:paraId="6A7F504A">
      <w:pPr>
        <w:spacing w:line="520" w:lineRule="exact"/>
        <w:jc w:val="center"/>
        <w:rPr>
          <w:rFonts w:hint="eastAsia" w:ascii="方正小标宋简体" w:hAnsi="方正小标宋简体" w:eastAsia="方正小标宋简体" w:cs="方正小标宋简体"/>
          <w:color w:val="auto"/>
          <w:sz w:val="44"/>
          <w:szCs w:val="44"/>
          <w:highlight w:val="none"/>
        </w:rPr>
      </w:pPr>
    </w:p>
    <w:p w14:paraId="6BB5BC87">
      <w:pPr>
        <w:spacing w:line="520" w:lineRule="exact"/>
        <w:jc w:val="center"/>
        <w:rPr>
          <w:rFonts w:hint="eastAsia" w:ascii="方正小标宋简体" w:hAnsi="方正小标宋简体" w:eastAsia="方正小标宋简体" w:cs="方正小标宋简体"/>
          <w:color w:val="auto"/>
          <w:sz w:val="44"/>
          <w:szCs w:val="44"/>
          <w:highlight w:val="none"/>
        </w:rPr>
      </w:pPr>
    </w:p>
    <w:p w14:paraId="4EA9E3DA">
      <w:pPr>
        <w:spacing w:line="520" w:lineRule="exact"/>
        <w:jc w:val="center"/>
        <w:rPr>
          <w:rFonts w:hint="eastAsia" w:ascii="方正小标宋简体" w:hAnsi="方正小标宋简体" w:eastAsia="方正小标宋简体" w:cs="方正小标宋简体"/>
          <w:color w:val="auto"/>
          <w:sz w:val="44"/>
          <w:szCs w:val="44"/>
          <w:highlight w:val="none"/>
        </w:rPr>
      </w:pPr>
    </w:p>
    <w:p w14:paraId="61F7D2C0">
      <w:pPr>
        <w:spacing w:line="520" w:lineRule="exact"/>
        <w:jc w:val="center"/>
        <w:rPr>
          <w:rFonts w:hint="eastAsia" w:ascii="方正小标宋简体" w:hAnsi="方正小标宋简体" w:eastAsia="方正小标宋简体" w:cs="方正小标宋简体"/>
          <w:color w:val="auto"/>
          <w:sz w:val="44"/>
          <w:szCs w:val="44"/>
          <w:highlight w:val="none"/>
        </w:rPr>
      </w:pPr>
    </w:p>
    <w:p w14:paraId="2E47AE81">
      <w:pPr>
        <w:spacing w:line="520" w:lineRule="exact"/>
        <w:jc w:val="center"/>
        <w:rPr>
          <w:rFonts w:hint="eastAsia" w:ascii="方正小标宋简体" w:hAnsi="方正小标宋简体" w:eastAsia="方正小标宋简体" w:cs="方正小标宋简体"/>
          <w:color w:val="auto"/>
          <w:sz w:val="44"/>
          <w:szCs w:val="44"/>
          <w:highlight w:val="none"/>
        </w:rPr>
      </w:pPr>
    </w:p>
    <w:p w14:paraId="3313A1F2">
      <w:pPr>
        <w:spacing w:line="520" w:lineRule="exact"/>
        <w:jc w:val="center"/>
        <w:rPr>
          <w:rFonts w:hint="eastAsia" w:ascii="方正小标宋简体" w:hAnsi="方正小标宋简体" w:eastAsia="方正小标宋简体" w:cs="方正小标宋简体"/>
          <w:color w:val="auto"/>
          <w:sz w:val="44"/>
          <w:szCs w:val="44"/>
          <w:highlight w:val="none"/>
        </w:rPr>
      </w:pPr>
    </w:p>
    <w:p w14:paraId="3AE50066">
      <w:pPr>
        <w:spacing w:line="520" w:lineRule="exact"/>
        <w:jc w:val="center"/>
        <w:rPr>
          <w:rFonts w:hint="eastAsia" w:ascii="方正小标宋简体" w:hAnsi="方正小标宋简体" w:eastAsia="方正小标宋简体" w:cs="方正小标宋简体"/>
          <w:color w:val="auto"/>
          <w:sz w:val="44"/>
          <w:szCs w:val="44"/>
          <w:highlight w:val="none"/>
        </w:rPr>
      </w:pPr>
    </w:p>
    <w:p w14:paraId="3AC4AB1F">
      <w:pPr>
        <w:spacing w:line="520" w:lineRule="exact"/>
        <w:jc w:val="center"/>
        <w:rPr>
          <w:rFonts w:hint="eastAsia" w:ascii="方正小标宋简体" w:hAnsi="方正小标宋简体" w:eastAsia="方正小标宋简体" w:cs="方正小标宋简体"/>
          <w:color w:val="auto"/>
          <w:sz w:val="44"/>
          <w:szCs w:val="44"/>
          <w:highlight w:val="none"/>
        </w:rPr>
      </w:pPr>
    </w:p>
    <w:p w14:paraId="222735DA">
      <w:pPr>
        <w:spacing w:line="520" w:lineRule="exact"/>
        <w:jc w:val="center"/>
        <w:rPr>
          <w:rFonts w:hint="eastAsia" w:ascii="方正小标宋简体" w:hAnsi="方正小标宋简体" w:eastAsia="方正小标宋简体" w:cs="方正小标宋简体"/>
          <w:color w:val="auto"/>
          <w:sz w:val="44"/>
          <w:szCs w:val="44"/>
          <w:highlight w:val="none"/>
        </w:rPr>
      </w:pPr>
    </w:p>
    <w:p w14:paraId="489E750C">
      <w:pPr>
        <w:spacing w:line="520" w:lineRule="exact"/>
        <w:jc w:val="center"/>
        <w:rPr>
          <w:rFonts w:hint="eastAsia" w:ascii="方正小标宋简体" w:hAnsi="方正小标宋简体" w:eastAsia="方正小标宋简体" w:cs="方正小标宋简体"/>
          <w:color w:val="auto"/>
          <w:sz w:val="44"/>
          <w:szCs w:val="44"/>
          <w:highlight w:val="none"/>
        </w:rPr>
      </w:pPr>
    </w:p>
    <w:p w14:paraId="588C216D">
      <w:pPr>
        <w:spacing w:line="520" w:lineRule="exact"/>
        <w:jc w:val="center"/>
        <w:rPr>
          <w:rFonts w:hint="eastAsia" w:ascii="方正小标宋简体" w:hAnsi="方正小标宋简体" w:eastAsia="方正小标宋简体" w:cs="方正小标宋简体"/>
          <w:color w:val="auto"/>
          <w:sz w:val="44"/>
          <w:szCs w:val="44"/>
          <w:highlight w:val="none"/>
        </w:rPr>
      </w:pPr>
    </w:p>
    <w:p w14:paraId="3DAAD93B">
      <w:pPr>
        <w:spacing w:line="520" w:lineRule="exact"/>
        <w:jc w:val="center"/>
        <w:rPr>
          <w:rFonts w:hint="eastAsia" w:ascii="方正小标宋简体" w:hAnsi="方正小标宋简体" w:eastAsia="方正小标宋简体" w:cs="方正小标宋简体"/>
          <w:color w:val="auto"/>
          <w:sz w:val="44"/>
          <w:szCs w:val="44"/>
          <w:highlight w:val="none"/>
        </w:rPr>
      </w:pPr>
    </w:p>
    <w:p w14:paraId="3B2321D6">
      <w:pPr>
        <w:spacing w:line="520" w:lineRule="exact"/>
        <w:jc w:val="center"/>
        <w:rPr>
          <w:rFonts w:hint="eastAsia" w:ascii="方正小标宋简体" w:hAnsi="方正小标宋简体" w:eastAsia="方正小标宋简体" w:cs="方正小标宋简体"/>
          <w:color w:val="auto"/>
          <w:sz w:val="44"/>
          <w:szCs w:val="44"/>
          <w:highlight w:val="none"/>
        </w:rPr>
      </w:pPr>
    </w:p>
    <w:p w14:paraId="4FE1B353">
      <w:pPr>
        <w:spacing w:line="520" w:lineRule="exact"/>
        <w:jc w:val="center"/>
        <w:rPr>
          <w:rFonts w:hint="eastAsia" w:ascii="方正小标宋简体" w:hAnsi="方正小标宋简体" w:eastAsia="方正小标宋简体" w:cs="方正小标宋简体"/>
          <w:color w:val="auto"/>
          <w:sz w:val="44"/>
          <w:szCs w:val="44"/>
          <w:highlight w:val="none"/>
        </w:rPr>
      </w:pPr>
    </w:p>
    <w:p w14:paraId="40C6CD48">
      <w:pPr>
        <w:spacing w:line="520" w:lineRule="exact"/>
        <w:jc w:val="center"/>
        <w:rPr>
          <w:rFonts w:hint="eastAsia" w:ascii="方正小标宋简体" w:hAnsi="方正小标宋简体" w:eastAsia="方正小标宋简体" w:cs="方正小标宋简体"/>
          <w:color w:val="auto"/>
          <w:sz w:val="44"/>
          <w:szCs w:val="44"/>
          <w:highlight w:val="none"/>
        </w:rPr>
      </w:pPr>
    </w:p>
    <w:p w14:paraId="50477648">
      <w:pPr>
        <w:spacing w:line="520" w:lineRule="exact"/>
        <w:jc w:val="center"/>
        <w:rPr>
          <w:rFonts w:hint="eastAsia" w:ascii="方正小标宋简体" w:hAnsi="方正小标宋简体" w:eastAsia="方正小标宋简体" w:cs="方正小标宋简体"/>
          <w:color w:val="auto"/>
          <w:sz w:val="44"/>
          <w:szCs w:val="44"/>
          <w:highlight w:val="none"/>
        </w:rPr>
      </w:pPr>
    </w:p>
    <w:p w14:paraId="52B83916">
      <w:pPr>
        <w:spacing w:line="520" w:lineRule="exact"/>
        <w:jc w:val="center"/>
        <w:rPr>
          <w:rFonts w:hint="eastAsia" w:ascii="方正小标宋简体" w:hAnsi="方正小标宋简体" w:eastAsia="方正小标宋简体" w:cs="方正小标宋简体"/>
          <w:color w:val="auto"/>
          <w:sz w:val="44"/>
          <w:szCs w:val="44"/>
          <w:highlight w:val="none"/>
        </w:rPr>
      </w:pPr>
    </w:p>
    <w:p w14:paraId="153F536F">
      <w:pPr>
        <w:spacing w:line="520" w:lineRule="exact"/>
        <w:jc w:val="center"/>
        <w:rPr>
          <w:rFonts w:hint="eastAsia" w:ascii="方正小标宋简体" w:hAnsi="方正小标宋简体" w:eastAsia="方正小标宋简体" w:cs="方正小标宋简体"/>
          <w:color w:val="auto"/>
          <w:sz w:val="44"/>
          <w:szCs w:val="44"/>
          <w:highlight w:val="none"/>
        </w:rPr>
      </w:pPr>
    </w:p>
    <w:p w14:paraId="245B9264">
      <w:pPr>
        <w:pStyle w:val="21"/>
        <w:jc w:val="both"/>
        <w:rPr>
          <w:rFonts w:hint="eastAsia"/>
          <w:color w:val="auto"/>
        </w:rPr>
      </w:pPr>
    </w:p>
    <w:p w14:paraId="12AB015B">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both"/>
        <w:textAlignment w:val="auto"/>
        <w:outlineLvl w:val="1"/>
        <w:rPr>
          <w:rFonts w:hint="eastAsia" w:ascii="宋体" w:hAnsi="宋体" w:eastAsia="宋体" w:cs="宋体"/>
          <w:b/>
          <w:bCs w:val="0"/>
          <w:color w:val="auto"/>
          <w:spacing w:val="0"/>
          <w:sz w:val="28"/>
          <w:szCs w:val="28"/>
          <w:lang w:val="en-US" w:eastAsia="zh-CN"/>
        </w:rPr>
      </w:pPr>
    </w:p>
    <w:p w14:paraId="30C005A0">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outlineLvl w:val="1"/>
        <w:rPr>
          <w:rFonts w:hint="eastAsia" w:ascii="宋体" w:hAnsi="宋体" w:eastAsia="宋体" w:cs="宋体"/>
          <w:b/>
          <w:bCs w:val="0"/>
          <w:color w:val="auto"/>
          <w:spacing w:val="0"/>
          <w:sz w:val="28"/>
          <w:szCs w:val="28"/>
          <w:lang w:val="en-US" w:eastAsia="zh-CN"/>
        </w:rPr>
      </w:pPr>
    </w:p>
    <w:p w14:paraId="4C48362B">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outlineLvl w:val="1"/>
        <w:rPr>
          <w:rFonts w:hint="eastAsia" w:ascii="宋体" w:hAnsi="宋体" w:eastAsia="宋体" w:cs="宋体"/>
          <w:b/>
          <w:bCs w:val="0"/>
          <w:color w:val="auto"/>
          <w:spacing w:val="0"/>
          <w:sz w:val="28"/>
          <w:szCs w:val="28"/>
          <w:lang w:val="en-US" w:eastAsia="zh-CN"/>
        </w:rPr>
      </w:pPr>
      <w:r>
        <w:rPr>
          <w:rFonts w:hint="eastAsia" w:ascii="宋体" w:hAnsi="宋体" w:eastAsia="宋体" w:cs="宋体"/>
          <w:b/>
          <w:bCs w:val="0"/>
          <w:color w:val="auto"/>
          <w:spacing w:val="0"/>
          <w:sz w:val="28"/>
          <w:szCs w:val="28"/>
          <w:lang w:val="en-US" w:eastAsia="zh-CN"/>
        </w:rPr>
        <w:t>磋商函</w:t>
      </w:r>
    </w:p>
    <w:p w14:paraId="2E4FA0C9">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Cs/>
          <w:color w:val="auto"/>
          <w:spacing w:val="0"/>
          <w:sz w:val="21"/>
          <w:szCs w:val="21"/>
          <w:lang w:val="en-US" w:eastAsia="zh-CN"/>
        </w:rPr>
      </w:pPr>
    </w:p>
    <w:p w14:paraId="7D5AA789">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致：</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（采购人全称）：</w:t>
      </w:r>
    </w:p>
    <w:p w14:paraId="56559501">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1、根据已收到的</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（项目名称）项目的竞争性磋商文件，我方经考察现场和研究贵方的竞争性磋商文件后，我方愿以人民币</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大写</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 xml:space="preserve"> </w:t>
      </w:r>
      <w:r>
        <w:rPr>
          <w:rFonts w:hint="eastAsia" w:ascii="宋体" w:hAnsi="宋体" w:eastAsia="宋体" w:cs="宋体"/>
          <w:bCs/>
          <w:color w:val="auto"/>
          <w:spacing w:val="0"/>
          <w:sz w:val="21"/>
          <w:szCs w:val="21"/>
          <w:u w:val="single"/>
          <w:lang w:val="en-US" w:eastAsia="zh-CN"/>
        </w:rPr>
        <w:t xml:space="preserve">            </w:t>
      </w:r>
      <w:r>
        <w:rPr>
          <w:rFonts w:hint="eastAsia" w:ascii="宋体" w:hAnsi="宋体" w:cs="宋体"/>
          <w:bCs/>
          <w:color w:val="auto"/>
          <w:spacing w:val="0"/>
          <w:sz w:val="21"/>
          <w:szCs w:val="21"/>
          <w:u w:val="single"/>
          <w:lang w:val="en-US" w:eastAsia="zh-CN"/>
        </w:rPr>
        <w:t>（¥</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的磋商</w:t>
      </w:r>
      <w:r>
        <w:rPr>
          <w:rFonts w:hint="eastAsia" w:ascii="宋体" w:hAnsi="宋体" w:cs="宋体"/>
          <w:bCs/>
          <w:color w:val="auto"/>
          <w:spacing w:val="0"/>
          <w:sz w:val="21"/>
          <w:szCs w:val="21"/>
          <w:lang w:val="en-US" w:eastAsia="zh-CN"/>
        </w:rPr>
        <w:t>总</w:t>
      </w:r>
      <w:r>
        <w:rPr>
          <w:rFonts w:hint="eastAsia" w:ascii="宋体" w:hAnsi="宋体" w:eastAsia="宋体" w:cs="宋体"/>
          <w:bCs/>
          <w:color w:val="auto"/>
          <w:spacing w:val="0"/>
          <w:sz w:val="21"/>
          <w:szCs w:val="21"/>
          <w:lang w:val="en-US" w:eastAsia="zh-CN"/>
        </w:rPr>
        <w:t>报价</w:t>
      </w:r>
      <w:r>
        <w:rPr>
          <w:rFonts w:hint="eastAsia" w:ascii="宋体" w:hAnsi="宋体" w:cs="宋体"/>
          <w:bCs/>
          <w:color w:val="auto"/>
          <w:spacing w:val="0"/>
          <w:sz w:val="21"/>
          <w:szCs w:val="21"/>
          <w:lang w:val="en-US" w:eastAsia="zh-CN"/>
        </w:rPr>
        <w:t>，</w:t>
      </w:r>
      <w:r>
        <w:rPr>
          <w:rFonts w:hint="eastAsia" w:cs="Times New Roman"/>
          <w:color w:val="auto"/>
          <w:sz w:val="21"/>
          <w:szCs w:val="21"/>
          <w:highlight w:val="none"/>
          <w:u w:val="none"/>
          <w:lang w:eastAsia="zh-CN"/>
        </w:rPr>
        <w:t>，</w:t>
      </w:r>
      <w:r>
        <w:rPr>
          <w:rFonts w:hint="eastAsia" w:ascii="宋体" w:hAnsi="宋体" w:eastAsia="宋体" w:cs="宋体"/>
          <w:bCs/>
          <w:color w:val="auto"/>
          <w:spacing w:val="0"/>
          <w:sz w:val="21"/>
          <w:szCs w:val="21"/>
          <w:lang w:val="en-US" w:eastAsia="zh-CN"/>
        </w:rPr>
        <w:t>并按上述合同条款、工程建设标准的条件要求承包上述工程的施工、竣工，并承担任何质量缺陷保修责任。我方保证工程质量达到</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等级。</w:t>
      </w:r>
    </w:p>
    <w:p w14:paraId="3EC149F3">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2、我方已详细审核全部竞争性磋商文件，包括修改文件（如有时）及有关附件。</w:t>
      </w:r>
    </w:p>
    <w:p w14:paraId="0051B3C9">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3、一旦我方成交，我方保证按合同协议书中规定的工期</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u w:val="none"/>
          <w:lang w:val="en-US" w:eastAsia="zh-CN"/>
        </w:rPr>
        <w:t>日历天</w:t>
      </w:r>
      <w:r>
        <w:rPr>
          <w:rFonts w:hint="eastAsia" w:ascii="宋体" w:hAnsi="宋体" w:eastAsia="宋体" w:cs="宋体"/>
          <w:bCs/>
          <w:color w:val="auto"/>
          <w:spacing w:val="0"/>
          <w:sz w:val="21"/>
          <w:szCs w:val="21"/>
          <w:lang w:val="en-US" w:eastAsia="zh-CN"/>
        </w:rPr>
        <w:t>内完成并移交全部工程。</w:t>
      </w:r>
    </w:p>
    <w:p w14:paraId="4B0FE967">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4、如果我方成交，我方将按照竞争性磋商文件规定提交履约担保。</w:t>
      </w:r>
    </w:p>
    <w:p w14:paraId="14760D4F">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5、我方同意所提交的响应文件在竞争性磋商文件的磋商须知规定的磋商有效期内有效，在此期间内如果成交，我方将受此约束。</w:t>
      </w:r>
    </w:p>
    <w:p w14:paraId="54168A01">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6、除非另外达成协议并生效，你方的成交通知书和本响应文件将成为约束双方的合同文件的组成部分。</w:t>
      </w:r>
    </w:p>
    <w:p w14:paraId="2FD9ABE2">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200F250F">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02F1850E">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firstLine="420" w:firstLineChars="200"/>
        <w:jc w:val="left"/>
        <w:textAlignment w:val="auto"/>
        <w:rPr>
          <w:rFonts w:hint="eastAsia" w:ascii="宋体" w:hAnsi="宋体" w:eastAsia="宋体" w:cs="宋体"/>
          <w:bCs/>
          <w:color w:val="auto"/>
          <w:spacing w:val="0"/>
          <w:sz w:val="21"/>
          <w:szCs w:val="21"/>
          <w:lang w:val="en-US" w:eastAsia="zh-CN"/>
        </w:rPr>
      </w:pPr>
    </w:p>
    <w:p w14:paraId="3B673E97">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供应商</w:t>
      </w:r>
      <w:r>
        <w:rPr>
          <w:rFonts w:hint="eastAsia" w:ascii="宋体" w:hAnsi="宋体" w:cs="宋体"/>
          <w:bCs/>
          <w:color w:val="auto"/>
          <w:spacing w:val="0"/>
          <w:sz w:val="21"/>
          <w:szCs w:val="21"/>
          <w:lang w:val="en-US" w:eastAsia="zh-CN"/>
        </w:rPr>
        <w:t>名称</w:t>
      </w:r>
      <w:r>
        <w:rPr>
          <w:rFonts w:hint="eastAsia" w:ascii="宋体" w:hAnsi="宋体" w:eastAsia="宋体" w:cs="宋体"/>
          <w:bCs/>
          <w:color w:val="auto"/>
          <w:spacing w:val="0"/>
          <w:sz w:val="21"/>
          <w:szCs w:val="21"/>
          <w:lang w:val="en-US" w:eastAsia="zh-CN"/>
        </w:rPr>
        <w:t>（电子签章）：</w:t>
      </w:r>
      <w:r>
        <w:rPr>
          <w:rFonts w:hint="eastAsia" w:ascii="宋体" w:hAnsi="宋体" w:eastAsia="宋体" w:cs="宋体"/>
          <w:bCs/>
          <w:color w:val="auto"/>
          <w:spacing w:val="0"/>
          <w:sz w:val="21"/>
          <w:szCs w:val="21"/>
          <w:u w:val="single"/>
          <w:lang w:val="en-US" w:eastAsia="zh-CN"/>
        </w:rPr>
        <w:t xml:space="preserve">                                       </w:t>
      </w:r>
    </w:p>
    <w:p w14:paraId="3467248B">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法定代表人或委托代理人</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签字或盖章</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w:t>
      </w:r>
      <w:r>
        <w:rPr>
          <w:rFonts w:hint="eastAsia" w:ascii="宋体" w:hAnsi="宋体" w:eastAsia="宋体" w:cs="宋体"/>
          <w:bCs/>
          <w:color w:val="auto"/>
          <w:spacing w:val="0"/>
          <w:sz w:val="21"/>
          <w:szCs w:val="21"/>
          <w:u w:val="single"/>
          <w:lang w:val="en-US" w:eastAsia="zh-CN"/>
        </w:rPr>
        <w:t xml:space="preserve">                 </w:t>
      </w:r>
    </w:p>
    <w:p w14:paraId="747097D4">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单位地址：</w:t>
      </w:r>
      <w:r>
        <w:rPr>
          <w:rFonts w:hint="eastAsia" w:ascii="宋体" w:hAnsi="宋体" w:eastAsia="宋体" w:cs="宋体"/>
          <w:bCs/>
          <w:color w:val="auto"/>
          <w:spacing w:val="0"/>
          <w:sz w:val="21"/>
          <w:szCs w:val="21"/>
          <w:u w:val="single"/>
          <w:lang w:val="en-US" w:eastAsia="zh-CN"/>
        </w:rPr>
        <w:t xml:space="preserve">                                           </w:t>
      </w:r>
    </w:p>
    <w:p w14:paraId="74EEA279">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 xml:space="preserve">邮政编码： </w:t>
      </w:r>
      <w:r>
        <w:rPr>
          <w:rFonts w:hint="eastAsia" w:ascii="宋体" w:hAnsi="宋体" w:eastAsia="宋体" w:cs="宋体"/>
          <w:bCs/>
          <w:color w:val="auto"/>
          <w:spacing w:val="0"/>
          <w:sz w:val="21"/>
          <w:szCs w:val="21"/>
          <w:u w:val="single"/>
          <w:lang w:val="en-US" w:eastAsia="zh-CN"/>
        </w:rPr>
        <w:t xml:space="preserve">                                          </w:t>
      </w:r>
    </w:p>
    <w:p w14:paraId="57503FE1">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u w:val="single"/>
          <w:lang w:val="en-US" w:eastAsia="zh-CN"/>
        </w:rPr>
      </w:pPr>
      <w:r>
        <w:rPr>
          <w:rFonts w:hint="eastAsia" w:ascii="宋体" w:hAnsi="宋体" w:eastAsia="宋体" w:cs="宋体"/>
          <w:bCs/>
          <w:color w:val="auto"/>
          <w:spacing w:val="0"/>
          <w:sz w:val="21"/>
          <w:szCs w:val="21"/>
          <w:lang w:val="en-US" w:eastAsia="zh-CN"/>
        </w:rPr>
        <w:t>电 话：</w:t>
      </w:r>
      <w:r>
        <w:rPr>
          <w:rFonts w:hint="eastAsia" w:ascii="宋体" w:hAnsi="宋体" w:eastAsia="宋体" w:cs="宋体"/>
          <w:bCs/>
          <w:color w:val="auto"/>
          <w:spacing w:val="0"/>
          <w:sz w:val="21"/>
          <w:szCs w:val="21"/>
          <w:u w:val="single"/>
          <w:lang w:val="en-US" w:eastAsia="zh-CN"/>
        </w:rPr>
        <w:t xml:space="preserve">                                              </w:t>
      </w:r>
    </w:p>
    <w:p w14:paraId="06441B1D">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lang w:val="en-US" w:eastAsia="zh-CN"/>
        </w:rPr>
      </w:pPr>
      <w:r>
        <w:rPr>
          <w:rFonts w:hint="eastAsia" w:ascii="宋体" w:hAnsi="宋体" w:eastAsia="宋体" w:cs="宋体"/>
          <w:bCs/>
          <w:color w:val="auto"/>
          <w:spacing w:val="0"/>
          <w:sz w:val="21"/>
          <w:szCs w:val="21"/>
          <w:lang w:val="en-US" w:eastAsia="zh-CN"/>
        </w:rPr>
        <w:t>日 期：</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年</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月</w:t>
      </w:r>
      <w:r>
        <w:rPr>
          <w:rFonts w:hint="eastAsia" w:ascii="宋体" w:hAnsi="宋体" w:eastAsia="宋体" w:cs="宋体"/>
          <w:bCs/>
          <w:color w:val="auto"/>
          <w:spacing w:val="0"/>
          <w:sz w:val="21"/>
          <w:szCs w:val="21"/>
          <w:u w:val="single"/>
          <w:lang w:val="en-US" w:eastAsia="zh-CN"/>
        </w:rPr>
        <w:t xml:space="preserve">      </w:t>
      </w:r>
      <w:r>
        <w:rPr>
          <w:rFonts w:hint="eastAsia" w:ascii="宋体" w:hAnsi="宋体" w:eastAsia="宋体" w:cs="宋体"/>
          <w:bCs/>
          <w:color w:val="auto"/>
          <w:spacing w:val="0"/>
          <w:sz w:val="21"/>
          <w:szCs w:val="21"/>
          <w:lang w:val="en-US" w:eastAsia="zh-CN"/>
        </w:rPr>
        <w:t xml:space="preserve"> 日</w:t>
      </w:r>
    </w:p>
    <w:p w14:paraId="1FFBB993">
      <w:pPr>
        <w:pStyle w:val="3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bCs/>
          <w:color w:val="auto"/>
          <w:spacing w:val="0"/>
          <w:sz w:val="21"/>
          <w:szCs w:val="21"/>
          <w:lang w:val="en-US" w:eastAsia="zh-CN"/>
        </w:rPr>
      </w:pPr>
    </w:p>
    <w:p w14:paraId="3C4E7D53">
      <w:pPr>
        <w:pStyle w:val="11"/>
        <w:rPr>
          <w:rFonts w:hint="eastAsia" w:ascii="宋体" w:hAnsi="宋体" w:eastAsia="宋体" w:cs="宋体"/>
          <w:bCs/>
          <w:color w:val="auto"/>
          <w:spacing w:val="0"/>
          <w:sz w:val="21"/>
          <w:szCs w:val="21"/>
          <w:lang w:val="en-US" w:eastAsia="zh-CN"/>
        </w:rPr>
      </w:pPr>
    </w:p>
    <w:p w14:paraId="22F9177C">
      <w:pPr>
        <w:pStyle w:val="21"/>
        <w:outlineLvl w:val="9"/>
        <w:rPr>
          <w:rFonts w:hint="eastAsia" w:ascii="宋体" w:hAnsi="宋体" w:eastAsia="宋体" w:cs="宋体"/>
          <w:bCs/>
          <w:color w:val="auto"/>
          <w:spacing w:val="0"/>
          <w:sz w:val="21"/>
          <w:szCs w:val="21"/>
          <w:lang w:val="en-US" w:eastAsia="zh-CN"/>
        </w:rPr>
      </w:pPr>
    </w:p>
    <w:p w14:paraId="64814028">
      <w:pPr>
        <w:rPr>
          <w:rFonts w:hint="eastAsia" w:ascii="宋体" w:hAnsi="宋体" w:eastAsia="宋体" w:cs="宋体"/>
          <w:bCs/>
          <w:color w:val="auto"/>
          <w:spacing w:val="0"/>
          <w:sz w:val="21"/>
          <w:szCs w:val="21"/>
          <w:lang w:val="en-US" w:eastAsia="zh-CN"/>
        </w:rPr>
      </w:pPr>
    </w:p>
    <w:p w14:paraId="7C210B03">
      <w:pPr>
        <w:pStyle w:val="34"/>
        <w:rPr>
          <w:rFonts w:hint="eastAsia" w:ascii="宋体" w:hAnsi="宋体" w:eastAsia="宋体" w:cs="宋体"/>
          <w:b/>
          <w:bCs/>
          <w:color w:val="auto"/>
          <w:sz w:val="21"/>
          <w:szCs w:val="21"/>
          <w:highlight w:val="none"/>
        </w:rPr>
      </w:pPr>
    </w:p>
    <w:p w14:paraId="62A90E78">
      <w:pPr>
        <w:pStyle w:val="11"/>
        <w:rPr>
          <w:rFonts w:hint="eastAsia" w:ascii="宋体" w:hAnsi="宋体" w:eastAsia="宋体" w:cs="宋体"/>
          <w:b/>
          <w:bCs/>
          <w:color w:val="auto"/>
          <w:sz w:val="21"/>
          <w:szCs w:val="21"/>
          <w:highlight w:val="none"/>
        </w:rPr>
      </w:pPr>
    </w:p>
    <w:p w14:paraId="3AA051AD">
      <w:pPr>
        <w:rPr>
          <w:rFonts w:hint="eastAsia"/>
          <w:color w:val="auto"/>
        </w:rPr>
      </w:pPr>
    </w:p>
    <w:p w14:paraId="2313DD99">
      <w:pPr>
        <w:pStyle w:val="47"/>
        <w:jc w:val="center"/>
        <w:outlineLvl w:val="0"/>
        <w:rPr>
          <w:rFonts w:hint="eastAsia" w:cs="宋体"/>
          <w:b/>
          <w:bCs/>
          <w:color w:val="auto"/>
          <w:sz w:val="30"/>
          <w:szCs w:val="30"/>
          <w:lang w:val="en-US" w:eastAsia="zh-CN"/>
        </w:rPr>
      </w:pPr>
      <w:bookmarkStart w:id="106" w:name="_Toc28896"/>
      <w:bookmarkStart w:id="107" w:name="_Toc29501"/>
    </w:p>
    <w:p w14:paraId="01964748">
      <w:pPr>
        <w:pStyle w:val="47"/>
        <w:jc w:val="center"/>
        <w:outlineLvl w:val="0"/>
        <w:rPr>
          <w:rFonts w:hint="eastAsia" w:cs="宋体"/>
          <w:b/>
          <w:bCs/>
          <w:color w:val="auto"/>
          <w:sz w:val="30"/>
          <w:szCs w:val="30"/>
          <w:lang w:val="en-US" w:eastAsia="zh-CN"/>
        </w:rPr>
      </w:pPr>
    </w:p>
    <w:p w14:paraId="7A9C516A">
      <w:pPr>
        <w:pStyle w:val="47"/>
        <w:jc w:val="center"/>
        <w:outlineLvl w:val="0"/>
        <w:rPr>
          <w:b/>
          <w:bCs/>
          <w:color w:val="auto"/>
          <w:sz w:val="30"/>
          <w:szCs w:val="30"/>
        </w:rPr>
      </w:pPr>
      <w:r>
        <w:rPr>
          <w:rFonts w:hint="eastAsia" w:cs="宋体"/>
          <w:b/>
          <w:bCs/>
          <w:color w:val="auto"/>
          <w:sz w:val="30"/>
          <w:szCs w:val="30"/>
          <w:lang w:val="en-US" w:eastAsia="zh-CN"/>
        </w:rPr>
        <w:t>磋商</w:t>
      </w:r>
      <w:r>
        <w:rPr>
          <w:rFonts w:hint="eastAsia" w:cs="宋体"/>
          <w:b/>
          <w:bCs/>
          <w:color w:val="auto"/>
          <w:sz w:val="30"/>
          <w:szCs w:val="30"/>
        </w:rPr>
        <w:t>函附录</w:t>
      </w:r>
    </w:p>
    <w:p w14:paraId="1694D8AD">
      <w:pPr>
        <w:pStyle w:val="47"/>
        <w:jc w:val="center"/>
        <w:outlineLvl w:val="0"/>
        <w:rPr>
          <w:rFonts w:hint="eastAsia" w:cs="宋体"/>
          <w:b/>
          <w:bCs/>
          <w:color w:val="auto"/>
          <w:sz w:val="30"/>
          <w:szCs w:val="30"/>
          <w:lang w:val="en-US" w:eastAsia="zh-CN"/>
        </w:rPr>
      </w:pPr>
    </w:p>
    <w:bookmarkEnd w:id="106"/>
    <w:bookmarkEnd w:id="107"/>
    <w:p w14:paraId="2C49521A">
      <w:pPr>
        <w:ind w:firstLine="514" w:firstLineChars="245"/>
        <w:rPr>
          <w:color w:val="auto"/>
        </w:rPr>
      </w:pPr>
      <w:r>
        <w:rPr>
          <w:rFonts w:hint="eastAsia" w:cs="宋体"/>
          <w:color w:val="auto"/>
        </w:rPr>
        <w:t>项目名称：</w:t>
      </w:r>
      <w:r>
        <w:rPr>
          <w:color w:val="auto"/>
          <w:u w:val="single"/>
        </w:rPr>
        <w:t xml:space="preserve">                                </w:t>
      </w:r>
    </w:p>
    <w:tbl>
      <w:tblPr>
        <w:tblStyle w:val="25"/>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0E10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A34F9C2">
            <w:pPr>
              <w:jc w:val="center"/>
              <w:rPr>
                <w:color w:val="auto"/>
              </w:rPr>
            </w:pPr>
            <w:r>
              <w:rPr>
                <w:rFonts w:hint="eastAsia" w:cs="宋体"/>
                <w:color w:val="auto"/>
              </w:rPr>
              <w:t>序</w:t>
            </w:r>
            <w:r>
              <w:rPr>
                <w:color w:val="auto"/>
              </w:rPr>
              <w:t xml:space="preserve"> </w:t>
            </w:r>
            <w:r>
              <w:rPr>
                <w:rFonts w:hint="eastAsia" w:cs="宋体"/>
                <w:color w:val="auto"/>
              </w:rPr>
              <w:t>号</w:t>
            </w:r>
          </w:p>
        </w:tc>
        <w:tc>
          <w:tcPr>
            <w:tcW w:w="1985" w:type="dxa"/>
            <w:noWrap w:val="0"/>
            <w:vAlign w:val="center"/>
          </w:tcPr>
          <w:p w14:paraId="33FF4E00">
            <w:pPr>
              <w:jc w:val="center"/>
              <w:rPr>
                <w:color w:val="auto"/>
              </w:rPr>
            </w:pPr>
            <w:r>
              <w:rPr>
                <w:rFonts w:hint="eastAsia" w:cs="宋体"/>
                <w:color w:val="auto"/>
              </w:rPr>
              <w:t>条款内容</w:t>
            </w:r>
          </w:p>
        </w:tc>
        <w:tc>
          <w:tcPr>
            <w:tcW w:w="2126" w:type="dxa"/>
            <w:noWrap w:val="0"/>
            <w:vAlign w:val="center"/>
          </w:tcPr>
          <w:p w14:paraId="59B39866">
            <w:pPr>
              <w:jc w:val="center"/>
              <w:rPr>
                <w:color w:val="auto"/>
              </w:rPr>
            </w:pPr>
            <w:r>
              <w:rPr>
                <w:rFonts w:hint="eastAsia" w:cs="宋体"/>
                <w:color w:val="auto"/>
              </w:rPr>
              <w:t>合同条款号</w:t>
            </w:r>
          </w:p>
        </w:tc>
        <w:tc>
          <w:tcPr>
            <w:tcW w:w="1984" w:type="dxa"/>
            <w:noWrap w:val="0"/>
            <w:vAlign w:val="center"/>
          </w:tcPr>
          <w:p w14:paraId="2370D96D">
            <w:pPr>
              <w:jc w:val="center"/>
              <w:rPr>
                <w:color w:val="auto"/>
              </w:rPr>
            </w:pPr>
            <w:r>
              <w:rPr>
                <w:rFonts w:hint="eastAsia" w:cs="宋体"/>
                <w:color w:val="auto"/>
              </w:rPr>
              <w:t>约定内容</w:t>
            </w:r>
          </w:p>
        </w:tc>
        <w:tc>
          <w:tcPr>
            <w:tcW w:w="1843" w:type="dxa"/>
            <w:noWrap w:val="0"/>
            <w:vAlign w:val="center"/>
          </w:tcPr>
          <w:p w14:paraId="65C9D8D9">
            <w:pPr>
              <w:jc w:val="center"/>
              <w:rPr>
                <w:color w:val="auto"/>
              </w:rPr>
            </w:pPr>
            <w:r>
              <w:rPr>
                <w:rFonts w:hint="eastAsia" w:cs="宋体"/>
                <w:color w:val="auto"/>
                <w:lang w:val="en-US" w:eastAsia="zh-CN"/>
              </w:rPr>
              <w:t>供应商</w:t>
            </w:r>
            <w:r>
              <w:rPr>
                <w:rFonts w:hint="eastAsia" w:cs="宋体"/>
                <w:color w:val="auto"/>
              </w:rPr>
              <w:t>响应情况</w:t>
            </w:r>
          </w:p>
        </w:tc>
      </w:tr>
      <w:tr w14:paraId="4A9A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B86BA42">
            <w:pPr>
              <w:jc w:val="center"/>
              <w:rPr>
                <w:color w:val="auto"/>
              </w:rPr>
            </w:pPr>
            <w:r>
              <w:rPr>
                <w:color w:val="auto"/>
              </w:rPr>
              <w:t>1</w:t>
            </w:r>
          </w:p>
        </w:tc>
        <w:tc>
          <w:tcPr>
            <w:tcW w:w="1985" w:type="dxa"/>
            <w:noWrap w:val="0"/>
            <w:vAlign w:val="center"/>
          </w:tcPr>
          <w:p w14:paraId="112D0B04">
            <w:pPr>
              <w:rPr>
                <w:color w:val="auto"/>
              </w:rPr>
            </w:pPr>
            <w:r>
              <w:rPr>
                <w:rFonts w:hint="eastAsia" w:cs="宋体"/>
                <w:color w:val="auto"/>
              </w:rPr>
              <w:t>项目经理</w:t>
            </w:r>
          </w:p>
        </w:tc>
        <w:tc>
          <w:tcPr>
            <w:tcW w:w="2126" w:type="dxa"/>
            <w:noWrap w:val="0"/>
            <w:tcMar>
              <w:left w:w="170" w:type="dxa"/>
            </w:tcMar>
            <w:vAlign w:val="center"/>
          </w:tcPr>
          <w:p w14:paraId="45D708E4">
            <w:pPr>
              <w:jc w:val="center"/>
              <w:rPr>
                <w:color w:val="auto"/>
              </w:rPr>
            </w:pPr>
            <w:r>
              <w:rPr>
                <w:rFonts w:hint="eastAsia" w:cs="宋体"/>
                <w:color w:val="auto"/>
              </w:rPr>
              <w:t>专用条款</w:t>
            </w:r>
          </w:p>
        </w:tc>
        <w:tc>
          <w:tcPr>
            <w:tcW w:w="1984" w:type="dxa"/>
            <w:noWrap w:val="0"/>
            <w:vAlign w:val="center"/>
          </w:tcPr>
          <w:p w14:paraId="2A29F1CB">
            <w:pPr>
              <w:rPr>
                <w:color w:val="auto"/>
              </w:rPr>
            </w:pPr>
            <w:r>
              <w:rPr>
                <w:rFonts w:hint="eastAsia" w:cs="宋体"/>
                <w:color w:val="auto"/>
              </w:rPr>
              <w:t>姓名：</w:t>
            </w:r>
            <w:r>
              <w:rPr>
                <w:color w:val="auto"/>
                <w:u w:val="single"/>
              </w:rPr>
              <w:t xml:space="preserve">          </w:t>
            </w:r>
          </w:p>
        </w:tc>
        <w:tc>
          <w:tcPr>
            <w:tcW w:w="1843" w:type="dxa"/>
            <w:noWrap w:val="0"/>
            <w:vAlign w:val="center"/>
          </w:tcPr>
          <w:p w14:paraId="46586379">
            <w:pPr>
              <w:jc w:val="center"/>
              <w:rPr>
                <w:color w:val="auto"/>
              </w:rPr>
            </w:pPr>
          </w:p>
        </w:tc>
      </w:tr>
      <w:tr w14:paraId="240A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EF83A72">
            <w:pPr>
              <w:jc w:val="center"/>
              <w:rPr>
                <w:color w:val="auto"/>
              </w:rPr>
            </w:pPr>
            <w:r>
              <w:rPr>
                <w:color w:val="auto"/>
              </w:rPr>
              <w:t>2</w:t>
            </w:r>
          </w:p>
        </w:tc>
        <w:tc>
          <w:tcPr>
            <w:tcW w:w="1985" w:type="dxa"/>
            <w:noWrap w:val="0"/>
            <w:vAlign w:val="center"/>
          </w:tcPr>
          <w:p w14:paraId="1DCAC1A3">
            <w:pPr>
              <w:rPr>
                <w:color w:val="auto"/>
              </w:rPr>
            </w:pPr>
            <w:r>
              <w:rPr>
                <w:rFonts w:hint="eastAsia" w:cs="宋体"/>
                <w:color w:val="auto"/>
                <w:lang w:val="en-US" w:eastAsia="zh-CN"/>
              </w:rPr>
              <w:t>竞标</w:t>
            </w:r>
            <w:r>
              <w:rPr>
                <w:rFonts w:hint="eastAsia" w:cs="宋体"/>
                <w:color w:val="auto"/>
              </w:rPr>
              <w:t>有效期</w:t>
            </w:r>
          </w:p>
        </w:tc>
        <w:tc>
          <w:tcPr>
            <w:tcW w:w="2126" w:type="dxa"/>
            <w:noWrap w:val="0"/>
            <w:tcMar>
              <w:left w:w="170" w:type="dxa"/>
            </w:tcMar>
            <w:vAlign w:val="center"/>
          </w:tcPr>
          <w:p w14:paraId="60359643">
            <w:pPr>
              <w:rPr>
                <w:color w:val="auto"/>
              </w:rPr>
            </w:pPr>
          </w:p>
        </w:tc>
        <w:tc>
          <w:tcPr>
            <w:tcW w:w="1984" w:type="dxa"/>
            <w:noWrap w:val="0"/>
            <w:vAlign w:val="center"/>
          </w:tcPr>
          <w:p w14:paraId="2C4A11E3">
            <w:pPr>
              <w:jc w:val="center"/>
              <w:rPr>
                <w:color w:val="auto"/>
                <w:u w:val="single"/>
              </w:rPr>
            </w:pPr>
            <w:r>
              <w:rPr>
                <w:color w:val="auto"/>
                <w:u w:val="single"/>
              </w:rPr>
              <w:t xml:space="preserve">          </w:t>
            </w:r>
            <w:r>
              <w:rPr>
                <w:rFonts w:hint="eastAsia" w:cs="宋体"/>
                <w:color w:val="auto"/>
              </w:rPr>
              <w:t>日历天</w:t>
            </w:r>
          </w:p>
        </w:tc>
        <w:tc>
          <w:tcPr>
            <w:tcW w:w="1843" w:type="dxa"/>
            <w:noWrap w:val="0"/>
            <w:vAlign w:val="center"/>
          </w:tcPr>
          <w:p w14:paraId="73168598">
            <w:pPr>
              <w:jc w:val="center"/>
              <w:rPr>
                <w:color w:val="auto"/>
              </w:rPr>
            </w:pPr>
          </w:p>
        </w:tc>
      </w:tr>
      <w:tr w14:paraId="25C3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7E068B5">
            <w:pPr>
              <w:jc w:val="center"/>
              <w:rPr>
                <w:color w:val="auto"/>
              </w:rPr>
            </w:pPr>
            <w:r>
              <w:rPr>
                <w:color w:val="auto"/>
              </w:rPr>
              <w:t>3</w:t>
            </w:r>
          </w:p>
        </w:tc>
        <w:tc>
          <w:tcPr>
            <w:tcW w:w="1985" w:type="dxa"/>
            <w:noWrap w:val="0"/>
            <w:vAlign w:val="center"/>
          </w:tcPr>
          <w:p w14:paraId="7B721F39">
            <w:pPr>
              <w:rPr>
                <w:color w:val="auto"/>
              </w:rPr>
            </w:pPr>
            <w:r>
              <w:rPr>
                <w:rFonts w:hint="eastAsia" w:cs="宋体"/>
                <w:color w:val="auto"/>
              </w:rPr>
              <w:t>工期</w:t>
            </w:r>
          </w:p>
        </w:tc>
        <w:tc>
          <w:tcPr>
            <w:tcW w:w="2126" w:type="dxa"/>
            <w:noWrap w:val="0"/>
            <w:tcMar>
              <w:left w:w="170" w:type="dxa"/>
            </w:tcMar>
            <w:vAlign w:val="center"/>
          </w:tcPr>
          <w:p w14:paraId="20BAEE05">
            <w:pPr>
              <w:jc w:val="center"/>
              <w:rPr>
                <w:color w:val="auto"/>
              </w:rPr>
            </w:pPr>
            <w:r>
              <w:rPr>
                <w:rFonts w:hint="eastAsia" w:cs="宋体"/>
                <w:color w:val="auto"/>
              </w:rPr>
              <w:t>专用条款</w:t>
            </w:r>
          </w:p>
        </w:tc>
        <w:tc>
          <w:tcPr>
            <w:tcW w:w="1984" w:type="dxa"/>
            <w:noWrap w:val="0"/>
            <w:vAlign w:val="center"/>
          </w:tcPr>
          <w:p w14:paraId="3949CC5B">
            <w:pPr>
              <w:jc w:val="center"/>
              <w:rPr>
                <w:color w:val="auto"/>
              </w:rPr>
            </w:pPr>
            <w:r>
              <w:rPr>
                <w:color w:val="auto"/>
                <w:u w:val="single"/>
              </w:rPr>
              <w:t xml:space="preserve">          </w:t>
            </w:r>
            <w:r>
              <w:rPr>
                <w:rFonts w:hint="eastAsia" w:cs="宋体"/>
                <w:color w:val="auto"/>
              </w:rPr>
              <w:t>日历天</w:t>
            </w:r>
          </w:p>
        </w:tc>
        <w:tc>
          <w:tcPr>
            <w:tcW w:w="1843" w:type="dxa"/>
            <w:noWrap w:val="0"/>
            <w:vAlign w:val="center"/>
          </w:tcPr>
          <w:p w14:paraId="650572DF">
            <w:pPr>
              <w:jc w:val="center"/>
              <w:rPr>
                <w:color w:val="auto"/>
              </w:rPr>
            </w:pPr>
          </w:p>
        </w:tc>
      </w:tr>
      <w:tr w14:paraId="4CE0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2F0298F">
            <w:pPr>
              <w:jc w:val="center"/>
              <w:rPr>
                <w:color w:val="auto"/>
              </w:rPr>
            </w:pPr>
            <w:r>
              <w:rPr>
                <w:color w:val="auto"/>
              </w:rPr>
              <w:t>4</w:t>
            </w:r>
          </w:p>
        </w:tc>
        <w:tc>
          <w:tcPr>
            <w:tcW w:w="1985" w:type="dxa"/>
            <w:noWrap w:val="0"/>
            <w:vAlign w:val="center"/>
          </w:tcPr>
          <w:p w14:paraId="396611EE">
            <w:pPr>
              <w:rPr>
                <w:color w:val="auto"/>
              </w:rPr>
            </w:pPr>
            <w:r>
              <w:rPr>
                <w:rFonts w:hint="eastAsia" w:cs="宋体"/>
                <w:color w:val="auto"/>
              </w:rPr>
              <w:t>缺陷责任期</w:t>
            </w:r>
          </w:p>
        </w:tc>
        <w:tc>
          <w:tcPr>
            <w:tcW w:w="2126" w:type="dxa"/>
            <w:noWrap w:val="0"/>
            <w:tcMar>
              <w:left w:w="170" w:type="dxa"/>
            </w:tcMar>
            <w:vAlign w:val="center"/>
          </w:tcPr>
          <w:p w14:paraId="05EAA687">
            <w:pPr>
              <w:jc w:val="center"/>
              <w:rPr>
                <w:color w:val="auto"/>
              </w:rPr>
            </w:pPr>
            <w:r>
              <w:rPr>
                <w:rFonts w:hint="eastAsia" w:cs="宋体"/>
                <w:color w:val="auto"/>
              </w:rPr>
              <w:t>专用条款</w:t>
            </w:r>
          </w:p>
        </w:tc>
        <w:tc>
          <w:tcPr>
            <w:tcW w:w="1984" w:type="dxa"/>
            <w:noWrap w:val="0"/>
            <w:vAlign w:val="center"/>
          </w:tcPr>
          <w:p w14:paraId="3CB6AA6C">
            <w:pPr>
              <w:jc w:val="center"/>
              <w:rPr>
                <w:color w:val="auto"/>
              </w:rPr>
            </w:pPr>
          </w:p>
        </w:tc>
        <w:tc>
          <w:tcPr>
            <w:tcW w:w="1843" w:type="dxa"/>
            <w:noWrap w:val="0"/>
            <w:vAlign w:val="center"/>
          </w:tcPr>
          <w:p w14:paraId="6E6FAC51">
            <w:pPr>
              <w:jc w:val="center"/>
              <w:rPr>
                <w:color w:val="auto"/>
              </w:rPr>
            </w:pPr>
          </w:p>
        </w:tc>
      </w:tr>
      <w:tr w14:paraId="50B7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DE67308">
            <w:pPr>
              <w:jc w:val="center"/>
              <w:rPr>
                <w:color w:val="auto"/>
              </w:rPr>
            </w:pPr>
            <w:r>
              <w:rPr>
                <w:color w:val="auto"/>
              </w:rPr>
              <w:t>5</w:t>
            </w:r>
          </w:p>
        </w:tc>
        <w:tc>
          <w:tcPr>
            <w:tcW w:w="1985" w:type="dxa"/>
            <w:noWrap w:val="0"/>
            <w:vAlign w:val="center"/>
          </w:tcPr>
          <w:p w14:paraId="5D6CFBF4">
            <w:pPr>
              <w:rPr>
                <w:color w:val="auto"/>
              </w:rPr>
            </w:pPr>
            <w:r>
              <w:rPr>
                <w:rFonts w:hint="eastAsia" w:cs="宋体"/>
                <w:color w:val="auto"/>
              </w:rPr>
              <w:t>发包人支付担保</w:t>
            </w:r>
          </w:p>
        </w:tc>
        <w:tc>
          <w:tcPr>
            <w:tcW w:w="2126" w:type="dxa"/>
            <w:noWrap w:val="0"/>
            <w:tcMar>
              <w:left w:w="170" w:type="dxa"/>
            </w:tcMar>
            <w:vAlign w:val="center"/>
          </w:tcPr>
          <w:p w14:paraId="4CCF93E7">
            <w:pPr>
              <w:jc w:val="center"/>
              <w:rPr>
                <w:color w:val="auto"/>
              </w:rPr>
            </w:pPr>
            <w:r>
              <w:rPr>
                <w:rFonts w:hint="eastAsia" w:cs="宋体"/>
                <w:color w:val="auto"/>
              </w:rPr>
              <w:t>专用条款</w:t>
            </w:r>
          </w:p>
        </w:tc>
        <w:tc>
          <w:tcPr>
            <w:tcW w:w="1984" w:type="dxa"/>
            <w:noWrap w:val="0"/>
            <w:vAlign w:val="center"/>
          </w:tcPr>
          <w:p w14:paraId="49600343">
            <w:pPr>
              <w:jc w:val="center"/>
              <w:rPr>
                <w:color w:val="auto"/>
              </w:rPr>
            </w:pPr>
          </w:p>
        </w:tc>
        <w:tc>
          <w:tcPr>
            <w:tcW w:w="1843" w:type="dxa"/>
            <w:noWrap w:val="0"/>
            <w:vAlign w:val="center"/>
          </w:tcPr>
          <w:p w14:paraId="4BD4839A">
            <w:pPr>
              <w:jc w:val="center"/>
              <w:rPr>
                <w:color w:val="auto"/>
              </w:rPr>
            </w:pPr>
          </w:p>
        </w:tc>
      </w:tr>
      <w:tr w14:paraId="529C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D2C4F10">
            <w:pPr>
              <w:jc w:val="center"/>
              <w:rPr>
                <w:color w:val="auto"/>
              </w:rPr>
            </w:pPr>
            <w:r>
              <w:rPr>
                <w:color w:val="auto"/>
              </w:rPr>
              <w:t>6</w:t>
            </w:r>
          </w:p>
        </w:tc>
        <w:tc>
          <w:tcPr>
            <w:tcW w:w="1985" w:type="dxa"/>
            <w:noWrap w:val="0"/>
            <w:vAlign w:val="center"/>
          </w:tcPr>
          <w:p w14:paraId="24999077">
            <w:pPr>
              <w:rPr>
                <w:color w:val="auto"/>
              </w:rPr>
            </w:pPr>
            <w:r>
              <w:rPr>
                <w:rFonts w:hint="eastAsia" w:cs="宋体"/>
                <w:color w:val="auto"/>
              </w:rPr>
              <w:t>承包人履约担保金额</w:t>
            </w:r>
          </w:p>
        </w:tc>
        <w:tc>
          <w:tcPr>
            <w:tcW w:w="2126" w:type="dxa"/>
            <w:noWrap w:val="0"/>
            <w:tcMar>
              <w:left w:w="170" w:type="dxa"/>
            </w:tcMar>
            <w:vAlign w:val="center"/>
          </w:tcPr>
          <w:p w14:paraId="23333376">
            <w:pPr>
              <w:jc w:val="center"/>
              <w:rPr>
                <w:color w:val="auto"/>
              </w:rPr>
            </w:pPr>
            <w:r>
              <w:rPr>
                <w:rFonts w:hint="eastAsia" w:cs="宋体"/>
                <w:color w:val="auto"/>
              </w:rPr>
              <w:t>专用条款</w:t>
            </w:r>
          </w:p>
        </w:tc>
        <w:tc>
          <w:tcPr>
            <w:tcW w:w="1984" w:type="dxa"/>
            <w:noWrap w:val="0"/>
            <w:vAlign w:val="center"/>
          </w:tcPr>
          <w:p w14:paraId="440575F9">
            <w:pPr>
              <w:jc w:val="center"/>
              <w:rPr>
                <w:color w:val="auto"/>
              </w:rPr>
            </w:pPr>
          </w:p>
        </w:tc>
        <w:tc>
          <w:tcPr>
            <w:tcW w:w="1843" w:type="dxa"/>
            <w:noWrap w:val="0"/>
            <w:vAlign w:val="center"/>
          </w:tcPr>
          <w:p w14:paraId="0C32A937">
            <w:pPr>
              <w:jc w:val="center"/>
              <w:rPr>
                <w:color w:val="auto"/>
              </w:rPr>
            </w:pPr>
          </w:p>
        </w:tc>
      </w:tr>
      <w:tr w14:paraId="57AC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2CA78CD">
            <w:pPr>
              <w:jc w:val="center"/>
              <w:rPr>
                <w:color w:val="auto"/>
              </w:rPr>
            </w:pPr>
            <w:r>
              <w:rPr>
                <w:color w:val="auto"/>
              </w:rPr>
              <w:t>7</w:t>
            </w:r>
          </w:p>
        </w:tc>
        <w:tc>
          <w:tcPr>
            <w:tcW w:w="1985" w:type="dxa"/>
            <w:noWrap w:val="0"/>
            <w:vAlign w:val="center"/>
          </w:tcPr>
          <w:p w14:paraId="7176EB44">
            <w:pPr>
              <w:rPr>
                <w:color w:val="auto"/>
              </w:rPr>
            </w:pPr>
            <w:r>
              <w:rPr>
                <w:rFonts w:hint="eastAsia" w:cs="宋体"/>
                <w:color w:val="auto"/>
              </w:rPr>
              <w:t>分包</w:t>
            </w:r>
          </w:p>
        </w:tc>
        <w:tc>
          <w:tcPr>
            <w:tcW w:w="2126" w:type="dxa"/>
            <w:noWrap w:val="0"/>
            <w:tcMar>
              <w:left w:w="170" w:type="dxa"/>
            </w:tcMar>
            <w:vAlign w:val="center"/>
          </w:tcPr>
          <w:p w14:paraId="53DE7503">
            <w:pPr>
              <w:jc w:val="center"/>
              <w:rPr>
                <w:color w:val="auto"/>
              </w:rPr>
            </w:pPr>
            <w:r>
              <w:rPr>
                <w:rFonts w:hint="eastAsia" w:cs="宋体"/>
                <w:color w:val="auto"/>
              </w:rPr>
              <w:t>专用条款</w:t>
            </w:r>
          </w:p>
        </w:tc>
        <w:tc>
          <w:tcPr>
            <w:tcW w:w="1984" w:type="dxa"/>
            <w:noWrap w:val="0"/>
            <w:vAlign w:val="center"/>
          </w:tcPr>
          <w:p w14:paraId="48D3018E">
            <w:pPr>
              <w:jc w:val="center"/>
              <w:rPr>
                <w:color w:val="auto"/>
              </w:rPr>
            </w:pPr>
            <w:r>
              <w:rPr>
                <w:rFonts w:hint="eastAsia" w:cs="宋体"/>
                <w:color w:val="auto"/>
              </w:rPr>
              <w:t>见分包项目情况表</w:t>
            </w:r>
          </w:p>
        </w:tc>
        <w:tc>
          <w:tcPr>
            <w:tcW w:w="1843" w:type="dxa"/>
            <w:noWrap w:val="0"/>
            <w:vAlign w:val="center"/>
          </w:tcPr>
          <w:p w14:paraId="583BFF50">
            <w:pPr>
              <w:jc w:val="center"/>
              <w:rPr>
                <w:color w:val="auto"/>
              </w:rPr>
            </w:pPr>
          </w:p>
        </w:tc>
      </w:tr>
      <w:tr w14:paraId="43FB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9D61C0C">
            <w:pPr>
              <w:jc w:val="center"/>
              <w:rPr>
                <w:color w:val="auto"/>
              </w:rPr>
            </w:pPr>
            <w:r>
              <w:rPr>
                <w:color w:val="auto"/>
              </w:rPr>
              <w:t>8</w:t>
            </w:r>
          </w:p>
        </w:tc>
        <w:tc>
          <w:tcPr>
            <w:tcW w:w="1985" w:type="dxa"/>
            <w:noWrap w:val="0"/>
            <w:vAlign w:val="center"/>
          </w:tcPr>
          <w:p w14:paraId="097CC931">
            <w:pPr>
              <w:rPr>
                <w:color w:val="auto"/>
              </w:rPr>
            </w:pPr>
            <w:r>
              <w:rPr>
                <w:rFonts w:hint="eastAsia" w:cs="宋体"/>
                <w:color w:val="auto"/>
              </w:rPr>
              <w:t>逾期竣工违约金</w:t>
            </w:r>
          </w:p>
        </w:tc>
        <w:tc>
          <w:tcPr>
            <w:tcW w:w="2126" w:type="dxa"/>
            <w:noWrap w:val="0"/>
            <w:tcMar>
              <w:left w:w="170" w:type="dxa"/>
            </w:tcMar>
            <w:vAlign w:val="center"/>
          </w:tcPr>
          <w:p w14:paraId="12F59F0A">
            <w:pPr>
              <w:jc w:val="center"/>
              <w:rPr>
                <w:color w:val="auto"/>
              </w:rPr>
            </w:pPr>
            <w:r>
              <w:rPr>
                <w:rFonts w:hint="eastAsia" w:cs="宋体"/>
                <w:color w:val="auto"/>
              </w:rPr>
              <w:t>专用条款</w:t>
            </w:r>
          </w:p>
        </w:tc>
        <w:tc>
          <w:tcPr>
            <w:tcW w:w="1984" w:type="dxa"/>
            <w:noWrap w:val="0"/>
            <w:vAlign w:val="center"/>
          </w:tcPr>
          <w:p w14:paraId="167AC449">
            <w:pPr>
              <w:rPr>
                <w:color w:val="auto"/>
              </w:rPr>
            </w:pPr>
          </w:p>
        </w:tc>
        <w:tc>
          <w:tcPr>
            <w:tcW w:w="1843" w:type="dxa"/>
            <w:noWrap w:val="0"/>
            <w:vAlign w:val="center"/>
          </w:tcPr>
          <w:p w14:paraId="17A4A24D">
            <w:pPr>
              <w:jc w:val="center"/>
              <w:rPr>
                <w:color w:val="auto"/>
              </w:rPr>
            </w:pPr>
          </w:p>
        </w:tc>
      </w:tr>
      <w:tr w14:paraId="6596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25D35C7">
            <w:pPr>
              <w:jc w:val="center"/>
              <w:rPr>
                <w:color w:val="auto"/>
              </w:rPr>
            </w:pPr>
            <w:r>
              <w:rPr>
                <w:color w:val="auto"/>
              </w:rPr>
              <w:t>9</w:t>
            </w:r>
          </w:p>
        </w:tc>
        <w:tc>
          <w:tcPr>
            <w:tcW w:w="1985" w:type="dxa"/>
            <w:noWrap w:val="0"/>
            <w:vAlign w:val="center"/>
          </w:tcPr>
          <w:p w14:paraId="5E9B76BA">
            <w:pPr>
              <w:rPr>
                <w:color w:val="auto"/>
              </w:rPr>
            </w:pPr>
            <w:r>
              <w:rPr>
                <w:rFonts w:hint="eastAsia" w:cs="宋体"/>
                <w:color w:val="auto"/>
              </w:rPr>
              <w:t>逾期竣工违约金最高限额</w:t>
            </w:r>
          </w:p>
        </w:tc>
        <w:tc>
          <w:tcPr>
            <w:tcW w:w="2126" w:type="dxa"/>
            <w:noWrap w:val="0"/>
            <w:tcMar>
              <w:left w:w="170" w:type="dxa"/>
            </w:tcMar>
            <w:vAlign w:val="center"/>
          </w:tcPr>
          <w:p w14:paraId="5C48AE16">
            <w:pPr>
              <w:jc w:val="center"/>
              <w:rPr>
                <w:color w:val="auto"/>
              </w:rPr>
            </w:pPr>
            <w:r>
              <w:rPr>
                <w:rFonts w:hint="eastAsia" w:cs="宋体"/>
                <w:color w:val="auto"/>
              </w:rPr>
              <w:t>专用条款</w:t>
            </w:r>
          </w:p>
        </w:tc>
        <w:tc>
          <w:tcPr>
            <w:tcW w:w="1984" w:type="dxa"/>
            <w:noWrap w:val="0"/>
            <w:vAlign w:val="center"/>
          </w:tcPr>
          <w:p w14:paraId="44698479">
            <w:pPr>
              <w:rPr>
                <w:color w:val="auto"/>
              </w:rPr>
            </w:pPr>
          </w:p>
        </w:tc>
        <w:tc>
          <w:tcPr>
            <w:tcW w:w="1843" w:type="dxa"/>
            <w:noWrap w:val="0"/>
            <w:vAlign w:val="center"/>
          </w:tcPr>
          <w:p w14:paraId="1A70A6DD">
            <w:pPr>
              <w:jc w:val="center"/>
              <w:rPr>
                <w:color w:val="auto"/>
              </w:rPr>
            </w:pPr>
          </w:p>
        </w:tc>
      </w:tr>
      <w:tr w14:paraId="2141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5E58A53">
            <w:pPr>
              <w:jc w:val="center"/>
              <w:rPr>
                <w:color w:val="auto"/>
              </w:rPr>
            </w:pPr>
            <w:r>
              <w:rPr>
                <w:color w:val="auto"/>
              </w:rPr>
              <w:t>10</w:t>
            </w:r>
          </w:p>
        </w:tc>
        <w:tc>
          <w:tcPr>
            <w:tcW w:w="1985" w:type="dxa"/>
            <w:noWrap w:val="0"/>
            <w:vAlign w:val="center"/>
          </w:tcPr>
          <w:p w14:paraId="61E6B0C4">
            <w:pPr>
              <w:rPr>
                <w:color w:val="auto"/>
              </w:rPr>
            </w:pPr>
            <w:r>
              <w:rPr>
                <w:rFonts w:hint="eastAsia" w:cs="宋体"/>
                <w:color w:val="auto"/>
              </w:rPr>
              <w:t>质量标准</w:t>
            </w:r>
          </w:p>
        </w:tc>
        <w:tc>
          <w:tcPr>
            <w:tcW w:w="2126" w:type="dxa"/>
            <w:noWrap w:val="0"/>
            <w:tcMar>
              <w:left w:w="170" w:type="dxa"/>
            </w:tcMar>
            <w:vAlign w:val="center"/>
          </w:tcPr>
          <w:p w14:paraId="59FB74D8">
            <w:pPr>
              <w:jc w:val="center"/>
              <w:rPr>
                <w:color w:val="auto"/>
              </w:rPr>
            </w:pPr>
            <w:r>
              <w:rPr>
                <w:rFonts w:hint="eastAsia" w:cs="宋体"/>
                <w:color w:val="auto"/>
              </w:rPr>
              <w:t>专用条款</w:t>
            </w:r>
          </w:p>
        </w:tc>
        <w:tc>
          <w:tcPr>
            <w:tcW w:w="1984" w:type="dxa"/>
            <w:noWrap w:val="0"/>
            <w:vAlign w:val="center"/>
          </w:tcPr>
          <w:p w14:paraId="3C7BDA68">
            <w:pPr>
              <w:jc w:val="center"/>
              <w:rPr>
                <w:color w:val="auto"/>
              </w:rPr>
            </w:pPr>
          </w:p>
        </w:tc>
        <w:tc>
          <w:tcPr>
            <w:tcW w:w="1843" w:type="dxa"/>
            <w:noWrap w:val="0"/>
            <w:vAlign w:val="center"/>
          </w:tcPr>
          <w:p w14:paraId="67CB223C">
            <w:pPr>
              <w:jc w:val="center"/>
              <w:rPr>
                <w:color w:val="auto"/>
              </w:rPr>
            </w:pPr>
          </w:p>
        </w:tc>
      </w:tr>
      <w:tr w14:paraId="537F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2CA190F">
            <w:pPr>
              <w:jc w:val="center"/>
              <w:rPr>
                <w:color w:val="auto"/>
              </w:rPr>
            </w:pPr>
            <w:r>
              <w:rPr>
                <w:color w:val="auto"/>
              </w:rPr>
              <w:t>11</w:t>
            </w:r>
          </w:p>
        </w:tc>
        <w:tc>
          <w:tcPr>
            <w:tcW w:w="1985" w:type="dxa"/>
            <w:noWrap w:val="0"/>
            <w:vAlign w:val="center"/>
          </w:tcPr>
          <w:p w14:paraId="62B879D7">
            <w:pPr>
              <w:rPr>
                <w:color w:val="auto"/>
              </w:rPr>
            </w:pPr>
            <w:r>
              <w:rPr>
                <w:rFonts w:hint="eastAsia" w:cs="宋体"/>
                <w:color w:val="auto"/>
              </w:rPr>
              <w:t>预付款额度</w:t>
            </w:r>
          </w:p>
        </w:tc>
        <w:tc>
          <w:tcPr>
            <w:tcW w:w="2126" w:type="dxa"/>
            <w:noWrap w:val="0"/>
            <w:tcMar>
              <w:left w:w="170" w:type="dxa"/>
            </w:tcMar>
            <w:vAlign w:val="center"/>
          </w:tcPr>
          <w:p w14:paraId="03AE19C4">
            <w:pPr>
              <w:jc w:val="center"/>
              <w:rPr>
                <w:color w:val="auto"/>
              </w:rPr>
            </w:pPr>
            <w:r>
              <w:rPr>
                <w:rFonts w:hint="eastAsia" w:cs="宋体"/>
                <w:color w:val="auto"/>
              </w:rPr>
              <w:t>专用条款</w:t>
            </w:r>
          </w:p>
        </w:tc>
        <w:tc>
          <w:tcPr>
            <w:tcW w:w="1984" w:type="dxa"/>
            <w:noWrap w:val="0"/>
            <w:vAlign w:val="center"/>
          </w:tcPr>
          <w:p w14:paraId="5EFFC993">
            <w:pPr>
              <w:jc w:val="center"/>
              <w:rPr>
                <w:color w:val="auto"/>
              </w:rPr>
            </w:pPr>
          </w:p>
        </w:tc>
        <w:tc>
          <w:tcPr>
            <w:tcW w:w="1843" w:type="dxa"/>
            <w:noWrap w:val="0"/>
            <w:vAlign w:val="center"/>
          </w:tcPr>
          <w:p w14:paraId="19A066A8">
            <w:pPr>
              <w:jc w:val="center"/>
              <w:rPr>
                <w:color w:val="auto"/>
              </w:rPr>
            </w:pPr>
          </w:p>
        </w:tc>
      </w:tr>
      <w:tr w14:paraId="1D2F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E1DAFBE">
            <w:pPr>
              <w:jc w:val="center"/>
              <w:rPr>
                <w:color w:val="auto"/>
              </w:rPr>
            </w:pPr>
            <w:r>
              <w:rPr>
                <w:color w:val="auto"/>
              </w:rPr>
              <w:t>12</w:t>
            </w:r>
          </w:p>
        </w:tc>
        <w:tc>
          <w:tcPr>
            <w:tcW w:w="1985" w:type="dxa"/>
            <w:noWrap w:val="0"/>
            <w:vAlign w:val="center"/>
          </w:tcPr>
          <w:p w14:paraId="5157070E">
            <w:pPr>
              <w:rPr>
                <w:color w:val="auto"/>
              </w:rPr>
            </w:pPr>
            <w:r>
              <w:rPr>
                <w:rFonts w:hint="eastAsia" w:cs="宋体"/>
                <w:color w:val="auto"/>
              </w:rPr>
              <w:t>预付款保函金额</w:t>
            </w:r>
          </w:p>
        </w:tc>
        <w:tc>
          <w:tcPr>
            <w:tcW w:w="2126" w:type="dxa"/>
            <w:noWrap w:val="0"/>
            <w:tcMar>
              <w:left w:w="170" w:type="dxa"/>
            </w:tcMar>
            <w:vAlign w:val="center"/>
          </w:tcPr>
          <w:p w14:paraId="7C11FC61">
            <w:pPr>
              <w:jc w:val="center"/>
              <w:rPr>
                <w:color w:val="auto"/>
              </w:rPr>
            </w:pPr>
            <w:r>
              <w:rPr>
                <w:rFonts w:hint="eastAsia" w:cs="宋体"/>
                <w:color w:val="auto"/>
              </w:rPr>
              <w:t>专用条款</w:t>
            </w:r>
          </w:p>
        </w:tc>
        <w:tc>
          <w:tcPr>
            <w:tcW w:w="1984" w:type="dxa"/>
            <w:noWrap w:val="0"/>
            <w:vAlign w:val="center"/>
          </w:tcPr>
          <w:p w14:paraId="6475BEBC">
            <w:pPr>
              <w:jc w:val="center"/>
              <w:rPr>
                <w:color w:val="auto"/>
              </w:rPr>
            </w:pPr>
          </w:p>
        </w:tc>
        <w:tc>
          <w:tcPr>
            <w:tcW w:w="1843" w:type="dxa"/>
            <w:noWrap w:val="0"/>
            <w:vAlign w:val="center"/>
          </w:tcPr>
          <w:p w14:paraId="33204918">
            <w:pPr>
              <w:jc w:val="center"/>
              <w:rPr>
                <w:color w:val="auto"/>
              </w:rPr>
            </w:pPr>
          </w:p>
        </w:tc>
      </w:tr>
      <w:tr w14:paraId="1700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A3D7FB0">
            <w:pPr>
              <w:jc w:val="center"/>
              <w:rPr>
                <w:color w:val="auto"/>
              </w:rPr>
            </w:pPr>
            <w:r>
              <w:rPr>
                <w:color w:val="auto"/>
              </w:rPr>
              <w:t>13</w:t>
            </w:r>
          </w:p>
        </w:tc>
        <w:tc>
          <w:tcPr>
            <w:tcW w:w="1985" w:type="dxa"/>
            <w:noWrap w:val="0"/>
            <w:vAlign w:val="center"/>
          </w:tcPr>
          <w:p w14:paraId="56768E8B">
            <w:pPr>
              <w:rPr>
                <w:color w:val="auto"/>
              </w:rPr>
            </w:pPr>
            <w:r>
              <w:rPr>
                <w:rFonts w:hint="eastAsia" w:cs="宋体"/>
                <w:color w:val="auto"/>
              </w:rPr>
              <w:t>质量保证金额度</w:t>
            </w:r>
          </w:p>
        </w:tc>
        <w:tc>
          <w:tcPr>
            <w:tcW w:w="2126" w:type="dxa"/>
            <w:noWrap w:val="0"/>
            <w:tcMar>
              <w:left w:w="170" w:type="dxa"/>
            </w:tcMar>
            <w:vAlign w:val="center"/>
          </w:tcPr>
          <w:p w14:paraId="2AD9C9D6">
            <w:pPr>
              <w:jc w:val="center"/>
              <w:rPr>
                <w:color w:val="auto"/>
              </w:rPr>
            </w:pPr>
            <w:r>
              <w:rPr>
                <w:rFonts w:hint="eastAsia" w:cs="宋体"/>
                <w:color w:val="auto"/>
              </w:rPr>
              <w:t>专用条款</w:t>
            </w:r>
          </w:p>
        </w:tc>
        <w:tc>
          <w:tcPr>
            <w:tcW w:w="1984" w:type="dxa"/>
            <w:noWrap w:val="0"/>
            <w:vAlign w:val="center"/>
          </w:tcPr>
          <w:p w14:paraId="3F81EC68">
            <w:pPr>
              <w:jc w:val="center"/>
              <w:rPr>
                <w:color w:val="auto"/>
              </w:rPr>
            </w:pPr>
            <w:r>
              <w:rPr>
                <w:rFonts w:hint="eastAsia" w:cs="宋体"/>
                <w:color w:val="auto"/>
              </w:rPr>
              <w:t>结算价的</w:t>
            </w:r>
            <w:r>
              <w:rPr>
                <w:color w:val="auto"/>
                <w:u w:val="single"/>
              </w:rPr>
              <w:t xml:space="preserve">     </w:t>
            </w:r>
            <w:r>
              <w:rPr>
                <w:color w:val="auto"/>
              </w:rPr>
              <w:t xml:space="preserve">% </w:t>
            </w:r>
            <w:r>
              <w:rPr>
                <w:color w:val="auto"/>
                <w:u w:val="single"/>
              </w:rPr>
              <w:t xml:space="preserve"> </w:t>
            </w:r>
          </w:p>
        </w:tc>
        <w:tc>
          <w:tcPr>
            <w:tcW w:w="1843" w:type="dxa"/>
            <w:noWrap w:val="0"/>
            <w:vAlign w:val="center"/>
          </w:tcPr>
          <w:p w14:paraId="5DA3CCEA">
            <w:pPr>
              <w:jc w:val="center"/>
              <w:rPr>
                <w:color w:val="auto"/>
              </w:rPr>
            </w:pPr>
          </w:p>
        </w:tc>
      </w:tr>
      <w:tr w14:paraId="30BA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54FBA3E">
            <w:pPr>
              <w:jc w:val="center"/>
              <w:rPr>
                <w:color w:val="auto"/>
              </w:rPr>
            </w:pPr>
            <w:r>
              <w:rPr>
                <w:color w:val="auto"/>
              </w:rPr>
              <w:t>……</w:t>
            </w:r>
          </w:p>
        </w:tc>
        <w:tc>
          <w:tcPr>
            <w:tcW w:w="1985" w:type="dxa"/>
            <w:noWrap w:val="0"/>
            <w:vAlign w:val="center"/>
          </w:tcPr>
          <w:p w14:paraId="10C20D00">
            <w:pPr>
              <w:jc w:val="center"/>
              <w:rPr>
                <w:color w:val="auto"/>
              </w:rPr>
            </w:pPr>
            <w:r>
              <w:rPr>
                <w:color w:val="auto"/>
              </w:rPr>
              <w:t>……</w:t>
            </w:r>
          </w:p>
        </w:tc>
        <w:tc>
          <w:tcPr>
            <w:tcW w:w="2126" w:type="dxa"/>
            <w:noWrap w:val="0"/>
            <w:tcMar>
              <w:left w:w="170" w:type="dxa"/>
            </w:tcMar>
            <w:vAlign w:val="center"/>
          </w:tcPr>
          <w:p w14:paraId="4351FEE8">
            <w:pPr>
              <w:rPr>
                <w:color w:val="auto"/>
              </w:rPr>
            </w:pPr>
          </w:p>
        </w:tc>
        <w:tc>
          <w:tcPr>
            <w:tcW w:w="1984" w:type="dxa"/>
            <w:noWrap w:val="0"/>
            <w:vAlign w:val="center"/>
          </w:tcPr>
          <w:p w14:paraId="785BFE01">
            <w:pPr>
              <w:jc w:val="center"/>
              <w:rPr>
                <w:color w:val="auto"/>
              </w:rPr>
            </w:pPr>
          </w:p>
        </w:tc>
        <w:tc>
          <w:tcPr>
            <w:tcW w:w="1843" w:type="dxa"/>
            <w:noWrap w:val="0"/>
            <w:vAlign w:val="center"/>
          </w:tcPr>
          <w:p w14:paraId="151DBF38">
            <w:pPr>
              <w:jc w:val="center"/>
              <w:rPr>
                <w:color w:val="auto"/>
              </w:rPr>
            </w:pPr>
          </w:p>
        </w:tc>
      </w:tr>
      <w:tr w14:paraId="11BD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03C9927A">
            <w:pPr>
              <w:spacing w:line="360" w:lineRule="auto"/>
              <w:rPr>
                <w:color w:val="auto"/>
              </w:rPr>
            </w:pPr>
            <w:r>
              <w:rPr>
                <w:rFonts w:hint="eastAsia" w:cs="宋体"/>
                <w:color w:val="auto"/>
              </w:rPr>
              <w:t>说明：</w:t>
            </w:r>
            <w:r>
              <w:rPr>
                <w:rFonts w:hint="eastAsia" w:cs="宋体"/>
                <w:color w:val="auto"/>
                <w:lang w:val="en-US" w:eastAsia="zh-CN"/>
              </w:rPr>
              <w:t>供应商</w:t>
            </w:r>
            <w:r>
              <w:rPr>
                <w:rFonts w:hint="eastAsia" w:cs="宋体"/>
                <w:color w:val="auto"/>
              </w:rPr>
              <w:t>在响应</w:t>
            </w:r>
            <w:r>
              <w:rPr>
                <w:rFonts w:hint="eastAsia" w:cs="宋体"/>
                <w:color w:val="auto"/>
                <w:lang w:val="en-US" w:eastAsia="zh-CN"/>
              </w:rPr>
              <w:t>文件</w:t>
            </w:r>
            <w:r>
              <w:rPr>
                <w:rFonts w:hint="eastAsia" w:cs="宋体"/>
                <w:color w:val="auto"/>
              </w:rPr>
              <w:t>中规定的实质性要求和条件的基础上，可做出其他有利于</w:t>
            </w:r>
            <w:r>
              <w:rPr>
                <w:rFonts w:hint="eastAsia" w:cs="宋体"/>
                <w:color w:val="auto"/>
                <w:lang w:val="en-US" w:eastAsia="zh-CN"/>
              </w:rPr>
              <w:t>采购人</w:t>
            </w:r>
            <w:r>
              <w:rPr>
                <w:rFonts w:hint="eastAsia" w:cs="宋体"/>
                <w:color w:val="auto"/>
              </w:rPr>
              <w:t>的承诺。此类承诺可在本表中予以补充填写。</w:t>
            </w:r>
          </w:p>
        </w:tc>
      </w:tr>
    </w:tbl>
    <w:p w14:paraId="598CB5E8">
      <w:pPr>
        <w:spacing w:line="480" w:lineRule="exact"/>
        <w:ind w:firstLine="4200" w:firstLineChars="2000"/>
        <w:rPr>
          <w:rFonts w:hint="default" w:eastAsia="宋体"/>
          <w:color w:val="auto"/>
          <w:lang w:val="en-US" w:eastAsia="zh-CN"/>
        </w:rPr>
      </w:pPr>
      <w:r>
        <w:rPr>
          <w:rFonts w:hint="eastAsia" w:ascii="宋体" w:hAnsi="宋体" w:eastAsia="宋体" w:cs="宋体"/>
          <w:bCs/>
          <w:color w:val="auto"/>
          <w:spacing w:val="0"/>
          <w:sz w:val="21"/>
          <w:szCs w:val="21"/>
          <w:lang w:val="en-US" w:eastAsia="zh-CN"/>
        </w:rPr>
        <w:t>供应商</w:t>
      </w:r>
      <w:r>
        <w:rPr>
          <w:rFonts w:hint="eastAsia" w:ascii="宋体" w:hAnsi="宋体" w:cs="宋体"/>
          <w:bCs/>
          <w:color w:val="auto"/>
          <w:spacing w:val="0"/>
          <w:sz w:val="21"/>
          <w:szCs w:val="21"/>
          <w:lang w:val="en-US" w:eastAsia="zh-CN"/>
        </w:rPr>
        <w:t>名称</w:t>
      </w:r>
      <w:r>
        <w:rPr>
          <w:rFonts w:hint="eastAsia" w:ascii="宋体" w:hAnsi="宋体" w:eastAsia="宋体" w:cs="宋体"/>
          <w:bCs/>
          <w:color w:val="auto"/>
          <w:spacing w:val="0"/>
          <w:sz w:val="21"/>
          <w:szCs w:val="21"/>
          <w:lang w:val="en-US" w:eastAsia="zh-CN"/>
        </w:rPr>
        <w:t>（电子签章）</w:t>
      </w:r>
      <w:r>
        <w:rPr>
          <w:rFonts w:hint="eastAsia" w:cs="宋体"/>
          <w:color w:val="auto"/>
        </w:rPr>
        <w:t>：</w:t>
      </w:r>
      <w:r>
        <w:rPr>
          <w:rFonts w:hint="eastAsia" w:cs="宋体"/>
          <w:color w:val="auto"/>
          <w:lang w:val="en-US" w:eastAsia="zh-CN"/>
        </w:rPr>
        <w:t xml:space="preserve"> </w:t>
      </w:r>
      <w:r>
        <w:rPr>
          <w:rFonts w:hint="eastAsia" w:cs="宋体"/>
          <w:color w:val="auto"/>
          <w:u w:val="single"/>
          <w:lang w:val="en-US" w:eastAsia="zh-CN"/>
        </w:rPr>
        <w:t xml:space="preserve">                       </w:t>
      </w:r>
    </w:p>
    <w:p w14:paraId="6B0D24B1">
      <w:pPr>
        <w:spacing w:line="480" w:lineRule="exact"/>
        <w:ind w:firstLine="2940" w:firstLineChars="1400"/>
        <w:rPr>
          <w:color w:val="auto"/>
        </w:rPr>
      </w:pPr>
      <w:r>
        <w:rPr>
          <w:rFonts w:hint="eastAsia" w:ascii="宋体" w:hAnsi="宋体" w:eastAsia="宋体" w:cs="宋体"/>
          <w:bCs/>
          <w:color w:val="auto"/>
          <w:spacing w:val="0"/>
          <w:sz w:val="21"/>
          <w:szCs w:val="21"/>
          <w:lang w:val="en-US" w:eastAsia="zh-CN"/>
        </w:rPr>
        <w:t>法定代表人或委托代理人</w:t>
      </w:r>
      <w:r>
        <w:rPr>
          <w:rFonts w:hint="eastAsia" w:ascii="宋体" w:hAnsi="宋体" w:cs="宋体"/>
          <w:bCs/>
          <w:color w:val="auto"/>
          <w:spacing w:val="0"/>
          <w:sz w:val="21"/>
          <w:szCs w:val="21"/>
          <w:lang w:val="en-US" w:eastAsia="zh-CN"/>
        </w:rPr>
        <w:t>（</w:t>
      </w:r>
      <w:r>
        <w:rPr>
          <w:rFonts w:hint="eastAsia" w:ascii="宋体" w:hAnsi="宋体" w:eastAsia="宋体" w:cs="宋体"/>
          <w:bCs/>
          <w:color w:val="auto"/>
          <w:spacing w:val="0"/>
          <w:sz w:val="21"/>
          <w:szCs w:val="21"/>
          <w:lang w:val="en-US" w:eastAsia="zh-CN"/>
        </w:rPr>
        <w:t>签字或盖章</w:t>
      </w:r>
      <w:r>
        <w:rPr>
          <w:rFonts w:hint="eastAsia" w:ascii="宋体" w:hAnsi="宋体" w:cs="宋体"/>
          <w:bCs/>
          <w:color w:val="auto"/>
          <w:spacing w:val="0"/>
          <w:sz w:val="21"/>
          <w:szCs w:val="21"/>
          <w:lang w:val="en-US" w:eastAsia="zh-CN"/>
        </w:rPr>
        <w:t>）</w:t>
      </w:r>
      <w:r>
        <w:rPr>
          <w:rFonts w:hint="eastAsia" w:cs="宋体"/>
          <w:color w:val="auto"/>
        </w:rPr>
        <w:t>：</w:t>
      </w:r>
      <w:r>
        <w:rPr>
          <w:rFonts w:hint="eastAsia" w:cs="宋体"/>
          <w:color w:val="auto"/>
          <w:u w:val="single"/>
          <w:lang w:val="en-US" w:eastAsia="zh-CN"/>
        </w:rPr>
        <w:t xml:space="preserve">                       </w:t>
      </w:r>
    </w:p>
    <w:p w14:paraId="58B70E55">
      <w:pPr>
        <w:spacing w:line="480" w:lineRule="exact"/>
        <w:ind w:firstLine="6300" w:firstLineChars="3000"/>
        <w:rPr>
          <w:color w:val="auto"/>
        </w:rPr>
      </w:pPr>
      <w:r>
        <w:rPr>
          <w:rFonts w:hint="eastAsia" w:cs="宋体"/>
          <w:color w:val="auto"/>
        </w:rPr>
        <w:t>日期：</w:t>
      </w:r>
      <w:r>
        <w:rPr>
          <w:color w:val="auto"/>
          <w:u w:val="single"/>
        </w:rPr>
        <w:t xml:space="preserve">     </w:t>
      </w:r>
      <w:r>
        <w:rPr>
          <w:rFonts w:hint="eastAsia" w:cs="宋体"/>
          <w:color w:val="auto"/>
        </w:rPr>
        <w:t>年</w:t>
      </w:r>
      <w:r>
        <w:rPr>
          <w:color w:val="auto"/>
          <w:u w:val="single"/>
        </w:rPr>
        <w:t xml:space="preserve">     </w:t>
      </w:r>
      <w:r>
        <w:rPr>
          <w:rFonts w:hint="eastAsia" w:cs="宋体"/>
          <w:color w:val="auto"/>
        </w:rPr>
        <w:t>月</w:t>
      </w:r>
      <w:r>
        <w:rPr>
          <w:color w:val="auto"/>
          <w:u w:val="single"/>
        </w:rPr>
        <w:t xml:space="preserve">     </w:t>
      </w:r>
      <w:r>
        <w:rPr>
          <w:rFonts w:hint="eastAsia" w:cs="宋体"/>
          <w:color w:val="auto"/>
        </w:rPr>
        <w:t>日</w:t>
      </w:r>
    </w:p>
    <w:p w14:paraId="2944CC5D">
      <w:pPr>
        <w:spacing w:line="520" w:lineRule="exact"/>
        <w:jc w:val="center"/>
        <w:rPr>
          <w:rFonts w:hint="eastAsia" w:ascii="宋体" w:hAnsi="宋体" w:eastAsia="宋体" w:cs="宋体"/>
          <w:bCs/>
          <w:color w:val="auto"/>
          <w:sz w:val="40"/>
          <w:szCs w:val="40"/>
          <w:highlight w:val="none"/>
        </w:rPr>
      </w:pPr>
    </w:p>
    <w:p w14:paraId="25E1BD47">
      <w:pPr>
        <w:pStyle w:val="33"/>
        <w:rPr>
          <w:rFonts w:hint="eastAsia" w:ascii="宋体" w:hAnsi="宋体" w:eastAsia="宋体" w:cs="宋体"/>
          <w:bCs/>
          <w:color w:val="auto"/>
          <w:sz w:val="40"/>
          <w:szCs w:val="40"/>
          <w:highlight w:val="none"/>
        </w:rPr>
      </w:pPr>
    </w:p>
    <w:p w14:paraId="0373B00F">
      <w:pPr>
        <w:spacing w:line="520" w:lineRule="exact"/>
        <w:jc w:val="both"/>
        <w:rPr>
          <w:rFonts w:hint="eastAsia" w:ascii="Times New Roman" w:hAnsi="Times New Roman" w:eastAsia="宋体" w:cs="宋体"/>
          <w:b/>
          <w:bCs/>
          <w:color w:val="auto"/>
          <w:kern w:val="2"/>
          <w:sz w:val="30"/>
          <w:szCs w:val="30"/>
          <w:lang w:val="en-US" w:eastAsia="zh-CN" w:bidi="ar-SA"/>
        </w:rPr>
      </w:pPr>
    </w:p>
    <w:p w14:paraId="22D30BF0">
      <w:pPr>
        <w:spacing w:line="520" w:lineRule="exact"/>
        <w:jc w:val="center"/>
        <w:rPr>
          <w:rFonts w:hint="eastAsia" w:ascii="Times New Roman" w:hAnsi="Times New Roman" w:eastAsia="宋体" w:cs="宋体"/>
          <w:b/>
          <w:bCs/>
          <w:color w:val="auto"/>
          <w:kern w:val="2"/>
          <w:sz w:val="30"/>
          <w:szCs w:val="30"/>
          <w:lang w:val="en-US" w:eastAsia="zh-CN" w:bidi="ar-SA"/>
        </w:rPr>
      </w:pPr>
      <w:r>
        <w:rPr>
          <w:rFonts w:hint="eastAsia" w:ascii="Times New Roman" w:hAnsi="Times New Roman" w:eastAsia="宋体" w:cs="宋体"/>
          <w:b/>
          <w:bCs/>
          <w:color w:val="auto"/>
          <w:kern w:val="2"/>
          <w:sz w:val="30"/>
          <w:szCs w:val="30"/>
          <w:lang w:val="en-US" w:eastAsia="zh-CN" w:bidi="ar-SA"/>
        </w:rPr>
        <w:t>竞标报价表</w:t>
      </w:r>
    </w:p>
    <w:p w14:paraId="405B69EB">
      <w:pPr>
        <w:spacing w:line="440" w:lineRule="exact"/>
        <w:jc w:val="center"/>
        <w:rPr>
          <w:rFonts w:hint="eastAsia" w:ascii="宋体" w:hAnsi="宋体" w:eastAsia="宋体" w:cs="宋体"/>
          <w:bCs/>
          <w:color w:val="auto"/>
          <w:sz w:val="28"/>
          <w:szCs w:val="28"/>
          <w:highlight w:val="none"/>
        </w:rPr>
      </w:pPr>
    </w:p>
    <w:p w14:paraId="1718AE84">
      <w:pPr>
        <w:snapToGrid w:val="0"/>
        <w:spacing w:before="50" w:after="50"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p>
    <w:p w14:paraId="07F820C9">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18E6024A">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分标</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lang w:val="en-US" w:eastAsia="zh-CN"/>
        </w:rPr>
        <w:t>如有）：</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r>
        <w:rPr>
          <w:rFonts w:hint="eastAsia" w:ascii="宋体" w:hAnsi="宋体" w:cs="仿宋_GB2312"/>
          <w:color w:val="auto"/>
          <w:sz w:val="24"/>
          <w:highlight w:val="none"/>
          <w:u w:val="single"/>
        </w:rPr>
        <w:t xml:space="preserve">  </w:t>
      </w:r>
    </w:p>
    <w:p w14:paraId="7CBD2417">
      <w:pPr>
        <w:snapToGrid w:val="0"/>
        <w:spacing w:before="50" w:after="50"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57E70C87">
      <w:pPr>
        <w:snapToGrid w:val="0"/>
        <w:spacing w:before="50" w:after="50" w:line="360" w:lineRule="auto"/>
        <w:ind w:firstLine="7680" w:firstLineChars="3200"/>
        <w:rPr>
          <w:rFonts w:ascii="宋体" w:hAnsi="宋体" w:cs="仿宋_GB2312"/>
          <w:color w:val="auto"/>
          <w:sz w:val="24"/>
          <w:highlight w:val="none"/>
        </w:rPr>
      </w:pPr>
      <w:r>
        <w:rPr>
          <w:rFonts w:hint="eastAsia" w:ascii="宋体" w:hAnsi="宋体" w:cs="仿宋_GB2312"/>
          <w:color w:val="auto"/>
          <w:sz w:val="24"/>
          <w:highlight w:val="none"/>
        </w:rPr>
        <w:t>单位：元</w:t>
      </w:r>
    </w:p>
    <w:tbl>
      <w:tblPr>
        <w:tblStyle w:val="25"/>
        <w:tblW w:w="1020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236"/>
        <w:gridCol w:w="1446"/>
        <w:gridCol w:w="1623"/>
        <w:gridCol w:w="1636"/>
        <w:gridCol w:w="1677"/>
        <w:gridCol w:w="816"/>
      </w:tblGrid>
      <w:tr w14:paraId="7F53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75EA3642">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602D8F54">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szCs w:val="24"/>
                <w:highlight w:val="none"/>
                <w:lang w:val="en-US" w:eastAsia="zh-CN"/>
              </w:rPr>
              <w:t>标</w:t>
            </w:r>
            <w:r>
              <w:rPr>
                <w:rFonts w:hint="eastAsia" w:ascii="宋体" w:hAnsi="宋体" w:cs="仿宋_GB2312"/>
                <w:color w:val="auto"/>
                <w:sz w:val="24"/>
                <w:szCs w:val="24"/>
                <w:highlight w:val="none"/>
              </w:rPr>
              <w:t>的</w:t>
            </w:r>
            <w:r>
              <w:rPr>
                <w:rFonts w:hint="eastAsia" w:ascii="宋体" w:hAnsi="宋体" w:cs="仿宋_GB2312"/>
                <w:color w:val="auto"/>
                <w:sz w:val="24"/>
                <w:szCs w:val="24"/>
                <w:highlight w:val="none"/>
                <w:lang w:val="en-US" w:eastAsia="zh-CN"/>
              </w:rPr>
              <w:t>的名称</w:t>
            </w:r>
          </w:p>
        </w:tc>
        <w:tc>
          <w:tcPr>
            <w:tcW w:w="1446" w:type="dxa"/>
            <w:tcBorders>
              <w:top w:val="single" w:color="auto" w:sz="4" w:space="0"/>
              <w:left w:val="single" w:color="auto" w:sz="4" w:space="0"/>
              <w:bottom w:val="single" w:color="auto" w:sz="4" w:space="0"/>
              <w:right w:val="single" w:color="auto" w:sz="4" w:space="0"/>
            </w:tcBorders>
            <w:noWrap w:val="0"/>
            <w:vAlign w:val="center"/>
          </w:tcPr>
          <w:p w14:paraId="5626420C">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施工范围</w:t>
            </w:r>
          </w:p>
        </w:tc>
        <w:tc>
          <w:tcPr>
            <w:tcW w:w="1623" w:type="dxa"/>
            <w:tcBorders>
              <w:top w:val="single" w:color="auto" w:sz="4" w:space="0"/>
              <w:left w:val="single" w:color="auto" w:sz="4" w:space="0"/>
              <w:bottom w:val="single" w:color="auto" w:sz="4" w:space="0"/>
              <w:right w:val="single" w:color="auto" w:sz="4" w:space="0"/>
            </w:tcBorders>
            <w:noWrap w:val="0"/>
            <w:vAlign w:val="center"/>
          </w:tcPr>
          <w:p w14:paraId="028CEF34">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施工工期</w:t>
            </w:r>
          </w:p>
        </w:tc>
        <w:tc>
          <w:tcPr>
            <w:tcW w:w="1636" w:type="dxa"/>
            <w:tcBorders>
              <w:top w:val="single" w:color="auto" w:sz="4" w:space="0"/>
              <w:left w:val="single" w:color="auto" w:sz="4" w:space="0"/>
              <w:bottom w:val="single" w:color="auto" w:sz="4" w:space="0"/>
              <w:right w:val="single" w:color="auto" w:sz="4" w:space="0"/>
            </w:tcBorders>
            <w:noWrap w:val="0"/>
            <w:vAlign w:val="center"/>
          </w:tcPr>
          <w:p w14:paraId="3B6C3F4D">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项目经理</w:t>
            </w:r>
          </w:p>
        </w:tc>
        <w:tc>
          <w:tcPr>
            <w:tcW w:w="1677" w:type="dxa"/>
            <w:tcBorders>
              <w:top w:val="single" w:color="auto" w:sz="4" w:space="0"/>
              <w:left w:val="single" w:color="auto" w:sz="4" w:space="0"/>
              <w:bottom w:val="single" w:color="auto" w:sz="4" w:space="0"/>
              <w:right w:val="single" w:color="auto" w:sz="4" w:space="0"/>
            </w:tcBorders>
            <w:noWrap w:val="0"/>
            <w:vAlign w:val="center"/>
          </w:tcPr>
          <w:p w14:paraId="3A5D5D60">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执业证书信息</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2530BC6E">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备注</w:t>
            </w:r>
          </w:p>
        </w:tc>
      </w:tr>
      <w:tr w14:paraId="6915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right"/>
        </w:trPr>
        <w:tc>
          <w:tcPr>
            <w:tcW w:w="766" w:type="dxa"/>
            <w:tcBorders>
              <w:top w:val="single" w:color="auto" w:sz="4" w:space="0"/>
              <w:left w:val="single" w:color="auto" w:sz="4" w:space="0"/>
              <w:bottom w:val="single" w:color="auto" w:sz="4" w:space="0"/>
              <w:right w:val="single" w:color="auto" w:sz="4" w:space="0"/>
            </w:tcBorders>
            <w:noWrap w:val="0"/>
            <w:vAlign w:val="center"/>
          </w:tcPr>
          <w:p w14:paraId="3FEF0943">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236" w:type="dxa"/>
            <w:tcBorders>
              <w:top w:val="single" w:color="auto" w:sz="4" w:space="0"/>
              <w:left w:val="single" w:color="auto" w:sz="4" w:space="0"/>
              <w:bottom w:val="single" w:color="auto" w:sz="4" w:space="0"/>
              <w:right w:val="single" w:color="auto" w:sz="4" w:space="0"/>
            </w:tcBorders>
            <w:noWrap w:val="0"/>
            <w:vAlign w:val="center"/>
          </w:tcPr>
          <w:p w14:paraId="08B9C4AF">
            <w:pPr>
              <w:spacing w:line="360" w:lineRule="auto"/>
              <w:contextualSpacing/>
              <w:jc w:val="center"/>
              <w:rPr>
                <w:rFonts w:ascii="宋体" w:hAnsi="宋体" w:cs="仿宋_GB2312"/>
                <w:color w:val="auto"/>
                <w:sz w:val="24"/>
                <w:highlight w:val="none"/>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4DE8C03">
            <w:pPr>
              <w:spacing w:line="360" w:lineRule="auto"/>
              <w:contextualSpacing/>
              <w:jc w:val="center"/>
              <w:rPr>
                <w:rFonts w:ascii="宋体" w:hAnsi="宋体" w:cs="仿宋_GB2312"/>
                <w:color w:val="auto"/>
                <w:sz w:val="24"/>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top"/>
          </w:tcPr>
          <w:p w14:paraId="2F3FAF23">
            <w:pPr>
              <w:spacing w:line="360" w:lineRule="auto"/>
              <w:contextualSpacing/>
              <w:rPr>
                <w:rFonts w:ascii="宋体" w:hAnsi="宋体" w:cs="仿宋_GB2312"/>
                <w:color w:val="auto"/>
                <w:sz w:val="24"/>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257001C0">
            <w:pPr>
              <w:spacing w:line="360" w:lineRule="auto"/>
              <w:contextualSpacing/>
              <w:rPr>
                <w:rFonts w:ascii="宋体" w:hAnsi="宋体" w:cs="仿宋_GB2312"/>
                <w:color w:val="auto"/>
                <w:sz w:val="24"/>
                <w:highlight w:val="none"/>
              </w:rPr>
            </w:pPr>
          </w:p>
        </w:tc>
        <w:tc>
          <w:tcPr>
            <w:tcW w:w="1677" w:type="dxa"/>
            <w:tcBorders>
              <w:top w:val="single" w:color="auto" w:sz="4" w:space="0"/>
              <w:left w:val="single" w:color="auto" w:sz="4" w:space="0"/>
              <w:bottom w:val="single" w:color="auto" w:sz="4" w:space="0"/>
              <w:right w:val="single" w:color="auto" w:sz="4" w:space="0"/>
            </w:tcBorders>
            <w:noWrap w:val="0"/>
            <w:vAlign w:val="center"/>
          </w:tcPr>
          <w:p w14:paraId="393A91B0">
            <w:pPr>
              <w:spacing w:line="360" w:lineRule="auto"/>
              <w:contextualSpacing/>
              <w:rPr>
                <w:rFonts w:ascii="宋体" w:hAnsi="宋体" w:cs="仿宋_GB2312"/>
                <w:color w:val="auto"/>
                <w:sz w:val="24"/>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38529D3C">
            <w:pPr>
              <w:spacing w:line="360" w:lineRule="auto"/>
              <w:contextualSpacing/>
              <w:rPr>
                <w:rFonts w:ascii="宋体" w:hAnsi="宋体" w:cs="仿宋_GB2312"/>
                <w:color w:val="auto"/>
                <w:sz w:val="24"/>
                <w:highlight w:val="none"/>
              </w:rPr>
            </w:pPr>
          </w:p>
        </w:tc>
      </w:tr>
      <w:tr w14:paraId="52F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right"/>
        </w:trPr>
        <w:tc>
          <w:tcPr>
            <w:tcW w:w="10200" w:type="dxa"/>
            <w:gridSpan w:val="7"/>
            <w:tcBorders>
              <w:top w:val="single" w:color="auto" w:sz="4" w:space="0"/>
              <w:left w:val="single" w:color="auto" w:sz="4" w:space="0"/>
              <w:bottom w:val="single" w:color="auto" w:sz="4" w:space="0"/>
              <w:right w:val="single" w:color="auto" w:sz="4" w:space="0"/>
            </w:tcBorders>
            <w:noWrap w:val="0"/>
            <w:vAlign w:val="center"/>
          </w:tcPr>
          <w:p w14:paraId="165A0B4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23701303">
      <w:pPr>
        <w:pStyle w:val="34"/>
        <w:spacing w:before="0" w:after="0" w:line="560" w:lineRule="exact"/>
        <w:jc w:val="both"/>
        <w:rPr>
          <w:rFonts w:hint="eastAsia" w:ascii="宋体" w:hAnsi="宋体" w:eastAsia="宋体" w:cs="宋体"/>
          <w:color w:val="auto"/>
          <w:spacing w:val="0"/>
          <w:sz w:val="21"/>
          <w:szCs w:val="21"/>
        </w:rPr>
      </w:pPr>
    </w:p>
    <w:p w14:paraId="48033295">
      <w:pPr>
        <w:pStyle w:val="34"/>
        <w:spacing w:before="0" w:after="0" w:line="560" w:lineRule="exact"/>
        <w:rPr>
          <w:rFonts w:hint="eastAsia" w:ascii="宋体" w:hAnsi="宋体" w:eastAsia="宋体" w:cs="宋体"/>
          <w:color w:val="auto"/>
          <w:spacing w:val="0"/>
          <w:sz w:val="21"/>
          <w:szCs w:val="21"/>
        </w:rPr>
      </w:pPr>
    </w:p>
    <w:p w14:paraId="4627753C">
      <w:pPr>
        <w:pStyle w:val="34"/>
        <w:spacing w:before="0" w:after="0" w:line="560" w:lineRule="exact"/>
        <w:ind w:firstLine="5040" w:firstLineChars="2100"/>
        <w:jc w:val="both"/>
        <w:rPr>
          <w:rFonts w:hint="eastAsia" w:ascii="宋体" w:hAnsi="宋体" w:eastAsia="宋体" w:cs="宋体"/>
          <w:color w:val="auto"/>
          <w:spacing w:val="0"/>
          <w:sz w:val="24"/>
          <w:szCs w:val="24"/>
          <w:u w:val="single"/>
        </w:rPr>
      </w:pPr>
      <w:r>
        <w:rPr>
          <w:rFonts w:hint="eastAsia" w:ascii="宋体" w:hAnsi="宋体" w:eastAsia="宋体" w:cs="宋体"/>
          <w:color w:val="auto"/>
          <w:spacing w:val="0"/>
          <w:sz w:val="24"/>
          <w:szCs w:val="24"/>
        </w:rPr>
        <w:t>供应商</w:t>
      </w:r>
      <w:r>
        <w:rPr>
          <w:rFonts w:hint="eastAsia" w:ascii="宋体" w:hAnsi="宋体" w:cs="宋体"/>
          <w:color w:val="auto"/>
          <w:spacing w:val="0"/>
          <w:sz w:val="24"/>
          <w:szCs w:val="24"/>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电子签章</w:t>
      </w:r>
      <w:r>
        <w:rPr>
          <w:rFonts w:hint="eastAsia" w:ascii="宋体" w:hAnsi="宋体" w:eastAsia="宋体" w:cs="宋体"/>
          <w:color w:val="auto"/>
          <w:sz w:val="24"/>
          <w:szCs w:val="24"/>
          <w:highlight w:val="none"/>
        </w:rPr>
        <w:t>）</w:t>
      </w:r>
      <w:r>
        <w:rPr>
          <w:rFonts w:hint="eastAsia" w:ascii="宋体" w:hAnsi="宋体" w:eastAsia="宋体" w:cs="宋体"/>
          <w:color w:val="auto"/>
          <w:spacing w:val="0"/>
          <w:sz w:val="24"/>
          <w:szCs w:val="24"/>
        </w:rPr>
        <w:t>：</w:t>
      </w:r>
      <w:r>
        <w:rPr>
          <w:rFonts w:hint="eastAsia" w:ascii="宋体" w:hAnsi="宋体" w:eastAsia="宋体" w:cs="宋体"/>
          <w:color w:val="auto"/>
          <w:spacing w:val="0"/>
          <w:sz w:val="24"/>
          <w:szCs w:val="24"/>
          <w:u w:val="single"/>
        </w:rPr>
        <w:t xml:space="preserve">                      </w:t>
      </w:r>
    </w:p>
    <w:p w14:paraId="05AD029D">
      <w:pPr>
        <w:pStyle w:val="34"/>
        <w:spacing w:before="0" w:after="0" w:line="560" w:lineRule="exact"/>
        <w:ind w:left="5032" w:leftChars="1596" w:hanging="1680" w:hangingChars="700"/>
        <w:rPr>
          <w:rFonts w:hint="eastAsia" w:ascii="宋体" w:hAnsi="宋体" w:eastAsia="宋体" w:cs="宋体"/>
          <w:color w:val="auto"/>
          <w:spacing w:val="0"/>
          <w:sz w:val="24"/>
          <w:szCs w:val="24"/>
        </w:rPr>
      </w:pPr>
      <w:r>
        <w:rPr>
          <w:rFonts w:hint="eastAsia" w:ascii="宋体" w:hAnsi="宋体" w:eastAsia="宋体" w:cs="宋体"/>
          <w:color w:val="auto"/>
          <w:spacing w:val="0"/>
          <w:sz w:val="24"/>
          <w:szCs w:val="24"/>
        </w:rPr>
        <w:t>法定代表人或委托代理人</w:t>
      </w:r>
      <w:r>
        <w:rPr>
          <w:rFonts w:hint="eastAsia" w:ascii="宋体" w:hAnsi="宋体" w:cs="宋体"/>
          <w:color w:val="auto"/>
          <w:spacing w:val="0"/>
          <w:sz w:val="24"/>
          <w:szCs w:val="24"/>
          <w:lang w:eastAsia="zh-CN"/>
        </w:rPr>
        <w:t>（</w:t>
      </w:r>
      <w:r>
        <w:rPr>
          <w:rFonts w:hint="eastAsia" w:ascii="宋体" w:hAnsi="宋体" w:eastAsia="宋体" w:cs="宋体"/>
          <w:color w:val="auto"/>
          <w:spacing w:val="0"/>
          <w:sz w:val="24"/>
          <w:szCs w:val="24"/>
        </w:rPr>
        <w:t>签字或盖章</w:t>
      </w:r>
      <w:r>
        <w:rPr>
          <w:rFonts w:hint="eastAsia" w:ascii="宋体" w:hAnsi="宋体" w:cs="宋体"/>
          <w:color w:val="auto"/>
          <w:spacing w:val="0"/>
          <w:sz w:val="24"/>
          <w:szCs w:val="24"/>
          <w:lang w:eastAsia="zh-CN"/>
        </w:rPr>
        <w:t>）</w:t>
      </w:r>
      <w:r>
        <w:rPr>
          <w:rFonts w:hint="eastAsia" w:ascii="宋体" w:hAnsi="宋体" w:eastAsia="宋体" w:cs="宋体"/>
          <w:color w:val="auto"/>
          <w:spacing w:val="0"/>
          <w:sz w:val="24"/>
          <w:szCs w:val="24"/>
        </w:rPr>
        <w:t>：</w:t>
      </w:r>
      <w:r>
        <w:rPr>
          <w:rFonts w:hint="eastAsia" w:ascii="宋体" w:hAnsi="宋体" w:eastAsia="宋体" w:cs="宋体"/>
          <w:color w:val="auto"/>
          <w:spacing w:val="0"/>
          <w:sz w:val="24"/>
          <w:szCs w:val="24"/>
          <w:u w:val="single"/>
        </w:rPr>
        <w:t xml:space="preserve">              </w:t>
      </w:r>
      <w:r>
        <w:rPr>
          <w:rFonts w:hint="eastAsia" w:ascii="宋体" w:hAnsi="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日期：</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年</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月</w:t>
      </w:r>
      <w:r>
        <w:rPr>
          <w:rFonts w:hint="eastAsia" w:ascii="宋体" w:hAnsi="宋体" w:eastAsia="宋体" w:cs="宋体"/>
          <w:color w:val="auto"/>
          <w:spacing w:val="0"/>
          <w:sz w:val="24"/>
          <w:szCs w:val="24"/>
          <w:u w:val="single"/>
        </w:rPr>
        <w:t xml:space="preserve">     </w:t>
      </w:r>
      <w:r>
        <w:rPr>
          <w:rFonts w:hint="eastAsia" w:ascii="宋体" w:hAnsi="宋体" w:eastAsia="宋体" w:cs="宋体"/>
          <w:color w:val="auto"/>
          <w:spacing w:val="0"/>
          <w:sz w:val="24"/>
          <w:szCs w:val="24"/>
        </w:rPr>
        <w:t xml:space="preserve"> 日</w:t>
      </w:r>
    </w:p>
    <w:p w14:paraId="01276F3B">
      <w:pPr>
        <w:spacing w:before="240" w:beforeLines="100" w:after="120" w:afterLines="50" w:line="520" w:lineRule="exact"/>
        <w:ind w:left="540"/>
        <w:jc w:val="center"/>
        <w:rPr>
          <w:rFonts w:hint="eastAsia" w:ascii="宋体" w:hAnsi="宋体" w:eastAsia="宋体" w:cs="宋体"/>
          <w:bCs/>
          <w:color w:val="auto"/>
          <w:sz w:val="24"/>
          <w:szCs w:val="24"/>
          <w:highlight w:val="none"/>
        </w:rPr>
      </w:pPr>
    </w:p>
    <w:p w14:paraId="2BD133EC">
      <w:pPr>
        <w:spacing w:before="240" w:beforeLines="100" w:after="120" w:afterLines="50" w:line="520" w:lineRule="exact"/>
        <w:ind w:left="540"/>
        <w:jc w:val="center"/>
        <w:rPr>
          <w:rFonts w:hint="eastAsia" w:ascii="宋体" w:hAnsi="宋体" w:eastAsia="宋体" w:cs="宋体"/>
          <w:bCs/>
          <w:color w:val="auto"/>
          <w:sz w:val="44"/>
          <w:szCs w:val="44"/>
          <w:highlight w:val="none"/>
        </w:rPr>
      </w:pPr>
    </w:p>
    <w:p w14:paraId="7D26693E">
      <w:pPr>
        <w:spacing w:before="240" w:beforeLines="100" w:after="120" w:afterLines="50" w:line="520" w:lineRule="exact"/>
        <w:ind w:left="540"/>
        <w:jc w:val="center"/>
        <w:rPr>
          <w:rFonts w:hint="eastAsia" w:ascii="宋体" w:hAnsi="宋体" w:eastAsia="宋体" w:cs="宋体"/>
          <w:bCs/>
          <w:color w:val="auto"/>
          <w:sz w:val="44"/>
          <w:szCs w:val="44"/>
          <w:highlight w:val="none"/>
        </w:rPr>
      </w:pPr>
    </w:p>
    <w:p w14:paraId="5BF5DAC8">
      <w:pPr>
        <w:spacing w:before="240" w:beforeLines="100" w:after="120" w:afterLines="50" w:line="520" w:lineRule="exact"/>
        <w:ind w:left="540"/>
        <w:jc w:val="center"/>
        <w:rPr>
          <w:rFonts w:hint="eastAsia" w:ascii="宋体" w:hAnsi="宋体" w:eastAsia="宋体" w:cs="宋体"/>
          <w:bCs/>
          <w:color w:val="auto"/>
          <w:sz w:val="44"/>
          <w:szCs w:val="44"/>
          <w:highlight w:val="none"/>
        </w:rPr>
      </w:pPr>
    </w:p>
    <w:p w14:paraId="1F5376EE">
      <w:pPr>
        <w:pStyle w:val="34"/>
        <w:rPr>
          <w:rFonts w:hint="eastAsia" w:ascii="宋体" w:hAnsi="宋体" w:eastAsia="宋体" w:cs="宋体"/>
          <w:bCs/>
          <w:color w:val="auto"/>
          <w:sz w:val="44"/>
          <w:szCs w:val="44"/>
          <w:highlight w:val="none"/>
        </w:rPr>
      </w:pPr>
    </w:p>
    <w:p w14:paraId="1DBFB3F1">
      <w:pPr>
        <w:pStyle w:val="11"/>
        <w:rPr>
          <w:rFonts w:hint="eastAsia"/>
          <w:color w:val="auto"/>
        </w:rPr>
      </w:pPr>
    </w:p>
    <w:p w14:paraId="5D59E9E9">
      <w:pPr>
        <w:pStyle w:val="22"/>
        <w:rPr>
          <w:rFonts w:hint="eastAsia"/>
          <w:color w:val="auto"/>
        </w:rPr>
      </w:pPr>
    </w:p>
    <w:p w14:paraId="09D3F3E0">
      <w:pPr>
        <w:pStyle w:val="34"/>
        <w:jc w:val="both"/>
        <w:rPr>
          <w:rFonts w:hint="eastAsia" w:ascii="宋体" w:hAnsi="宋体" w:eastAsia="宋体" w:cs="宋体"/>
          <w:color w:val="auto"/>
          <w:sz w:val="21"/>
          <w:szCs w:val="21"/>
        </w:rPr>
      </w:pPr>
    </w:p>
    <w:p w14:paraId="574B393F">
      <w:pPr>
        <w:pStyle w:val="47"/>
        <w:ind w:firstLine="422"/>
        <w:jc w:val="center"/>
        <w:outlineLvl w:val="0"/>
        <w:rPr>
          <w:b/>
          <w:bCs/>
          <w:color w:val="auto"/>
          <w:sz w:val="24"/>
          <w:szCs w:val="24"/>
        </w:rPr>
      </w:pPr>
      <w:bookmarkStart w:id="108" w:name="_Toc4536"/>
      <w:bookmarkStart w:id="109" w:name="_Toc2086"/>
      <w:r>
        <w:rPr>
          <w:rFonts w:hint="eastAsia" w:cs="宋体"/>
          <w:b/>
          <w:bCs/>
          <w:color w:val="auto"/>
          <w:sz w:val="24"/>
          <w:szCs w:val="24"/>
        </w:rPr>
        <w:t>已标价工程量清单</w:t>
      </w:r>
      <w:bookmarkEnd w:id="108"/>
      <w:bookmarkEnd w:id="109"/>
    </w:p>
    <w:p w14:paraId="116A7250">
      <w:pPr>
        <w:pStyle w:val="47"/>
        <w:jc w:val="center"/>
        <w:rPr>
          <w:b/>
          <w:bCs/>
          <w:color w:val="auto"/>
          <w:sz w:val="28"/>
          <w:szCs w:val="28"/>
        </w:rPr>
      </w:pPr>
    </w:p>
    <w:p w14:paraId="6FD4494F">
      <w:pPr>
        <w:numPr>
          <w:ilvl w:val="0"/>
          <w:numId w:val="6"/>
        </w:numPr>
        <w:spacing w:line="520" w:lineRule="exact"/>
        <w:jc w:val="left"/>
        <w:rPr>
          <w:rFonts w:ascii="宋体" w:hAnsi="宋体" w:eastAsia="宋体" w:cs="宋体"/>
          <w:color w:val="auto"/>
          <w:sz w:val="21"/>
          <w:szCs w:val="21"/>
        </w:rPr>
      </w:pPr>
      <w:r>
        <w:rPr>
          <w:rFonts w:ascii="宋体" w:hAnsi="宋体" w:eastAsia="宋体" w:cs="宋体"/>
          <w:color w:val="auto"/>
          <w:sz w:val="21"/>
          <w:szCs w:val="21"/>
        </w:rPr>
        <w:t>已标价工程量清单应按第五章“工程量清单”中的相关表格及投标报价说明填写。构成合同文件的已标价工程量清单包括第五章“工程量清单”有关工程量清单、投标报价以及其他说明的内容。</w:t>
      </w:r>
    </w:p>
    <w:p w14:paraId="085EEF64">
      <w:pPr>
        <w:numPr>
          <w:ilvl w:val="0"/>
          <w:numId w:val="6"/>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一般计税法建设工程已标价工程量清单表格按《关于建筑业实施营业税改征增值税后广西壮族自治区建设工程计价依据调整的通知》（桂建标〔2016〕17号）附件“增值税一般计税 方法工程计价表”要求提供，简易计税法表格按《</w:t>
      </w:r>
      <w:r>
        <w:rPr>
          <w:rFonts w:hint="eastAsia" w:ascii="宋体" w:hAnsi="宋体" w:cs="宋体"/>
          <w:color w:val="auto"/>
          <w:sz w:val="21"/>
          <w:szCs w:val="21"/>
          <w:lang w:eastAsia="zh-CN"/>
        </w:rPr>
        <w:t>〈</w:t>
      </w:r>
      <w:r>
        <w:rPr>
          <w:rFonts w:ascii="宋体" w:hAnsi="宋体" w:eastAsia="宋体" w:cs="宋体"/>
          <w:color w:val="auto"/>
          <w:sz w:val="21"/>
          <w:szCs w:val="21"/>
        </w:rPr>
        <w:t>建设工程工程量清单计价规范</w:t>
      </w:r>
      <w:r>
        <w:rPr>
          <w:rFonts w:hint="eastAsia" w:ascii="宋体" w:hAnsi="宋体" w:cs="宋体"/>
          <w:color w:val="auto"/>
          <w:sz w:val="21"/>
          <w:szCs w:val="21"/>
          <w:lang w:eastAsia="zh-CN"/>
        </w:rPr>
        <w:t>〉</w:t>
      </w:r>
      <w:r>
        <w:rPr>
          <w:rFonts w:ascii="宋体" w:hAnsi="宋体" w:eastAsia="宋体" w:cs="宋体"/>
          <w:color w:val="auto"/>
          <w:sz w:val="21"/>
          <w:szCs w:val="21"/>
        </w:rPr>
        <w:t xml:space="preserve"> （GB5050-2013）广西壮族自治区实施细则》要求的表格提供，但规费和税费按照《关于建筑业 实施营业税改征增值税后广西壮族自治区建设工程计价依据调整的通知》（桂建标〔2016〕17 号）、《自治区住房城乡建设厅关于调整建设工程计价增值税税率的通知》（桂建标〔2018〕242 14 号）、《自治区住房城乡建设厅关于调整建设工程计价增值税税率的通知》（桂建标〔2019 12 号）调整，具体内容包括：</w:t>
      </w:r>
    </w:p>
    <w:p w14:paraId="57C53BA1">
      <w:pPr>
        <w:numPr>
          <w:ilvl w:val="1"/>
          <w:numId w:val="7"/>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投标总价（封-3） </w:t>
      </w:r>
    </w:p>
    <w:p w14:paraId="29454343">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投标总价（扉-3） </w:t>
      </w:r>
    </w:p>
    <w:p w14:paraId="0DB15220">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总说明（表-01） </w:t>
      </w:r>
    </w:p>
    <w:p w14:paraId="2128A99C">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建设项目投标报价汇总表（表-02）</w:t>
      </w:r>
    </w:p>
    <w:p w14:paraId="1CFCF33D">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单项工程投标报价汇总表（表-03） </w:t>
      </w:r>
    </w:p>
    <w:p w14:paraId="3FFED4C4">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单位工程投标报价汇总表（表-04） </w:t>
      </w:r>
    </w:p>
    <w:p w14:paraId="0469C2C3">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分部分项工程和单价措施项目清单与计价表（表-08） </w:t>
      </w:r>
    </w:p>
    <w:p w14:paraId="4AEE305E">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工程量清单综合单价分析表（表-09） </w:t>
      </w:r>
    </w:p>
    <w:p w14:paraId="05DB256B">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主要清单项目工料机分析表（表-10）【备注：可按要求有选择的提供】 </w:t>
      </w:r>
    </w:p>
    <w:p w14:paraId="5E53FE6D">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总价措施项目清单与计价表（表-11） </w:t>
      </w:r>
    </w:p>
    <w:p w14:paraId="43825769">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其他项目清单与计价汇总表（表-12） </w:t>
      </w:r>
    </w:p>
    <w:p w14:paraId="79B48FDC">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暂列金额明细表（表12-1） </w:t>
      </w:r>
    </w:p>
    <w:p w14:paraId="60C5EDA6">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材料（工程设备）暂估单价及调整表（表12-2） </w:t>
      </w:r>
    </w:p>
    <w:p w14:paraId="5DE769BF">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专业工程暂估价及结算价表（表12-3） </w:t>
      </w:r>
    </w:p>
    <w:p w14:paraId="37D14C3E">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计日工表（表12-4） </w:t>
      </w:r>
    </w:p>
    <w:p w14:paraId="2E6601D2">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总承包服务费计价表（表12-5） </w:t>
      </w:r>
    </w:p>
    <w:p w14:paraId="5008BDA8">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税前项目清单与计价表（表-14） </w:t>
      </w:r>
    </w:p>
    <w:p w14:paraId="42DC8749">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规费、增值税计价表（表-15） </w:t>
      </w:r>
    </w:p>
    <w:p w14:paraId="535A59CD">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发包人提供主要材料和工程设备一览表（表-21）</w:t>
      </w:r>
    </w:p>
    <w:p w14:paraId="6C48BF7E">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允许调整主要材料和工程设备一览表（适用于造价信息差额调整法）（表-22） </w:t>
      </w:r>
    </w:p>
    <w:p w14:paraId="4C0ED1BC">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允许调整主要材料和工程设备一览表（适用于价格指数差额调整法）（表-23） </w:t>
      </w:r>
    </w:p>
    <w:p w14:paraId="1BB8D17C">
      <w:pPr>
        <w:numPr>
          <w:ilvl w:val="1"/>
          <w:numId w:val="7"/>
        </w:numPr>
        <w:spacing w:line="520" w:lineRule="exact"/>
        <w:ind w:left="0" w:leftChars="0" w:firstLine="0" w:firstLineChars="0"/>
        <w:jc w:val="both"/>
        <w:rPr>
          <w:rFonts w:ascii="宋体" w:hAnsi="宋体" w:eastAsia="宋体" w:cs="宋体"/>
          <w:color w:val="auto"/>
          <w:sz w:val="21"/>
          <w:szCs w:val="21"/>
        </w:rPr>
      </w:pPr>
      <w:r>
        <w:rPr>
          <w:rFonts w:ascii="宋体" w:hAnsi="宋体" w:eastAsia="宋体" w:cs="宋体"/>
          <w:color w:val="auto"/>
          <w:sz w:val="21"/>
          <w:szCs w:val="21"/>
        </w:rPr>
        <w:t xml:space="preserve">本工程材料和工程设备一览表（表-24） </w:t>
      </w:r>
    </w:p>
    <w:p w14:paraId="3AC8C4A9">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备注： </w:t>
      </w:r>
    </w:p>
    <w:p w14:paraId="003E099F">
      <w:pPr>
        <w:numPr>
          <w:ilvl w:val="0"/>
          <w:numId w:val="8"/>
        </w:numPr>
        <w:spacing w:line="520" w:lineRule="exact"/>
        <w:ind w:leftChars="0"/>
        <w:jc w:val="both"/>
        <w:rPr>
          <w:rFonts w:ascii="宋体" w:hAnsi="宋体" w:eastAsia="宋体" w:cs="宋体"/>
          <w:color w:val="auto"/>
          <w:sz w:val="21"/>
          <w:szCs w:val="21"/>
        </w:rPr>
      </w:pPr>
      <w:r>
        <w:rPr>
          <w:rFonts w:hint="eastAsia" w:ascii="宋体" w:hAnsi="宋体" w:cs="宋体"/>
          <w:color w:val="auto"/>
          <w:sz w:val="21"/>
          <w:szCs w:val="21"/>
          <w:lang w:val="en-US" w:eastAsia="zh-CN"/>
        </w:rPr>
        <w:t>供应商</w:t>
      </w:r>
      <w:r>
        <w:rPr>
          <w:rFonts w:ascii="宋体" w:hAnsi="宋体" w:eastAsia="宋体" w:cs="宋体"/>
          <w:color w:val="auto"/>
          <w:sz w:val="21"/>
          <w:szCs w:val="21"/>
        </w:rPr>
        <w:t>在上传投标报价文件时应上传纸质投标总价封面的原件扫描件。报标总价封面必须经</w:t>
      </w:r>
      <w:r>
        <w:rPr>
          <w:rFonts w:hint="eastAsia" w:ascii="宋体" w:hAnsi="宋体" w:cs="宋体"/>
          <w:color w:val="auto"/>
          <w:sz w:val="21"/>
          <w:szCs w:val="21"/>
          <w:lang w:val="en-US" w:eastAsia="zh-CN"/>
        </w:rPr>
        <w:t>供应商</w:t>
      </w:r>
      <w:r>
        <w:rPr>
          <w:rFonts w:ascii="宋体" w:hAnsi="宋体" w:eastAsia="宋体" w:cs="宋体"/>
          <w:color w:val="auto"/>
          <w:sz w:val="21"/>
          <w:szCs w:val="21"/>
        </w:rPr>
        <w:t xml:space="preserve">盖章，并由法定代表人（或其授权人）签字（或盖章），同时由编制人签字盖专用章。 </w:t>
      </w:r>
    </w:p>
    <w:p w14:paraId="427CD2BA">
      <w:pPr>
        <w:numPr>
          <w:ilvl w:val="0"/>
          <w:numId w:val="0"/>
        </w:numPr>
        <w:spacing w:line="520" w:lineRule="exact"/>
        <w:jc w:val="both"/>
        <w:rPr>
          <w:rFonts w:ascii="宋体" w:hAnsi="宋体" w:eastAsia="宋体" w:cs="宋体"/>
          <w:color w:val="auto"/>
          <w:sz w:val="21"/>
          <w:szCs w:val="21"/>
        </w:rPr>
      </w:pPr>
      <w:r>
        <w:rPr>
          <w:rFonts w:ascii="宋体" w:hAnsi="宋体" w:eastAsia="宋体" w:cs="宋体"/>
          <w:color w:val="auto"/>
          <w:sz w:val="21"/>
          <w:szCs w:val="21"/>
        </w:rPr>
        <w:t>（2）1.8 工程量清单综合单价分析表和1.9主要清单项目工料机分析表要求附上。</w:t>
      </w:r>
    </w:p>
    <w:p w14:paraId="2350806A">
      <w:pPr>
        <w:numPr>
          <w:ilvl w:val="0"/>
          <w:numId w:val="0"/>
        </w:numPr>
        <w:spacing w:line="520" w:lineRule="exact"/>
        <w:ind w:leftChars="0"/>
        <w:jc w:val="both"/>
        <w:rPr>
          <w:rFonts w:ascii="宋体" w:hAnsi="宋体" w:eastAsia="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3）</w:t>
      </w:r>
      <w:r>
        <w:rPr>
          <w:rFonts w:ascii="宋体" w:hAnsi="宋体" w:eastAsia="宋体" w:cs="宋体"/>
          <w:color w:val="auto"/>
          <w:sz w:val="21"/>
          <w:szCs w:val="21"/>
        </w:rPr>
        <w:t xml:space="preserve">已标价工程量清单表格要严格按照招标工程量清单给出的表格要求和内容填报。如本工程在合同中约定采用造价信息价差调整法，1.18 允许调整主要材料和工程设备一览表（适用 于造价信息差额调整法）（表-22）载明的主要材料和工程设备为本工程允许调整的材料和工程 设备，招标工程量清单必须提供该表格，且不能提供空白表。以下表格视工程实际需要选用， 如该工程不发生如下表格相关项目和费用，招标工程量清单不应列入该部分表格，已标价工程量清单亦不包括这部分表格。 </w:t>
      </w:r>
    </w:p>
    <w:p w14:paraId="6E4A68F2">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①建设项目投标报价汇总表（表-02） </w:t>
      </w:r>
    </w:p>
    <w:p w14:paraId="6CD5B547">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②暂列金额明细表（表12-1） </w:t>
      </w:r>
    </w:p>
    <w:p w14:paraId="4621BF5A">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③材料（工程设备）暂估单位及调整表（表12-2）</w:t>
      </w:r>
    </w:p>
    <w:p w14:paraId="3B215144">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④专业工程暂估价及结算价表（表12-3） </w:t>
      </w:r>
    </w:p>
    <w:p w14:paraId="28E5C53D">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⑤计日工表表12-4）</w:t>
      </w:r>
    </w:p>
    <w:p w14:paraId="41A313A2">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⑥总承包服务费计价表（表12-5） </w:t>
      </w:r>
    </w:p>
    <w:p w14:paraId="750E8E9F">
      <w:pPr>
        <w:numPr>
          <w:ilvl w:val="0"/>
          <w:numId w:val="0"/>
        </w:numPr>
        <w:spacing w:line="520" w:lineRule="exact"/>
        <w:ind w:leftChars="0"/>
        <w:jc w:val="both"/>
        <w:rPr>
          <w:rFonts w:ascii="宋体" w:hAnsi="宋体" w:eastAsia="宋体" w:cs="宋体"/>
          <w:color w:val="auto"/>
          <w:sz w:val="21"/>
          <w:szCs w:val="21"/>
        </w:rPr>
      </w:pPr>
      <w:r>
        <w:rPr>
          <w:rFonts w:ascii="宋体" w:hAnsi="宋体" w:eastAsia="宋体" w:cs="宋体"/>
          <w:color w:val="auto"/>
          <w:sz w:val="21"/>
          <w:szCs w:val="21"/>
        </w:rPr>
        <w:t xml:space="preserve">⑦税前项目清单与计价表（表-14） </w:t>
      </w:r>
    </w:p>
    <w:p w14:paraId="01BCC27B">
      <w:pPr>
        <w:numPr>
          <w:ilvl w:val="0"/>
          <w:numId w:val="0"/>
        </w:numPr>
        <w:spacing w:line="520" w:lineRule="exact"/>
        <w:ind w:leftChars="0"/>
        <w:jc w:val="both"/>
        <w:rPr>
          <w:rFonts w:ascii="宋体" w:hAnsi="宋体" w:eastAsia="宋体" w:cs="宋体"/>
          <w:color w:val="auto"/>
          <w:sz w:val="21"/>
          <w:szCs w:val="21"/>
        </w:rPr>
      </w:pPr>
      <w:r>
        <w:rPr>
          <w:rFonts w:hint="eastAsia" w:ascii="宋体" w:hAnsi="宋体" w:eastAsia="宋体" w:cs="宋体"/>
          <w:color w:val="auto"/>
          <w:sz w:val="21"/>
          <w:szCs w:val="21"/>
        </w:rPr>
        <w:t>⑧</w:t>
      </w:r>
      <w:r>
        <w:rPr>
          <w:rFonts w:ascii="宋体" w:hAnsi="宋体" w:eastAsia="宋体" w:cs="宋体"/>
          <w:color w:val="auto"/>
          <w:sz w:val="21"/>
          <w:szCs w:val="21"/>
        </w:rPr>
        <w:t>允许调整主要材料和工程设备一览表（适用于价格指数差额调整法）（表-23）</w:t>
      </w:r>
    </w:p>
    <w:p w14:paraId="69A06E90">
      <w:pPr>
        <w:numPr>
          <w:ilvl w:val="0"/>
          <w:numId w:val="0"/>
        </w:numPr>
        <w:spacing w:line="520" w:lineRule="exact"/>
        <w:ind w:leftChars="0"/>
        <w:jc w:val="both"/>
        <w:rPr>
          <w:rFonts w:ascii="宋体" w:hAnsi="宋体"/>
          <w:b/>
          <w:bCs/>
          <w:color w:val="auto"/>
          <w:sz w:val="21"/>
          <w:szCs w:val="21"/>
          <w:highlight w:val="none"/>
        </w:rPr>
      </w:pPr>
      <w:r>
        <w:rPr>
          <w:rFonts w:ascii="宋体" w:hAnsi="宋体"/>
          <w:b/>
          <w:bCs/>
          <w:color w:val="auto"/>
          <w:sz w:val="21"/>
          <w:szCs w:val="21"/>
          <w:highlight w:val="none"/>
        </w:rPr>
        <w:br w:type="page"/>
      </w:r>
    </w:p>
    <w:p w14:paraId="6D6EF165">
      <w:pPr>
        <w:spacing w:line="360" w:lineRule="auto"/>
        <w:ind w:right="420"/>
        <w:contextualSpacing/>
        <w:jc w:val="left"/>
        <w:rPr>
          <w:rFonts w:hint="eastAsia" w:ascii="宋体" w:hAnsi="宋体" w:eastAsia="宋体" w:cs="宋体"/>
          <w:b/>
          <w:bCs/>
          <w:color w:val="auto"/>
          <w:sz w:val="22"/>
          <w:szCs w:val="22"/>
          <w:highlight w:val="none"/>
        </w:rPr>
      </w:pPr>
    </w:p>
    <w:p w14:paraId="6718E242">
      <w:pPr>
        <w:spacing w:line="360" w:lineRule="auto"/>
        <w:ind w:right="420" w:firstLine="4417" w:firstLineChars="2000"/>
        <w:contextualSpacing/>
        <w:jc w:val="left"/>
        <w:rPr>
          <w:rFonts w:hint="eastAsia" w:ascii="宋体" w:hAnsi="宋体" w:eastAsia="宋体" w:cs="宋体"/>
          <w:b/>
          <w:bCs/>
          <w:color w:val="auto"/>
          <w:sz w:val="22"/>
          <w:szCs w:val="22"/>
          <w:highlight w:val="none"/>
        </w:rPr>
      </w:pPr>
    </w:p>
    <w:p w14:paraId="6C84373E">
      <w:pPr>
        <w:spacing w:line="360" w:lineRule="auto"/>
        <w:ind w:right="420" w:firstLine="3373" w:firstLineChars="1200"/>
        <w:contextualSpacing/>
        <w:jc w:val="left"/>
        <w:rPr>
          <w:rFonts w:hint="eastAsia" w:ascii="宋体" w:hAnsi="宋体"/>
          <w:b/>
          <w:color w:val="auto"/>
          <w:sz w:val="28"/>
          <w:szCs w:val="28"/>
          <w:highlight w:val="none"/>
        </w:rPr>
      </w:pPr>
      <w:r>
        <w:rPr>
          <w:rFonts w:hint="eastAsia" w:ascii="宋体" w:hAnsi="宋体"/>
          <w:b/>
          <w:bCs/>
          <w:color w:val="auto"/>
          <w:sz w:val="28"/>
          <w:szCs w:val="28"/>
          <w:highlight w:val="none"/>
        </w:rPr>
        <w:t>三、</w:t>
      </w:r>
      <w:r>
        <w:rPr>
          <w:rFonts w:hint="eastAsia" w:ascii="宋体" w:hAnsi="宋体"/>
          <w:b/>
          <w:color w:val="auto"/>
          <w:sz w:val="28"/>
          <w:szCs w:val="28"/>
          <w:highlight w:val="none"/>
        </w:rPr>
        <w:t xml:space="preserve">商务技术文件格式 </w:t>
      </w:r>
    </w:p>
    <w:p w14:paraId="3EFA4E37">
      <w:pPr>
        <w:snapToGrid w:val="0"/>
        <w:spacing w:before="156" w:beforeLines="50" w:after="50" w:line="360" w:lineRule="auto"/>
        <w:jc w:val="left"/>
        <w:rPr>
          <w:rFonts w:ascii="宋体" w:hAnsi="宋体"/>
          <w:b/>
          <w:color w:val="auto"/>
          <w:sz w:val="28"/>
          <w:szCs w:val="28"/>
          <w:highlight w:val="none"/>
        </w:rPr>
      </w:pPr>
      <w:r>
        <w:rPr>
          <w:rFonts w:hint="eastAsia" w:ascii="宋体" w:hAnsi="宋体"/>
          <w:b/>
          <w:color w:val="auto"/>
          <w:sz w:val="28"/>
          <w:szCs w:val="28"/>
          <w:highlight w:val="none"/>
        </w:rPr>
        <w:t>1.商务技术文件封面格式</w:t>
      </w:r>
    </w:p>
    <w:p w14:paraId="3E744B53">
      <w:pPr>
        <w:snapToGrid w:val="0"/>
        <w:spacing w:before="156" w:beforeLines="50" w:after="50"/>
        <w:rPr>
          <w:rFonts w:hint="eastAsia" w:ascii="宋体" w:hAnsi="宋体"/>
          <w:bCs/>
          <w:color w:val="auto"/>
          <w:sz w:val="28"/>
          <w:szCs w:val="18"/>
          <w:highlight w:val="none"/>
        </w:rPr>
      </w:pPr>
      <w:r>
        <w:rPr>
          <w:rFonts w:hint="eastAsia" w:ascii="宋体" w:hAnsi="宋体"/>
          <w:color w:val="auto"/>
          <w:sz w:val="22"/>
          <w:szCs w:val="22"/>
          <w:highlight w:val="none"/>
        </w:rPr>
        <w:t xml:space="preserve">                                                    </w:t>
      </w:r>
    </w:p>
    <w:p w14:paraId="67EEDAB1">
      <w:pPr>
        <w:snapToGrid w:val="0"/>
        <w:spacing w:before="156" w:beforeLines="50" w:after="50"/>
        <w:jc w:val="center"/>
        <w:rPr>
          <w:rFonts w:hint="eastAsia" w:ascii="宋体" w:hAnsi="宋体"/>
          <w:color w:val="auto"/>
          <w:sz w:val="22"/>
          <w:szCs w:val="18"/>
          <w:highlight w:val="none"/>
        </w:rPr>
      </w:pPr>
      <w:r>
        <w:rPr>
          <w:rFonts w:hint="eastAsia" w:ascii="宋体" w:hAnsi="宋体"/>
          <w:color w:val="auto"/>
          <w:sz w:val="40"/>
          <w:szCs w:val="40"/>
          <w:highlight w:val="none"/>
        </w:rPr>
        <w:t>电 子 响 应 文 件</w:t>
      </w:r>
    </w:p>
    <w:p w14:paraId="6E22451E">
      <w:pPr>
        <w:snapToGrid w:val="0"/>
        <w:spacing w:before="156" w:beforeLines="50" w:after="50"/>
        <w:rPr>
          <w:rFonts w:hint="eastAsia" w:ascii="宋体" w:hAnsi="宋体"/>
          <w:color w:val="auto"/>
          <w:sz w:val="22"/>
          <w:szCs w:val="18"/>
          <w:highlight w:val="none"/>
        </w:rPr>
      </w:pPr>
    </w:p>
    <w:p w14:paraId="0FCFF9C1">
      <w:pPr>
        <w:snapToGrid w:val="0"/>
        <w:spacing w:before="156" w:beforeLines="50" w:after="50"/>
        <w:rPr>
          <w:rFonts w:hint="eastAsia" w:ascii="宋体" w:hAnsi="宋体"/>
          <w:color w:val="auto"/>
          <w:sz w:val="22"/>
          <w:szCs w:val="18"/>
          <w:highlight w:val="none"/>
        </w:rPr>
      </w:pPr>
    </w:p>
    <w:p w14:paraId="7BF8C14D">
      <w:pPr>
        <w:snapToGrid w:val="0"/>
        <w:spacing w:before="156" w:beforeLines="50" w:after="50"/>
        <w:jc w:val="center"/>
        <w:rPr>
          <w:rFonts w:hint="eastAsia" w:ascii="方正小标宋简体" w:hAnsi="方正小标宋简体" w:eastAsia="方正小标宋简体" w:cs="方正小标宋简体"/>
          <w:bCs/>
          <w:color w:val="auto"/>
          <w:sz w:val="40"/>
          <w:szCs w:val="40"/>
          <w:highlight w:val="none"/>
        </w:rPr>
      </w:pPr>
      <w:r>
        <w:rPr>
          <w:rFonts w:hint="eastAsia" w:ascii="方正小标宋简体" w:hAnsi="方正小标宋简体" w:eastAsia="方正小标宋简体" w:cs="方正小标宋简体"/>
          <w:bCs/>
          <w:color w:val="auto"/>
          <w:sz w:val="40"/>
          <w:szCs w:val="40"/>
          <w:highlight w:val="none"/>
        </w:rPr>
        <w:t>商  务  技  术  文  件</w:t>
      </w:r>
    </w:p>
    <w:p w14:paraId="74981EA3">
      <w:pPr>
        <w:snapToGrid w:val="0"/>
        <w:spacing w:before="156" w:beforeLines="50" w:after="50"/>
        <w:rPr>
          <w:rFonts w:hint="eastAsia" w:ascii="宋体" w:hAnsi="宋体"/>
          <w:bCs/>
          <w:color w:val="auto"/>
          <w:sz w:val="22"/>
          <w:szCs w:val="18"/>
          <w:highlight w:val="none"/>
        </w:rPr>
      </w:pPr>
    </w:p>
    <w:p w14:paraId="3881F237">
      <w:pPr>
        <w:snapToGrid w:val="0"/>
        <w:spacing w:before="156" w:beforeLines="50" w:after="50"/>
        <w:rPr>
          <w:rFonts w:hint="eastAsia" w:ascii="宋体" w:hAnsi="宋体"/>
          <w:bCs/>
          <w:color w:val="auto"/>
          <w:sz w:val="22"/>
          <w:szCs w:val="18"/>
          <w:highlight w:val="none"/>
        </w:rPr>
      </w:pPr>
    </w:p>
    <w:p w14:paraId="51589F47">
      <w:pPr>
        <w:snapToGrid w:val="0"/>
        <w:spacing w:before="156" w:beforeLines="50" w:after="50"/>
        <w:rPr>
          <w:rFonts w:hint="eastAsia" w:ascii="宋体" w:hAnsi="宋体"/>
          <w:bCs/>
          <w:color w:val="auto"/>
          <w:sz w:val="22"/>
          <w:szCs w:val="18"/>
          <w:highlight w:val="none"/>
        </w:rPr>
      </w:pPr>
    </w:p>
    <w:p w14:paraId="0798CB9D">
      <w:pPr>
        <w:snapToGrid w:val="0"/>
        <w:spacing w:before="156" w:beforeLines="50" w:after="50"/>
        <w:rPr>
          <w:rFonts w:hint="eastAsia" w:ascii="宋体" w:hAnsi="宋体"/>
          <w:bCs/>
          <w:color w:val="auto"/>
          <w:sz w:val="22"/>
          <w:szCs w:val="18"/>
          <w:highlight w:val="none"/>
        </w:rPr>
      </w:pPr>
    </w:p>
    <w:p w14:paraId="65F59529">
      <w:pPr>
        <w:snapToGrid w:val="0"/>
        <w:spacing w:before="156" w:beforeLines="50" w:after="50"/>
        <w:rPr>
          <w:rFonts w:hint="eastAsia" w:ascii="宋体" w:hAnsi="宋体"/>
          <w:bCs/>
          <w:color w:val="auto"/>
          <w:sz w:val="22"/>
          <w:szCs w:val="18"/>
          <w:highlight w:val="none"/>
        </w:rPr>
      </w:pPr>
    </w:p>
    <w:p w14:paraId="432F939C">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项目名称：</w:t>
      </w:r>
    </w:p>
    <w:p w14:paraId="186A8705">
      <w:pPr>
        <w:snapToGrid w:val="0"/>
        <w:spacing w:before="156" w:beforeLines="50" w:after="50"/>
        <w:ind w:firstLine="630" w:firstLineChars="225"/>
        <w:rPr>
          <w:rFonts w:hint="eastAsia" w:ascii="宋体" w:hAnsi="宋体" w:cs="仿宋_GB2312"/>
          <w:bCs/>
          <w:color w:val="auto"/>
          <w:sz w:val="28"/>
          <w:szCs w:val="28"/>
          <w:highlight w:val="none"/>
        </w:rPr>
      </w:pPr>
    </w:p>
    <w:p w14:paraId="3A83C568">
      <w:pPr>
        <w:snapToGrid w:val="0"/>
        <w:spacing w:before="156" w:beforeLines="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项目编号：</w:t>
      </w:r>
    </w:p>
    <w:p w14:paraId="4315A40F">
      <w:pPr>
        <w:snapToGrid w:val="0"/>
        <w:spacing w:before="156" w:beforeLines="50" w:after="50"/>
        <w:ind w:firstLine="630" w:firstLineChars="225"/>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 xml:space="preserve"> </w:t>
      </w:r>
    </w:p>
    <w:p w14:paraId="7DAD61D7">
      <w:pPr>
        <w:pStyle w:val="7"/>
        <w:snapToGrid w:val="0"/>
        <w:spacing w:before="50" w:after="50"/>
        <w:ind w:firstLine="560" w:firstLineChars="200"/>
        <w:rPr>
          <w:rFonts w:hint="eastAsia" w:ascii="宋体" w:hAnsi="宋体" w:cs="仿宋_GB2312"/>
          <w:bCs/>
          <w:color w:val="auto"/>
          <w:sz w:val="28"/>
          <w:szCs w:val="28"/>
          <w:highlight w:val="none"/>
        </w:rPr>
      </w:pPr>
      <w:r>
        <w:rPr>
          <w:rFonts w:hint="eastAsia" w:ascii="宋体" w:hAnsi="宋体" w:cs="仿宋_GB2312"/>
          <w:bCs/>
          <w:color w:val="auto"/>
          <w:sz w:val="28"/>
          <w:szCs w:val="28"/>
          <w:highlight w:val="none"/>
        </w:rPr>
        <w:t>供应商名称：</w:t>
      </w:r>
    </w:p>
    <w:p w14:paraId="1921D69F">
      <w:pPr>
        <w:pStyle w:val="7"/>
        <w:snapToGrid w:val="0"/>
        <w:spacing w:before="50" w:after="50"/>
        <w:ind w:firstLine="560" w:firstLineChars="200"/>
        <w:rPr>
          <w:rFonts w:hint="eastAsia" w:ascii="宋体" w:hAnsi="宋体" w:cs="仿宋_GB2312"/>
          <w:bCs/>
          <w:color w:val="auto"/>
          <w:sz w:val="28"/>
          <w:szCs w:val="28"/>
          <w:highlight w:val="none"/>
        </w:rPr>
      </w:pPr>
    </w:p>
    <w:p w14:paraId="5B0BF273">
      <w:pPr>
        <w:pStyle w:val="7"/>
        <w:snapToGrid w:val="0"/>
        <w:spacing w:before="50" w:after="50"/>
        <w:ind w:firstLine="630" w:firstLineChars="225"/>
        <w:rPr>
          <w:rFonts w:hint="eastAsia" w:ascii="宋体" w:hAnsi="宋体" w:cs="仿宋_GB2312"/>
          <w:bCs/>
          <w:color w:val="auto"/>
          <w:sz w:val="28"/>
          <w:szCs w:val="28"/>
          <w:highlight w:val="none"/>
        </w:rPr>
      </w:pPr>
    </w:p>
    <w:p w14:paraId="2687F39F">
      <w:pPr>
        <w:pStyle w:val="7"/>
        <w:snapToGrid w:val="0"/>
        <w:spacing w:before="50" w:after="50"/>
        <w:ind w:firstLine="0"/>
        <w:rPr>
          <w:rFonts w:hint="eastAsia" w:ascii="宋体" w:hAnsi="宋体" w:cs="仿宋_GB2312"/>
          <w:bCs/>
          <w:color w:val="auto"/>
          <w:sz w:val="28"/>
          <w:szCs w:val="28"/>
          <w:highlight w:val="none"/>
        </w:rPr>
      </w:pPr>
    </w:p>
    <w:p w14:paraId="5455AB43">
      <w:pPr>
        <w:pStyle w:val="7"/>
        <w:snapToGrid w:val="0"/>
        <w:spacing w:before="50" w:after="50"/>
        <w:ind w:firstLine="1120" w:firstLineChars="400"/>
        <w:rPr>
          <w:rFonts w:hint="eastAsia" w:ascii="宋体" w:hAnsi="宋体" w:cs="仿宋_GB2312"/>
          <w:bCs/>
          <w:color w:val="auto"/>
          <w:sz w:val="28"/>
          <w:szCs w:val="28"/>
          <w:highlight w:val="none"/>
        </w:rPr>
      </w:pPr>
    </w:p>
    <w:p w14:paraId="4455EF10">
      <w:pPr>
        <w:snapToGrid w:val="0"/>
        <w:spacing w:before="156" w:beforeLines="50" w:after="50"/>
        <w:jc w:val="center"/>
        <w:rPr>
          <w:rFonts w:hint="eastAsia" w:ascii="宋体" w:hAnsi="宋体" w:cs="仿宋_GB2312"/>
          <w:color w:val="auto"/>
          <w:sz w:val="28"/>
          <w:szCs w:val="28"/>
          <w:highlight w:val="none"/>
        </w:rPr>
      </w:pPr>
      <w:r>
        <w:rPr>
          <w:rFonts w:hint="eastAsia" w:ascii="宋体" w:hAnsi="宋体" w:cs="仿宋_GB2312"/>
          <w:color w:val="auto"/>
          <w:sz w:val="28"/>
          <w:szCs w:val="28"/>
          <w:highlight w:val="none"/>
        </w:rPr>
        <w:t>年    月    日</w:t>
      </w:r>
    </w:p>
    <w:p w14:paraId="48D356DA">
      <w:pPr>
        <w:snapToGrid w:val="0"/>
        <w:spacing w:before="156" w:beforeLines="50" w:after="50" w:line="360" w:lineRule="auto"/>
        <w:ind w:right="480" w:firstLine="220" w:firstLineChars="100"/>
        <w:jc w:val="left"/>
        <w:rPr>
          <w:rFonts w:hint="eastAsia" w:ascii="宋体" w:hAnsi="宋体"/>
          <w:b/>
          <w:bCs/>
          <w:color w:val="auto"/>
          <w:sz w:val="22"/>
          <w:szCs w:val="22"/>
          <w:highlight w:val="none"/>
        </w:rPr>
      </w:pPr>
      <w:r>
        <w:rPr>
          <w:rFonts w:ascii="宋体" w:hAnsi="宋体"/>
          <w:color w:val="auto"/>
          <w:sz w:val="22"/>
          <w:szCs w:val="22"/>
          <w:highlight w:val="none"/>
        </w:rPr>
        <w:br w:type="page"/>
      </w:r>
      <w:r>
        <w:rPr>
          <w:rFonts w:hint="eastAsia" w:ascii="宋体" w:hAnsi="宋体"/>
          <w:b/>
          <w:bCs/>
          <w:color w:val="auto"/>
          <w:sz w:val="28"/>
          <w:szCs w:val="28"/>
          <w:highlight w:val="none"/>
        </w:rPr>
        <w:t>2.商务技术文件目录</w:t>
      </w:r>
    </w:p>
    <w:p w14:paraId="0BB7CDD0">
      <w:pPr>
        <w:pStyle w:val="35"/>
        <w:numPr>
          <w:ilvl w:val="0"/>
          <w:numId w:val="0"/>
        </w:numPr>
        <w:rPr>
          <w:rFonts w:hint="default"/>
          <w:color w:val="auto"/>
          <w:lang w:val="en-US" w:eastAsia="zh-CN"/>
        </w:rPr>
      </w:pPr>
      <w:r>
        <w:rPr>
          <w:rFonts w:hint="eastAsia"/>
          <w:color w:val="auto"/>
          <w:lang w:val="en-US" w:eastAsia="zh-CN"/>
        </w:rPr>
        <w:t>根据《供应商须知前附表》第12.1.2要求编制</w:t>
      </w:r>
    </w:p>
    <w:p w14:paraId="76DA1266">
      <w:pPr>
        <w:spacing w:line="400" w:lineRule="exact"/>
        <w:rPr>
          <w:rFonts w:hint="eastAsia" w:ascii="仿宋_GB2312" w:hAnsi="仿宋_GB2312" w:eastAsia="仿宋_GB2312" w:cs="仿宋_GB2312"/>
          <w:color w:val="auto"/>
          <w:sz w:val="28"/>
          <w:szCs w:val="28"/>
          <w:highlight w:val="none"/>
        </w:rPr>
      </w:pPr>
    </w:p>
    <w:p w14:paraId="1C610D20">
      <w:pPr>
        <w:spacing w:line="52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br w:type="page"/>
      </w:r>
    </w:p>
    <w:p w14:paraId="1D24455B">
      <w:pPr>
        <w:spacing w:line="520" w:lineRule="exact"/>
        <w:jc w:val="center"/>
        <w:rPr>
          <w:rFonts w:hint="eastAsia" w:ascii="方正小标宋简体" w:hAnsi="方正小标宋简体" w:eastAsia="方正小标宋简体" w:cs="方正小标宋简体"/>
          <w:color w:val="auto"/>
          <w:sz w:val="40"/>
          <w:szCs w:val="40"/>
          <w:highlight w:val="none"/>
        </w:rPr>
      </w:pPr>
    </w:p>
    <w:p w14:paraId="4BF3BC64">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无串通竞标行为的承诺函</w:t>
      </w:r>
    </w:p>
    <w:p w14:paraId="13C6B929">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639AD141">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一、我方承诺无下列相互串通竞标的情形：</w:t>
      </w:r>
    </w:p>
    <w:p w14:paraId="3DB499B9">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1.不同供应商的响应文件由同一单位或者个人编制；</w:t>
      </w:r>
      <w:r>
        <w:rPr>
          <w:rFonts w:hint="eastAsia" w:ascii="宋体" w:hAnsi="宋体" w:cs="仿宋_GB2312"/>
          <w:color w:val="auto"/>
          <w:sz w:val="21"/>
          <w:szCs w:val="21"/>
          <w:highlight w:val="none"/>
          <w:lang w:val="en-US" w:eastAsia="zh-CN"/>
        </w:rPr>
        <w:t>或不同供应商报名的 IP 地址一致的；</w:t>
      </w:r>
      <w:r>
        <w:rPr>
          <w:rFonts w:hint="eastAsia" w:ascii="宋体" w:hAnsi="宋体" w:cs="仿宋_GB2312"/>
          <w:color w:val="auto"/>
          <w:sz w:val="21"/>
          <w:szCs w:val="21"/>
          <w:highlight w:val="none"/>
        </w:rPr>
        <w:t xml:space="preserve"> </w:t>
      </w:r>
    </w:p>
    <w:p w14:paraId="31415F0D">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2.不同供应商委托同一单位或者个人办理竞标事宜；</w:t>
      </w:r>
    </w:p>
    <w:p w14:paraId="2168DD37">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3.不同供应商的响应文件载明的项目管理员为同一个人；</w:t>
      </w:r>
    </w:p>
    <w:p w14:paraId="506C5871">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4.不</w:t>
      </w:r>
      <w:r>
        <w:rPr>
          <w:rFonts w:hint="eastAsia" w:ascii="宋体" w:hAnsi="宋体" w:cs="仿宋_GB2312"/>
          <w:color w:val="auto"/>
          <w:spacing w:val="-6"/>
          <w:sz w:val="21"/>
          <w:szCs w:val="21"/>
          <w:highlight w:val="none"/>
        </w:rPr>
        <w:t>同供应商的响应文件异常一致或者竞标报价呈规律性差异；</w:t>
      </w:r>
    </w:p>
    <w:p w14:paraId="752CBC58">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5.不同供应商的响应文件相互混装；</w:t>
      </w:r>
    </w:p>
    <w:p w14:paraId="0121F63E">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6.不同供应商的磋商保证金从同一单位或者个人账户转出。</w:t>
      </w:r>
    </w:p>
    <w:p w14:paraId="687A23D1">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二、我方承诺无下列恶意串通的情形：</w:t>
      </w:r>
    </w:p>
    <w:p w14:paraId="14104CFB">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1.供应商直接或者间接从采购人或者采购代理机构处获得其他供应商的相关信息并修改其响应文件；</w:t>
      </w:r>
    </w:p>
    <w:p w14:paraId="11EF1132">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2.供应商按照采购人或者采购代理机构的授意撤换、修改响应文件；</w:t>
      </w:r>
    </w:p>
    <w:p w14:paraId="70BF045B">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3.供</w:t>
      </w:r>
      <w:r>
        <w:rPr>
          <w:rFonts w:hint="eastAsia" w:ascii="宋体" w:hAnsi="宋体" w:cs="仿宋_GB2312"/>
          <w:color w:val="auto"/>
          <w:spacing w:val="-6"/>
          <w:sz w:val="21"/>
          <w:szCs w:val="21"/>
          <w:highlight w:val="none"/>
        </w:rPr>
        <w:t>应商之间协商报价、技术方案等响应文件的实质性内容；</w:t>
      </w:r>
    </w:p>
    <w:p w14:paraId="0DFBDA03">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4.属于同一集团、协会、商会等组织成员的供应商按照该组织要求协同参加政府采购活动；</w:t>
      </w:r>
    </w:p>
    <w:p w14:paraId="4A472117">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5.供应商之间事先约定一致抬高或者压低竞标报价，或者在竞争性磋商项目中事先约定轮流以高价位或者低价位成交，或者事先约定由某一特定供应商成交，然后再参加竞标；</w:t>
      </w:r>
    </w:p>
    <w:p w14:paraId="218E059E">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6.供应商之间商定部分供应商放弃参加政府采购活动或者放弃成交；</w:t>
      </w:r>
    </w:p>
    <w:p w14:paraId="4DD65311">
      <w:pPr>
        <w:spacing w:line="360" w:lineRule="auto"/>
        <w:ind w:firstLine="420" w:firstLineChars="200"/>
        <w:contextualSpacing/>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7.供应商与采购人或者采购代理机构之间、供应商相互之间，为</w:t>
      </w:r>
      <w:r>
        <w:rPr>
          <w:rFonts w:hint="eastAsia" w:ascii="宋体" w:hAnsi="宋体" w:cs="仿宋_GB2312"/>
          <w:color w:val="auto"/>
          <w:spacing w:val="-6"/>
          <w:sz w:val="21"/>
          <w:szCs w:val="21"/>
          <w:highlight w:val="none"/>
        </w:rPr>
        <w:t>谋求特定供应商成交或者排斥其他供应商的其他串通行为。</w:t>
      </w:r>
    </w:p>
    <w:p w14:paraId="71F0823B">
      <w:pPr>
        <w:spacing w:line="360" w:lineRule="auto"/>
        <w:ind w:firstLine="420" w:firstLineChars="200"/>
        <w:contextualSpacing/>
        <w:rPr>
          <w:rFonts w:hint="eastAsia" w:ascii="宋体" w:hAnsi="宋体" w:cs="仿宋_GB2312"/>
          <w:color w:val="auto"/>
          <w:sz w:val="21"/>
          <w:szCs w:val="21"/>
          <w:highlight w:val="none"/>
        </w:rPr>
      </w:pPr>
    </w:p>
    <w:p w14:paraId="758B11B7">
      <w:pPr>
        <w:spacing w:line="360" w:lineRule="auto"/>
        <w:ind w:firstLine="422" w:firstLineChars="200"/>
        <w:contextualSpacing/>
        <w:rPr>
          <w:rFonts w:hint="eastAsia" w:ascii="宋体" w:hAnsi="宋体" w:cs="仿宋_GB2312"/>
          <w:b/>
          <w:bCs/>
          <w:color w:val="auto"/>
          <w:sz w:val="21"/>
          <w:szCs w:val="21"/>
          <w:highlight w:val="none"/>
        </w:rPr>
      </w:pPr>
      <w:r>
        <w:rPr>
          <w:rFonts w:hint="eastAsia" w:ascii="宋体" w:hAnsi="宋体" w:cs="仿宋_GB2312"/>
          <w:b/>
          <w:bCs/>
          <w:color w:val="auto"/>
          <w:sz w:val="21"/>
          <w:szCs w:val="21"/>
          <w:highlight w:val="none"/>
        </w:rPr>
        <w:t>以上情形一经核查属实，我方愿意承担一切后果，并不再寻求任何旨在减轻或者免除法律责任的辩解。</w:t>
      </w:r>
    </w:p>
    <w:p w14:paraId="1A9BCB3D">
      <w:pPr>
        <w:spacing w:line="520" w:lineRule="exact"/>
        <w:jc w:val="both"/>
        <w:rPr>
          <w:rFonts w:hint="eastAsia" w:ascii="宋体" w:hAnsi="宋体" w:eastAsia="宋体" w:cs="宋体"/>
          <w:color w:val="auto"/>
          <w:sz w:val="21"/>
          <w:szCs w:val="21"/>
          <w:highlight w:val="none"/>
        </w:rPr>
      </w:pPr>
    </w:p>
    <w:p w14:paraId="17B6FEE5">
      <w:pPr>
        <w:pStyle w:val="34"/>
        <w:rPr>
          <w:rFonts w:hint="eastAsia" w:ascii="宋体" w:hAnsi="宋体" w:eastAsia="宋体" w:cs="宋体"/>
          <w:color w:val="auto"/>
          <w:sz w:val="44"/>
          <w:szCs w:val="44"/>
          <w:highlight w:val="none"/>
        </w:rPr>
      </w:pPr>
    </w:p>
    <w:p w14:paraId="5976E1D5">
      <w:pPr>
        <w:snapToGrid w:val="0"/>
        <w:spacing w:line="360" w:lineRule="auto"/>
        <w:ind w:firstLine="4200" w:firstLineChars="2000"/>
        <w:jc w:val="left"/>
        <w:rPr>
          <w:rFonts w:hint="default" w:ascii="宋体" w:hAnsi="宋体" w:eastAsia="宋体" w:cs="宋体"/>
          <w:color w:val="auto"/>
          <w:kern w:val="0"/>
          <w:sz w:val="21"/>
          <w:szCs w:val="21"/>
          <w:highlight w:val="none"/>
          <w:u w:val="single"/>
          <w:lang w:val="en-US" w:eastAsia="zh-CN"/>
        </w:rPr>
      </w:pPr>
      <w:r>
        <w:rPr>
          <w:rFonts w:hint="eastAsia" w:ascii="宋体" w:hAnsi="宋体" w:eastAsia="宋体" w:cs="宋体"/>
          <w:color w:val="auto"/>
          <w:kern w:val="0"/>
          <w:sz w:val="21"/>
          <w:szCs w:val="21"/>
          <w:highlight w:val="none"/>
          <w:lang w:val="zh-CN"/>
        </w:rPr>
        <w:t>供应商名称</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电子签章</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en-US" w:eastAsia="zh-CN"/>
        </w:rPr>
        <w:t xml:space="preserve">       </w:t>
      </w:r>
    </w:p>
    <w:p w14:paraId="16DFEEBE">
      <w:pPr>
        <w:snapToGrid w:val="0"/>
        <w:spacing w:line="360" w:lineRule="auto"/>
        <w:ind w:firstLine="6090" w:firstLineChars="29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月</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日</w:t>
      </w:r>
    </w:p>
    <w:p w14:paraId="30269A4A">
      <w:pPr>
        <w:pStyle w:val="34"/>
        <w:jc w:val="both"/>
        <w:rPr>
          <w:rFonts w:hint="eastAsia"/>
          <w:color w:val="auto"/>
        </w:rPr>
      </w:pPr>
    </w:p>
    <w:p w14:paraId="2FB8F85C">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1BABA133">
      <w:pPr>
        <w:spacing w:line="520" w:lineRule="exact"/>
        <w:jc w:val="both"/>
        <w:rPr>
          <w:rFonts w:hint="eastAsia" w:ascii="方正小标宋简体" w:hAnsi="方正小标宋简体" w:eastAsia="方正小标宋简体" w:cs="方正小标宋简体"/>
          <w:bCs/>
          <w:color w:val="auto"/>
          <w:sz w:val="40"/>
          <w:szCs w:val="40"/>
          <w:highlight w:val="none"/>
        </w:rPr>
      </w:pPr>
    </w:p>
    <w:p w14:paraId="7F2A564E">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50A5B56F">
      <w:pPr>
        <w:spacing w:line="520" w:lineRule="exact"/>
        <w:jc w:val="center"/>
        <w:rPr>
          <w:rFonts w:hint="eastAsia" w:ascii="方正小标宋简体" w:hAnsi="方正小标宋简体" w:eastAsia="方正小标宋简体" w:cs="方正小标宋简体"/>
          <w:bCs/>
          <w:color w:val="auto"/>
          <w:sz w:val="40"/>
          <w:szCs w:val="40"/>
          <w:highlight w:val="none"/>
        </w:rPr>
      </w:pPr>
    </w:p>
    <w:p w14:paraId="7949BB6D">
      <w:pPr>
        <w:spacing w:line="520" w:lineRule="exact"/>
        <w:jc w:val="center"/>
        <w:rPr>
          <w:rFonts w:hint="eastAsia" w:ascii="仿宋_GB2312" w:hAnsi="仿宋_GB2312" w:eastAsia="仿宋_GB2312" w:cs="仿宋_GB2312"/>
          <w:color w:val="auto"/>
          <w:sz w:val="28"/>
          <w:szCs w:val="28"/>
          <w:highlight w:val="none"/>
        </w:rPr>
      </w:pPr>
      <w:r>
        <w:rPr>
          <w:rFonts w:hint="eastAsia" w:ascii="方正小标宋简体" w:hAnsi="方正小标宋简体" w:eastAsia="方正小标宋简体" w:cs="方正小标宋简体"/>
          <w:bCs/>
          <w:color w:val="auto"/>
          <w:sz w:val="40"/>
          <w:szCs w:val="40"/>
          <w:highlight w:val="none"/>
        </w:rPr>
        <w:t>法定代表人证明书</w:t>
      </w:r>
    </w:p>
    <w:p w14:paraId="5F09D81B">
      <w:pPr>
        <w:spacing w:line="360" w:lineRule="auto"/>
        <w:ind w:left="540"/>
        <w:contextualSpacing/>
        <w:rPr>
          <w:rFonts w:hint="eastAsia" w:ascii="仿宋_GB2312" w:hAnsi="仿宋_GB2312" w:eastAsia="仿宋_GB2312" w:cs="仿宋_GB2312"/>
          <w:color w:val="auto"/>
          <w:sz w:val="28"/>
          <w:szCs w:val="28"/>
          <w:highlight w:val="none"/>
        </w:rPr>
      </w:pPr>
    </w:p>
    <w:p w14:paraId="2CEADA1E">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供应商名称：</w:t>
      </w:r>
      <w:r>
        <w:rPr>
          <w:rFonts w:hint="eastAsia" w:ascii="宋体" w:hAnsi="宋体" w:cs="仿宋_GB2312"/>
          <w:color w:val="auto"/>
          <w:sz w:val="22"/>
          <w:szCs w:val="22"/>
          <w:highlight w:val="none"/>
          <w:u w:val="single"/>
        </w:rPr>
        <w:t xml:space="preserve">                                                        </w:t>
      </w:r>
    </w:p>
    <w:p w14:paraId="135C2EBA">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地    址：</w:t>
      </w:r>
      <w:r>
        <w:rPr>
          <w:rFonts w:hint="eastAsia" w:ascii="宋体" w:hAnsi="宋体" w:cs="仿宋_GB2312"/>
          <w:color w:val="auto"/>
          <w:sz w:val="22"/>
          <w:szCs w:val="22"/>
          <w:highlight w:val="none"/>
          <w:u w:val="single"/>
        </w:rPr>
        <w:t xml:space="preserve">                                                        </w:t>
      </w:r>
    </w:p>
    <w:p w14:paraId="141A3D48">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姓    名：</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性     别：</w:t>
      </w:r>
      <w:r>
        <w:rPr>
          <w:rFonts w:hint="eastAsia" w:ascii="宋体" w:hAnsi="宋体" w:cs="仿宋_GB2312"/>
          <w:color w:val="auto"/>
          <w:sz w:val="22"/>
          <w:szCs w:val="22"/>
          <w:highlight w:val="none"/>
          <w:u w:val="single"/>
        </w:rPr>
        <w:t xml:space="preserve">                </w:t>
      </w:r>
    </w:p>
    <w:p w14:paraId="736110CD">
      <w:pPr>
        <w:spacing w:line="360" w:lineRule="auto"/>
        <w:ind w:left="540"/>
        <w:contextualSpacing/>
        <w:rPr>
          <w:rFonts w:hint="eastAsia" w:ascii="宋体" w:hAnsi="宋体" w:cs="仿宋_GB2312"/>
          <w:color w:val="auto"/>
          <w:sz w:val="22"/>
          <w:szCs w:val="22"/>
          <w:highlight w:val="none"/>
          <w:u w:val="single"/>
        </w:rPr>
      </w:pPr>
      <w:r>
        <w:rPr>
          <w:rFonts w:hint="eastAsia" w:ascii="宋体" w:hAnsi="宋体" w:cs="仿宋_GB2312"/>
          <w:color w:val="auto"/>
          <w:sz w:val="22"/>
          <w:szCs w:val="22"/>
          <w:highlight w:val="none"/>
        </w:rPr>
        <w:t>年    龄：</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职     务：</w:t>
      </w:r>
      <w:r>
        <w:rPr>
          <w:rFonts w:hint="eastAsia" w:ascii="宋体" w:hAnsi="宋体" w:cs="仿宋_GB2312"/>
          <w:color w:val="auto"/>
          <w:sz w:val="22"/>
          <w:szCs w:val="22"/>
          <w:highlight w:val="none"/>
          <w:u w:val="single"/>
        </w:rPr>
        <w:t xml:space="preserve">                </w:t>
      </w:r>
    </w:p>
    <w:p w14:paraId="1E89D98C">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身份证号码：</w:t>
      </w:r>
      <w:r>
        <w:rPr>
          <w:rFonts w:hint="eastAsia" w:ascii="宋体" w:hAnsi="宋体" w:cs="仿宋_GB2312"/>
          <w:color w:val="auto"/>
          <w:sz w:val="22"/>
          <w:szCs w:val="22"/>
          <w:highlight w:val="none"/>
          <w:u w:val="single"/>
        </w:rPr>
        <w:t xml:space="preserve">                                        </w:t>
      </w:r>
    </w:p>
    <w:p w14:paraId="27E529A7">
      <w:pPr>
        <w:spacing w:line="360" w:lineRule="auto"/>
        <w:ind w:firstLine="440" w:firstLineChars="20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系</w:t>
      </w:r>
      <w:r>
        <w:rPr>
          <w:rFonts w:hint="eastAsia" w:ascii="宋体" w:hAnsi="宋体" w:cs="仿宋_GB2312"/>
          <w:color w:val="auto"/>
          <w:sz w:val="22"/>
          <w:szCs w:val="22"/>
          <w:highlight w:val="none"/>
          <w:u w:val="single"/>
        </w:rPr>
        <w:t>（供应商名称）</w:t>
      </w:r>
      <w:r>
        <w:rPr>
          <w:rFonts w:hint="eastAsia" w:ascii="宋体" w:hAnsi="宋体" w:cs="仿宋_GB2312"/>
          <w:color w:val="auto"/>
          <w:sz w:val="22"/>
          <w:szCs w:val="22"/>
          <w:highlight w:val="none"/>
        </w:rPr>
        <w:t>的法定代表人。</w:t>
      </w:r>
    </w:p>
    <w:p w14:paraId="2DF70C00">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特此证明。</w:t>
      </w:r>
    </w:p>
    <w:p w14:paraId="198E8AA2">
      <w:pPr>
        <w:spacing w:line="360" w:lineRule="auto"/>
        <w:ind w:left="540"/>
        <w:contextualSpacing/>
        <w:rPr>
          <w:rFonts w:hint="eastAsia" w:ascii="宋体" w:hAnsi="宋体" w:cs="仿宋_GB2312"/>
          <w:color w:val="auto"/>
          <w:sz w:val="22"/>
          <w:szCs w:val="22"/>
          <w:highlight w:val="none"/>
        </w:rPr>
      </w:pPr>
    </w:p>
    <w:p w14:paraId="57245672">
      <w:pPr>
        <w:spacing w:line="360" w:lineRule="auto"/>
        <w:ind w:left="540"/>
        <w:contextualSpacing/>
        <w:rPr>
          <w:rFonts w:hint="eastAsia" w:ascii="宋体" w:hAnsi="宋体" w:cs="仿宋_GB2312"/>
          <w:color w:val="auto"/>
          <w:sz w:val="22"/>
          <w:szCs w:val="22"/>
          <w:highlight w:val="none"/>
        </w:rPr>
      </w:pPr>
    </w:p>
    <w:p w14:paraId="2D545069">
      <w:pPr>
        <w:spacing w:line="360" w:lineRule="auto"/>
        <w:ind w:left="540"/>
        <w:contextualSpacing/>
        <w:rPr>
          <w:rFonts w:hint="eastAsia" w:ascii="宋体" w:hAnsi="宋体" w:cs="仿宋_GB2312"/>
          <w:color w:val="auto"/>
          <w:sz w:val="22"/>
          <w:szCs w:val="22"/>
          <w:highlight w:val="none"/>
        </w:rPr>
      </w:pPr>
    </w:p>
    <w:p w14:paraId="077257BA">
      <w:pPr>
        <w:spacing w:line="360" w:lineRule="auto"/>
        <w:ind w:left="540"/>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附件：法定代表人有效身份证正反面复印件</w:t>
      </w:r>
    </w:p>
    <w:p w14:paraId="705A15CA">
      <w:pPr>
        <w:spacing w:line="360" w:lineRule="auto"/>
        <w:ind w:left="540" w:firstLine="4080" w:firstLineChars="1700"/>
        <w:contextualSpacing/>
        <w:rPr>
          <w:rFonts w:hint="default"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lang w:val="zh-CN"/>
        </w:rPr>
        <w:t>供应商名称</w:t>
      </w:r>
      <w:r>
        <w:rPr>
          <w:rFonts w:hint="eastAsia" w:ascii="宋体" w:hAnsi="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rPr>
        <w:t>电子签章</w:t>
      </w:r>
      <w:r>
        <w:rPr>
          <w:rFonts w:hint="eastAsia" w:ascii="宋体" w:hAnsi="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14:paraId="4883AA5D">
      <w:pPr>
        <w:snapToGrid w:val="0"/>
        <w:spacing w:line="360" w:lineRule="auto"/>
        <w:ind w:firstLine="5520" w:firstLineChars="23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日</w:t>
      </w:r>
    </w:p>
    <w:p w14:paraId="75D4F309">
      <w:pPr>
        <w:spacing w:line="360" w:lineRule="auto"/>
        <w:contextualSpacing/>
        <w:jc w:val="left"/>
        <w:rPr>
          <w:rFonts w:hint="eastAsia" w:ascii="宋体" w:hAnsi="宋体" w:cs="仿宋_GB2312"/>
          <w:color w:val="auto"/>
          <w:sz w:val="22"/>
          <w:szCs w:val="22"/>
          <w:highlight w:val="none"/>
        </w:rPr>
      </w:pPr>
    </w:p>
    <w:p w14:paraId="144A03E5">
      <w:pPr>
        <w:spacing w:line="360" w:lineRule="auto"/>
        <w:contextualSpacing/>
        <w:jc w:val="left"/>
        <w:rPr>
          <w:rFonts w:ascii="宋体" w:hAnsi="宋体" w:cs="仿宋_GB2312"/>
          <w:color w:val="auto"/>
          <w:sz w:val="22"/>
          <w:szCs w:val="22"/>
          <w:highlight w:val="none"/>
        </w:rPr>
      </w:pPr>
      <w:r>
        <w:rPr>
          <w:rFonts w:hint="eastAsia" w:ascii="宋体" w:hAnsi="宋体" w:cs="仿宋_GB2312"/>
          <w:color w:val="auto"/>
          <w:sz w:val="22"/>
          <w:szCs w:val="22"/>
          <w:highlight w:val="none"/>
        </w:rPr>
        <w:t>注：自然人竞标的无需提供，联合体竞标的只需牵头人出具。</w:t>
      </w:r>
    </w:p>
    <w:p w14:paraId="6F19ADF5">
      <w:pPr>
        <w:adjustRightInd w:val="0"/>
        <w:snapToGrid w:val="0"/>
        <w:spacing w:line="300" w:lineRule="auto"/>
        <w:jc w:val="left"/>
        <w:rPr>
          <w:rFonts w:hint="eastAsia" w:ascii="宋体" w:hAnsi="宋体"/>
          <w:b/>
          <w:color w:val="auto"/>
          <w:sz w:val="20"/>
          <w:szCs w:val="20"/>
          <w:highlight w:val="none"/>
        </w:rPr>
      </w:pPr>
    </w:p>
    <w:p w14:paraId="3872685B">
      <w:pPr>
        <w:spacing w:line="50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br w:type="page"/>
      </w:r>
      <w:r>
        <w:rPr>
          <w:rFonts w:ascii="方正小标宋简体" w:hAnsi="方正小标宋简体" w:eastAsia="方正小标宋简体" w:cs="方正小标宋简体"/>
          <w:color w:val="auto"/>
          <w:sz w:val="40"/>
          <w:szCs w:val="40"/>
          <w:highlight w:val="none"/>
        </w:rPr>
        <w:t xml:space="preserve"> </w:t>
      </w:r>
    </w:p>
    <w:p w14:paraId="40EA267B">
      <w:pPr>
        <w:spacing w:line="52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t>授权委托书</w:t>
      </w:r>
    </w:p>
    <w:p w14:paraId="3BB90E83">
      <w:pPr>
        <w:spacing w:line="520" w:lineRule="exact"/>
        <w:jc w:val="center"/>
        <w:rPr>
          <w:rFonts w:hint="eastAsia" w:ascii="方正小标宋简体" w:hAnsi="方正小标宋简体" w:eastAsia="方正小标宋简体" w:cs="方正小标宋简体"/>
          <w:color w:val="auto"/>
          <w:sz w:val="28"/>
          <w:szCs w:val="28"/>
          <w:highlight w:val="none"/>
        </w:rPr>
      </w:pPr>
      <w:r>
        <w:rPr>
          <w:rFonts w:hint="eastAsia" w:ascii="方正小标宋简体" w:hAnsi="方正小标宋简体" w:eastAsia="方正小标宋简体" w:cs="方正小标宋简体"/>
          <w:color w:val="auto"/>
          <w:sz w:val="28"/>
          <w:szCs w:val="28"/>
          <w:highlight w:val="none"/>
        </w:rPr>
        <w:t>（非联合体竞标格式）</w:t>
      </w:r>
    </w:p>
    <w:p w14:paraId="47E6EC66">
      <w:pPr>
        <w:spacing w:line="520" w:lineRule="exact"/>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28"/>
          <w:szCs w:val="28"/>
          <w:highlight w:val="none"/>
        </w:rPr>
        <w:t>（如有委托时）</w:t>
      </w:r>
    </w:p>
    <w:p w14:paraId="364D3126">
      <w:pPr>
        <w:spacing w:line="520" w:lineRule="exact"/>
        <w:rPr>
          <w:rFonts w:hint="eastAsia" w:ascii="仿宋_GB2312" w:hAnsi="仿宋_GB2312" w:eastAsia="仿宋_GB2312" w:cs="仿宋_GB2312"/>
          <w:color w:val="auto"/>
          <w:sz w:val="28"/>
          <w:szCs w:val="28"/>
          <w:highlight w:val="none"/>
        </w:rPr>
      </w:pPr>
    </w:p>
    <w:p w14:paraId="7F4829B4">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致：</w:t>
      </w:r>
      <w:r>
        <w:rPr>
          <w:rFonts w:hint="eastAsia" w:ascii="宋体" w:hAnsi="宋体" w:cs="仿宋_GB2312"/>
          <w:color w:val="auto"/>
          <w:sz w:val="22"/>
          <w:szCs w:val="22"/>
          <w:highlight w:val="none"/>
          <w:u w:val="single"/>
        </w:rPr>
        <w:t>（采购人名称）</w:t>
      </w:r>
      <w:r>
        <w:rPr>
          <w:rFonts w:hint="eastAsia" w:ascii="宋体" w:hAnsi="宋体" w:cs="仿宋_GB2312"/>
          <w:color w:val="auto"/>
          <w:sz w:val="22"/>
          <w:szCs w:val="22"/>
          <w:highlight w:val="none"/>
        </w:rPr>
        <w:t>：</w:t>
      </w:r>
    </w:p>
    <w:p w14:paraId="2AD30C90">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我</w:t>
      </w:r>
      <w:r>
        <w:rPr>
          <w:rFonts w:hint="eastAsia" w:ascii="宋体" w:hAnsi="宋体" w:cs="仿宋_GB2312"/>
          <w:color w:val="auto"/>
          <w:sz w:val="22"/>
          <w:szCs w:val="22"/>
          <w:highlight w:val="none"/>
          <w:u w:val="single"/>
        </w:rPr>
        <w:t xml:space="preserve">  （姓名）  </w:t>
      </w:r>
      <w:r>
        <w:rPr>
          <w:rFonts w:hint="eastAsia" w:ascii="宋体" w:hAnsi="宋体" w:cs="仿宋_GB2312"/>
          <w:color w:val="auto"/>
          <w:sz w:val="22"/>
          <w:szCs w:val="22"/>
          <w:highlight w:val="none"/>
        </w:rPr>
        <w:t>系</w:t>
      </w:r>
      <w:r>
        <w:rPr>
          <w:rFonts w:hint="eastAsia" w:ascii="宋体" w:hAnsi="宋体" w:cs="仿宋_GB2312"/>
          <w:color w:val="auto"/>
          <w:sz w:val="22"/>
          <w:szCs w:val="22"/>
          <w:highlight w:val="none"/>
          <w:u w:val="single"/>
        </w:rPr>
        <w:t xml:space="preserve">  （供应商名称）  </w:t>
      </w:r>
      <w:r>
        <w:rPr>
          <w:rFonts w:hint="eastAsia" w:ascii="宋体" w:hAnsi="宋体" w:cs="仿宋_GB2312"/>
          <w:color w:val="auto"/>
          <w:sz w:val="22"/>
          <w:szCs w:val="22"/>
          <w:highlight w:val="none"/>
        </w:rPr>
        <w:t>的（</w:t>
      </w:r>
      <w:r>
        <w:rPr>
          <w:rFonts w:hint="eastAsia" w:ascii="宋体" w:hAnsi="宋体" w:cs="仿宋_GB2312"/>
          <w:color w:val="auto"/>
          <w:sz w:val="22"/>
          <w:szCs w:val="22"/>
          <w:highlight w:val="none"/>
          <w:u w:val="single"/>
        </w:rPr>
        <w:t>□法定代表人/□负责人/□自然人本人</w:t>
      </w:r>
      <w:r>
        <w:rPr>
          <w:rFonts w:hint="eastAsia" w:ascii="宋体" w:hAnsi="宋体" w:cs="仿宋_GB2312"/>
          <w:color w:val="auto"/>
          <w:sz w:val="22"/>
          <w:szCs w:val="22"/>
          <w:highlight w:val="none"/>
        </w:rPr>
        <w:t>），现授权</w:t>
      </w:r>
      <w:r>
        <w:rPr>
          <w:rFonts w:hint="eastAsia" w:ascii="宋体" w:hAnsi="宋体" w:cs="仿宋_GB2312"/>
          <w:color w:val="auto"/>
          <w:sz w:val="22"/>
          <w:szCs w:val="22"/>
          <w:highlight w:val="none"/>
          <w:u w:val="single"/>
        </w:rPr>
        <w:t xml:space="preserve"> （姓名） </w:t>
      </w:r>
      <w:r>
        <w:rPr>
          <w:rFonts w:hint="eastAsia" w:ascii="宋体" w:hAnsi="宋体" w:cs="仿宋_GB2312"/>
          <w:color w:val="auto"/>
          <w:sz w:val="22"/>
          <w:szCs w:val="22"/>
          <w:highlight w:val="none"/>
        </w:rPr>
        <w:t>以我方的名义参加</w:t>
      </w:r>
      <w:r>
        <w:rPr>
          <w:rFonts w:hint="eastAsia" w:ascii="宋体" w:hAnsi="宋体" w:cs="仿宋_GB2312"/>
          <w:color w:val="auto"/>
          <w:sz w:val="22"/>
          <w:szCs w:val="22"/>
          <w:highlight w:val="none"/>
          <w:u w:val="single"/>
        </w:rPr>
        <w:t xml:space="preserve">              </w:t>
      </w:r>
      <w:r>
        <w:rPr>
          <w:rFonts w:hint="eastAsia" w:ascii="宋体" w:hAnsi="宋体" w:cs="仿宋_GB2312"/>
          <w:color w:val="auto"/>
          <w:sz w:val="22"/>
          <w:szCs w:val="22"/>
          <w:highlight w:val="none"/>
        </w:rPr>
        <w:t>项目的竞标活动，并代表我方全权办理针对上述项目的所有采购程序和环节的具体事务和签署相关文件。</w:t>
      </w:r>
    </w:p>
    <w:p w14:paraId="3FA0A8F6">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我方对委托代理人的签字</w:t>
      </w:r>
      <w:r>
        <w:rPr>
          <w:rFonts w:hint="eastAsia" w:ascii="宋体" w:hAnsi="宋体"/>
          <w:color w:val="auto"/>
          <w:sz w:val="22"/>
          <w:szCs w:val="22"/>
          <w:highlight w:val="none"/>
        </w:rPr>
        <w:t>或者电子签名</w:t>
      </w:r>
      <w:r>
        <w:rPr>
          <w:rFonts w:hint="eastAsia" w:ascii="宋体" w:hAnsi="宋体" w:cs="仿宋_GB2312"/>
          <w:color w:val="auto"/>
          <w:sz w:val="22"/>
          <w:szCs w:val="22"/>
          <w:highlight w:val="none"/>
        </w:rPr>
        <w:t>事项负全部责任。</w:t>
      </w:r>
    </w:p>
    <w:p w14:paraId="6797B4ED">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本授权书自签署之日起生效，在撤销授权的书面通知以前，本授权书一直有效。委托代理人在授权书有效期内签署的所有文件不因授权的撤销而失效。</w:t>
      </w:r>
    </w:p>
    <w:p w14:paraId="1E1A4C14">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委托代理人无转委托权，特此委托。</w:t>
      </w:r>
    </w:p>
    <w:p w14:paraId="31465EB6">
      <w:pPr>
        <w:spacing w:line="360" w:lineRule="auto"/>
        <w:ind w:firstLine="440" w:firstLineChars="200"/>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附：法定代表人身份证明书及委托代理人有效身份证正反面复印件</w:t>
      </w:r>
    </w:p>
    <w:p w14:paraId="30423CF1">
      <w:pPr>
        <w:spacing w:line="360" w:lineRule="auto"/>
        <w:rPr>
          <w:rFonts w:hint="eastAsia" w:ascii="宋体" w:hAnsi="宋体" w:cs="仿宋_GB2312"/>
          <w:color w:val="auto"/>
          <w:sz w:val="22"/>
          <w:szCs w:val="22"/>
          <w:highlight w:val="none"/>
        </w:rPr>
      </w:pPr>
    </w:p>
    <w:p w14:paraId="2175CA39">
      <w:pPr>
        <w:spacing w:line="360" w:lineRule="auto"/>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委托代理人（</w:t>
      </w:r>
      <w:r>
        <w:rPr>
          <w:rFonts w:hint="eastAsia" w:ascii="宋体" w:hAnsi="宋体" w:eastAsia="宋体" w:cs="宋体"/>
          <w:color w:val="auto"/>
          <w:sz w:val="22"/>
          <w:szCs w:val="22"/>
          <w:highlight w:val="none"/>
        </w:rPr>
        <w:t>签字</w:t>
      </w:r>
      <w:r>
        <w:rPr>
          <w:rFonts w:hint="eastAsia" w:ascii="宋体" w:hAnsi="宋体" w:cs="仿宋_GB2312"/>
          <w:color w:val="auto"/>
          <w:sz w:val="22"/>
          <w:szCs w:val="22"/>
          <w:highlight w:val="none"/>
        </w:rPr>
        <w:t xml:space="preserve">）：    </w:t>
      </w:r>
      <w:r>
        <w:rPr>
          <w:rFonts w:hint="eastAsia" w:ascii="宋体" w:hAnsi="宋体" w:cs="仿宋_GB2312"/>
          <w:color w:val="auto"/>
          <w:sz w:val="22"/>
          <w:szCs w:val="22"/>
          <w:highlight w:val="none"/>
          <w:lang w:val="en-US" w:eastAsia="zh-CN"/>
        </w:rPr>
        <w:t xml:space="preserve">                    </w:t>
      </w:r>
      <w:r>
        <w:rPr>
          <w:rFonts w:hint="eastAsia" w:ascii="宋体" w:hAnsi="宋体" w:cs="仿宋_GB2312"/>
          <w:color w:val="auto"/>
          <w:sz w:val="22"/>
          <w:szCs w:val="22"/>
          <w:highlight w:val="none"/>
        </w:rPr>
        <w:t xml:space="preserve"> 法定代表人（签字）：                    </w:t>
      </w:r>
    </w:p>
    <w:p w14:paraId="1D17C865">
      <w:pPr>
        <w:spacing w:line="360" w:lineRule="auto"/>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委托代理人身份证号码：                              </w:t>
      </w:r>
    </w:p>
    <w:p w14:paraId="415EC109">
      <w:pPr>
        <w:spacing w:line="360" w:lineRule="auto"/>
        <w:contextualSpacing/>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p>
    <w:p w14:paraId="1DA8803C">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r>
        <w:rPr>
          <w:rFonts w:hint="eastAsia" w:ascii="宋体" w:hAnsi="宋体" w:cs="仿宋_GB2312"/>
          <w:color w:val="auto"/>
          <w:sz w:val="22"/>
          <w:szCs w:val="22"/>
          <w:highlight w:val="none"/>
          <w:lang w:val="en-US" w:eastAsia="zh-CN"/>
        </w:rPr>
        <w:t xml:space="preserve">  </w:t>
      </w:r>
      <w:r>
        <w:rPr>
          <w:rFonts w:hint="eastAsia" w:ascii="宋体" w:hAnsi="宋体" w:cs="仿宋_GB2312"/>
          <w:color w:val="auto"/>
          <w:sz w:val="22"/>
          <w:szCs w:val="22"/>
          <w:highlight w:val="none"/>
        </w:rPr>
        <w:t xml:space="preserve">   供应商</w:t>
      </w:r>
      <w:r>
        <w:rPr>
          <w:rFonts w:hint="eastAsia" w:ascii="宋体" w:hAnsi="宋体" w:cs="仿宋_GB2312"/>
          <w:color w:val="auto"/>
          <w:sz w:val="22"/>
          <w:szCs w:val="22"/>
          <w:highlight w:val="none"/>
          <w:lang w:val="en-US" w:eastAsia="zh-CN"/>
        </w:rPr>
        <w:t>名称</w:t>
      </w:r>
      <w:r>
        <w:rPr>
          <w:rFonts w:hint="eastAsia" w:ascii="宋体" w:hAnsi="宋体" w:cs="仿宋_GB2312"/>
          <w:color w:val="auto"/>
          <w:sz w:val="22"/>
          <w:szCs w:val="22"/>
          <w:highlight w:val="none"/>
        </w:rPr>
        <w:t>（电子签章）：</w:t>
      </w:r>
      <w:r>
        <w:rPr>
          <w:rFonts w:hint="eastAsia" w:ascii="宋体" w:hAnsi="宋体" w:cs="仿宋_GB2312"/>
          <w:color w:val="auto"/>
          <w:sz w:val="22"/>
          <w:szCs w:val="22"/>
          <w:highlight w:val="none"/>
          <w:u w:val="single"/>
          <w:lang w:val="en-US" w:eastAsia="zh-CN"/>
        </w:rPr>
        <w:t xml:space="preserve">                   </w:t>
      </w:r>
      <w:r>
        <w:rPr>
          <w:rFonts w:hint="eastAsia" w:ascii="宋体" w:hAnsi="宋体" w:cs="仿宋_GB2312"/>
          <w:color w:val="auto"/>
          <w:sz w:val="22"/>
          <w:szCs w:val="22"/>
          <w:highlight w:val="none"/>
          <w:lang w:val="en-US" w:eastAsia="zh-CN"/>
        </w:rPr>
        <w:t xml:space="preserve"> </w:t>
      </w:r>
      <w:r>
        <w:rPr>
          <w:rFonts w:hint="eastAsia" w:ascii="宋体" w:hAnsi="宋体" w:cs="仿宋_GB2312"/>
          <w:color w:val="auto"/>
          <w:sz w:val="22"/>
          <w:szCs w:val="22"/>
          <w:highlight w:val="none"/>
        </w:rPr>
        <w:t xml:space="preserve">                      </w:t>
      </w:r>
    </w:p>
    <w:p w14:paraId="36442B39">
      <w:pPr>
        <w:spacing w:line="360" w:lineRule="auto"/>
        <w:rPr>
          <w:rFonts w:hint="eastAsia" w:ascii="宋体" w:hAnsi="宋体" w:cs="仿宋_GB2312"/>
          <w:color w:val="auto"/>
          <w:sz w:val="22"/>
          <w:szCs w:val="22"/>
          <w:highlight w:val="none"/>
        </w:rPr>
      </w:pPr>
      <w:r>
        <w:rPr>
          <w:rFonts w:hint="eastAsia" w:ascii="宋体" w:hAnsi="宋体" w:cs="仿宋_GB2312"/>
          <w:color w:val="auto"/>
          <w:sz w:val="22"/>
          <w:szCs w:val="22"/>
          <w:highlight w:val="none"/>
        </w:rPr>
        <w:t xml:space="preserve">                                         </w:t>
      </w:r>
      <w:r>
        <w:rPr>
          <w:rFonts w:hint="eastAsia" w:ascii="宋体" w:hAnsi="宋体" w:cs="仿宋_GB2312"/>
          <w:color w:val="auto"/>
          <w:sz w:val="22"/>
          <w:szCs w:val="22"/>
          <w:highlight w:val="none"/>
          <w:lang w:val="en-US" w:eastAsia="zh-CN"/>
        </w:rPr>
        <w:t xml:space="preserve">    日期：</w:t>
      </w:r>
      <w:r>
        <w:rPr>
          <w:rFonts w:hint="eastAsia" w:ascii="宋体" w:hAnsi="宋体" w:cs="仿宋_GB2312"/>
          <w:color w:val="auto"/>
          <w:sz w:val="22"/>
          <w:szCs w:val="22"/>
          <w:highlight w:val="none"/>
          <w:u w:val="single"/>
          <w:lang w:val="en-US" w:eastAsia="zh-CN"/>
        </w:rPr>
        <w:t xml:space="preserve">     </w:t>
      </w:r>
      <w:r>
        <w:rPr>
          <w:rFonts w:hint="eastAsia" w:ascii="宋体" w:hAnsi="宋体" w:cs="仿宋_GB2312"/>
          <w:color w:val="auto"/>
          <w:sz w:val="22"/>
          <w:szCs w:val="22"/>
          <w:highlight w:val="none"/>
        </w:rPr>
        <w:t>年</w:t>
      </w:r>
      <w:r>
        <w:rPr>
          <w:rFonts w:hint="eastAsia" w:ascii="宋体" w:hAnsi="宋体" w:cs="仿宋_GB2312"/>
          <w:color w:val="auto"/>
          <w:sz w:val="22"/>
          <w:szCs w:val="22"/>
          <w:highlight w:val="none"/>
          <w:u w:val="single"/>
          <w:lang w:val="en-US" w:eastAsia="zh-CN"/>
        </w:rPr>
        <w:t xml:space="preserve">     </w:t>
      </w:r>
      <w:r>
        <w:rPr>
          <w:rFonts w:hint="eastAsia" w:ascii="宋体" w:hAnsi="宋体" w:cs="仿宋_GB2312"/>
          <w:color w:val="auto"/>
          <w:sz w:val="22"/>
          <w:szCs w:val="22"/>
          <w:highlight w:val="none"/>
        </w:rPr>
        <w:t>月</w:t>
      </w:r>
      <w:r>
        <w:rPr>
          <w:rFonts w:hint="eastAsia" w:ascii="宋体" w:hAnsi="宋体" w:cs="仿宋_GB2312"/>
          <w:color w:val="auto"/>
          <w:sz w:val="22"/>
          <w:szCs w:val="22"/>
          <w:highlight w:val="none"/>
          <w:u w:val="single"/>
          <w:lang w:val="en-US" w:eastAsia="zh-CN"/>
        </w:rPr>
        <w:t xml:space="preserve">    </w:t>
      </w:r>
      <w:r>
        <w:rPr>
          <w:rFonts w:hint="eastAsia" w:ascii="宋体" w:hAnsi="宋体" w:cs="仿宋_GB2312"/>
          <w:color w:val="auto"/>
          <w:sz w:val="22"/>
          <w:szCs w:val="22"/>
          <w:highlight w:val="none"/>
        </w:rPr>
        <w:t>日</w:t>
      </w:r>
    </w:p>
    <w:p w14:paraId="39C9EDBC">
      <w:pPr>
        <w:spacing w:line="360" w:lineRule="auto"/>
        <w:rPr>
          <w:rFonts w:hint="eastAsia" w:ascii="宋体" w:hAnsi="宋体" w:cs="仿宋_GB2312"/>
          <w:color w:val="auto"/>
          <w:sz w:val="22"/>
          <w:szCs w:val="22"/>
          <w:highlight w:val="none"/>
        </w:rPr>
      </w:pPr>
    </w:p>
    <w:p w14:paraId="64A8BD59">
      <w:pPr>
        <w:spacing w:line="360" w:lineRule="auto"/>
        <w:rPr>
          <w:rFonts w:ascii="宋体" w:hAnsi="宋体" w:cs="仿宋_GB2312"/>
          <w:color w:val="auto"/>
          <w:sz w:val="22"/>
          <w:szCs w:val="22"/>
          <w:highlight w:val="none"/>
        </w:rPr>
      </w:pPr>
      <w:r>
        <w:rPr>
          <w:rFonts w:hint="eastAsia" w:ascii="宋体" w:hAnsi="宋体" w:cs="仿宋_GB2312"/>
          <w:color w:val="auto"/>
          <w:sz w:val="22"/>
          <w:szCs w:val="22"/>
          <w:highlight w:val="none"/>
        </w:rPr>
        <w:t>注：1. 法定代表人必须在授权委托书上签字或者盖章</w:t>
      </w:r>
      <w:r>
        <w:rPr>
          <w:rFonts w:hint="eastAsia" w:ascii="宋体" w:hAnsi="宋体"/>
          <w:color w:val="auto"/>
          <w:sz w:val="22"/>
          <w:szCs w:val="22"/>
          <w:highlight w:val="none"/>
        </w:rPr>
        <w:t>或者电子签名</w:t>
      </w:r>
      <w:r>
        <w:rPr>
          <w:rFonts w:hint="eastAsia" w:ascii="宋体" w:hAnsi="宋体" w:cs="仿宋_GB2312"/>
          <w:color w:val="auto"/>
          <w:sz w:val="22"/>
          <w:szCs w:val="22"/>
          <w:highlight w:val="none"/>
        </w:rPr>
        <w:t>，委托代理人必须在授权委托书上签字或者电子签名，</w:t>
      </w:r>
      <w:r>
        <w:rPr>
          <w:rFonts w:hint="eastAsia" w:ascii="宋体" w:hAnsi="宋体" w:cs="仿宋_GB2312"/>
          <w:b/>
          <w:color w:val="auto"/>
          <w:sz w:val="22"/>
          <w:szCs w:val="22"/>
          <w:highlight w:val="none"/>
        </w:rPr>
        <w:t>否则其响应文件按无效响应处理。</w:t>
      </w:r>
    </w:p>
    <w:p w14:paraId="5F260A60">
      <w:pPr>
        <w:spacing w:line="360" w:lineRule="auto"/>
        <w:ind w:firstLine="440" w:firstLineChars="200"/>
        <w:jc w:val="left"/>
        <w:rPr>
          <w:rFonts w:hint="eastAsia" w:ascii="宋体" w:hAnsi="宋体" w:cs="仿宋_GB2312"/>
          <w:color w:val="auto"/>
          <w:sz w:val="22"/>
          <w:szCs w:val="22"/>
          <w:highlight w:val="none"/>
        </w:rPr>
      </w:pPr>
      <w:r>
        <w:rPr>
          <w:rFonts w:ascii="宋体" w:hAnsi="宋体" w:cs="仿宋_GB2312"/>
          <w:color w:val="auto"/>
          <w:sz w:val="22"/>
          <w:szCs w:val="22"/>
          <w:highlight w:val="none"/>
        </w:rPr>
        <w:t>2.</w:t>
      </w:r>
      <w:bookmarkStart w:id="110" w:name="_Hlk65853109"/>
      <w:bookmarkStart w:id="111" w:name="_Hlk65853542"/>
      <w:r>
        <w:rPr>
          <w:rFonts w:hint="eastAsia" w:ascii="宋体" w:hAnsi="宋体" w:cs="仿宋_GB2312"/>
          <w:color w:val="auto"/>
          <w:sz w:val="22"/>
          <w:szCs w:val="22"/>
          <w:highlight w:val="none"/>
        </w:rPr>
        <w:t>法人、其他组织竞标时“我方”是指“我单位”，自然人竞标时“我方”是指“本人”。</w:t>
      </w:r>
      <w:bookmarkEnd w:id="110"/>
    </w:p>
    <w:bookmarkEnd w:id="111"/>
    <w:p w14:paraId="342A6B03">
      <w:pPr>
        <w:spacing w:line="360" w:lineRule="auto"/>
        <w:ind w:firstLine="400" w:firstLineChars="200"/>
        <w:jc w:val="left"/>
        <w:rPr>
          <w:rFonts w:hint="eastAsia" w:ascii="仿宋_GB2312" w:hAnsi="仿宋_GB2312" w:eastAsia="仿宋_GB2312" w:cs="仿宋_GB2312"/>
          <w:color w:val="auto"/>
          <w:sz w:val="20"/>
          <w:szCs w:val="20"/>
          <w:highlight w:val="none"/>
        </w:rPr>
      </w:pPr>
    </w:p>
    <w:p w14:paraId="01C73DC6">
      <w:pPr>
        <w:spacing w:line="360" w:lineRule="auto"/>
        <w:ind w:firstLine="400" w:firstLineChars="200"/>
        <w:jc w:val="left"/>
        <w:rPr>
          <w:rFonts w:hint="eastAsia" w:ascii="仿宋_GB2312" w:hAnsi="仿宋_GB2312" w:eastAsia="仿宋_GB2312" w:cs="仿宋_GB2312"/>
          <w:color w:val="auto"/>
          <w:sz w:val="20"/>
          <w:szCs w:val="20"/>
          <w:highlight w:val="none"/>
        </w:rPr>
      </w:pPr>
    </w:p>
    <w:p w14:paraId="4DC851B7">
      <w:pPr>
        <w:spacing w:line="360" w:lineRule="auto"/>
        <w:ind w:firstLine="400" w:firstLineChars="200"/>
        <w:jc w:val="left"/>
        <w:rPr>
          <w:rFonts w:hint="eastAsia" w:ascii="仿宋_GB2312" w:hAnsi="仿宋_GB2312" w:eastAsia="仿宋_GB2312" w:cs="仿宋_GB2312"/>
          <w:color w:val="auto"/>
          <w:sz w:val="20"/>
          <w:szCs w:val="20"/>
          <w:highlight w:val="none"/>
        </w:rPr>
      </w:pPr>
    </w:p>
    <w:p w14:paraId="571FD0AC">
      <w:pPr>
        <w:spacing w:line="360" w:lineRule="auto"/>
        <w:ind w:firstLine="400" w:firstLineChars="200"/>
        <w:jc w:val="left"/>
        <w:rPr>
          <w:rFonts w:hint="eastAsia" w:ascii="仿宋_GB2312" w:hAnsi="仿宋_GB2312" w:eastAsia="仿宋_GB2312" w:cs="仿宋_GB2312"/>
          <w:color w:val="auto"/>
          <w:sz w:val="20"/>
          <w:szCs w:val="20"/>
          <w:highlight w:val="none"/>
        </w:rPr>
      </w:pPr>
    </w:p>
    <w:p w14:paraId="21E3D3E5">
      <w:pPr>
        <w:spacing w:line="360" w:lineRule="auto"/>
        <w:ind w:firstLine="400" w:firstLineChars="200"/>
        <w:jc w:val="left"/>
        <w:rPr>
          <w:rFonts w:hint="eastAsia" w:ascii="仿宋_GB2312" w:hAnsi="仿宋_GB2312" w:eastAsia="仿宋_GB2312" w:cs="仿宋_GB2312"/>
          <w:color w:val="auto"/>
          <w:sz w:val="20"/>
          <w:szCs w:val="20"/>
          <w:highlight w:val="none"/>
        </w:rPr>
      </w:pPr>
    </w:p>
    <w:p w14:paraId="1B51F464">
      <w:pPr>
        <w:spacing w:line="360" w:lineRule="auto"/>
        <w:jc w:val="left"/>
        <w:rPr>
          <w:rFonts w:hint="eastAsia" w:ascii="仿宋_GB2312" w:hAnsi="仿宋_GB2312" w:eastAsia="仿宋_GB2312" w:cs="仿宋_GB2312"/>
          <w:color w:val="auto"/>
          <w:sz w:val="20"/>
          <w:szCs w:val="20"/>
          <w:highlight w:val="none"/>
        </w:rPr>
      </w:pPr>
    </w:p>
    <w:p w14:paraId="79F5BD41">
      <w:pPr>
        <w:jc w:val="center"/>
        <w:outlineLvl w:val="0"/>
        <w:rPr>
          <w:rFonts w:hint="eastAsia" w:ascii="宋体" w:hAnsi="宋体" w:eastAsia="宋体" w:cs="宋体"/>
          <w:b/>
          <w:bCs/>
          <w:color w:val="auto"/>
          <w:sz w:val="32"/>
          <w:szCs w:val="32"/>
        </w:rPr>
      </w:pPr>
      <w:bookmarkStart w:id="112" w:name="_Toc243584385"/>
      <w:bookmarkStart w:id="113" w:name="_Toc244494707"/>
      <w:bookmarkStart w:id="114" w:name="_Toc18571"/>
      <w:bookmarkStart w:id="115" w:name="_Toc24313"/>
      <w:bookmarkStart w:id="116" w:name="_Toc17013"/>
      <w:bookmarkStart w:id="117" w:name="_Toc23046764"/>
      <w:bookmarkStart w:id="118" w:name="_Toc23152656"/>
      <w:bookmarkStart w:id="119" w:name="_Toc5384"/>
      <w:bookmarkStart w:id="120" w:name="_Toc15743"/>
      <w:bookmarkStart w:id="121" w:name="_Toc514238701"/>
      <w:bookmarkStart w:id="122" w:name="_Toc10902"/>
      <w:bookmarkStart w:id="123" w:name="_Toc130893539"/>
      <w:bookmarkStart w:id="124" w:name="_Toc74156290"/>
      <w:bookmarkStart w:id="125" w:name="_Toc238633530"/>
      <w:r>
        <w:rPr>
          <w:rFonts w:hint="eastAsia" w:ascii="宋体" w:hAnsi="宋体" w:eastAsia="宋体" w:cs="宋体"/>
          <w:b/>
          <w:bCs/>
          <w:color w:val="auto"/>
          <w:kern w:val="0"/>
          <w:sz w:val="32"/>
          <w:szCs w:val="32"/>
        </w:rPr>
        <w:t>施工组织设计</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328959E">
      <w:pPr>
        <w:pStyle w:val="48"/>
        <w:bidi w:val="0"/>
        <w:spacing w:line="360" w:lineRule="auto"/>
        <w:ind w:firstLine="420" w:firstLineChars="200"/>
        <w:rPr>
          <w:rStyle w:val="27"/>
          <w:rFonts w:hint="eastAsia" w:ascii="宋体" w:hAnsi="宋体"/>
          <w:color w:val="auto"/>
          <w:highlight w:val="none"/>
        </w:rPr>
      </w:pPr>
      <w:bookmarkStart w:id="126" w:name="_Toc15158"/>
      <w:r>
        <w:rPr>
          <w:rStyle w:val="27"/>
          <w:rFonts w:hint="eastAsia"/>
          <w:color w:val="auto"/>
          <w:highlight w:val="none"/>
        </w:rPr>
        <w:t>一、</w:t>
      </w:r>
      <w:r>
        <w:rPr>
          <w:rStyle w:val="27"/>
          <w:rFonts w:hint="eastAsia" w:ascii="宋体" w:hAnsi="宋体"/>
          <w:color w:val="auto"/>
          <w:highlight w:val="none"/>
        </w:rPr>
        <w:t>技术标的</w:t>
      </w:r>
      <w:r>
        <w:rPr>
          <w:rStyle w:val="27"/>
          <w:color w:val="auto"/>
          <w:highlight w:val="none"/>
        </w:rPr>
        <w:t>施工组织</w:t>
      </w:r>
      <w:r>
        <w:rPr>
          <w:rStyle w:val="27"/>
          <w:rFonts w:hint="eastAsia"/>
          <w:color w:val="auto"/>
          <w:highlight w:val="none"/>
        </w:rPr>
        <w:t>设计</w:t>
      </w:r>
      <w:r>
        <w:rPr>
          <w:rStyle w:val="27"/>
          <w:rFonts w:hint="eastAsia" w:ascii="宋体" w:hAnsi="宋体"/>
          <w:color w:val="auto"/>
          <w:highlight w:val="none"/>
        </w:rPr>
        <w:t>编制要求：</w:t>
      </w:r>
    </w:p>
    <w:p w14:paraId="7E7C32CB">
      <w:pPr>
        <w:pStyle w:val="48"/>
        <w:bidi w:val="0"/>
        <w:spacing w:line="360" w:lineRule="auto"/>
        <w:ind w:firstLine="567" w:firstLineChars="270"/>
        <w:rPr>
          <w:rStyle w:val="27"/>
          <w:rFonts w:hint="eastAsia"/>
          <w:color w:val="auto"/>
          <w:highlight w:val="none"/>
          <w:lang w:val="en-US" w:eastAsia="zh-CN"/>
        </w:rPr>
      </w:pPr>
      <w:r>
        <w:rPr>
          <w:rStyle w:val="27"/>
          <w:rFonts w:hint="eastAsia" w:ascii="宋体" w:hAnsi="宋体"/>
          <w:color w:val="auto"/>
          <w:highlight w:val="none"/>
        </w:rPr>
        <w:t>1、技术标</w:t>
      </w:r>
      <w:r>
        <w:rPr>
          <w:rStyle w:val="27"/>
          <w:color w:val="auto"/>
          <w:highlight w:val="none"/>
        </w:rPr>
        <w:t>施工组织</w:t>
      </w:r>
      <w:r>
        <w:rPr>
          <w:rStyle w:val="27"/>
          <w:rFonts w:hint="eastAsia"/>
          <w:color w:val="auto"/>
          <w:highlight w:val="none"/>
        </w:rPr>
        <w:t>设计可</w:t>
      </w:r>
      <w:r>
        <w:rPr>
          <w:rStyle w:val="27"/>
          <w:rFonts w:hint="eastAsia" w:ascii="宋体" w:hAnsi="宋体"/>
          <w:color w:val="auto"/>
          <w:highlight w:val="none"/>
        </w:rPr>
        <w:t>采用文字并结合图表形式说明施工方法</w:t>
      </w:r>
      <w:r>
        <w:rPr>
          <w:rStyle w:val="27"/>
          <w:rFonts w:hint="eastAsia"/>
          <w:color w:val="auto"/>
          <w:highlight w:val="none"/>
          <w:lang w:eastAsia="zh-CN"/>
        </w:rPr>
        <w:t>，</w:t>
      </w:r>
      <w:r>
        <w:rPr>
          <w:rStyle w:val="27"/>
          <w:rFonts w:hint="eastAsia"/>
          <w:color w:val="auto"/>
          <w:highlight w:val="none"/>
          <w:lang w:val="en-US" w:eastAsia="zh-CN"/>
        </w:rPr>
        <w:t>编制顺序如下：</w:t>
      </w:r>
    </w:p>
    <w:p w14:paraId="38C59797">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（1）概述</w:t>
      </w:r>
    </w:p>
    <w:p w14:paraId="119CD0FF">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（2）主要施工方法；</w:t>
      </w:r>
    </w:p>
    <w:p w14:paraId="0D5924C2">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（3）拟投入的主要物资计划</w:t>
      </w:r>
      <w:r>
        <w:rPr>
          <w:rStyle w:val="27"/>
          <w:rFonts w:hint="eastAsia" w:ascii="宋体" w:hAnsi="宋体" w:cs="宋体"/>
          <w:color w:val="auto"/>
          <w:highlight w:val="none"/>
          <w:lang w:val="en-US" w:eastAsia="zh-CN"/>
        </w:rPr>
        <w:t>；</w:t>
      </w:r>
    </w:p>
    <w:p w14:paraId="5E329A21">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（4）拟投入的主要施工机械、设备计划</w:t>
      </w:r>
      <w:r>
        <w:rPr>
          <w:rStyle w:val="27"/>
          <w:rFonts w:hint="eastAsia" w:ascii="宋体" w:hAnsi="宋体" w:cs="宋体"/>
          <w:color w:val="auto"/>
          <w:highlight w:val="none"/>
          <w:lang w:val="en-US" w:eastAsia="zh-CN"/>
        </w:rPr>
        <w:t>；</w:t>
      </w:r>
    </w:p>
    <w:p w14:paraId="6048D789">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（5）劳动力安排计划；</w:t>
      </w:r>
    </w:p>
    <w:p w14:paraId="7E9533A4">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（6）确保工程质量的技术组织措施；</w:t>
      </w:r>
    </w:p>
    <w:p w14:paraId="30680129">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（7）确保安全生产的技术组织措施；</w:t>
      </w:r>
    </w:p>
    <w:p w14:paraId="713D02D6">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（8）确保工期的技术组织措施；</w:t>
      </w:r>
    </w:p>
    <w:p w14:paraId="5D2BC3ED">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（9）确保文明施工的技术组织措施；</w:t>
      </w:r>
    </w:p>
    <w:p w14:paraId="423E57D8">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eastAsia" w:ascii="宋体" w:hAnsi="宋体" w:eastAsia="宋体" w:cs="宋体"/>
          <w:color w:val="auto"/>
          <w:highlight w:val="none"/>
          <w:lang w:val="en-US" w:eastAsia="zh-CN"/>
        </w:rPr>
      </w:pPr>
      <w:r>
        <w:rPr>
          <w:rStyle w:val="27"/>
          <w:rFonts w:hint="eastAsia" w:ascii="宋体" w:hAnsi="宋体" w:eastAsia="宋体" w:cs="宋体"/>
          <w:color w:val="auto"/>
          <w:highlight w:val="none"/>
          <w:lang w:val="en-US" w:eastAsia="zh-CN"/>
        </w:rPr>
        <w:t>（10）工程施工的重点和难点及保证措施；</w:t>
      </w:r>
    </w:p>
    <w:p w14:paraId="26248131">
      <w:pPr>
        <w:pStyle w:val="48"/>
        <w:keepNext w:val="0"/>
        <w:keepLines w:val="0"/>
        <w:pageBreakBefore w:val="0"/>
        <w:widowControl w:val="0"/>
        <w:kinsoku/>
        <w:wordWrap/>
        <w:overflowPunct/>
        <w:topLinePunct w:val="0"/>
        <w:autoSpaceDE/>
        <w:autoSpaceDN/>
        <w:bidi w:val="0"/>
        <w:adjustRightInd/>
        <w:snapToGrid/>
        <w:spacing w:line="240" w:lineRule="auto"/>
        <w:ind w:firstLine="567" w:firstLineChars="270"/>
        <w:textAlignment w:val="auto"/>
        <w:rPr>
          <w:rStyle w:val="27"/>
          <w:rFonts w:hint="default" w:ascii="宋体" w:hAnsi="宋体" w:eastAsia="宋体" w:cs="宋体"/>
          <w:color w:val="auto"/>
          <w:highlight w:val="none"/>
          <w:lang w:val="en-US" w:eastAsia="zh-CN"/>
        </w:rPr>
      </w:pPr>
    </w:p>
    <w:p w14:paraId="57EF1396">
      <w:pPr>
        <w:pStyle w:val="48"/>
        <w:bidi w:val="0"/>
        <w:spacing w:line="360" w:lineRule="auto"/>
        <w:ind w:firstLine="210" w:firstLineChars="100"/>
        <w:rPr>
          <w:rStyle w:val="27"/>
          <w:rFonts w:hint="eastAsia" w:cs="宋体"/>
          <w:color w:val="auto"/>
          <w:highlight w:val="none"/>
        </w:rPr>
      </w:pPr>
      <w:r>
        <w:rPr>
          <w:rStyle w:val="27"/>
          <w:rFonts w:hint="eastAsia" w:ascii="宋体" w:hAnsi="宋体"/>
          <w:color w:val="auto"/>
          <w:highlight w:val="none"/>
        </w:rPr>
        <w:t>2、技术标</w:t>
      </w:r>
      <w:r>
        <w:rPr>
          <w:rStyle w:val="27"/>
          <w:color w:val="auto"/>
          <w:highlight w:val="none"/>
        </w:rPr>
        <w:t>施工组织</w:t>
      </w:r>
      <w:r>
        <w:rPr>
          <w:rStyle w:val="27"/>
          <w:rFonts w:hint="eastAsia"/>
          <w:color w:val="auto"/>
          <w:highlight w:val="none"/>
        </w:rPr>
        <w:t>设计</w:t>
      </w:r>
      <w:r>
        <w:rPr>
          <w:rStyle w:val="27"/>
          <w:rFonts w:hint="eastAsia" w:ascii="宋体" w:hAnsi="宋体"/>
          <w:color w:val="auto"/>
          <w:highlight w:val="none"/>
        </w:rPr>
        <w:t>除采用文字表述外可附下列图表，图表及格式要求附后。</w:t>
      </w:r>
    </w:p>
    <w:p w14:paraId="069801E8">
      <w:pPr>
        <w:pStyle w:val="48"/>
        <w:bidi w:val="0"/>
        <w:ind w:firstLine="210" w:firstLineChars="100"/>
        <w:rPr>
          <w:rStyle w:val="27"/>
          <w:color w:val="auto"/>
          <w:highlight w:val="none"/>
        </w:rPr>
      </w:pPr>
      <w:r>
        <w:rPr>
          <w:rStyle w:val="27"/>
          <w:rFonts w:hint="eastAsia" w:cs="宋体"/>
          <w:color w:val="auto"/>
          <w:highlight w:val="none"/>
        </w:rPr>
        <w:t>附表一：拟投入本工程的主要施工设备表</w:t>
      </w:r>
    </w:p>
    <w:tbl>
      <w:tblPr>
        <w:tblStyle w:val="25"/>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5A39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65121010">
            <w:pPr>
              <w:pStyle w:val="48"/>
              <w:jc w:val="center"/>
              <w:rPr>
                <w:rStyle w:val="27"/>
                <w:color w:val="auto"/>
                <w:highlight w:val="none"/>
              </w:rPr>
            </w:pPr>
            <w:r>
              <w:rPr>
                <w:rStyle w:val="27"/>
                <w:rFonts w:hint="eastAsia" w:cs="宋体"/>
                <w:color w:val="auto"/>
                <w:highlight w:val="none"/>
              </w:rPr>
              <w:t>序号</w:t>
            </w:r>
          </w:p>
        </w:tc>
        <w:tc>
          <w:tcPr>
            <w:tcW w:w="1226" w:type="dxa"/>
            <w:noWrap w:val="0"/>
            <w:vAlign w:val="center"/>
          </w:tcPr>
          <w:p w14:paraId="12C4AC05">
            <w:pPr>
              <w:pStyle w:val="48"/>
              <w:jc w:val="center"/>
              <w:rPr>
                <w:rStyle w:val="27"/>
                <w:color w:val="auto"/>
                <w:highlight w:val="none"/>
              </w:rPr>
            </w:pPr>
            <w:r>
              <w:rPr>
                <w:rStyle w:val="27"/>
                <w:rFonts w:hint="eastAsia" w:cs="宋体"/>
                <w:color w:val="auto"/>
                <w:highlight w:val="none"/>
              </w:rPr>
              <w:t>设备名称</w:t>
            </w:r>
          </w:p>
        </w:tc>
        <w:tc>
          <w:tcPr>
            <w:tcW w:w="851" w:type="dxa"/>
            <w:noWrap w:val="0"/>
            <w:vAlign w:val="center"/>
          </w:tcPr>
          <w:p w14:paraId="66DFDA1F">
            <w:pPr>
              <w:pStyle w:val="48"/>
              <w:jc w:val="center"/>
              <w:rPr>
                <w:rStyle w:val="27"/>
                <w:color w:val="auto"/>
                <w:highlight w:val="none"/>
              </w:rPr>
            </w:pPr>
            <w:r>
              <w:rPr>
                <w:rStyle w:val="27"/>
                <w:rFonts w:hint="eastAsia" w:cs="宋体"/>
                <w:color w:val="auto"/>
                <w:highlight w:val="none"/>
              </w:rPr>
              <w:t>型号</w:t>
            </w:r>
          </w:p>
          <w:p w14:paraId="43DA7F1D">
            <w:pPr>
              <w:pStyle w:val="48"/>
              <w:jc w:val="center"/>
              <w:rPr>
                <w:rStyle w:val="27"/>
                <w:color w:val="auto"/>
                <w:highlight w:val="none"/>
              </w:rPr>
            </w:pPr>
            <w:r>
              <w:rPr>
                <w:rStyle w:val="27"/>
                <w:rFonts w:hint="eastAsia" w:cs="宋体"/>
                <w:color w:val="auto"/>
                <w:highlight w:val="none"/>
              </w:rPr>
              <w:t>规格</w:t>
            </w:r>
          </w:p>
        </w:tc>
        <w:tc>
          <w:tcPr>
            <w:tcW w:w="708" w:type="dxa"/>
            <w:noWrap w:val="0"/>
            <w:vAlign w:val="center"/>
          </w:tcPr>
          <w:p w14:paraId="07FB4FC7">
            <w:pPr>
              <w:pStyle w:val="48"/>
              <w:jc w:val="center"/>
              <w:rPr>
                <w:rStyle w:val="27"/>
                <w:color w:val="auto"/>
                <w:highlight w:val="none"/>
              </w:rPr>
            </w:pPr>
            <w:r>
              <w:rPr>
                <w:rStyle w:val="27"/>
                <w:rFonts w:hint="eastAsia" w:cs="宋体"/>
                <w:color w:val="auto"/>
                <w:highlight w:val="none"/>
              </w:rPr>
              <w:t>数量</w:t>
            </w:r>
          </w:p>
        </w:tc>
        <w:tc>
          <w:tcPr>
            <w:tcW w:w="709" w:type="dxa"/>
            <w:noWrap w:val="0"/>
            <w:vAlign w:val="center"/>
          </w:tcPr>
          <w:p w14:paraId="55D170A3">
            <w:pPr>
              <w:pStyle w:val="48"/>
              <w:jc w:val="center"/>
              <w:rPr>
                <w:rStyle w:val="27"/>
                <w:color w:val="auto"/>
                <w:highlight w:val="none"/>
              </w:rPr>
            </w:pPr>
            <w:r>
              <w:rPr>
                <w:rStyle w:val="27"/>
                <w:rFonts w:hint="eastAsia" w:cs="宋体"/>
                <w:color w:val="auto"/>
                <w:highlight w:val="none"/>
              </w:rPr>
              <w:t>国别</w:t>
            </w:r>
          </w:p>
          <w:p w14:paraId="442436F9">
            <w:pPr>
              <w:pStyle w:val="48"/>
              <w:jc w:val="center"/>
              <w:rPr>
                <w:rStyle w:val="27"/>
                <w:color w:val="auto"/>
                <w:highlight w:val="none"/>
              </w:rPr>
            </w:pPr>
            <w:r>
              <w:rPr>
                <w:rStyle w:val="27"/>
                <w:rFonts w:hint="eastAsia" w:cs="宋体"/>
                <w:color w:val="auto"/>
                <w:highlight w:val="none"/>
              </w:rPr>
              <w:t>产地</w:t>
            </w:r>
          </w:p>
        </w:tc>
        <w:tc>
          <w:tcPr>
            <w:tcW w:w="851" w:type="dxa"/>
            <w:noWrap w:val="0"/>
            <w:vAlign w:val="center"/>
          </w:tcPr>
          <w:p w14:paraId="38F44457">
            <w:pPr>
              <w:pStyle w:val="48"/>
              <w:jc w:val="center"/>
              <w:rPr>
                <w:rStyle w:val="27"/>
                <w:color w:val="auto"/>
                <w:highlight w:val="none"/>
              </w:rPr>
            </w:pPr>
            <w:r>
              <w:rPr>
                <w:rStyle w:val="27"/>
                <w:rFonts w:hint="eastAsia" w:cs="宋体"/>
                <w:color w:val="auto"/>
                <w:highlight w:val="none"/>
              </w:rPr>
              <w:t>制造</w:t>
            </w:r>
          </w:p>
          <w:p w14:paraId="74BB3B7A">
            <w:pPr>
              <w:pStyle w:val="48"/>
              <w:jc w:val="center"/>
              <w:rPr>
                <w:rStyle w:val="27"/>
                <w:color w:val="auto"/>
                <w:highlight w:val="none"/>
              </w:rPr>
            </w:pPr>
            <w:r>
              <w:rPr>
                <w:rStyle w:val="27"/>
                <w:rFonts w:hint="eastAsia" w:cs="宋体"/>
                <w:color w:val="auto"/>
                <w:highlight w:val="none"/>
              </w:rPr>
              <w:t>年份</w:t>
            </w:r>
          </w:p>
        </w:tc>
        <w:tc>
          <w:tcPr>
            <w:tcW w:w="1134" w:type="dxa"/>
            <w:noWrap w:val="0"/>
            <w:vAlign w:val="center"/>
          </w:tcPr>
          <w:p w14:paraId="5A35DE71">
            <w:pPr>
              <w:pStyle w:val="48"/>
              <w:jc w:val="center"/>
              <w:rPr>
                <w:rStyle w:val="27"/>
                <w:color w:val="auto"/>
                <w:highlight w:val="none"/>
              </w:rPr>
            </w:pPr>
            <w:r>
              <w:rPr>
                <w:rStyle w:val="27"/>
                <w:rFonts w:hint="eastAsia" w:cs="宋体"/>
                <w:color w:val="auto"/>
                <w:highlight w:val="none"/>
              </w:rPr>
              <w:t>额定功率</w:t>
            </w:r>
          </w:p>
          <w:p w14:paraId="3FC1C28A">
            <w:pPr>
              <w:pStyle w:val="48"/>
              <w:jc w:val="center"/>
              <w:rPr>
                <w:rStyle w:val="27"/>
                <w:color w:val="auto"/>
                <w:highlight w:val="none"/>
              </w:rPr>
            </w:pPr>
            <w:r>
              <w:rPr>
                <w:rStyle w:val="27"/>
                <w:rFonts w:hint="eastAsia" w:cs="宋体"/>
                <w:color w:val="auto"/>
                <w:highlight w:val="none"/>
                <w:lang w:eastAsia="zh-CN"/>
              </w:rPr>
              <w:t>(</w:t>
            </w:r>
            <w:r>
              <w:rPr>
                <w:rStyle w:val="27"/>
                <w:color w:val="auto"/>
                <w:highlight w:val="none"/>
              </w:rPr>
              <w:t>KW</w:t>
            </w:r>
            <w:r>
              <w:rPr>
                <w:rStyle w:val="27"/>
                <w:rFonts w:hint="eastAsia"/>
                <w:color w:val="auto"/>
                <w:highlight w:val="none"/>
                <w:lang w:eastAsia="zh-CN"/>
              </w:rPr>
              <w:t>)</w:t>
            </w:r>
          </w:p>
        </w:tc>
        <w:tc>
          <w:tcPr>
            <w:tcW w:w="992" w:type="dxa"/>
            <w:noWrap w:val="0"/>
            <w:vAlign w:val="center"/>
          </w:tcPr>
          <w:p w14:paraId="477C6DBC">
            <w:pPr>
              <w:pStyle w:val="48"/>
              <w:jc w:val="center"/>
              <w:rPr>
                <w:rStyle w:val="27"/>
                <w:color w:val="auto"/>
                <w:highlight w:val="none"/>
              </w:rPr>
            </w:pPr>
            <w:r>
              <w:rPr>
                <w:rStyle w:val="27"/>
                <w:rFonts w:hint="eastAsia" w:cs="宋体"/>
                <w:color w:val="auto"/>
                <w:highlight w:val="none"/>
              </w:rPr>
              <w:t>生产</w:t>
            </w:r>
          </w:p>
          <w:p w14:paraId="1EF679A8">
            <w:pPr>
              <w:pStyle w:val="48"/>
              <w:jc w:val="center"/>
              <w:rPr>
                <w:rStyle w:val="27"/>
                <w:color w:val="auto"/>
                <w:highlight w:val="none"/>
              </w:rPr>
            </w:pPr>
            <w:r>
              <w:rPr>
                <w:rStyle w:val="27"/>
                <w:rFonts w:hint="eastAsia" w:cs="宋体"/>
                <w:color w:val="auto"/>
                <w:highlight w:val="none"/>
              </w:rPr>
              <w:t>能力</w:t>
            </w:r>
          </w:p>
        </w:tc>
        <w:tc>
          <w:tcPr>
            <w:tcW w:w="1134" w:type="dxa"/>
            <w:noWrap w:val="0"/>
            <w:vAlign w:val="center"/>
          </w:tcPr>
          <w:p w14:paraId="5523C13D">
            <w:pPr>
              <w:pStyle w:val="48"/>
              <w:jc w:val="center"/>
              <w:rPr>
                <w:rStyle w:val="27"/>
                <w:color w:val="auto"/>
                <w:highlight w:val="none"/>
              </w:rPr>
            </w:pPr>
            <w:r>
              <w:rPr>
                <w:rStyle w:val="27"/>
                <w:rFonts w:hint="eastAsia" w:cs="宋体"/>
                <w:color w:val="auto"/>
                <w:highlight w:val="none"/>
              </w:rPr>
              <w:t>用于施</w:t>
            </w:r>
          </w:p>
          <w:p w14:paraId="2C7FF64D">
            <w:pPr>
              <w:pStyle w:val="48"/>
              <w:jc w:val="center"/>
              <w:rPr>
                <w:rStyle w:val="27"/>
                <w:color w:val="auto"/>
                <w:highlight w:val="none"/>
              </w:rPr>
            </w:pPr>
            <w:r>
              <w:rPr>
                <w:rStyle w:val="27"/>
                <w:rFonts w:hint="eastAsia" w:cs="宋体"/>
                <w:color w:val="auto"/>
                <w:highlight w:val="none"/>
              </w:rPr>
              <w:t>工部位</w:t>
            </w:r>
          </w:p>
        </w:tc>
        <w:tc>
          <w:tcPr>
            <w:tcW w:w="992" w:type="dxa"/>
            <w:noWrap w:val="0"/>
            <w:vAlign w:val="center"/>
          </w:tcPr>
          <w:p w14:paraId="0B4F6906">
            <w:pPr>
              <w:pStyle w:val="48"/>
              <w:jc w:val="center"/>
              <w:rPr>
                <w:rStyle w:val="27"/>
                <w:color w:val="auto"/>
                <w:highlight w:val="none"/>
              </w:rPr>
            </w:pPr>
            <w:r>
              <w:rPr>
                <w:rStyle w:val="27"/>
                <w:rFonts w:hint="eastAsia" w:cs="宋体"/>
                <w:color w:val="auto"/>
                <w:highlight w:val="none"/>
              </w:rPr>
              <w:t>备注</w:t>
            </w:r>
          </w:p>
        </w:tc>
      </w:tr>
      <w:tr w14:paraId="0253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E9B44BD">
            <w:pPr>
              <w:pStyle w:val="48"/>
              <w:spacing w:line="360" w:lineRule="auto"/>
              <w:rPr>
                <w:rStyle w:val="27"/>
                <w:color w:val="auto"/>
                <w:highlight w:val="none"/>
              </w:rPr>
            </w:pPr>
          </w:p>
        </w:tc>
        <w:tc>
          <w:tcPr>
            <w:tcW w:w="1226" w:type="dxa"/>
            <w:noWrap w:val="0"/>
            <w:vAlign w:val="top"/>
          </w:tcPr>
          <w:p w14:paraId="4C462809">
            <w:pPr>
              <w:pStyle w:val="48"/>
              <w:spacing w:line="360" w:lineRule="auto"/>
              <w:ind w:firstLine="420" w:firstLineChars="200"/>
              <w:rPr>
                <w:rStyle w:val="27"/>
                <w:color w:val="auto"/>
                <w:highlight w:val="none"/>
              </w:rPr>
            </w:pPr>
          </w:p>
        </w:tc>
        <w:tc>
          <w:tcPr>
            <w:tcW w:w="851" w:type="dxa"/>
            <w:noWrap w:val="0"/>
            <w:vAlign w:val="top"/>
          </w:tcPr>
          <w:p w14:paraId="4147F5E9">
            <w:pPr>
              <w:pStyle w:val="48"/>
              <w:spacing w:line="360" w:lineRule="auto"/>
              <w:rPr>
                <w:rStyle w:val="27"/>
                <w:color w:val="auto"/>
                <w:highlight w:val="none"/>
              </w:rPr>
            </w:pPr>
          </w:p>
        </w:tc>
        <w:tc>
          <w:tcPr>
            <w:tcW w:w="708" w:type="dxa"/>
            <w:noWrap w:val="0"/>
            <w:vAlign w:val="top"/>
          </w:tcPr>
          <w:p w14:paraId="7878859B">
            <w:pPr>
              <w:pStyle w:val="48"/>
              <w:spacing w:line="360" w:lineRule="auto"/>
              <w:rPr>
                <w:rStyle w:val="27"/>
                <w:color w:val="auto"/>
                <w:highlight w:val="none"/>
              </w:rPr>
            </w:pPr>
          </w:p>
        </w:tc>
        <w:tc>
          <w:tcPr>
            <w:tcW w:w="709" w:type="dxa"/>
            <w:noWrap w:val="0"/>
            <w:vAlign w:val="top"/>
          </w:tcPr>
          <w:p w14:paraId="5E3434C1">
            <w:pPr>
              <w:pStyle w:val="48"/>
              <w:spacing w:line="360" w:lineRule="auto"/>
              <w:rPr>
                <w:rStyle w:val="27"/>
                <w:color w:val="auto"/>
                <w:highlight w:val="none"/>
              </w:rPr>
            </w:pPr>
          </w:p>
        </w:tc>
        <w:tc>
          <w:tcPr>
            <w:tcW w:w="851" w:type="dxa"/>
            <w:noWrap w:val="0"/>
            <w:vAlign w:val="top"/>
          </w:tcPr>
          <w:p w14:paraId="3C2A6FD0">
            <w:pPr>
              <w:pStyle w:val="48"/>
              <w:spacing w:line="360" w:lineRule="auto"/>
              <w:rPr>
                <w:rStyle w:val="27"/>
                <w:color w:val="auto"/>
                <w:highlight w:val="none"/>
              </w:rPr>
            </w:pPr>
          </w:p>
        </w:tc>
        <w:tc>
          <w:tcPr>
            <w:tcW w:w="1134" w:type="dxa"/>
            <w:noWrap w:val="0"/>
            <w:vAlign w:val="top"/>
          </w:tcPr>
          <w:p w14:paraId="48B227F2">
            <w:pPr>
              <w:pStyle w:val="48"/>
              <w:spacing w:line="360" w:lineRule="auto"/>
              <w:rPr>
                <w:rStyle w:val="27"/>
                <w:color w:val="auto"/>
                <w:highlight w:val="none"/>
              </w:rPr>
            </w:pPr>
          </w:p>
        </w:tc>
        <w:tc>
          <w:tcPr>
            <w:tcW w:w="992" w:type="dxa"/>
            <w:noWrap w:val="0"/>
            <w:vAlign w:val="top"/>
          </w:tcPr>
          <w:p w14:paraId="6F1D027F">
            <w:pPr>
              <w:pStyle w:val="48"/>
              <w:spacing w:line="360" w:lineRule="auto"/>
              <w:rPr>
                <w:rStyle w:val="27"/>
                <w:color w:val="auto"/>
                <w:highlight w:val="none"/>
              </w:rPr>
            </w:pPr>
          </w:p>
        </w:tc>
        <w:tc>
          <w:tcPr>
            <w:tcW w:w="1134" w:type="dxa"/>
            <w:noWrap w:val="0"/>
            <w:vAlign w:val="top"/>
          </w:tcPr>
          <w:p w14:paraId="1571FFEA">
            <w:pPr>
              <w:pStyle w:val="48"/>
              <w:spacing w:line="360" w:lineRule="auto"/>
              <w:rPr>
                <w:rStyle w:val="27"/>
                <w:color w:val="auto"/>
                <w:highlight w:val="none"/>
              </w:rPr>
            </w:pPr>
          </w:p>
        </w:tc>
        <w:tc>
          <w:tcPr>
            <w:tcW w:w="992" w:type="dxa"/>
            <w:noWrap w:val="0"/>
            <w:vAlign w:val="top"/>
          </w:tcPr>
          <w:p w14:paraId="4F50AEDF">
            <w:pPr>
              <w:pStyle w:val="48"/>
              <w:spacing w:line="360" w:lineRule="auto"/>
              <w:rPr>
                <w:rStyle w:val="27"/>
                <w:color w:val="auto"/>
                <w:highlight w:val="none"/>
              </w:rPr>
            </w:pPr>
          </w:p>
        </w:tc>
      </w:tr>
      <w:tr w14:paraId="276E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2F876126">
            <w:pPr>
              <w:pStyle w:val="48"/>
              <w:spacing w:line="360" w:lineRule="auto"/>
              <w:rPr>
                <w:rStyle w:val="27"/>
                <w:color w:val="auto"/>
                <w:highlight w:val="none"/>
              </w:rPr>
            </w:pPr>
          </w:p>
        </w:tc>
        <w:tc>
          <w:tcPr>
            <w:tcW w:w="1226" w:type="dxa"/>
            <w:noWrap w:val="0"/>
            <w:vAlign w:val="top"/>
          </w:tcPr>
          <w:p w14:paraId="2FB686B6">
            <w:pPr>
              <w:pStyle w:val="48"/>
              <w:spacing w:line="360" w:lineRule="auto"/>
              <w:rPr>
                <w:rStyle w:val="27"/>
                <w:color w:val="auto"/>
                <w:highlight w:val="none"/>
              </w:rPr>
            </w:pPr>
          </w:p>
        </w:tc>
        <w:tc>
          <w:tcPr>
            <w:tcW w:w="851" w:type="dxa"/>
            <w:noWrap w:val="0"/>
            <w:vAlign w:val="top"/>
          </w:tcPr>
          <w:p w14:paraId="570A9961">
            <w:pPr>
              <w:pStyle w:val="48"/>
              <w:spacing w:line="360" w:lineRule="auto"/>
              <w:rPr>
                <w:rStyle w:val="27"/>
                <w:color w:val="auto"/>
                <w:highlight w:val="none"/>
              </w:rPr>
            </w:pPr>
          </w:p>
        </w:tc>
        <w:tc>
          <w:tcPr>
            <w:tcW w:w="708" w:type="dxa"/>
            <w:noWrap w:val="0"/>
            <w:vAlign w:val="top"/>
          </w:tcPr>
          <w:p w14:paraId="0D5FD74A">
            <w:pPr>
              <w:pStyle w:val="48"/>
              <w:spacing w:line="360" w:lineRule="auto"/>
              <w:rPr>
                <w:rStyle w:val="27"/>
                <w:color w:val="auto"/>
                <w:highlight w:val="none"/>
              </w:rPr>
            </w:pPr>
          </w:p>
        </w:tc>
        <w:tc>
          <w:tcPr>
            <w:tcW w:w="709" w:type="dxa"/>
            <w:noWrap w:val="0"/>
            <w:vAlign w:val="top"/>
          </w:tcPr>
          <w:p w14:paraId="10F54AB9">
            <w:pPr>
              <w:pStyle w:val="48"/>
              <w:spacing w:line="360" w:lineRule="auto"/>
              <w:rPr>
                <w:rStyle w:val="27"/>
                <w:color w:val="auto"/>
                <w:highlight w:val="none"/>
              </w:rPr>
            </w:pPr>
          </w:p>
        </w:tc>
        <w:tc>
          <w:tcPr>
            <w:tcW w:w="851" w:type="dxa"/>
            <w:noWrap w:val="0"/>
            <w:vAlign w:val="top"/>
          </w:tcPr>
          <w:p w14:paraId="47FAED23">
            <w:pPr>
              <w:pStyle w:val="48"/>
              <w:spacing w:line="360" w:lineRule="auto"/>
              <w:rPr>
                <w:rStyle w:val="27"/>
                <w:color w:val="auto"/>
                <w:highlight w:val="none"/>
              </w:rPr>
            </w:pPr>
          </w:p>
        </w:tc>
        <w:tc>
          <w:tcPr>
            <w:tcW w:w="1134" w:type="dxa"/>
            <w:noWrap w:val="0"/>
            <w:vAlign w:val="top"/>
          </w:tcPr>
          <w:p w14:paraId="7A069356">
            <w:pPr>
              <w:pStyle w:val="48"/>
              <w:spacing w:line="360" w:lineRule="auto"/>
              <w:rPr>
                <w:rStyle w:val="27"/>
                <w:color w:val="auto"/>
                <w:highlight w:val="none"/>
              </w:rPr>
            </w:pPr>
          </w:p>
        </w:tc>
        <w:tc>
          <w:tcPr>
            <w:tcW w:w="992" w:type="dxa"/>
            <w:noWrap w:val="0"/>
            <w:vAlign w:val="top"/>
          </w:tcPr>
          <w:p w14:paraId="28DC30D7">
            <w:pPr>
              <w:pStyle w:val="48"/>
              <w:spacing w:line="360" w:lineRule="auto"/>
              <w:rPr>
                <w:rStyle w:val="27"/>
                <w:color w:val="auto"/>
                <w:highlight w:val="none"/>
              </w:rPr>
            </w:pPr>
          </w:p>
        </w:tc>
        <w:tc>
          <w:tcPr>
            <w:tcW w:w="1134" w:type="dxa"/>
            <w:noWrap w:val="0"/>
            <w:vAlign w:val="top"/>
          </w:tcPr>
          <w:p w14:paraId="6DC81E61">
            <w:pPr>
              <w:pStyle w:val="48"/>
              <w:spacing w:line="360" w:lineRule="auto"/>
              <w:rPr>
                <w:rStyle w:val="27"/>
                <w:color w:val="auto"/>
                <w:highlight w:val="none"/>
              </w:rPr>
            </w:pPr>
          </w:p>
        </w:tc>
        <w:tc>
          <w:tcPr>
            <w:tcW w:w="992" w:type="dxa"/>
            <w:noWrap w:val="0"/>
            <w:vAlign w:val="top"/>
          </w:tcPr>
          <w:p w14:paraId="1DB6F049">
            <w:pPr>
              <w:pStyle w:val="48"/>
              <w:spacing w:line="360" w:lineRule="auto"/>
              <w:rPr>
                <w:rStyle w:val="27"/>
                <w:color w:val="auto"/>
                <w:highlight w:val="none"/>
              </w:rPr>
            </w:pPr>
          </w:p>
        </w:tc>
      </w:tr>
      <w:tr w14:paraId="1652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38BA1A22">
            <w:pPr>
              <w:pStyle w:val="48"/>
              <w:spacing w:line="360" w:lineRule="auto"/>
              <w:rPr>
                <w:rStyle w:val="27"/>
                <w:color w:val="auto"/>
                <w:highlight w:val="none"/>
              </w:rPr>
            </w:pPr>
          </w:p>
        </w:tc>
        <w:tc>
          <w:tcPr>
            <w:tcW w:w="1226" w:type="dxa"/>
            <w:noWrap w:val="0"/>
            <w:vAlign w:val="top"/>
          </w:tcPr>
          <w:p w14:paraId="5DD64A66">
            <w:pPr>
              <w:pStyle w:val="48"/>
              <w:spacing w:line="360" w:lineRule="auto"/>
              <w:rPr>
                <w:rStyle w:val="27"/>
                <w:color w:val="auto"/>
                <w:highlight w:val="none"/>
              </w:rPr>
            </w:pPr>
          </w:p>
        </w:tc>
        <w:tc>
          <w:tcPr>
            <w:tcW w:w="851" w:type="dxa"/>
            <w:noWrap w:val="0"/>
            <w:vAlign w:val="top"/>
          </w:tcPr>
          <w:p w14:paraId="37FC5A48">
            <w:pPr>
              <w:pStyle w:val="48"/>
              <w:spacing w:line="360" w:lineRule="auto"/>
              <w:rPr>
                <w:rStyle w:val="27"/>
                <w:color w:val="auto"/>
                <w:highlight w:val="none"/>
              </w:rPr>
            </w:pPr>
          </w:p>
        </w:tc>
        <w:tc>
          <w:tcPr>
            <w:tcW w:w="708" w:type="dxa"/>
            <w:noWrap w:val="0"/>
            <w:vAlign w:val="top"/>
          </w:tcPr>
          <w:p w14:paraId="792AF722">
            <w:pPr>
              <w:pStyle w:val="48"/>
              <w:spacing w:line="360" w:lineRule="auto"/>
              <w:rPr>
                <w:rStyle w:val="27"/>
                <w:color w:val="auto"/>
                <w:highlight w:val="none"/>
              </w:rPr>
            </w:pPr>
          </w:p>
        </w:tc>
        <w:tc>
          <w:tcPr>
            <w:tcW w:w="709" w:type="dxa"/>
            <w:noWrap w:val="0"/>
            <w:vAlign w:val="top"/>
          </w:tcPr>
          <w:p w14:paraId="4962A199">
            <w:pPr>
              <w:pStyle w:val="48"/>
              <w:spacing w:line="360" w:lineRule="auto"/>
              <w:rPr>
                <w:rStyle w:val="27"/>
                <w:color w:val="auto"/>
                <w:highlight w:val="none"/>
              </w:rPr>
            </w:pPr>
          </w:p>
        </w:tc>
        <w:tc>
          <w:tcPr>
            <w:tcW w:w="851" w:type="dxa"/>
            <w:noWrap w:val="0"/>
            <w:vAlign w:val="top"/>
          </w:tcPr>
          <w:p w14:paraId="354D9772">
            <w:pPr>
              <w:pStyle w:val="48"/>
              <w:spacing w:line="360" w:lineRule="auto"/>
              <w:rPr>
                <w:rStyle w:val="27"/>
                <w:color w:val="auto"/>
                <w:highlight w:val="none"/>
              </w:rPr>
            </w:pPr>
          </w:p>
        </w:tc>
        <w:tc>
          <w:tcPr>
            <w:tcW w:w="1134" w:type="dxa"/>
            <w:noWrap w:val="0"/>
            <w:vAlign w:val="top"/>
          </w:tcPr>
          <w:p w14:paraId="58CF95E0">
            <w:pPr>
              <w:pStyle w:val="48"/>
              <w:spacing w:line="360" w:lineRule="auto"/>
              <w:rPr>
                <w:rStyle w:val="27"/>
                <w:color w:val="auto"/>
                <w:highlight w:val="none"/>
              </w:rPr>
            </w:pPr>
          </w:p>
        </w:tc>
        <w:tc>
          <w:tcPr>
            <w:tcW w:w="992" w:type="dxa"/>
            <w:noWrap w:val="0"/>
            <w:vAlign w:val="top"/>
          </w:tcPr>
          <w:p w14:paraId="4CF43A96">
            <w:pPr>
              <w:pStyle w:val="48"/>
              <w:spacing w:line="360" w:lineRule="auto"/>
              <w:rPr>
                <w:rStyle w:val="27"/>
                <w:color w:val="auto"/>
                <w:highlight w:val="none"/>
              </w:rPr>
            </w:pPr>
          </w:p>
        </w:tc>
        <w:tc>
          <w:tcPr>
            <w:tcW w:w="1134" w:type="dxa"/>
            <w:noWrap w:val="0"/>
            <w:vAlign w:val="top"/>
          </w:tcPr>
          <w:p w14:paraId="379E2682">
            <w:pPr>
              <w:pStyle w:val="48"/>
              <w:spacing w:line="360" w:lineRule="auto"/>
              <w:rPr>
                <w:rStyle w:val="27"/>
                <w:color w:val="auto"/>
                <w:highlight w:val="none"/>
              </w:rPr>
            </w:pPr>
          </w:p>
        </w:tc>
        <w:tc>
          <w:tcPr>
            <w:tcW w:w="992" w:type="dxa"/>
            <w:noWrap w:val="0"/>
            <w:vAlign w:val="top"/>
          </w:tcPr>
          <w:p w14:paraId="6F501680">
            <w:pPr>
              <w:pStyle w:val="48"/>
              <w:spacing w:line="360" w:lineRule="auto"/>
              <w:rPr>
                <w:rStyle w:val="27"/>
                <w:color w:val="auto"/>
                <w:highlight w:val="none"/>
              </w:rPr>
            </w:pPr>
          </w:p>
        </w:tc>
      </w:tr>
      <w:tr w14:paraId="6210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7DC48B3E">
            <w:pPr>
              <w:pStyle w:val="48"/>
              <w:spacing w:line="360" w:lineRule="auto"/>
              <w:rPr>
                <w:rStyle w:val="27"/>
                <w:color w:val="auto"/>
                <w:highlight w:val="none"/>
              </w:rPr>
            </w:pPr>
          </w:p>
        </w:tc>
        <w:tc>
          <w:tcPr>
            <w:tcW w:w="1226" w:type="dxa"/>
            <w:noWrap w:val="0"/>
            <w:vAlign w:val="top"/>
          </w:tcPr>
          <w:p w14:paraId="407A80AC">
            <w:pPr>
              <w:pStyle w:val="48"/>
              <w:spacing w:line="360" w:lineRule="auto"/>
              <w:rPr>
                <w:rStyle w:val="27"/>
                <w:color w:val="auto"/>
                <w:highlight w:val="none"/>
              </w:rPr>
            </w:pPr>
          </w:p>
        </w:tc>
        <w:tc>
          <w:tcPr>
            <w:tcW w:w="851" w:type="dxa"/>
            <w:noWrap w:val="0"/>
            <w:vAlign w:val="top"/>
          </w:tcPr>
          <w:p w14:paraId="2FCC0A17">
            <w:pPr>
              <w:pStyle w:val="48"/>
              <w:spacing w:line="360" w:lineRule="auto"/>
              <w:rPr>
                <w:rStyle w:val="27"/>
                <w:color w:val="auto"/>
                <w:highlight w:val="none"/>
              </w:rPr>
            </w:pPr>
          </w:p>
        </w:tc>
        <w:tc>
          <w:tcPr>
            <w:tcW w:w="708" w:type="dxa"/>
            <w:noWrap w:val="0"/>
            <w:vAlign w:val="top"/>
          </w:tcPr>
          <w:p w14:paraId="47872AFD">
            <w:pPr>
              <w:pStyle w:val="48"/>
              <w:spacing w:line="360" w:lineRule="auto"/>
              <w:rPr>
                <w:rStyle w:val="27"/>
                <w:color w:val="auto"/>
                <w:highlight w:val="none"/>
              </w:rPr>
            </w:pPr>
          </w:p>
        </w:tc>
        <w:tc>
          <w:tcPr>
            <w:tcW w:w="709" w:type="dxa"/>
            <w:noWrap w:val="0"/>
            <w:vAlign w:val="top"/>
          </w:tcPr>
          <w:p w14:paraId="08853908">
            <w:pPr>
              <w:pStyle w:val="48"/>
              <w:spacing w:line="360" w:lineRule="auto"/>
              <w:rPr>
                <w:rStyle w:val="27"/>
                <w:color w:val="auto"/>
                <w:highlight w:val="none"/>
              </w:rPr>
            </w:pPr>
          </w:p>
        </w:tc>
        <w:tc>
          <w:tcPr>
            <w:tcW w:w="851" w:type="dxa"/>
            <w:noWrap w:val="0"/>
            <w:vAlign w:val="top"/>
          </w:tcPr>
          <w:p w14:paraId="6B4A2271">
            <w:pPr>
              <w:pStyle w:val="48"/>
              <w:spacing w:line="360" w:lineRule="auto"/>
              <w:rPr>
                <w:rStyle w:val="27"/>
                <w:color w:val="auto"/>
                <w:highlight w:val="none"/>
              </w:rPr>
            </w:pPr>
          </w:p>
        </w:tc>
        <w:tc>
          <w:tcPr>
            <w:tcW w:w="1134" w:type="dxa"/>
            <w:noWrap w:val="0"/>
            <w:vAlign w:val="top"/>
          </w:tcPr>
          <w:p w14:paraId="1A5633D2">
            <w:pPr>
              <w:pStyle w:val="48"/>
              <w:spacing w:line="360" w:lineRule="auto"/>
              <w:rPr>
                <w:rStyle w:val="27"/>
                <w:color w:val="auto"/>
                <w:highlight w:val="none"/>
              </w:rPr>
            </w:pPr>
          </w:p>
        </w:tc>
        <w:tc>
          <w:tcPr>
            <w:tcW w:w="992" w:type="dxa"/>
            <w:noWrap w:val="0"/>
            <w:vAlign w:val="top"/>
          </w:tcPr>
          <w:p w14:paraId="12CF93D8">
            <w:pPr>
              <w:pStyle w:val="48"/>
              <w:spacing w:line="360" w:lineRule="auto"/>
              <w:rPr>
                <w:rStyle w:val="27"/>
                <w:color w:val="auto"/>
                <w:highlight w:val="none"/>
              </w:rPr>
            </w:pPr>
          </w:p>
        </w:tc>
        <w:tc>
          <w:tcPr>
            <w:tcW w:w="1134" w:type="dxa"/>
            <w:noWrap w:val="0"/>
            <w:vAlign w:val="top"/>
          </w:tcPr>
          <w:p w14:paraId="2D1B690F">
            <w:pPr>
              <w:pStyle w:val="48"/>
              <w:spacing w:line="360" w:lineRule="auto"/>
              <w:rPr>
                <w:rStyle w:val="27"/>
                <w:color w:val="auto"/>
                <w:highlight w:val="none"/>
              </w:rPr>
            </w:pPr>
          </w:p>
        </w:tc>
        <w:tc>
          <w:tcPr>
            <w:tcW w:w="992" w:type="dxa"/>
            <w:noWrap w:val="0"/>
            <w:vAlign w:val="top"/>
          </w:tcPr>
          <w:p w14:paraId="6C059852">
            <w:pPr>
              <w:pStyle w:val="48"/>
              <w:spacing w:line="360" w:lineRule="auto"/>
              <w:rPr>
                <w:rStyle w:val="27"/>
                <w:color w:val="auto"/>
                <w:highlight w:val="none"/>
              </w:rPr>
            </w:pPr>
          </w:p>
        </w:tc>
      </w:tr>
      <w:tr w14:paraId="1E4B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49E2F2E">
            <w:pPr>
              <w:pStyle w:val="48"/>
              <w:spacing w:line="360" w:lineRule="auto"/>
              <w:rPr>
                <w:rStyle w:val="27"/>
                <w:color w:val="auto"/>
                <w:highlight w:val="none"/>
              </w:rPr>
            </w:pPr>
          </w:p>
        </w:tc>
        <w:tc>
          <w:tcPr>
            <w:tcW w:w="1226" w:type="dxa"/>
            <w:noWrap w:val="0"/>
            <w:vAlign w:val="top"/>
          </w:tcPr>
          <w:p w14:paraId="0CD40DCC">
            <w:pPr>
              <w:pStyle w:val="48"/>
              <w:spacing w:line="360" w:lineRule="auto"/>
              <w:rPr>
                <w:rStyle w:val="27"/>
                <w:color w:val="auto"/>
                <w:highlight w:val="none"/>
              </w:rPr>
            </w:pPr>
          </w:p>
        </w:tc>
        <w:tc>
          <w:tcPr>
            <w:tcW w:w="851" w:type="dxa"/>
            <w:noWrap w:val="0"/>
            <w:vAlign w:val="top"/>
          </w:tcPr>
          <w:p w14:paraId="1031CAE3">
            <w:pPr>
              <w:pStyle w:val="48"/>
              <w:spacing w:line="360" w:lineRule="auto"/>
              <w:rPr>
                <w:rStyle w:val="27"/>
                <w:color w:val="auto"/>
                <w:highlight w:val="none"/>
              </w:rPr>
            </w:pPr>
          </w:p>
        </w:tc>
        <w:tc>
          <w:tcPr>
            <w:tcW w:w="708" w:type="dxa"/>
            <w:noWrap w:val="0"/>
            <w:vAlign w:val="top"/>
          </w:tcPr>
          <w:p w14:paraId="6A52534B">
            <w:pPr>
              <w:pStyle w:val="48"/>
              <w:spacing w:line="360" w:lineRule="auto"/>
              <w:rPr>
                <w:rStyle w:val="27"/>
                <w:color w:val="auto"/>
                <w:highlight w:val="none"/>
              </w:rPr>
            </w:pPr>
          </w:p>
        </w:tc>
        <w:tc>
          <w:tcPr>
            <w:tcW w:w="709" w:type="dxa"/>
            <w:noWrap w:val="0"/>
            <w:vAlign w:val="top"/>
          </w:tcPr>
          <w:p w14:paraId="05286C15">
            <w:pPr>
              <w:pStyle w:val="48"/>
              <w:spacing w:line="360" w:lineRule="auto"/>
              <w:rPr>
                <w:rStyle w:val="27"/>
                <w:color w:val="auto"/>
                <w:highlight w:val="none"/>
              </w:rPr>
            </w:pPr>
          </w:p>
        </w:tc>
        <w:tc>
          <w:tcPr>
            <w:tcW w:w="851" w:type="dxa"/>
            <w:noWrap w:val="0"/>
            <w:vAlign w:val="top"/>
          </w:tcPr>
          <w:p w14:paraId="3028B8E8">
            <w:pPr>
              <w:pStyle w:val="48"/>
              <w:spacing w:line="360" w:lineRule="auto"/>
              <w:rPr>
                <w:rStyle w:val="27"/>
                <w:color w:val="auto"/>
                <w:highlight w:val="none"/>
              </w:rPr>
            </w:pPr>
          </w:p>
        </w:tc>
        <w:tc>
          <w:tcPr>
            <w:tcW w:w="1134" w:type="dxa"/>
            <w:noWrap w:val="0"/>
            <w:vAlign w:val="top"/>
          </w:tcPr>
          <w:p w14:paraId="562D5589">
            <w:pPr>
              <w:pStyle w:val="48"/>
              <w:spacing w:line="360" w:lineRule="auto"/>
              <w:rPr>
                <w:rStyle w:val="27"/>
                <w:color w:val="auto"/>
                <w:highlight w:val="none"/>
              </w:rPr>
            </w:pPr>
          </w:p>
        </w:tc>
        <w:tc>
          <w:tcPr>
            <w:tcW w:w="992" w:type="dxa"/>
            <w:noWrap w:val="0"/>
            <w:vAlign w:val="top"/>
          </w:tcPr>
          <w:p w14:paraId="3BA8AD75">
            <w:pPr>
              <w:pStyle w:val="48"/>
              <w:spacing w:line="360" w:lineRule="auto"/>
              <w:rPr>
                <w:rStyle w:val="27"/>
                <w:color w:val="auto"/>
                <w:highlight w:val="none"/>
              </w:rPr>
            </w:pPr>
          </w:p>
        </w:tc>
        <w:tc>
          <w:tcPr>
            <w:tcW w:w="1134" w:type="dxa"/>
            <w:noWrap w:val="0"/>
            <w:vAlign w:val="top"/>
          </w:tcPr>
          <w:p w14:paraId="1D25A50B">
            <w:pPr>
              <w:pStyle w:val="48"/>
              <w:spacing w:line="360" w:lineRule="auto"/>
              <w:rPr>
                <w:rStyle w:val="27"/>
                <w:color w:val="auto"/>
                <w:highlight w:val="none"/>
              </w:rPr>
            </w:pPr>
          </w:p>
        </w:tc>
        <w:tc>
          <w:tcPr>
            <w:tcW w:w="992" w:type="dxa"/>
            <w:noWrap w:val="0"/>
            <w:vAlign w:val="top"/>
          </w:tcPr>
          <w:p w14:paraId="5154EABF">
            <w:pPr>
              <w:pStyle w:val="48"/>
              <w:spacing w:line="360" w:lineRule="auto"/>
              <w:rPr>
                <w:rStyle w:val="27"/>
                <w:color w:val="auto"/>
                <w:highlight w:val="none"/>
              </w:rPr>
            </w:pPr>
          </w:p>
        </w:tc>
      </w:tr>
    </w:tbl>
    <w:p w14:paraId="40B7C57C">
      <w:pPr>
        <w:pStyle w:val="48"/>
        <w:bidi w:val="0"/>
        <w:rPr>
          <w:rStyle w:val="27"/>
          <w:color w:val="auto"/>
          <w:highlight w:val="none"/>
        </w:rPr>
      </w:pPr>
    </w:p>
    <w:p w14:paraId="218C1E01">
      <w:pPr>
        <w:pStyle w:val="48"/>
        <w:bidi w:val="0"/>
        <w:rPr>
          <w:rStyle w:val="27"/>
          <w:color w:val="auto"/>
          <w:highlight w:val="none"/>
        </w:rPr>
      </w:pPr>
    </w:p>
    <w:p w14:paraId="11232DF8">
      <w:pPr>
        <w:pStyle w:val="48"/>
        <w:bidi w:val="0"/>
        <w:ind w:firstLine="210" w:firstLineChars="100"/>
        <w:rPr>
          <w:rStyle w:val="27"/>
          <w:color w:val="auto"/>
          <w:highlight w:val="none"/>
        </w:rPr>
      </w:pPr>
      <w:r>
        <w:rPr>
          <w:rStyle w:val="27"/>
          <w:rFonts w:hint="eastAsia" w:cs="宋体"/>
          <w:color w:val="auto"/>
          <w:highlight w:val="none"/>
        </w:rPr>
        <w:t>附表二：拟配备本工程的试验和检测仪器设备表</w:t>
      </w:r>
    </w:p>
    <w:tbl>
      <w:tblPr>
        <w:tblStyle w:val="25"/>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3684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591F45C9">
            <w:pPr>
              <w:pStyle w:val="48"/>
              <w:jc w:val="center"/>
              <w:rPr>
                <w:rStyle w:val="27"/>
                <w:color w:val="auto"/>
                <w:highlight w:val="none"/>
              </w:rPr>
            </w:pPr>
            <w:r>
              <w:rPr>
                <w:rStyle w:val="27"/>
                <w:rFonts w:hint="eastAsia" w:cs="宋体"/>
                <w:color w:val="auto"/>
                <w:highlight w:val="none"/>
              </w:rPr>
              <w:t>序号</w:t>
            </w:r>
          </w:p>
        </w:tc>
        <w:tc>
          <w:tcPr>
            <w:tcW w:w="1226" w:type="dxa"/>
            <w:noWrap w:val="0"/>
            <w:vAlign w:val="center"/>
          </w:tcPr>
          <w:p w14:paraId="221E44AE">
            <w:pPr>
              <w:pStyle w:val="48"/>
              <w:jc w:val="center"/>
              <w:rPr>
                <w:rStyle w:val="27"/>
                <w:color w:val="auto"/>
                <w:highlight w:val="none"/>
              </w:rPr>
            </w:pPr>
            <w:r>
              <w:rPr>
                <w:rStyle w:val="27"/>
                <w:rFonts w:hint="eastAsia" w:cs="宋体"/>
                <w:color w:val="auto"/>
                <w:highlight w:val="none"/>
              </w:rPr>
              <w:t>仪器设备名称</w:t>
            </w:r>
          </w:p>
        </w:tc>
        <w:tc>
          <w:tcPr>
            <w:tcW w:w="851" w:type="dxa"/>
            <w:noWrap w:val="0"/>
            <w:vAlign w:val="center"/>
          </w:tcPr>
          <w:p w14:paraId="3F8039EA">
            <w:pPr>
              <w:pStyle w:val="48"/>
              <w:jc w:val="center"/>
              <w:rPr>
                <w:rStyle w:val="27"/>
                <w:color w:val="auto"/>
                <w:highlight w:val="none"/>
              </w:rPr>
            </w:pPr>
            <w:r>
              <w:rPr>
                <w:rStyle w:val="27"/>
                <w:rFonts w:hint="eastAsia" w:cs="宋体"/>
                <w:color w:val="auto"/>
                <w:highlight w:val="none"/>
              </w:rPr>
              <w:t>型号</w:t>
            </w:r>
          </w:p>
          <w:p w14:paraId="1C6F9FA4">
            <w:pPr>
              <w:pStyle w:val="48"/>
              <w:jc w:val="center"/>
              <w:rPr>
                <w:rStyle w:val="27"/>
                <w:color w:val="auto"/>
                <w:highlight w:val="none"/>
              </w:rPr>
            </w:pPr>
            <w:r>
              <w:rPr>
                <w:rStyle w:val="27"/>
                <w:rFonts w:hint="eastAsia" w:cs="宋体"/>
                <w:color w:val="auto"/>
                <w:highlight w:val="none"/>
              </w:rPr>
              <w:t>规格</w:t>
            </w:r>
          </w:p>
        </w:tc>
        <w:tc>
          <w:tcPr>
            <w:tcW w:w="708" w:type="dxa"/>
            <w:noWrap w:val="0"/>
            <w:vAlign w:val="center"/>
          </w:tcPr>
          <w:p w14:paraId="723BA996">
            <w:pPr>
              <w:pStyle w:val="48"/>
              <w:jc w:val="center"/>
              <w:rPr>
                <w:rStyle w:val="27"/>
                <w:color w:val="auto"/>
                <w:highlight w:val="none"/>
              </w:rPr>
            </w:pPr>
            <w:r>
              <w:rPr>
                <w:rStyle w:val="27"/>
                <w:rFonts w:hint="eastAsia" w:cs="宋体"/>
                <w:color w:val="auto"/>
                <w:highlight w:val="none"/>
              </w:rPr>
              <w:t>数量</w:t>
            </w:r>
          </w:p>
        </w:tc>
        <w:tc>
          <w:tcPr>
            <w:tcW w:w="709" w:type="dxa"/>
            <w:noWrap w:val="0"/>
            <w:vAlign w:val="center"/>
          </w:tcPr>
          <w:p w14:paraId="0C418B9C">
            <w:pPr>
              <w:pStyle w:val="48"/>
              <w:jc w:val="center"/>
              <w:rPr>
                <w:rStyle w:val="27"/>
                <w:color w:val="auto"/>
                <w:highlight w:val="none"/>
              </w:rPr>
            </w:pPr>
            <w:r>
              <w:rPr>
                <w:rStyle w:val="27"/>
                <w:rFonts w:hint="eastAsia" w:cs="宋体"/>
                <w:color w:val="auto"/>
                <w:highlight w:val="none"/>
              </w:rPr>
              <w:t>国别</w:t>
            </w:r>
          </w:p>
          <w:p w14:paraId="18A3A839">
            <w:pPr>
              <w:pStyle w:val="48"/>
              <w:jc w:val="center"/>
              <w:rPr>
                <w:rStyle w:val="27"/>
                <w:color w:val="auto"/>
                <w:highlight w:val="none"/>
              </w:rPr>
            </w:pPr>
            <w:r>
              <w:rPr>
                <w:rStyle w:val="27"/>
                <w:rFonts w:hint="eastAsia" w:cs="宋体"/>
                <w:color w:val="auto"/>
                <w:highlight w:val="none"/>
              </w:rPr>
              <w:t>产地</w:t>
            </w:r>
          </w:p>
        </w:tc>
        <w:tc>
          <w:tcPr>
            <w:tcW w:w="1134" w:type="dxa"/>
            <w:noWrap w:val="0"/>
            <w:vAlign w:val="center"/>
          </w:tcPr>
          <w:p w14:paraId="48126BEE">
            <w:pPr>
              <w:pStyle w:val="48"/>
              <w:jc w:val="center"/>
              <w:rPr>
                <w:rStyle w:val="27"/>
                <w:color w:val="auto"/>
                <w:highlight w:val="none"/>
              </w:rPr>
            </w:pPr>
            <w:r>
              <w:rPr>
                <w:rStyle w:val="27"/>
                <w:rFonts w:hint="eastAsia" w:cs="宋体"/>
                <w:color w:val="auto"/>
                <w:highlight w:val="none"/>
              </w:rPr>
              <w:t>制造年份</w:t>
            </w:r>
          </w:p>
        </w:tc>
        <w:tc>
          <w:tcPr>
            <w:tcW w:w="1276" w:type="dxa"/>
            <w:noWrap w:val="0"/>
            <w:vAlign w:val="center"/>
          </w:tcPr>
          <w:p w14:paraId="49F33A8B">
            <w:pPr>
              <w:pStyle w:val="48"/>
              <w:jc w:val="center"/>
              <w:rPr>
                <w:rStyle w:val="27"/>
                <w:color w:val="auto"/>
                <w:highlight w:val="none"/>
              </w:rPr>
            </w:pPr>
            <w:r>
              <w:rPr>
                <w:rStyle w:val="27"/>
                <w:rFonts w:hint="eastAsia" w:cs="宋体"/>
                <w:color w:val="auto"/>
                <w:highlight w:val="none"/>
              </w:rPr>
              <w:t>已使用</w:t>
            </w:r>
          </w:p>
          <w:p w14:paraId="5F6862AA">
            <w:pPr>
              <w:pStyle w:val="48"/>
              <w:jc w:val="center"/>
              <w:rPr>
                <w:rStyle w:val="27"/>
                <w:color w:val="auto"/>
                <w:highlight w:val="none"/>
              </w:rPr>
            </w:pPr>
            <w:r>
              <w:rPr>
                <w:rStyle w:val="27"/>
                <w:rFonts w:hint="eastAsia" w:cs="宋体"/>
                <w:color w:val="auto"/>
                <w:highlight w:val="none"/>
              </w:rPr>
              <w:t>台时数</w:t>
            </w:r>
          </w:p>
        </w:tc>
        <w:tc>
          <w:tcPr>
            <w:tcW w:w="1134" w:type="dxa"/>
            <w:noWrap w:val="0"/>
            <w:vAlign w:val="center"/>
          </w:tcPr>
          <w:p w14:paraId="3761E0CE">
            <w:pPr>
              <w:pStyle w:val="48"/>
              <w:jc w:val="center"/>
              <w:rPr>
                <w:rStyle w:val="27"/>
                <w:color w:val="auto"/>
                <w:highlight w:val="none"/>
              </w:rPr>
            </w:pPr>
            <w:r>
              <w:rPr>
                <w:rStyle w:val="27"/>
                <w:rFonts w:hint="eastAsia" w:cs="宋体"/>
                <w:color w:val="auto"/>
                <w:highlight w:val="none"/>
              </w:rPr>
              <w:t>用途</w:t>
            </w:r>
          </w:p>
        </w:tc>
        <w:tc>
          <w:tcPr>
            <w:tcW w:w="1559" w:type="dxa"/>
            <w:noWrap w:val="0"/>
            <w:vAlign w:val="center"/>
          </w:tcPr>
          <w:p w14:paraId="5080702C">
            <w:pPr>
              <w:pStyle w:val="48"/>
              <w:jc w:val="center"/>
              <w:rPr>
                <w:rStyle w:val="27"/>
                <w:color w:val="auto"/>
                <w:highlight w:val="none"/>
              </w:rPr>
            </w:pPr>
            <w:r>
              <w:rPr>
                <w:rStyle w:val="27"/>
                <w:rFonts w:hint="eastAsia" w:cs="宋体"/>
                <w:color w:val="auto"/>
                <w:highlight w:val="none"/>
              </w:rPr>
              <w:t>备注</w:t>
            </w:r>
          </w:p>
        </w:tc>
      </w:tr>
      <w:tr w14:paraId="317D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02927B67">
            <w:pPr>
              <w:pStyle w:val="48"/>
              <w:spacing w:line="360" w:lineRule="auto"/>
              <w:ind w:firstLine="420" w:firstLineChars="200"/>
              <w:rPr>
                <w:rStyle w:val="27"/>
                <w:color w:val="auto"/>
                <w:highlight w:val="none"/>
              </w:rPr>
            </w:pPr>
          </w:p>
        </w:tc>
        <w:tc>
          <w:tcPr>
            <w:tcW w:w="1226" w:type="dxa"/>
            <w:noWrap w:val="0"/>
            <w:vAlign w:val="center"/>
          </w:tcPr>
          <w:p w14:paraId="7612559E">
            <w:pPr>
              <w:pStyle w:val="48"/>
              <w:spacing w:line="360" w:lineRule="auto"/>
              <w:ind w:firstLine="420" w:firstLineChars="200"/>
              <w:rPr>
                <w:rStyle w:val="27"/>
                <w:color w:val="auto"/>
                <w:highlight w:val="none"/>
              </w:rPr>
            </w:pPr>
          </w:p>
        </w:tc>
        <w:tc>
          <w:tcPr>
            <w:tcW w:w="851" w:type="dxa"/>
            <w:noWrap w:val="0"/>
            <w:vAlign w:val="center"/>
          </w:tcPr>
          <w:p w14:paraId="41E075EC">
            <w:pPr>
              <w:pStyle w:val="48"/>
              <w:spacing w:line="360" w:lineRule="auto"/>
              <w:ind w:firstLine="420" w:firstLineChars="200"/>
              <w:rPr>
                <w:rStyle w:val="27"/>
                <w:color w:val="auto"/>
                <w:highlight w:val="none"/>
              </w:rPr>
            </w:pPr>
          </w:p>
        </w:tc>
        <w:tc>
          <w:tcPr>
            <w:tcW w:w="708" w:type="dxa"/>
            <w:noWrap w:val="0"/>
            <w:vAlign w:val="center"/>
          </w:tcPr>
          <w:p w14:paraId="771E6D94">
            <w:pPr>
              <w:pStyle w:val="48"/>
              <w:spacing w:line="360" w:lineRule="auto"/>
              <w:ind w:firstLine="420" w:firstLineChars="200"/>
              <w:rPr>
                <w:rStyle w:val="27"/>
                <w:color w:val="auto"/>
                <w:highlight w:val="none"/>
              </w:rPr>
            </w:pPr>
          </w:p>
        </w:tc>
        <w:tc>
          <w:tcPr>
            <w:tcW w:w="709" w:type="dxa"/>
            <w:noWrap w:val="0"/>
            <w:vAlign w:val="center"/>
          </w:tcPr>
          <w:p w14:paraId="2FFE68B0">
            <w:pPr>
              <w:pStyle w:val="48"/>
              <w:spacing w:line="360" w:lineRule="auto"/>
              <w:ind w:firstLine="420" w:firstLineChars="200"/>
              <w:rPr>
                <w:rStyle w:val="27"/>
                <w:color w:val="auto"/>
                <w:highlight w:val="none"/>
              </w:rPr>
            </w:pPr>
          </w:p>
        </w:tc>
        <w:tc>
          <w:tcPr>
            <w:tcW w:w="1134" w:type="dxa"/>
            <w:noWrap w:val="0"/>
            <w:vAlign w:val="center"/>
          </w:tcPr>
          <w:p w14:paraId="4F238155">
            <w:pPr>
              <w:pStyle w:val="48"/>
              <w:spacing w:line="360" w:lineRule="auto"/>
              <w:ind w:firstLine="420" w:firstLineChars="200"/>
              <w:rPr>
                <w:rStyle w:val="27"/>
                <w:color w:val="auto"/>
                <w:highlight w:val="none"/>
              </w:rPr>
            </w:pPr>
          </w:p>
        </w:tc>
        <w:tc>
          <w:tcPr>
            <w:tcW w:w="1276" w:type="dxa"/>
            <w:noWrap w:val="0"/>
            <w:vAlign w:val="center"/>
          </w:tcPr>
          <w:p w14:paraId="7C676A44">
            <w:pPr>
              <w:pStyle w:val="48"/>
              <w:spacing w:line="360" w:lineRule="auto"/>
              <w:ind w:firstLine="420" w:firstLineChars="200"/>
              <w:rPr>
                <w:rStyle w:val="27"/>
                <w:color w:val="auto"/>
                <w:highlight w:val="none"/>
              </w:rPr>
            </w:pPr>
          </w:p>
        </w:tc>
        <w:tc>
          <w:tcPr>
            <w:tcW w:w="1134" w:type="dxa"/>
            <w:noWrap w:val="0"/>
            <w:vAlign w:val="center"/>
          </w:tcPr>
          <w:p w14:paraId="454A4A97">
            <w:pPr>
              <w:pStyle w:val="48"/>
              <w:spacing w:line="360" w:lineRule="auto"/>
              <w:ind w:firstLine="420" w:firstLineChars="200"/>
              <w:rPr>
                <w:rStyle w:val="27"/>
                <w:color w:val="auto"/>
                <w:highlight w:val="none"/>
              </w:rPr>
            </w:pPr>
          </w:p>
        </w:tc>
        <w:tc>
          <w:tcPr>
            <w:tcW w:w="1559" w:type="dxa"/>
            <w:noWrap w:val="0"/>
            <w:vAlign w:val="center"/>
          </w:tcPr>
          <w:p w14:paraId="7E646507">
            <w:pPr>
              <w:pStyle w:val="48"/>
              <w:spacing w:line="360" w:lineRule="auto"/>
              <w:ind w:firstLine="420" w:firstLineChars="200"/>
              <w:rPr>
                <w:rStyle w:val="27"/>
                <w:color w:val="auto"/>
                <w:highlight w:val="none"/>
              </w:rPr>
            </w:pPr>
          </w:p>
        </w:tc>
      </w:tr>
      <w:tr w14:paraId="3249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5267646D">
            <w:pPr>
              <w:pStyle w:val="48"/>
              <w:spacing w:line="360" w:lineRule="auto"/>
              <w:ind w:firstLine="420" w:firstLineChars="200"/>
              <w:rPr>
                <w:rStyle w:val="27"/>
                <w:color w:val="auto"/>
                <w:highlight w:val="none"/>
              </w:rPr>
            </w:pPr>
          </w:p>
        </w:tc>
        <w:tc>
          <w:tcPr>
            <w:tcW w:w="1226" w:type="dxa"/>
            <w:noWrap w:val="0"/>
            <w:vAlign w:val="center"/>
          </w:tcPr>
          <w:p w14:paraId="3D8640E8">
            <w:pPr>
              <w:pStyle w:val="48"/>
              <w:spacing w:line="360" w:lineRule="auto"/>
              <w:ind w:firstLine="420" w:firstLineChars="200"/>
              <w:rPr>
                <w:rStyle w:val="27"/>
                <w:color w:val="auto"/>
                <w:highlight w:val="none"/>
              </w:rPr>
            </w:pPr>
          </w:p>
        </w:tc>
        <w:tc>
          <w:tcPr>
            <w:tcW w:w="851" w:type="dxa"/>
            <w:noWrap w:val="0"/>
            <w:vAlign w:val="center"/>
          </w:tcPr>
          <w:p w14:paraId="16B28772">
            <w:pPr>
              <w:pStyle w:val="48"/>
              <w:spacing w:line="360" w:lineRule="auto"/>
              <w:ind w:firstLine="420" w:firstLineChars="200"/>
              <w:rPr>
                <w:rStyle w:val="27"/>
                <w:color w:val="auto"/>
                <w:highlight w:val="none"/>
              </w:rPr>
            </w:pPr>
          </w:p>
        </w:tc>
        <w:tc>
          <w:tcPr>
            <w:tcW w:w="708" w:type="dxa"/>
            <w:noWrap w:val="0"/>
            <w:vAlign w:val="center"/>
          </w:tcPr>
          <w:p w14:paraId="0956087F">
            <w:pPr>
              <w:pStyle w:val="48"/>
              <w:spacing w:line="360" w:lineRule="auto"/>
              <w:ind w:firstLine="420" w:firstLineChars="200"/>
              <w:rPr>
                <w:rStyle w:val="27"/>
                <w:color w:val="auto"/>
                <w:highlight w:val="none"/>
              </w:rPr>
            </w:pPr>
          </w:p>
        </w:tc>
        <w:tc>
          <w:tcPr>
            <w:tcW w:w="709" w:type="dxa"/>
            <w:noWrap w:val="0"/>
            <w:vAlign w:val="center"/>
          </w:tcPr>
          <w:p w14:paraId="397D5275">
            <w:pPr>
              <w:pStyle w:val="48"/>
              <w:spacing w:line="360" w:lineRule="auto"/>
              <w:ind w:firstLine="420" w:firstLineChars="200"/>
              <w:rPr>
                <w:rStyle w:val="27"/>
                <w:color w:val="auto"/>
                <w:highlight w:val="none"/>
              </w:rPr>
            </w:pPr>
          </w:p>
        </w:tc>
        <w:tc>
          <w:tcPr>
            <w:tcW w:w="1134" w:type="dxa"/>
            <w:noWrap w:val="0"/>
            <w:vAlign w:val="center"/>
          </w:tcPr>
          <w:p w14:paraId="78A734B7">
            <w:pPr>
              <w:pStyle w:val="48"/>
              <w:spacing w:line="360" w:lineRule="auto"/>
              <w:ind w:firstLine="420" w:firstLineChars="200"/>
              <w:rPr>
                <w:rStyle w:val="27"/>
                <w:color w:val="auto"/>
                <w:highlight w:val="none"/>
              </w:rPr>
            </w:pPr>
          </w:p>
        </w:tc>
        <w:tc>
          <w:tcPr>
            <w:tcW w:w="1276" w:type="dxa"/>
            <w:noWrap w:val="0"/>
            <w:vAlign w:val="center"/>
          </w:tcPr>
          <w:p w14:paraId="6CA770CF">
            <w:pPr>
              <w:pStyle w:val="48"/>
              <w:spacing w:line="360" w:lineRule="auto"/>
              <w:ind w:firstLine="420" w:firstLineChars="200"/>
              <w:rPr>
                <w:rStyle w:val="27"/>
                <w:color w:val="auto"/>
                <w:highlight w:val="none"/>
              </w:rPr>
            </w:pPr>
          </w:p>
        </w:tc>
        <w:tc>
          <w:tcPr>
            <w:tcW w:w="1134" w:type="dxa"/>
            <w:noWrap w:val="0"/>
            <w:vAlign w:val="center"/>
          </w:tcPr>
          <w:p w14:paraId="0C2601E2">
            <w:pPr>
              <w:pStyle w:val="48"/>
              <w:spacing w:line="360" w:lineRule="auto"/>
              <w:ind w:firstLine="420" w:firstLineChars="200"/>
              <w:rPr>
                <w:rStyle w:val="27"/>
                <w:color w:val="auto"/>
                <w:highlight w:val="none"/>
              </w:rPr>
            </w:pPr>
          </w:p>
        </w:tc>
        <w:tc>
          <w:tcPr>
            <w:tcW w:w="1559" w:type="dxa"/>
            <w:noWrap w:val="0"/>
            <w:vAlign w:val="center"/>
          </w:tcPr>
          <w:p w14:paraId="089993AA">
            <w:pPr>
              <w:pStyle w:val="48"/>
              <w:spacing w:line="360" w:lineRule="auto"/>
              <w:ind w:firstLine="420" w:firstLineChars="200"/>
              <w:rPr>
                <w:rStyle w:val="27"/>
                <w:color w:val="auto"/>
                <w:highlight w:val="none"/>
              </w:rPr>
            </w:pPr>
          </w:p>
        </w:tc>
      </w:tr>
      <w:tr w14:paraId="63E3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23EE444E">
            <w:pPr>
              <w:pStyle w:val="48"/>
              <w:spacing w:line="360" w:lineRule="auto"/>
              <w:ind w:firstLine="420" w:firstLineChars="200"/>
              <w:rPr>
                <w:rStyle w:val="27"/>
                <w:color w:val="auto"/>
                <w:highlight w:val="none"/>
              </w:rPr>
            </w:pPr>
          </w:p>
        </w:tc>
        <w:tc>
          <w:tcPr>
            <w:tcW w:w="1226" w:type="dxa"/>
            <w:noWrap w:val="0"/>
            <w:vAlign w:val="center"/>
          </w:tcPr>
          <w:p w14:paraId="014D3554">
            <w:pPr>
              <w:pStyle w:val="48"/>
              <w:spacing w:line="360" w:lineRule="auto"/>
              <w:ind w:firstLine="420" w:firstLineChars="200"/>
              <w:rPr>
                <w:rStyle w:val="27"/>
                <w:color w:val="auto"/>
                <w:highlight w:val="none"/>
              </w:rPr>
            </w:pPr>
          </w:p>
        </w:tc>
        <w:tc>
          <w:tcPr>
            <w:tcW w:w="851" w:type="dxa"/>
            <w:noWrap w:val="0"/>
            <w:vAlign w:val="center"/>
          </w:tcPr>
          <w:p w14:paraId="56BF1BFD">
            <w:pPr>
              <w:pStyle w:val="48"/>
              <w:spacing w:line="360" w:lineRule="auto"/>
              <w:ind w:firstLine="420" w:firstLineChars="200"/>
              <w:rPr>
                <w:rStyle w:val="27"/>
                <w:color w:val="auto"/>
                <w:highlight w:val="none"/>
              </w:rPr>
            </w:pPr>
          </w:p>
        </w:tc>
        <w:tc>
          <w:tcPr>
            <w:tcW w:w="708" w:type="dxa"/>
            <w:noWrap w:val="0"/>
            <w:vAlign w:val="center"/>
          </w:tcPr>
          <w:p w14:paraId="176E6507">
            <w:pPr>
              <w:pStyle w:val="48"/>
              <w:spacing w:line="360" w:lineRule="auto"/>
              <w:ind w:firstLine="420" w:firstLineChars="200"/>
              <w:rPr>
                <w:rStyle w:val="27"/>
                <w:color w:val="auto"/>
                <w:highlight w:val="none"/>
              </w:rPr>
            </w:pPr>
          </w:p>
        </w:tc>
        <w:tc>
          <w:tcPr>
            <w:tcW w:w="709" w:type="dxa"/>
            <w:noWrap w:val="0"/>
            <w:vAlign w:val="center"/>
          </w:tcPr>
          <w:p w14:paraId="72A2C7EA">
            <w:pPr>
              <w:pStyle w:val="48"/>
              <w:spacing w:line="360" w:lineRule="auto"/>
              <w:ind w:firstLine="420" w:firstLineChars="200"/>
              <w:rPr>
                <w:rStyle w:val="27"/>
                <w:color w:val="auto"/>
                <w:highlight w:val="none"/>
              </w:rPr>
            </w:pPr>
          </w:p>
        </w:tc>
        <w:tc>
          <w:tcPr>
            <w:tcW w:w="1134" w:type="dxa"/>
            <w:noWrap w:val="0"/>
            <w:vAlign w:val="center"/>
          </w:tcPr>
          <w:p w14:paraId="4F51339D">
            <w:pPr>
              <w:pStyle w:val="48"/>
              <w:spacing w:line="360" w:lineRule="auto"/>
              <w:ind w:firstLine="420" w:firstLineChars="200"/>
              <w:rPr>
                <w:rStyle w:val="27"/>
                <w:color w:val="auto"/>
                <w:highlight w:val="none"/>
              </w:rPr>
            </w:pPr>
          </w:p>
        </w:tc>
        <w:tc>
          <w:tcPr>
            <w:tcW w:w="1276" w:type="dxa"/>
            <w:noWrap w:val="0"/>
            <w:vAlign w:val="center"/>
          </w:tcPr>
          <w:p w14:paraId="7A83CD64">
            <w:pPr>
              <w:pStyle w:val="48"/>
              <w:spacing w:line="360" w:lineRule="auto"/>
              <w:ind w:firstLine="420" w:firstLineChars="200"/>
              <w:rPr>
                <w:rStyle w:val="27"/>
                <w:color w:val="auto"/>
                <w:highlight w:val="none"/>
              </w:rPr>
            </w:pPr>
          </w:p>
        </w:tc>
        <w:tc>
          <w:tcPr>
            <w:tcW w:w="1134" w:type="dxa"/>
            <w:noWrap w:val="0"/>
            <w:vAlign w:val="center"/>
          </w:tcPr>
          <w:p w14:paraId="3FB2FC95">
            <w:pPr>
              <w:pStyle w:val="48"/>
              <w:spacing w:line="360" w:lineRule="auto"/>
              <w:ind w:firstLine="420" w:firstLineChars="200"/>
              <w:rPr>
                <w:rStyle w:val="27"/>
                <w:color w:val="auto"/>
                <w:highlight w:val="none"/>
              </w:rPr>
            </w:pPr>
          </w:p>
        </w:tc>
        <w:tc>
          <w:tcPr>
            <w:tcW w:w="1559" w:type="dxa"/>
            <w:noWrap w:val="0"/>
            <w:vAlign w:val="center"/>
          </w:tcPr>
          <w:p w14:paraId="374D2221">
            <w:pPr>
              <w:pStyle w:val="48"/>
              <w:spacing w:line="360" w:lineRule="auto"/>
              <w:ind w:firstLine="420" w:firstLineChars="200"/>
              <w:rPr>
                <w:rStyle w:val="27"/>
                <w:color w:val="auto"/>
                <w:highlight w:val="none"/>
              </w:rPr>
            </w:pPr>
          </w:p>
        </w:tc>
      </w:tr>
      <w:tr w14:paraId="0A4E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30DA569E">
            <w:pPr>
              <w:pStyle w:val="48"/>
              <w:spacing w:line="360" w:lineRule="auto"/>
              <w:ind w:firstLine="420" w:firstLineChars="200"/>
              <w:rPr>
                <w:rStyle w:val="27"/>
                <w:color w:val="auto"/>
                <w:highlight w:val="none"/>
              </w:rPr>
            </w:pPr>
          </w:p>
        </w:tc>
        <w:tc>
          <w:tcPr>
            <w:tcW w:w="1226" w:type="dxa"/>
            <w:noWrap w:val="0"/>
            <w:vAlign w:val="center"/>
          </w:tcPr>
          <w:p w14:paraId="39ADEFEC">
            <w:pPr>
              <w:pStyle w:val="48"/>
              <w:spacing w:line="360" w:lineRule="auto"/>
              <w:ind w:firstLine="420" w:firstLineChars="200"/>
              <w:rPr>
                <w:rStyle w:val="27"/>
                <w:color w:val="auto"/>
                <w:highlight w:val="none"/>
              </w:rPr>
            </w:pPr>
          </w:p>
        </w:tc>
        <w:tc>
          <w:tcPr>
            <w:tcW w:w="851" w:type="dxa"/>
            <w:noWrap w:val="0"/>
            <w:vAlign w:val="center"/>
          </w:tcPr>
          <w:p w14:paraId="0B364A24">
            <w:pPr>
              <w:pStyle w:val="48"/>
              <w:spacing w:line="360" w:lineRule="auto"/>
              <w:ind w:firstLine="420" w:firstLineChars="200"/>
              <w:rPr>
                <w:rStyle w:val="27"/>
                <w:color w:val="auto"/>
                <w:highlight w:val="none"/>
              </w:rPr>
            </w:pPr>
          </w:p>
        </w:tc>
        <w:tc>
          <w:tcPr>
            <w:tcW w:w="708" w:type="dxa"/>
            <w:noWrap w:val="0"/>
            <w:vAlign w:val="center"/>
          </w:tcPr>
          <w:p w14:paraId="1651FE1A">
            <w:pPr>
              <w:pStyle w:val="48"/>
              <w:spacing w:line="360" w:lineRule="auto"/>
              <w:ind w:firstLine="420" w:firstLineChars="200"/>
              <w:rPr>
                <w:rStyle w:val="27"/>
                <w:color w:val="auto"/>
                <w:highlight w:val="none"/>
              </w:rPr>
            </w:pPr>
          </w:p>
        </w:tc>
        <w:tc>
          <w:tcPr>
            <w:tcW w:w="709" w:type="dxa"/>
            <w:noWrap w:val="0"/>
            <w:vAlign w:val="center"/>
          </w:tcPr>
          <w:p w14:paraId="4BAED51C">
            <w:pPr>
              <w:pStyle w:val="48"/>
              <w:spacing w:line="360" w:lineRule="auto"/>
              <w:ind w:firstLine="420" w:firstLineChars="200"/>
              <w:rPr>
                <w:rStyle w:val="27"/>
                <w:color w:val="auto"/>
                <w:highlight w:val="none"/>
              </w:rPr>
            </w:pPr>
          </w:p>
        </w:tc>
        <w:tc>
          <w:tcPr>
            <w:tcW w:w="1134" w:type="dxa"/>
            <w:noWrap w:val="0"/>
            <w:vAlign w:val="center"/>
          </w:tcPr>
          <w:p w14:paraId="0C44D241">
            <w:pPr>
              <w:pStyle w:val="48"/>
              <w:spacing w:line="360" w:lineRule="auto"/>
              <w:ind w:firstLine="420" w:firstLineChars="200"/>
              <w:rPr>
                <w:rStyle w:val="27"/>
                <w:color w:val="auto"/>
                <w:highlight w:val="none"/>
              </w:rPr>
            </w:pPr>
          </w:p>
        </w:tc>
        <w:tc>
          <w:tcPr>
            <w:tcW w:w="1276" w:type="dxa"/>
            <w:noWrap w:val="0"/>
            <w:vAlign w:val="center"/>
          </w:tcPr>
          <w:p w14:paraId="59453303">
            <w:pPr>
              <w:pStyle w:val="48"/>
              <w:spacing w:line="360" w:lineRule="auto"/>
              <w:ind w:firstLine="420" w:firstLineChars="200"/>
              <w:rPr>
                <w:rStyle w:val="27"/>
                <w:color w:val="auto"/>
                <w:highlight w:val="none"/>
              </w:rPr>
            </w:pPr>
          </w:p>
        </w:tc>
        <w:tc>
          <w:tcPr>
            <w:tcW w:w="1134" w:type="dxa"/>
            <w:noWrap w:val="0"/>
            <w:vAlign w:val="center"/>
          </w:tcPr>
          <w:p w14:paraId="1BD1675C">
            <w:pPr>
              <w:pStyle w:val="48"/>
              <w:spacing w:line="360" w:lineRule="auto"/>
              <w:ind w:firstLine="420" w:firstLineChars="200"/>
              <w:rPr>
                <w:rStyle w:val="27"/>
                <w:color w:val="auto"/>
                <w:highlight w:val="none"/>
              </w:rPr>
            </w:pPr>
          </w:p>
        </w:tc>
        <w:tc>
          <w:tcPr>
            <w:tcW w:w="1559" w:type="dxa"/>
            <w:noWrap w:val="0"/>
            <w:vAlign w:val="center"/>
          </w:tcPr>
          <w:p w14:paraId="767D32EE">
            <w:pPr>
              <w:pStyle w:val="48"/>
              <w:spacing w:line="360" w:lineRule="auto"/>
              <w:ind w:firstLine="420" w:firstLineChars="200"/>
              <w:rPr>
                <w:rStyle w:val="27"/>
                <w:color w:val="auto"/>
                <w:highlight w:val="none"/>
              </w:rPr>
            </w:pPr>
          </w:p>
        </w:tc>
      </w:tr>
    </w:tbl>
    <w:p w14:paraId="5494D15B">
      <w:pPr>
        <w:pStyle w:val="48"/>
        <w:bidi w:val="0"/>
        <w:ind w:firstLine="210" w:firstLineChars="100"/>
        <w:rPr>
          <w:rStyle w:val="27"/>
          <w:rFonts w:hint="eastAsia" w:cs="宋体"/>
          <w:color w:val="auto"/>
          <w:highlight w:val="none"/>
        </w:rPr>
      </w:pPr>
    </w:p>
    <w:p w14:paraId="460AEA2A">
      <w:pPr>
        <w:pStyle w:val="48"/>
        <w:bidi w:val="0"/>
        <w:ind w:firstLine="210" w:firstLineChars="100"/>
        <w:rPr>
          <w:rStyle w:val="27"/>
          <w:rFonts w:hint="eastAsia" w:cs="宋体"/>
          <w:color w:val="auto"/>
          <w:highlight w:val="none"/>
        </w:rPr>
      </w:pPr>
    </w:p>
    <w:p w14:paraId="2BE5299A">
      <w:pPr>
        <w:pStyle w:val="48"/>
        <w:bidi w:val="0"/>
        <w:ind w:firstLine="210" w:firstLineChars="100"/>
        <w:rPr>
          <w:rStyle w:val="27"/>
          <w:rFonts w:hint="eastAsia" w:cs="宋体"/>
          <w:color w:val="auto"/>
          <w:highlight w:val="none"/>
        </w:rPr>
      </w:pPr>
    </w:p>
    <w:p w14:paraId="762C6256">
      <w:pPr>
        <w:pStyle w:val="48"/>
        <w:bidi w:val="0"/>
        <w:ind w:firstLine="210" w:firstLineChars="100"/>
        <w:rPr>
          <w:rStyle w:val="27"/>
          <w:rFonts w:hint="eastAsia" w:cs="宋体"/>
          <w:color w:val="auto"/>
          <w:highlight w:val="none"/>
        </w:rPr>
      </w:pPr>
    </w:p>
    <w:p w14:paraId="260D376C">
      <w:pPr>
        <w:pStyle w:val="48"/>
        <w:bidi w:val="0"/>
        <w:ind w:firstLine="210" w:firstLineChars="100"/>
        <w:rPr>
          <w:rStyle w:val="27"/>
          <w:rFonts w:hint="eastAsia" w:cs="宋体"/>
          <w:color w:val="auto"/>
          <w:highlight w:val="none"/>
        </w:rPr>
      </w:pPr>
    </w:p>
    <w:p w14:paraId="7F6CAA2F">
      <w:pPr>
        <w:pStyle w:val="48"/>
        <w:bidi w:val="0"/>
        <w:ind w:firstLine="210" w:firstLineChars="100"/>
        <w:rPr>
          <w:rStyle w:val="27"/>
          <w:rFonts w:hint="eastAsia" w:cs="宋体"/>
          <w:color w:val="auto"/>
          <w:highlight w:val="none"/>
        </w:rPr>
      </w:pPr>
    </w:p>
    <w:p w14:paraId="76DE9E29">
      <w:pPr>
        <w:pStyle w:val="48"/>
        <w:bidi w:val="0"/>
        <w:ind w:firstLine="210" w:firstLineChars="100"/>
        <w:rPr>
          <w:rStyle w:val="27"/>
          <w:color w:val="auto"/>
          <w:highlight w:val="none"/>
        </w:rPr>
      </w:pPr>
      <w:r>
        <w:rPr>
          <w:rStyle w:val="27"/>
          <w:rFonts w:hint="eastAsia" w:cs="宋体"/>
          <w:color w:val="auto"/>
          <w:highlight w:val="none"/>
        </w:rPr>
        <w:t>附表三：劳动力计划表</w:t>
      </w:r>
    </w:p>
    <w:p w14:paraId="512927DE">
      <w:pPr>
        <w:pStyle w:val="48"/>
        <w:bidi w:val="0"/>
        <w:ind w:firstLine="7245" w:firstLineChars="3450"/>
        <w:rPr>
          <w:rStyle w:val="27"/>
          <w:color w:val="auto"/>
          <w:highlight w:val="none"/>
        </w:rPr>
      </w:pPr>
      <w:r>
        <w:rPr>
          <w:rStyle w:val="27"/>
          <w:color w:val="auto"/>
          <w:highlight w:val="none"/>
        </w:rPr>
        <w:t xml:space="preserve">    </w:t>
      </w:r>
      <w:r>
        <w:rPr>
          <w:rStyle w:val="27"/>
          <w:rFonts w:hint="eastAsia" w:cs="宋体"/>
          <w:color w:val="auto"/>
          <w:highlight w:val="none"/>
        </w:rPr>
        <w:t>单位：人</w:t>
      </w:r>
    </w:p>
    <w:tbl>
      <w:tblPr>
        <w:tblStyle w:val="25"/>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6F16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5A0551EC">
            <w:pPr>
              <w:pStyle w:val="48"/>
              <w:spacing w:line="360" w:lineRule="auto"/>
              <w:jc w:val="center"/>
              <w:rPr>
                <w:rStyle w:val="27"/>
                <w:color w:val="auto"/>
                <w:highlight w:val="none"/>
              </w:rPr>
            </w:pPr>
            <w:r>
              <w:rPr>
                <w:rStyle w:val="27"/>
                <w:rFonts w:hint="eastAsia" w:cs="宋体"/>
                <w:color w:val="auto"/>
                <w:highlight w:val="none"/>
              </w:rPr>
              <w:t>工种</w:t>
            </w:r>
          </w:p>
        </w:tc>
        <w:tc>
          <w:tcPr>
            <w:tcW w:w="8506" w:type="dxa"/>
            <w:gridSpan w:val="7"/>
            <w:noWrap w:val="0"/>
            <w:vAlign w:val="center"/>
          </w:tcPr>
          <w:p w14:paraId="117AB0E4">
            <w:pPr>
              <w:pStyle w:val="48"/>
              <w:spacing w:line="360" w:lineRule="auto"/>
              <w:jc w:val="center"/>
              <w:rPr>
                <w:rStyle w:val="27"/>
                <w:color w:val="auto"/>
                <w:highlight w:val="none"/>
              </w:rPr>
            </w:pPr>
            <w:r>
              <w:rPr>
                <w:rStyle w:val="27"/>
                <w:rFonts w:hint="eastAsia" w:cs="宋体"/>
                <w:color w:val="auto"/>
                <w:highlight w:val="none"/>
              </w:rPr>
              <w:t>按工程施工阶段投入劳动力情况</w:t>
            </w:r>
          </w:p>
        </w:tc>
      </w:tr>
      <w:tr w14:paraId="6028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3F222818">
            <w:pPr>
              <w:pStyle w:val="48"/>
              <w:spacing w:line="360" w:lineRule="auto"/>
              <w:jc w:val="center"/>
              <w:rPr>
                <w:rStyle w:val="27"/>
                <w:color w:val="auto"/>
                <w:highlight w:val="none"/>
              </w:rPr>
            </w:pPr>
          </w:p>
        </w:tc>
        <w:tc>
          <w:tcPr>
            <w:tcW w:w="961" w:type="dxa"/>
            <w:noWrap w:val="0"/>
            <w:vAlign w:val="center"/>
          </w:tcPr>
          <w:p w14:paraId="743F9DDE">
            <w:pPr>
              <w:pStyle w:val="48"/>
              <w:spacing w:line="360" w:lineRule="auto"/>
              <w:jc w:val="center"/>
              <w:rPr>
                <w:rStyle w:val="27"/>
                <w:color w:val="auto"/>
                <w:highlight w:val="none"/>
              </w:rPr>
            </w:pPr>
          </w:p>
        </w:tc>
        <w:tc>
          <w:tcPr>
            <w:tcW w:w="1257" w:type="dxa"/>
            <w:noWrap w:val="0"/>
            <w:vAlign w:val="center"/>
          </w:tcPr>
          <w:p w14:paraId="1A301D0E">
            <w:pPr>
              <w:pStyle w:val="48"/>
              <w:spacing w:line="360" w:lineRule="auto"/>
              <w:jc w:val="center"/>
              <w:rPr>
                <w:rStyle w:val="27"/>
                <w:color w:val="auto"/>
                <w:highlight w:val="none"/>
              </w:rPr>
            </w:pPr>
          </w:p>
        </w:tc>
        <w:tc>
          <w:tcPr>
            <w:tcW w:w="1258" w:type="dxa"/>
            <w:noWrap w:val="0"/>
            <w:vAlign w:val="center"/>
          </w:tcPr>
          <w:p w14:paraId="586A3A2B">
            <w:pPr>
              <w:pStyle w:val="48"/>
              <w:spacing w:line="360" w:lineRule="auto"/>
              <w:jc w:val="center"/>
              <w:rPr>
                <w:rStyle w:val="27"/>
                <w:color w:val="auto"/>
                <w:highlight w:val="none"/>
              </w:rPr>
            </w:pPr>
          </w:p>
        </w:tc>
        <w:tc>
          <w:tcPr>
            <w:tcW w:w="1257" w:type="dxa"/>
            <w:noWrap w:val="0"/>
            <w:vAlign w:val="center"/>
          </w:tcPr>
          <w:p w14:paraId="174A7669">
            <w:pPr>
              <w:pStyle w:val="48"/>
              <w:spacing w:line="360" w:lineRule="auto"/>
              <w:jc w:val="center"/>
              <w:rPr>
                <w:rStyle w:val="27"/>
                <w:color w:val="auto"/>
                <w:highlight w:val="none"/>
              </w:rPr>
            </w:pPr>
          </w:p>
        </w:tc>
        <w:tc>
          <w:tcPr>
            <w:tcW w:w="1258" w:type="dxa"/>
            <w:noWrap w:val="0"/>
            <w:vAlign w:val="center"/>
          </w:tcPr>
          <w:p w14:paraId="45479727">
            <w:pPr>
              <w:pStyle w:val="48"/>
              <w:spacing w:line="360" w:lineRule="auto"/>
              <w:jc w:val="center"/>
              <w:rPr>
                <w:rStyle w:val="27"/>
                <w:color w:val="auto"/>
                <w:highlight w:val="none"/>
              </w:rPr>
            </w:pPr>
          </w:p>
        </w:tc>
        <w:tc>
          <w:tcPr>
            <w:tcW w:w="1257" w:type="dxa"/>
            <w:noWrap w:val="0"/>
            <w:vAlign w:val="center"/>
          </w:tcPr>
          <w:p w14:paraId="40EC7857">
            <w:pPr>
              <w:pStyle w:val="48"/>
              <w:spacing w:line="360" w:lineRule="auto"/>
              <w:jc w:val="center"/>
              <w:rPr>
                <w:rStyle w:val="27"/>
                <w:color w:val="auto"/>
                <w:highlight w:val="none"/>
              </w:rPr>
            </w:pPr>
          </w:p>
        </w:tc>
        <w:tc>
          <w:tcPr>
            <w:tcW w:w="1258" w:type="dxa"/>
            <w:noWrap w:val="0"/>
            <w:vAlign w:val="center"/>
          </w:tcPr>
          <w:p w14:paraId="3D4CBE3A">
            <w:pPr>
              <w:pStyle w:val="48"/>
              <w:spacing w:line="360" w:lineRule="auto"/>
              <w:jc w:val="center"/>
              <w:rPr>
                <w:rStyle w:val="27"/>
                <w:color w:val="auto"/>
                <w:highlight w:val="none"/>
              </w:rPr>
            </w:pPr>
          </w:p>
        </w:tc>
      </w:tr>
      <w:tr w14:paraId="1A89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694CA271">
            <w:pPr>
              <w:pStyle w:val="48"/>
              <w:spacing w:line="360" w:lineRule="auto"/>
              <w:jc w:val="center"/>
              <w:rPr>
                <w:rStyle w:val="27"/>
                <w:color w:val="auto"/>
                <w:highlight w:val="none"/>
              </w:rPr>
            </w:pPr>
          </w:p>
        </w:tc>
        <w:tc>
          <w:tcPr>
            <w:tcW w:w="961" w:type="dxa"/>
            <w:noWrap w:val="0"/>
            <w:vAlign w:val="center"/>
          </w:tcPr>
          <w:p w14:paraId="00D42676">
            <w:pPr>
              <w:pStyle w:val="48"/>
              <w:spacing w:line="360" w:lineRule="auto"/>
              <w:jc w:val="center"/>
              <w:rPr>
                <w:rStyle w:val="27"/>
                <w:color w:val="auto"/>
                <w:highlight w:val="none"/>
              </w:rPr>
            </w:pPr>
          </w:p>
        </w:tc>
        <w:tc>
          <w:tcPr>
            <w:tcW w:w="1257" w:type="dxa"/>
            <w:noWrap w:val="0"/>
            <w:vAlign w:val="center"/>
          </w:tcPr>
          <w:p w14:paraId="2270428B">
            <w:pPr>
              <w:pStyle w:val="48"/>
              <w:spacing w:line="360" w:lineRule="auto"/>
              <w:jc w:val="center"/>
              <w:rPr>
                <w:rStyle w:val="27"/>
                <w:color w:val="auto"/>
                <w:highlight w:val="none"/>
              </w:rPr>
            </w:pPr>
          </w:p>
        </w:tc>
        <w:tc>
          <w:tcPr>
            <w:tcW w:w="1258" w:type="dxa"/>
            <w:noWrap w:val="0"/>
            <w:vAlign w:val="center"/>
          </w:tcPr>
          <w:p w14:paraId="6BF32621">
            <w:pPr>
              <w:pStyle w:val="48"/>
              <w:spacing w:line="360" w:lineRule="auto"/>
              <w:jc w:val="center"/>
              <w:rPr>
                <w:rStyle w:val="27"/>
                <w:color w:val="auto"/>
                <w:highlight w:val="none"/>
              </w:rPr>
            </w:pPr>
          </w:p>
        </w:tc>
        <w:tc>
          <w:tcPr>
            <w:tcW w:w="1257" w:type="dxa"/>
            <w:noWrap w:val="0"/>
            <w:vAlign w:val="center"/>
          </w:tcPr>
          <w:p w14:paraId="1200813F">
            <w:pPr>
              <w:pStyle w:val="48"/>
              <w:spacing w:line="360" w:lineRule="auto"/>
              <w:jc w:val="center"/>
              <w:rPr>
                <w:rStyle w:val="27"/>
                <w:color w:val="auto"/>
                <w:highlight w:val="none"/>
              </w:rPr>
            </w:pPr>
          </w:p>
        </w:tc>
        <w:tc>
          <w:tcPr>
            <w:tcW w:w="1258" w:type="dxa"/>
            <w:noWrap w:val="0"/>
            <w:vAlign w:val="center"/>
          </w:tcPr>
          <w:p w14:paraId="7BEBEFB1">
            <w:pPr>
              <w:pStyle w:val="48"/>
              <w:spacing w:line="360" w:lineRule="auto"/>
              <w:jc w:val="center"/>
              <w:rPr>
                <w:rStyle w:val="27"/>
                <w:color w:val="auto"/>
                <w:highlight w:val="none"/>
              </w:rPr>
            </w:pPr>
          </w:p>
        </w:tc>
        <w:tc>
          <w:tcPr>
            <w:tcW w:w="1257" w:type="dxa"/>
            <w:noWrap w:val="0"/>
            <w:vAlign w:val="center"/>
          </w:tcPr>
          <w:p w14:paraId="6E6B0A6D">
            <w:pPr>
              <w:pStyle w:val="48"/>
              <w:spacing w:line="360" w:lineRule="auto"/>
              <w:jc w:val="center"/>
              <w:rPr>
                <w:rStyle w:val="27"/>
                <w:color w:val="auto"/>
                <w:highlight w:val="none"/>
              </w:rPr>
            </w:pPr>
          </w:p>
        </w:tc>
        <w:tc>
          <w:tcPr>
            <w:tcW w:w="1258" w:type="dxa"/>
            <w:noWrap w:val="0"/>
            <w:vAlign w:val="center"/>
          </w:tcPr>
          <w:p w14:paraId="2A135CAA">
            <w:pPr>
              <w:pStyle w:val="48"/>
              <w:spacing w:line="360" w:lineRule="auto"/>
              <w:jc w:val="center"/>
              <w:rPr>
                <w:rStyle w:val="27"/>
                <w:color w:val="auto"/>
                <w:highlight w:val="none"/>
              </w:rPr>
            </w:pPr>
          </w:p>
        </w:tc>
      </w:tr>
      <w:tr w14:paraId="7AC9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29D0009F">
            <w:pPr>
              <w:pStyle w:val="48"/>
              <w:spacing w:line="360" w:lineRule="auto"/>
              <w:jc w:val="center"/>
              <w:rPr>
                <w:rStyle w:val="27"/>
                <w:color w:val="auto"/>
                <w:highlight w:val="none"/>
              </w:rPr>
            </w:pPr>
          </w:p>
        </w:tc>
        <w:tc>
          <w:tcPr>
            <w:tcW w:w="961" w:type="dxa"/>
            <w:noWrap w:val="0"/>
            <w:vAlign w:val="center"/>
          </w:tcPr>
          <w:p w14:paraId="7E388FA9">
            <w:pPr>
              <w:pStyle w:val="48"/>
              <w:spacing w:line="360" w:lineRule="auto"/>
              <w:jc w:val="center"/>
              <w:rPr>
                <w:rStyle w:val="27"/>
                <w:color w:val="auto"/>
                <w:highlight w:val="none"/>
              </w:rPr>
            </w:pPr>
          </w:p>
        </w:tc>
        <w:tc>
          <w:tcPr>
            <w:tcW w:w="1257" w:type="dxa"/>
            <w:noWrap w:val="0"/>
            <w:vAlign w:val="center"/>
          </w:tcPr>
          <w:p w14:paraId="01351533">
            <w:pPr>
              <w:pStyle w:val="48"/>
              <w:spacing w:line="360" w:lineRule="auto"/>
              <w:jc w:val="center"/>
              <w:rPr>
                <w:rStyle w:val="27"/>
                <w:color w:val="auto"/>
                <w:highlight w:val="none"/>
              </w:rPr>
            </w:pPr>
          </w:p>
        </w:tc>
        <w:tc>
          <w:tcPr>
            <w:tcW w:w="1258" w:type="dxa"/>
            <w:noWrap w:val="0"/>
            <w:vAlign w:val="center"/>
          </w:tcPr>
          <w:p w14:paraId="1AD2333A">
            <w:pPr>
              <w:pStyle w:val="48"/>
              <w:spacing w:line="360" w:lineRule="auto"/>
              <w:jc w:val="center"/>
              <w:rPr>
                <w:rStyle w:val="27"/>
                <w:color w:val="auto"/>
                <w:highlight w:val="none"/>
              </w:rPr>
            </w:pPr>
          </w:p>
        </w:tc>
        <w:tc>
          <w:tcPr>
            <w:tcW w:w="1257" w:type="dxa"/>
            <w:noWrap w:val="0"/>
            <w:vAlign w:val="center"/>
          </w:tcPr>
          <w:p w14:paraId="35406C77">
            <w:pPr>
              <w:pStyle w:val="48"/>
              <w:spacing w:line="360" w:lineRule="auto"/>
              <w:jc w:val="center"/>
              <w:rPr>
                <w:rStyle w:val="27"/>
                <w:color w:val="auto"/>
                <w:highlight w:val="none"/>
              </w:rPr>
            </w:pPr>
          </w:p>
        </w:tc>
        <w:tc>
          <w:tcPr>
            <w:tcW w:w="1258" w:type="dxa"/>
            <w:noWrap w:val="0"/>
            <w:vAlign w:val="center"/>
          </w:tcPr>
          <w:p w14:paraId="0867B88E">
            <w:pPr>
              <w:pStyle w:val="48"/>
              <w:spacing w:line="360" w:lineRule="auto"/>
              <w:jc w:val="center"/>
              <w:rPr>
                <w:rStyle w:val="27"/>
                <w:color w:val="auto"/>
                <w:highlight w:val="none"/>
              </w:rPr>
            </w:pPr>
          </w:p>
        </w:tc>
        <w:tc>
          <w:tcPr>
            <w:tcW w:w="1257" w:type="dxa"/>
            <w:noWrap w:val="0"/>
            <w:vAlign w:val="center"/>
          </w:tcPr>
          <w:p w14:paraId="261AB088">
            <w:pPr>
              <w:pStyle w:val="48"/>
              <w:spacing w:line="360" w:lineRule="auto"/>
              <w:jc w:val="center"/>
              <w:rPr>
                <w:rStyle w:val="27"/>
                <w:color w:val="auto"/>
                <w:highlight w:val="none"/>
              </w:rPr>
            </w:pPr>
          </w:p>
        </w:tc>
        <w:tc>
          <w:tcPr>
            <w:tcW w:w="1258" w:type="dxa"/>
            <w:noWrap w:val="0"/>
            <w:vAlign w:val="center"/>
          </w:tcPr>
          <w:p w14:paraId="1EDD603F">
            <w:pPr>
              <w:pStyle w:val="48"/>
              <w:spacing w:line="360" w:lineRule="auto"/>
              <w:jc w:val="center"/>
              <w:rPr>
                <w:rStyle w:val="27"/>
                <w:color w:val="auto"/>
                <w:highlight w:val="none"/>
              </w:rPr>
            </w:pPr>
          </w:p>
        </w:tc>
      </w:tr>
      <w:tr w14:paraId="7CAB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134B02B7">
            <w:pPr>
              <w:pStyle w:val="48"/>
              <w:spacing w:line="360" w:lineRule="auto"/>
              <w:jc w:val="center"/>
              <w:rPr>
                <w:rStyle w:val="27"/>
                <w:color w:val="auto"/>
                <w:highlight w:val="none"/>
              </w:rPr>
            </w:pPr>
          </w:p>
        </w:tc>
        <w:tc>
          <w:tcPr>
            <w:tcW w:w="961" w:type="dxa"/>
            <w:noWrap w:val="0"/>
            <w:vAlign w:val="center"/>
          </w:tcPr>
          <w:p w14:paraId="16EA4A7F">
            <w:pPr>
              <w:pStyle w:val="48"/>
              <w:spacing w:line="360" w:lineRule="auto"/>
              <w:jc w:val="center"/>
              <w:rPr>
                <w:rStyle w:val="27"/>
                <w:color w:val="auto"/>
                <w:highlight w:val="none"/>
              </w:rPr>
            </w:pPr>
          </w:p>
        </w:tc>
        <w:tc>
          <w:tcPr>
            <w:tcW w:w="1257" w:type="dxa"/>
            <w:noWrap w:val="0"/>
            <w:vAlign w:val="center"/>
          </w:tcPr>
          <w:p w14:paraId="3746C991">
            <w:pPr>
              <w:pStyle w:val="48"/>
              <w:spacing w:line="360" w:lineRule="auto"/>
              <w:jc w:val="center"/>
              <w:rPr>
                <w:rStyle w:val="27"/>
                <w:color w:val="auto"/>
                <w:highlight w:val="none"/>
              </w:rPr>
            </w:pPr>
          </w:p>
        </w:tc>
        <w:tc>
          <w:tcPr>
            <w:tcW w:w="1258" w:type="dxa"/>
            <w:noWrap w:val="0"/>
            <w:vAlign w:val="center"/>
          </w:tcPr>
          <w:p w14:paraId="4F08524F">
            <w:pPr>
              <w:pStyle w:val="48"/>
              <w:spacing w:line="360" w:lineRule="auto"/>
              <w:jc w:val="center"/>
              <w:rPr>
                <w:rStyle w:val="27"/>
                <w:color w:val="auto"/>
                <w:highlight w:val="none"/>
              </w:rPr>
            </w:pPr>
          </w:p>
        </w:tc>
        <w:tc>
          <w:tcPr>
            <w:tcW w:w="1257" w:type="dxa"/>
            <w:noWrap w:val="0"/>
            <w:vAlign w:val="center"/>
          </w:tcPr>
          <w:p w14:paraId="1A1CF956">
            <w:pPr>
              <w:pStyle w:val="48"/>
              <w:spacing w:line="360" w:lineRule="auto"/>
              <w:jc w:val="center"/>
              <w:rPr>
                <w:rStyle w:val="27"/>
                <w:color w:val="auto"/>
                <w:highlight w:val="none"/>
              </w:rPr>
            </w:pPr>
          </w:p>
        </w:tc>
        <w:tc>
          <w:tcPr>
            <w:tcW w:w="1258" w:type="dxa"/>
            <w:noWrap w:val="0"/>
            <w:vAlign w:val="center"/>
          </w:tcPr>
          <w:p w14:paraId="6CFADF76">
            <w:pPr>
              <w:pStyle w:val="48"/>
              <w:spacing w:line="360" w:lineRule="auto"/>
              <w:jc w:val="center"/>
              <w:rPr>
                <w:rStyle w:val="27"/>
                <w:color w:val="auto"/>
                <w:highlight w:val="none"/>
              </w:rPr>
            </w:pPr>
          </w:p>
        </w:tc>
        <w:tc>
          <w:tcPr>
            <w:tcW w:w="1257" w:type="dxa"/>
            <w:noWrap w:val="0"/>
            <w:vAlign w:val="center"/>
          </w:tcPr>
          <w:p w14:paraId="31EE2CB8">
            <w:pPr>
              <w:pStyle w:val="48"/>
              <w:spacing w:line="360" w:lineRule="auto"/>
              <w:jc w:val="center"/>
              <w:rPr>
                <w:rStyle w:val="27"/>
                <w:color w:val="auto"/>
                <w:highlight w:val="none"/>
              </w:rPr>
            </w:pPr>
          </w:p>
        </w:tc>
        <w:tc>
          <w:tcPr>
            <w:tcW w:w="1258" w:type="dxa"/>
            <w:noWrap w:val="0"/>
            <w:vAlign w:val="center"/>
          </w:tcPr>
          <w:p w14:paraId="508C1931">
            <w:pPr>
              <w:pStyle w:val="48"/>
              <w:spacing w:line="360" w:lineRule="auto"/>
              <w:jc w:val="center"/>
              <w:rPr>
                <w:rStyle w:val="27"/>
                <w:color w:val="auto"/>
                <w:highlight w:val="none"/>
              </w:rPr>
            </w:pPr>
          </w:p>
        </w:tc>
      </w:tr>
      <w:tr w14:paraId="603C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4299AC76">
            <w:pPr>
              <w:pStyle w:val="48"/>
              <w:spacing w:line="360" w:lineRule="auto"/>
              <w:jc w:val="center"/>
              <w:rPr>
                <w:rStyle w:val="27"/>
                <w:color w:val="auto"/>
                <w:highlight w:val="none"/>
              </w:rPr>
            </w:pPr>
          </w:p>
        </w:tc>
        <w:tc>
          <w:tcPr>
            <w:tcW w:w="961" w:type="dxa"/>
            <w:noWrap w:val="0"/>
            <w:vAlign w:val="center"/>
          </w:tcPr>
          <w:p w14:paraId="55201BA2">
            <w:pPr>
              <w:pStyle w:val="48"/>
              <w:spacing w:line="360" w:lineRule="auto"/>
              <w:jc w:val="center"/>
              <w:rPr>
                <w:rStyle w:val="27"/>
                <w:color w:val="auto"/>
                <w:highlight w:val="none"/>
              </w:rPr>
            </w:pPr>
          </w:p>
        </w:tc>
        <w:tc>
          <w:tcPr>
            <w:tcW w:w="1257" w:type="dxa"/>
            <w:noWrap w:val="0"/>
            <w:vAlign w:val="center"/>
          </w:tcPr>
          <w:p w14:paraId="21FBF43D">
            <w:pPr>
              <w:pStyle w:val="48"/>
              <w:spacing w:line="360" w:lineRule="auto"/>
              <w:jc w:val="center"/>
              <w:rPr>
                <w:rStyle w:val="27"/>
                <w:color w:val="auto"/>
                <w:highlight w:val="none"/>
              </w:rPr>
            </w:pPr>
          </w:p>
        </w:tc>
        <w:tc>
          <w:tcPr>
            <w:tcW w:w="1258" w:type="dxa"/>
            <w:noWrap w:val="0"/>
            <w:vAlign w:val="center"/>
          </w:tcPr>
          <w:p w14:paraId="015C3809">
            <w:pPr>
              <w:pStyle w:val="48"/>
              <w:spacing w:line="360" w:lineRule="auto"/>
              <w:jc w:val="center"/>
              <w:rPr>
                <w:rStyle w:val="27"/>
                <w:color w:val="auto"/>
                <w:highlight w:val="none"/>
              </w:rPr>
            </w:pPr>
          </w:p>
        </w:tc>
        <w:tc>
          <w:tcPr>
            <w:tcW w:w="1257" w:type="dxa"/>
            <w:noWrap w:val="0"/>
            <w:vAlign w:val="center"/>
          </w:tcPr>
          <w:p w14:paraId="1B38635F">
            <w:pPr>
              <w:pStyle w:val="48"/>
              <w:spacing w:line="360" w:lineRule="auto"/>
              <w:jc w:val="center"/>
              <w:rPr>
                <w:rStyle w:val="27"/>
                <w:color w:val="auto"/>
                <w:highlight w:val="none"/>
              </w:rPr>
            </w:pPr>
          </w:p>
        </w:tc>
        <w:tc>
          <w:tcPr>
            <w:tcW w:w="1258" w:type="dxa"/>
            <w:noWrap w:val="0"/>
            <w:vAlign w:val="center"/>
          </w:tcPr>
          <w:p w14:paraId="782309F8">
            <w:pPr>
              <w:pStyle w:val="48"/>
              <w:spacing w:line="360" w:lineRule="auto"/>
              <w:jc w:val="center"/>
              <w:rPr>
                <w:rStyle w:val="27"/>
                <w:color w:val="auto"/>
                <w:highlight w:val="none"/>
              </w:rPr>
            </w:pPr>
          </w:p>
        </w:tc>
        <w:tc>
          <w:tcPr>
            <w:tcW w:w="1257" w:type="dxa"/>
            <w:noWrap w:val="0"/>
            <w:vAlign w:val="center"/>
          </w:tcPr>
          <w:p w14:paraId="65BC5EEA">
            <w:pPr>
              <w:pStyle w:val="48"/>
              <w:spacing w:line="360" w:lineRule="auto"/>
              <w:jc w:val="center"/>
              <w:rPr>
                <w:rStyle w:val="27"/>
                <w:color w:val="auto"/>
                <w:highlight w:val="none"/>
              </w:rPr>
            </w:pPr>
          </w:p>
        </w:tc>
        <w:tc>
          <w:tcPr>
            <w:tcW w:w="1258" w:type="dxa"/>
            <w:noWrap w:val="0"/>
            <w:vAlign w:val="center"/>
          </w:tcPr>
          <w:p w14:paraId="742821A1">
            <w:pPr>
              <w:pStyle w:val="48"/>
              <w:spacing w:line="360" w:lineRule="auto"/>
              <w:jc w:val="center"/>
              <w:rPr>
                <w:rStyle w:val="27"/>
                <w:color w:val="auto"/>
                <w:highlight w:val="none"/>
              </w:rPr>
            </w:pPr>
          </w:p>
        </w:tc>
      </w:tr>
    </w:tbl>
    <w:p w14:paraId="18056031">
      <w:pPr>
        <w:pStyle w:val="48"/>
        <w:bidi w:val="0"/>
        <w:rPr>
          <w:rStyle w:val="27"/>
          <w:color w:val="auto"/>
          <w:highlight w:val="none"/>
        </w:rPr>
      </w:pPr>
    </w:p>
    <w:p w14:paraId="4D96257E">
      <w:pPr>
        <w:pStyle w:val="48"/>
        <w:bidi w:val="0"/>
        <w:rPr>
          <w:rStyle w:val="27"/>
          <w:b/>
          <w:bCs/>
          <w:color w:val="auto"/>
          <w:highlight w:val="none"/>
        </w:rPr>
      </w:pPr>
    </w:p>
    <w:p w14:paraId="78197C0E">
      <w:pPr>
        <w:pStyle w:val="48"/>
        <w:bidi w:val="0"/>
        <w:rPr>
          <w:rStyle w:val="27"/>
          <w:color w:val="auto"/>
          <w:highlight w:val="none"/>
        </w:rPr>
      </w:pPr>
      <w:r>
        <w:rPr>
          <w:rStyle w:val="27"/>
          <w:rFonts w:hint="eastAsia" w:cs="宋体"/>
          <w:color w:val="auto"/>
          <w:highlight w:val="none"/>
        </w:rPr>
        <w:t>附表四：计划开、竣工日期和施工进度计划（网络图或横道图）</w:t>
      </w:r>
    </w:p>
    <w:p w14:paraId="4C40FCD2">
      <w:pPr>
        <w:pStyle w:val="48"/>
        <w:bidi w:val="0"/>
        <w:spacing w:line="460" w:lineRule="exact"/>
        <w:ind w:left="-6" w:firstLine="420"/>
        <w:rPr>
          <w:rStyle w:val="27"/>
          <w:color w:val="auto"/>
          <w:highlight w:val="none"/>
        </w:rPr>
      </w:pPr>
      <w:r>
        <w:rPr>
          <w:rStyle w:val="27"/>
          <w:color w:val="auto"/>
          <w:highlight w:val="none"/>
        </w:rPr>
        <w:t xml:space="preserve">1. </w:t>
      </w:r>
      <w:r>
        <w:rPr>
          <w:rStyle w:val="27"/>
          <w:rFonts w:hint="eastAsia" w:cs="宋体"/>
          <w:color w:val="auto"/>
          <w:highlight w:val="none"/>
          <w:lang w:val="en-US" w:eastAsia="zh-CN"/>
        </w:rPr>
        <w:t>供应商</w:t>
      </w:r>
      <w:r>
        <w:rPr>
          <w:rStyle w:val="27"/>
          <w:rFonts w:hint="eastAsia" w:cs="宋体"/>
          <w:color w:val="auto"/>
          <w:highlight w:val="none"/>
        </w:rPr>
        <w:t>应提交施工进度计划，说明按</w:t>
      </w:r>
      <w:r>
        <w:rPr>
          <w:rStyle w:val="27"/>
          <w:rFonts w:hint="eastAsia" w:cs="宋体"/>
          <w:color w:val="auto"/>
          <w:highlight w:val="none"/>
          <w:lang w:val="en-US" w:eastAsia="zh-CN"/>
        </w:rPr>
        <w:t>采购</w:t>
      </w:r>
      <w:r>
        <w:rPr>
          <w:rStyle w:val="27"/>
          <w:rFonts w:hint="eastAsia" w:cs="宋体"/>
          <w:color w:val="auto"/>
          <w:highlight w:val="none"/>
        </w:rPr>
        <w:t>要求的工期进行施工的各个关键日期。</w:t>
      </w:r>
      <w:r>
        <w:rPr>
          <w:rStyle w:val="27"/>
          <w:rFonts w:hint="eastAsia" w:cs="宋体"/>
          <w:color w:val="auto"/>
          <w:highlight w:val="none"/>
          <w:lang w:val="en-US" w:eastAsia="zh-CN"/>
        </w:rPr>
        <w:t>成效</w:t>
      </w:r>
      <w:r>
        <w:rPr>
          <w:rStyle w:val="27"/>
          <w:rFonts w:hint="eastAsia" w:cs="宋体"/>
          <w:color w:val="auto"/>
          <w:highlight w:val="none"/>
        </w:rPr>
        <w:t>的</w:t>
      </w:r>
      <w:r>
        <w:rPr>
          <w:rStyle w:val="27"/>
          <w:rFonts w:hint="eastAsia" w:cs="宋体"/>
          <w:color w:val="auto"/>
          <w:highlight w:val="none"/>
          <w:lang w:val="en-US" w:eastAsia="zh-CN"/>
        </w:rPr>
        <w:t>供应商</w:t>
      </w:r>
      <w:r>
        <w:rPr>
          <w:rStyle w:val="27"/>
          <w:rFonts w:hint="eastAsia" w:cs="宋体"/>
          <w:color w:val="auto"/>
          <w:highlight w:val="none"/>
        </w:rPr>
        <w:t>还应按合同条件有关条款的要求提交详细的施工进度计划。</w:t>
      </w:r>
    </w:p>
    <w:p w14:paraId="17CFE8BD">
      <w:pPr>
        <w:pStyle w:val="48"/>
        <w:bidi w:val="0"/>
        <w:spacing w:line="460" w:lineRule="exact"/>
        <w:ind w:left="-6" w:firstLine="420"/>
        <w:rPr>
          <w:rStyle w:val="27"/>
          <w:color w:val="auto"/>
          <w:highlight w:val="none"/>
        </w:rPr>
      </w:pPr>
      <w:r>
        <w:rPr>
          <w:rStyle w:val="27"/>
          <w:color w:val="auto"/>
          <w:highlight w:val="none"/>
        </w:rPr>
        <w:t xml:space="preserve">2. </w:t>
      </w:r>
      <w:r>
        <w:rPr>
          <w:rStyle w:val="27"/>
          <w:rFonts w:hint="eastAsia" w:cs="宋体"/>
          <w:color w:val="auto"/>
          <w:highlight w:val="none"/>
        </w:rPr>
        <w:t>施工进度计划可采用网络图（或横道图）表示，说明计划开工日期和各分项工程各阶段的完工日期和分包合同签订的日期。</w:t>
      </w:r>
    </w:p>
    <w:p w14:paraId="32F61A27">
      <w:pPr>
        <w:pStyle w:val="48"/>
        <w:bidi w:val="0"/>
        <w:spacing w:line="460" w:lineRule="exact"/>
        <w:ind w:left="-6" w:firstLine="420"/>
        <w:rPr>
          <w:rStyle w:val="27"/>
          <w:color w:val="auto"/>
          <w:highlight w:val="none"/>
        </w:rPr>
      </w:pPr>
      <w:r>
        <w:rPr>
          <w:rStyle w:val="27"/>
          <w:color w:val="auto"/>
          <w:highlight w:val="none"/>
        </w:rPr>
        <w:t xml:space="preserve">3. </w:t>
      </w:r>
      <w:r>
        <w:rPr>
          <w:rStyle w:val="27"/>
          <w:rFonts w:hint="eastAsia" w:cs="宋体"/>
          <w:color w:val="auto"/>
          <w:highlight w:val="none"/>
        </w:rPr>
        <w:t>施工进度计划应与施工组织设计相适应。</w:t>
      </w:r>
    </w:p>
    <w:p w14:paraId="725C0FD6">
      <w:pPr>
        <w:pStyle w:val="48"/>
        <w:bidi w:val="0"/>
        <w:rPr>
          <w:rStyle w:val="27"/>
          <w:color w:val="auto"/>
          <w:highlight w:val="none"/>
        </w:rPr>
      </w:pPr>
    </w:p>
    <w:p w14:paraId="397CD52E">
      <w:pPr>
        <w:pStyle w:val="48"/>
        <w:bidi w:val="0"/>
        <w:rPr>
          <w:rStyle w:val="27"/>
          <w:color w:val="auto"/>
          <w:highlight w:val="none"/>
        </w:rPr>
      </w:pPr>
    </w:p>
    <w:p w14:paraId="2439376F">
      <w:pPr>
        <w:pStyle w:val="48"/>
        <w:bidi w:val="0"/>
        <w:rPr>
          <w:rStyle w:val="27"/>
          <w:color w:val="auto"/>
          <w:highlight w:val="none"/>
        </w:rPr>
      </w:pPr>
      <w:r>
        <w:rPr>
          <w:rStyle w:val="27"/>
          <w:rFonts w:hint="eastAsia" w:cs="宋体"/>
          <w:color w:val="auto"/>
          <w:highlight w:val="none"/>
        </w:rPr>
        <w:t>附表</w:t>
      </w:r>
      <w:r>
        <w:rPr>
          <w:rStyle w:val="27"/>
          <w:rFonts w:hint="eastAsia" w:cs="宋体"/>
          <w:color w:val="auto"/>
          <w:highlight w:val="none"/>
          <w:lang w:val="en-US" w:eastAsia="zh-CN"/>
        </w:rPr>
        <w:t>五</w:t>
      </w:r>
      <w:r>
        <w:rPr>
          <w:rStyle w:val="27"/>
          <w:rFonts w:hint="eastAsia" w:cs="宋体"/>
          <w:color w:val="auto"/>
          <w:highlight w:val="none"/>
        </w:rPr>
        <w:t>：临时用地表</w:t>
      </w:r>
    </w:p>
    <w:tbl>
      <w:tblPr>
        <w:tblStyle w:val="25"/>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3996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1AAAE528">
            <w:pPr>
              <w:pStyle w:val="48"/>
              <w:jc w:val="center"/>
              <w:rPr>
                <w:rStyle w:val="27"/>
                <w:color w:val="auto"/>
                <w:highlight w:val="none"/>
              </w:rPr>
            </w:pPr>
            <w:r>
              <w:rPr>
                <w:rStyle w:val="27"/>
                <w:rFonts w:hint="eastAsia" w:cs="宋体"/>
                <w:color w:val="auto"/>
                <w:highlight w:val="none"/>
              </w:rPr>
              <w:t>用途</w:t>
            </w:r>
          </w:p>
        </w:tc>
        <w:tc>
          <w:tcPr>
            <w:tcW w:w="2357" w:type="dxa"/>
            <w:noWrap w:val="0"/>
            <w:vAlign w:val="center"/>
          </w:tcPr>
          <w:p w14:paraId="44F286F2">
            <w:pPr>
              <w:pStyle w:val="48"/>
              <w:jc w:val="center"/>
              <w:rPr>
                <w:rStyle w:val="27"/>
                <w:color w:val="auto"/>
                <w:highlight w:val="none"/>
              </w:rPr>
            </w:pPr>
            <w:r>
              <w:rPr>
                <w:rStyle w:val="27"/>
                <w:rFonts w:hint="eastAsia" w:cs="宋体"/>
                <w:color w:val="auto"/>
                <w:highlight w:val="none"/>
              </w:rPr>
              <w:t>面积（平方米）</w:t>
            </w:r>
          </w:p>
        </w:tc>
        <w:tc>
          <w:tcPr>
            <w:tcW w:w="2356" w:type="dxa"/>
            <w:noWrap w:val="0"/>
            <w:vAlign w:val="center"/>
          </w:tcPr>
          <w:p w14:paraId="73ABF06B">
            <w:pPr>
              <w:pStyle w:val="48"/>
              <w:jc w:val="center"/>
              <w:rPr>
                <w:rStyle w:val="27"/>
                <w:color w:val="auto"/>
                <w:highlight w:val="none"/>
              </w:rPr>
            </w:pPr>
            <w:r>
              <w:rPr>
                <w:rStyle w:val="27"/>
                <w:rFonts w:hint="eastAsia" w:cs="宋体"/>
                <w:color w:val="auto"/>
                <w:highlight w:val="none"/>
              </w:rPr>
              <w:t>位置</w:t>
            </w:r>
          </w:p>
        </w:tc>
        <w:tc>
          <w:tcPr>
            <w:tcW w:w="2357" w:type="dxa"/>
            <w:noWrap w:val="0"/>
            <w:vAlign w:val="center"/>
          </w:tcPr>
          <w:p w14:paraId="513CB646">
            <w:pPr>
              <w:pStyle w:val="48"/>
              <w:jc w:val="center"/>
              <w:rPr>
                <w:rStyle w:val="27"/>
                <w:color w:val="auto"/>
                <w:highlight w:val="none"/>
              </w:rPr>
            </w:pPr>
            <w:r>
              <w:rPr>
                <w:rStyle w:val="27"/>
                <w:rFonts w:hint="eastAsia" w:cs="宋体"/>
                <w:color w:val="auto"/>
                <w:highlight w:val="none"/>
              </w:rPr>
              <w:t>需用时间</w:t>
            </w:r>
          </w:p>
        </w:tc>
      </w:tr>
      <w:tr w14:paraId="73EC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1144DA2F">
            <w:pPr>
              <w:pStyle w:val="48"/>
              <w:rPr>
                <w:rStyle w:val="27"/>
                <w:color w:val="auto"/>
                <w:highlight w:val="none"/>
              </w:rPr>
            </w:pPr>
          </w:p>
        </w:tc>
        <w:tc>
          <w:tcPr>
            <w:tcW w:w="2357" w:type="dxa"/>
            <w:noWrap w:val="0"/>
            <w:vAlign w:val="top"/>
          </w:tcPr>
          <w:p w14:paraId="5AEF1973">
            <w:pPr>
              <w:pStyle w:val="48"/>
              <w:rPr>
                <w:rStyle w:val="27"/>
                <w:color w:val="auto"/>
                <w:highlight w:val="none"/>
              </w:rPr>
            </w:pPr>
          </w:p>
        </w:tc>
        <w:tc>
          <w:tcPr>
            <w:tcW w:w="2356" w:type="dxa"/>
            <w:noWrap w:val="0"/>
            <w:vAlign w:val="top"/>
          </w:tcPr>
          <w:p w14:paraId="0036B04E">
            <w:pPr>
              <w:pStyle w:val="48"/>
              <w:rPr>
                <w:rStyle w:val="27"/>
                <w:color w:val="auto"/>
                <w:highlight w:val="none"/>
              </w:rPr>
            </w:pPr>
          </w:p>
        </w:tc>
        <w:tc>
          <w:tcPr>
            <w:tcW w:w="2357" w:type="dxa"/>
            <w:noWrap w:val="0"/>
            <w:vAlign w:val="top"/>
          </w:tcPr>
          <w:p w14:paraId="4D042939">
            <w:pPr>
              <w:pStyle w:val="48"/>
              <w:rPr>
                <w:rStyle w:val="27"/>
                <w:color w:val="auto"/>
                <w:highlight w:val="none"/>
              </w:rPr>
            </w:pPr>
          </w:p>
        </w:tc>
      </w:tr>
      <w:tr w14:paraId="722A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4C7D16EA">
            <w:pPr>
              <w:pStyle w:val="48"/>
              <w:rPr>
                <w:rStyle w:val="27"/>
                <w:color w:val="auto"/>
                <w:highlight w:val="none"/>
              </w:rPr>
            </w:pPr>
          </w:p>
        </w:tc>
        <w:tc>
          <w:tcPr>
            <w:tcW w:w="2357" w:type="dxa"/>
            <w:noWrap w:val="0"/>
            <w:vAlign w:val="top"/>
          </w:tcPr>
          <w:p w14:paraId="1E35D031">
            <w:pPr>
              <w:pStyle w:val="48"/>
              <w:rPr>
                <w:rStyle w:val="27"/>
                <w:color w:val="auto"/>
                <w:highlight w:val="none"/>
              </w:rPr>
            </w:pPr>
          </w:p>
        </w:tc>
        <w:tc>
          <w:tcPr>
            <w:tcW w:w="2356" w:type="dxa"/>
            <w:noWrap w:val="0"/>
            <w:vAlign w:val="top"/>
          </w:tcPr>
          <w:p w14:paraId="636C578A">
            <w:pPr>
              <w:pStyle w:val="48"/>
              <w:rPr>
                <w:rStyle w:val="27"/>
                <w:color w:val="auto"/>
                <w:highlight w:val="none"/>
              </w:rPr>
            </w:pPr>
          </w:p>
        </w:tc>
        <w:tc>
          <w:tcPr>
            <w:tcW w:w="2357" w:type="dxa"/>
            <w:noWrap w:val="0"/>
            <w:vAlign w:val="top"/>
          </w:tcPr>
          <w:p w14:paraId="4D43F0BE">
            <w:pPr>
              <w:pStyle w:val="48"/>
              <w:rPr>
                <w:rStyle w:val="27"/>
                <w:color w:val="auto"/>
                <w:highlight w:val="none"/>
              </w:rPr>
            </w:pPr>
          </w:p>
        </w:tc>
      </w:tr>
      <w:tr w14:paraId="7B95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4CA325DB">
            <w:pPr>
              <w:pStyle w:val="48"/>
              <w:rPr>
                <w:rStyle w:val="27"/>
                <w:color w:val="auto"/>
                <w:highlight w:val="none"/>
              </w:rPr>
            </w:pPr>
          </w:p>
        </w:tc>
        <w:tc>
          <w:tcPr>
            <w:tcW w:w="2357" w:type="dxa"/>
            <w:noWrap w:val="0"/>
            <w:vAlign w:val="top"/>
          </w:tcPr>
          <w:p w14:paraId="14654602">
            <w:pPr>
              <w:pStyle w:val="48"/>
              <w:rPr>
                <w:rStyle w:val="27"/>
                <w:color w:val="auto"/>
                <w:highlight w:val="none"/>
              </w:rPr>
            </w:pPr>
          </w:p>
        </w:tc>
        <w:tc>
          <w:tcPr>
            <w:tcW w:w="2356" w:type="dxa"/>
            <w:noWrap w:val="0"/>
            <w:vAlign w:val="top"/>
          </w:tcPr>
          <w:p w14:paraId="11306CCE">
            <w:pPr>
              <w:pStyle w:val="48"/>
              <w:rPr>
                <w:rStyle w:val="27"/>
                <w:color w:val="auto"/>
                <w:highlight w:val="none"/>
              </w:rPr>
            </w:pPr>
          </w:p>
        </w:tc>
        <w:tc>
          <w:tcPr>
            <w:tcW w:w="2357" w:type="dxa"/>
            <w:noWrap w:val="0"/>
            <w:vAlign w:val="top"/>
          </w:tcPr>
          <w:p w14:paraId="1C25C68A">
            <w:pPr>
              <w:pStyle w:val="48"/>
              <w:rPr>
                <w:rStyle w:val="27"/>
                <w:color w:val="auto"/>
                <w:highlight w:val="none"/>
              </w:rPr>
            </w:pPr>
          </w:p>
        </w:tc>
      </w:tr>
    </w:tbl>
    <w:p w14:paraId="512008CE">
      <w:pPr>
        <w:pStyle w:val="48"/>
        <w:bidi w:val="0"/>
        <w:rPr>
          <w:rStyle w:val="27"/>
          <w:color w:val="auto"/>
          <w:highlight w:val="none"/>
        </w:rPr>
      </w:pPr>
    </w:p>
    <w:p w14:paraId="6A1E5C4A">
      <w:pPr>
        <w:jc w:val="center"/>
        <w:outlineLvl w:val="9"/>
        <w:rPr>
          <w:rFonts w:hint="eastAsia" w:ascii="宋体" w:hAnsi="宋体" w:eastAsia="宋体" w:cs="宋体"/>
          <w:b/>
          <w:bCs/>
          <w:color w:val="auto"/>
          <w:kern w:val="0"/>
          <w:sz w:val="32"/>
          <w:szCs w:val="32"/>
        </w:rPr>
      </w:pPr>
    </w:p>
    <w:p w14:paraId="14541C49">
      <w:pPr>
        <w:jc w:val="center"/>
        <w:outlineLvl w:val="9"/>
        <w:rPr>
          <w:rFonts w:hint="eastAsia" w:ascii="宋体" w:hAnsi="宋体" w:eastAsia="宋体" w:cs="宋体"/>
          <w:b/>
          <w:bCs/>
          <w:color w:val="auto"/>
          <w:kern w:val="0"/>
          <w:sz w:val="32"/>
          <w:szCs w:val="32"/>
        </w:rPr>
      </w:pPr>
    </w:p>
    <w:p w14:paraId="56A9B8FA">
      <w:pPr>
        <w:jc w:val="center"/>
        <w:outlineLvl w:val="9"/>
        <w:rPr>
          <w:rFonts w:hint="eastAsia" w:ascii="宋体" w:hAnsi="宋体" w:eastAsia="宋体" w:cs="宋体"/>
          <w:b/>
          <w:bCs/>
          <w:color w:val="auto"/>
          <w:kern w:val="0"/>
          <w:sz w:val="32"/>
          <w:szCs w:val="32"/>
        </w:rPr>
      </w:pPr>
    </w:p>
    <w:p w14:paraId="6354DCAE">
      <w:pPr>
        <w:jc w:val="center"/>
        <w:outlineLvl w:val="9"/>
        <w:rPr>
          <w:rFonts w:hint="eastAsia" w:ascii="宋体" w:hAnsi="宋体" w:eastAsia="宋体" w:cs="宋体"/>
          <w:b/>
          <w:bCs/>
          <w:color w:val="auto"/>
          <w:kern w:val="0"/>
          <w:sz w:val="32"/>
          <w:szCs w:val="32"/>
        </w:rPr>
      </w:pPr>
    </w:p>
    <w:p w14:paraId="609F5D76">
      <w:pPr>
        <w:jc w:val="center"/>
        <w:outlineLvl w:val="9"/>
        <w:rPr>
          <w:rFonts w:hint="eastAsia" w:ascii="宋体" w:hAnsi="宋体" w:eastAsia="宋体" w:cs="宋体"/>
          <w:b/>
          <w:bCs/>
          <w:color w:val="auto"/>
          <w:kern w:val="0"/>
          <w:sz w:val="32"/>
          <w:szCs w:val="32"/>
        </w:rPr>
      </w:pPr>
    </w:p>
    <w:p w14:paraId="6126177F">
      <w:pPr>
        <w:jc w:val="center"/>
        <w:outlineLvl w:val="9"/>
        <w:rPr>
          <w:rFonts w:hint="eastAsia" w:ascii="宋体" w:hAnsi="宋体" w:eastAsia="宋体" w:cs="宋体"/>
          <w:b/>
          <w:bCs/>
          <w:color w:val="auto"/>
          <w:kern w:val="0"/>
          <w:sz w:val="32"/>
          <w:szCs w:val="32"/>
        </w:rPr>
      </w:pPr>
    </w:p>
    <w:p w14:paraId="0313D3F3">
      <w:pPr>
        <w:pStyle w:val="34"/>
        <w:rPr>
          <w:rFonts w:hint="eastAsia"/>
          <w:color w:val="auto"/>
        </w:rPr>
      </w:pPr>
    </w:p>
    <w:p w14:paraId="500D99EE">
      <w:pPr>
        <w:jc w:val="center"/>
        <w:outlineLvl w:val="0"/>
        <w:rPr>
          <w:rFonts w:hint="eastAsia" w:ascii="宋体" w:hAnsi="宋体" w:eastAsia="宋体" w:cs="宋体"/>
          <w:b/>
          <w:bCs/>
          <w:color w:val="auto"/>
          <w:kern w:val="0"/>
          <w:sz w:val="32"/>
          <w:szCs w:val="32"/>
        </w:rPr>
      </w:pPr>
      <w:bookmarkStart w:id="127" w:name="_Toc25457"/>
    </w:p>
    <w:p w14:paraId="23730CAC">
      <w:pPr>
        <w:jc w:val="center"/>
        <w:outlineLvl w:val="0"/>
        <w:rPr>
          <w:rFonts w:hint="eastAsia" w:ascii="宋体" w:hAnsi="宋体" w:eastAsia="宋体" w:cs="宋体"/>
          <w:b/>
          <w:bCs/>
          <w:color w:val="auto"/>
          <w:kern w:val="0"/>
          <w:sz w:val="32"/>
          <w:szCs w:val="32"/>
        </w:rPr>
      </w:pPr>
    </w:p>
    <w:p w14:paraId="621568C8">
      <w:pPr>
        <w:jc w:val="center"/>
        <w:outlineLvl w:val="0"/>
        <w:rPr>
          <w:rFonts w:hint="eastAsia" w:ascii="宋体" w:hAnsi="宋体" w:eastAsia="宋体" w:cs="宋体"/>
          <w:b/>
          <w:bCs/>
          <w:color w:val="auto"/>
          <w:kern w:val="0"/>
          <w:sz w:val="32"/>
          <w:szCs w:val="32"/>
        </w:rPr>
      </w:pPr>
    </w:p>
    <w:p w14:paraId="46145B5D">
      <w:pPr>
        <w:jc w:val="center"/>
        <w:outlineLvl w:val="0"/>
        <w:rPr>
          <w:rFonts w:hint="eastAsia" w:ascii="宋体" w:hAnsi="宋体" w:eastAsia="宋体" w:cs="宋体"/>
          <w:color w:val="auto"/>
          <w:sz w:val="24"/>
        </w:rPr>
        <w:sectPr>
          <w:headerReference r:id="rId10" w:type="default"/>
          <w:footerReference r:id="rId11" w:type="default"/>
          <w:pgSz w:w="11906" w:h="16838"/>
          <w:pgMar w:top="1134" w:right="1134" w:bottom="1134" w:left="1134" w:header="567" w:footer="680" w:gutter="0"/>
          <w:pgNumType w:fmt="decimal"/>
          <w:cols w:space="720" w:num="1"/>
          <w:docGrid w:type="lines" w:linePitch="312" w:charSpace="0"/>
        </w:sectPr>
      </w:pPr>
      <w:bookmarkStart w:id="128" w:name="_Toc2654"/>
      <w:r>
        <w:rPr>
          <w:rFonts w:hint="eastAsia" w:ascii="宋体" w:hAnsi="宋体" w:eastAsia="宋体" w:cs="宋体"/>
          <w:b/>
          <w:bCs/>
          <w:color w:val="auto"/>
          <w:kern w:val="0"/>
          <w:sz w:val="32"/>
          <w:szCs w:val="32"/>
        </w:rPr>
        <w:t>项目管理机构</w:t>
      </w:r>
      <w:bookmarkEnd w:id="126"/>
      <w:bookmarkEnd w:id="127"/>
      <w:bookmarkEnd w:id="128"/>
    </w:p>
    <w:p w14:paraId="10ACD500">
      <w:pPr>
        <w:jc w:val="both"/>
        <w:rPr>
          <w:rFonts w:hint="eastAsia" w:ascii="宋体" w:hAnsi="宋体" w:eastAsia="宋体" w:cs="宋体"/>
          <w:b/>
          <w:color w:val="auto"/>
          <w:sz w:val="28"/>
        </w:rPr>
      </w:pPr>
    </w:p>
    <w:p w14:paraId="12181ED5">
      <w:pPr>
        <w:ind w:firstLine="3373" w:firstLineChars="1200"/>
        <w:jc w:val="both"/>
        <w:rPr>
          <w:rFonts w:hint="eastAsia" w:ascii="宋体" w:hAnsi="宋体" w:eastAsia="宋体" w:cs="宋体"/>
          <w:b/>
          <w:color w:val="auto"/>
          <w:sz w:val="28"/>
        </w:rPr>
      </w:pPr>
      <w:r>
        <w:rPr>
          <w:rFonts w:hint="eastAsia" w:ascii="宋体" w:hAnsi="宋体" w:eastAsia="宋体" w:cs="宋体"/>
          <w:b/>
          <w:color w:val="auto"/>
          <w:sz w:val="28"/>
        </w:rPr>
        <w:t>项目管理机构配备情况表</w:t>
      </w:r>
    </w:p>
    <w:p w14:paraId="77008517">
      <w:pPr>
        <w:spacing w:line="600" w:lineRule="exact"/>
        <w:rPr>
          <w:rFonts w:hint="eastAsia" w:ascii="宋体" w:hAnsi="宋体" w:eastAsia="宋体" w:cs="宋体"/>
          <w:b/>
          <w:color w:val="auto"/>
          <w:sz w:val="24"/>
        </w:rPr>
      </w:pPr>
      <w:r>
        <w:rPr>
          <w:rFonts w:hint="eastAsia" w:ascii="宋体" w:hAnsi="宋体" w:eastAsia="宋体" w:cs="宋体"/>
          <w:color w:val="auto"/>
          <w:spacing w:val="20"/>
          <w:kern w:val="0"/>
          <w:sz w:val="24"/>
          <w:u w:val="single"/>
        </w:rPr>
        <w:t xml:space="preserve">       （项目名称）      </w:t>
      </w:r>
      <w:r>
        <w:rPr>
          <w:rFonts w:hint="eastAsia" w:ascii="宋体" w:hAnsi="宋体" w:eastAsia="宋体" w:cs="宋体"/>
          <w:color w:val="auto"/>
          <w:spacing w:val="20"/>
          <w:kern w:val="0"/>
          <w:sz w:val="24"/>
        </w:rPr>
        <w:t xml:space="preserve">工程    </w:t>
      </w:r>
      <w:r>
        <w:rPr>
          <w:rFonts w:hint="eastAsia" w:ascii="宋体" w:hAnsi="宋体" w:eastAsia="宋体" w:cs="宋体"/>
          <w:color w:val="auto"/>
          <w:sz w:val="24"/>
        </w:rPr>
        <w:t xml:space="preserve">                </w:t>
      </w:r>
    </w:p>
    <w:tbl>
      <w:tblPr>
        <w:tblStyle w:val="2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928"/>
        <w:gridCol w:w="928"/>
        <w:gridCol w:w="1041"/>
        <w:gridCol w:w="1041"/>
        <w:gridCol w:w="1041"/>
        <w:gridCol w:w="1041"/>
        <w:gridCol w:w="1170"/>
        <w:gridCol w:w="1170"/>
      </w:tblGrid>
      <w:tr w14:paraId="38ED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 w:type="dxa"/>
            <w:vMerge w:val="restart"/>
            <w:noWrap w:val="0"/>
            <w:vAlign w:val="center"/>
          </w:tcPr>
          <w:p w14:paraId="17479CEA">
            <w:pPr>
              <w:jc w:val="center"/>
              <w:rPr>
                <w:rFonts w:hint="eastAsia" w:ascii="宋体" w:hAnsi="宋体" w:eastAsia="宋体" w:cs="宋体"/>
                <w:b/>
                <w:color w:val="auto"/>
                <w:sz w:val="24"/>
              </w:rPr>
            </w:pPr>
            <w:r>
              <w:rPr>
                <w:rFonts w:hint="eastAsia" w:ascii="宋体" w:hAnsi="宋体" w:eastAsia="宋体" w:cs="宋体"/>
                <w:b/>
                <w:color w:val="auto"/>
                <w:sz w:val="24"/>
              </w:rPr>
              <w:t>职务</w:t>
            </w:r>
          </w:p>
        </w:tc>
        <w:tc>
          <w:tcPr>
            <w:tcW w:w="928" w:type="dxa"/>
            <w:vMerge w:val="restart"/>
            <w:noWrap w:val="0"/>
            <w:vAlign w:val="center"/>
          </w:tcPr>
          <w:p w14:paraId="4D1F9720">
            <w:pPr>
              <w:jc w:val="center"/>
              <w:rPr>
                <w:rFonts w:hint="eastAsia" w:ascii="宋体" w:hAnsi="宋体" w:eastAsia="宋体" w:cs="宋体"/>
                <w:b/>
                <w:color w:val="auto"/>
                <w:sz w:val="24"/>
              </w:rPr>
            </w:pPr>
            <w:r>
              <w:rPr>
                <w:rFonts w:hint="eastAsia" w:ascii="宋体" w:hAnsi="宋体" w:eastAsia="宋体" w:cs="宋体"/>
                <w:b/>
                <w:color w:val="auto"/>
                <w:sz w:val="24"/>
              </w:rPr>
              <w:t>姓名</w:t>
            </w:r>
          </w:p>
        </w:tc>
        <w:tc>
          <w:tcPr>
            <w:tcW w:w="928" w:type="dxa"/>
            <w:vMerge w:val="restart"/>
            <w:noWrap w:val="0"/>
            <w:vAlign w:val="center"/>
          </w:tcPr>
          <w:p w14:paraId="089E110A">
            <w:pPr>
              <w:jc w:val="center"/>
              <w:rPr>
                <w:rFonts w:hint="eastAsia" w:ascii="宋体" w:hAnsi="宋体" w:eastAsia="宋体" w:cs="宋体"/>
                <w:b/>
                <w:color w:val="auto"/>
                <w:sz w:val="24"/>
              </w:rPr>
            </w:pPr>
            <w:r>
              <w:rPr>
                <w:rFonts w:hint="eastAsia" w:ascii="宋体" w:hAnsi="宋体" w:eastAsia="宋体" w:cs="宋体"/>
                <w:b/>
                <w:color w:val="auto"/>
                <w:sz w:val="24"/>
              </w:rPr>
              <w:t>职称</w:t>
            </w:r>
          </w:p>
        </w:tc>
        <w:tc>
          <w:tcPr>
            <w:tcW w:w="4164" w:type="dxa"/>
            <w:gridSpan w:val="4"/>
            <w:noWrap w:val="0"/>
            <w:vAlign w:val="center"/>
          </w:tcPr>
          <w:p w14:paraId="6734FCDF">
            <w:pPr>
              <w:jc w:val="center"/>
              <w:rPr>
                <w:rFonts w:hint="eastAsia" w:ascii="宋体" w:hAnsi="宋体" w:eastAsia="宋体" w:cs="宋体"/>
                <w:b/>
                <w:color w:val="auto"/>
                <w:sz w:val="24"/>
              </w:rPr>
            </w:pPr>
            <w:r>
              <w:rPr>
                <w:rFonts w:hint="eastAsia" w:ascii="宋体" w:hAnsi="宋体" w:eastAsia="宋体" w:cs="宋体"/>
                <w:b/>
                <w:color w:val="auto"/>
                <w:sz w:val="24"/>
              </w:rPr>
              <w:t>执业或职业资格证明</w:t>
            </w:r>
          </w:p>
        </w:tc>
        <w:tc>
          <w:tcPr>
            <w:tcW w:w="2340" w:type="dxa"/>
            <w:gridSpan w:val="2"/>
            <w:noWrap w:val="0"/>
            <w:vAlign w:val="center"/>
          </w:tcPr>
          <w:p w14:paraId="646F7F13">
            <w:pPr>
              <w:jc w:val="center"/>
              <w:rPr>
                <w:rFonts w:hint="eastAsia" w:ascii="宋体" w:hAnsi="宋体" w:eastAsia="宋体" w:cs="宋体"/>
                <w:b/>
                <w:color w:val="auto"/>
                <w:sz w:val="24"/>
              </w:rPr>
            </w:pPr>
            <w:r>
              <w:rPr>
                <w:rFonts w:hint="eastAsia" w:ascii="宋体" w:hAnsi="宋体" w:eastAsia="宋体" w:cs="宋体"/>
                <w:b/>
                <w:color w:val="auto"/>
                <w:sz w:val="24"/>
              </w:rPr>
              <w:t>已承担在建</w:t>
            </w:r>
          </w:p>
          <w:p w14:paraId="138B87C6">
            <w:pPr>
              <w:jc w:val="center"/>
              <w:rPr>
                <w:rFonts w:hint="eastAsia" w:ascii="宋体" w:hAnsi="宋体" w:eastAsia="宋体" w:cs="宋体"/>
                <w:b/>
                <w:color w:val="auto"/>
                <w:sz w:val="24"/>
              </w:rPr>
            </w:pPr>
            <w:r>
              <w:rPr>
                <w:rFonts w:hint="eastAsia" w:ascii="宋体" w:hAnsi="宋体" w:eastAsia="宋体" w:cs="宋体"/>
                <w:b/>
                <w:color w:val="auto"/>
                <w:sz w:val="24"/>
              </w:rPr>
              <w:t>工程情况</w:t>
            </w:r>
          </w:p>
        </w:tc>
      </w:tr>
      <w:tr w14:paraId="0C61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 w:type="dxa"/>
            <w:vMerge w:val="continue"/>
            <w:noWrap w:val="0"/>
            <w:vAlign w:val="center"/>
          </w:tcPr>
          <w:p w14:paraId="0572C60F">
            <w:pPr>
              <w:rPr>
                <w:rFonts w:hint="eastAsia" w:ascii="宋体" w:hAnsi="宋体" w:eastAsia="宋体" w:cs="宋体"/>
                <w:color w:val="auto"/>
              </w:rPr>
            </w:pPr>
          </w:p>
        </w:tc>
        <w:tc>
          <w:tcPr>
            <w:tcW w:w="928" w:type="dxa"/>
            <w:vMerge w:val="continue"/>
            <w:noWrap w:val="0"/>
            <w:vAlign w:val="center"/>
          </w:tcPr>
          <w:p w14:paraId="44EC34EF">
            <w:pPr>
              <w:rPr>
                <w:rFonts w:hint="eastAsia" w:ascii="宋体" w:hAnsi="宋体" w:eastAsia="宋体" w:cs="宋体"/>
                <w:color w:val="auto"/>
              </w:rPr>
            </w:pPr>
          </w:p>
        </w:tc>
        <w:tc>
          <w:tcPr>
            <w:tcW w:w="928" w:type="dxa"/>
            <w:vMerge w:val="continue"/>
            <w:noWrap w:val="0"/>
            <w:vAlign w:val="center"/>
          </w:tcPr>
          <w:p w14:paraId="29343007">
            <w:pPr>
              <w:rPr>
                <w:rFonts w:hint="eastAsia" w:ascii="宋体" w:hAnsi="宋体" w:eastAsia="宋体" w:cs="宋体"/>
                <w:color w:val="auto"/>
              </w:rPr>
            </w:pPr>
          </w:p>
        </w:tc>
        <w:tc>
          <w:tcPr>
            <w:tcW w:w="1041" w:type="dxa"/>
            <w:noWrap w:val="0"/>
            <w:vAlign w:val="center"/>
          </w:tcPr>
          <w:p w14:paraId="3D08EFE4">
            <w:pPr>
              <w:jc w:val="center"/>
              <w:rPr>
                <w:rFonts w:hint="eastAsia" w:ascii="宋体" w:hAnsi="宋体" w:eastAsia="宋体" w:cs="宋体"/>
                <w:b/>
                <w:color w:val="auto"/>
                <w:sz w:val="24"/>
              </w:rPr>
            </w:pPr>
            <w:r>
              <w:rPr>
                <w:rFonts w:hint="eastAsia" w:ascii="宋体" w:hAnsi="宋体" w:eastAsia="宋体" w:cs="宋体"/>
                <w:b/>
                <w:color w:val="auto"/>
                <w:sz w:val="24"/>
              </w:rPr>
              <w:t>证书</w:t>
            </w:r>
          </w:p>
          <w:p w14:paraId="30455570">
            <w:pPr>
              <w:jc w:val="center"/>
              <w:rPr>
                <w:rFonts w:hint="eastAsia" w:ascii="宋体" w:hAnsi="宋体" w:eastAsia="宋体" w:cs="宋体"/>
                <w:b/>
                <w:color w:val="auto"/>
                <w:sz w:val="24"/>
              </w:rPr>
            </w:pPr>
            <w:r>
              <w:rPr>
                <w:rFonts w:hint="eastAsia" w:ascii="宋体" w:hAnsi="宋体" w:eastAsia="宋体" w:cs="宋体"/>
                <w:b/>
                <w:color w:val="auto"/>
                <w:sz w:val="24"/>
              </w:rPr>
              <w:t>名称</w:t>
            </w:r>
          </w:p>
        </w:tc>
        <w:tc>
          <w:tcPr>
            <w:tcW w:w="1041" w:type="dxa"/>
            <w:noWrap w:val="0"/>
            <w:vAlign w:val="center"/>
          </w:tcPr>
          <w:p w14:paraId="5A1C2DA0">
            <w:pPr>
              <w:jc w:val="center"/>
              <w:rPr>
                <w:rFonts w:hint="eastAsia" w:ascii="宋体" w:hAnsi="宋体" w:eastAsia="宋体" w:cs="宋体"/>
                <w:b/>
                <w:color w:val="auto"/>
                <w:sz w:val="24"/>
              </w:rPr>
            </w:pPr>
            <w:r>
              <w:rPr>
                <w:rFonts w:hint="eastAsia" w:ascii="宋体" w:hAnsi="宋体" w:eastAsia="宋体" w:cs="宋体"/>
                <w:b/>
                <w:color w:val="auto"/>
                <w:sz w:val="24"/>
              </w:rPr>
              <w:t>级别</w:t>
            </w:r>
          </w:p>
        </w:tc>
        <w:tc>
          <w:tcPr>
            <w:tcW w:w="1041" w:type="dxa"/>
            <w:noWrap w:val="0"/>
            <w:vAlign w:val="center"/>
          </w:tcPr>
          <w:p w14:paraId="1DC2E050">
            <w:pPr>
              <w:jc w:val="center"/>
              <w:rPr>
                <w:rFonts w:hint="eastAsia" w:ascii="宋体" w:hAnsi="宋体" w:eastAsia="宋体" w:cs="宋体"/>
                <w:b/>
                <w:color w:val="auto"/>
                <w:sz w:val="24"/>
              </w:rPr>
            </w:pPr>
            <w:r>
              <w:rPr>
                <w:rFonts w:hint="eastAsia" w:ascii="宋体" w:hAnsi="宋体" w:eastAsia="宋体" w:cs="宋体"/>
                <w:b/>
                <w:color w:val="auto"/>
                <w:sz w:val="24"/>
              </w:rPr>
              <w:t>证号</w:t>
            </w:r>
          </w:p>
        </w:tc>
        <w:tc>
          <w:tcPr>
            <w:tcW w:w="1041" w:type="dxa"/>
            <w:noWrap w:val="0"/>
            <w:vAlign w:val="center"/>
          </w:tcPr>
          <w:p w14:paraId="02216764">
            <w:pPr>
              <w:jc w:val="center"/>
              <w:rPr>
                <w:rFonts w:hint="eastAsia" w:ascii="宋体" w:hAnsi="宋体" w:eastAsia="宋体" w:cs="宋体"/>
                <w:b/>
                <w:color w:val="auto"/>
                <w:sz w:val="24"/>
              </w:rPr>
            </w:pPr>
            <w:r>
              <w:rPr>
                <w:rFonts w:hint="eastAsia" w:ascii="宋体" w:hAnsi="宋体" w:eastAsia="宋体" w:cs="宋体"/>
                <w:b/>
                <w:color w:val="auto"/>
                <w:sz w:val="24"/>
              </w:rPr>
              <w:t>专业</w:t>
            </w:r>
          </w:p>
        </w:tc>
        <w:tc>
          <w:tcPr>
            <w:tcW w:w="1170" w:type="dxa"/>
            <w:noWrap w:val="0"/>
            <w:vAlign w:val="center"/>
          </w:tcPr>
          <w:p w14:paraId="27979CAE">
            <w:pPr>
              <w:jc w:val="center"/>
              <w:rPr>
                <w:rFonts w:hint="eastAsia" w:ascii="宋体" w:hAnsi="宋体" w:eastAsia="宋体" w:cs="宋体"/>
                <w:b/>
                <w:color w:val="auto"/>
                <w:sz w:val="24"/>
              </w:rPr>
            </w:pPr>
            <w:r>
              <w:rPr>
                <w:rFonts w:hint="eastAsia" w:ascii="宋体" w:hAnsi="宋体" w:eastAsia="宋体" w:cs="宋体"/>
                <w:b/>
                <w:color w:val="auto"/>
                <w:sz w:val="24"/>
              </w:rPr>
              <w:t>项目数</w:t>
            </w:r>
          </w:p>
        </w:tc>
        <w:tc>
          <w:tcPr>
            <w:tcW w:w="1170" w:type="dxa"/>
            <w:noWrap w:val="0"/>
            <w:vAlign w:val="center"/>
          </w:tcPr>
          <w:p w14:paraId="429E3902">
            <w:pPr>
              <w:jc w:val="center"/>
              <w:rPr>
                <w:rFonts w:hint="eastAsia" w:ascii="宋体" w:hAnsi="宋体" w:eastAsia="宋体" w:cs="宋体"/>
                <w:b/>
                <w:color w:val="auto"/>
                <w:sz w:val="24"/>
              </w:rPr>
            </w:pPr>
            <w:r>
              <w:rPr>
                <w:rFonts w:hint="eastAsia" w:ascii="宋体" w:hAnsi="宋体" w:eastAsia="宋体" w:cs="宋体"/>
                <w:b/>
                <w:color w:val="auto"/>
                <w:sz w:val="24"/>
              </w:rPr>
              <w:t>主要项目名称</w:t>
            </w:r>
          </w:p>
        </w:tc>
      </w:tr>
      <w:tr w14:paraId="3E2D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2A6E9D52">
            <w:pPr>
              <w:jc w:val="center"/>
              <w:rPr>
                <w:rFonts w:hint="eastAsia" w:ascii="宋体" w:hAnsi="宋体" w:eastAsia="宋体" w:cs="宋体"/>
                <w:bCs/>
                <w:color w:val="auto"/>
                <w:sz w:val="24"/>
              </w:rPr>
            </w:pPr>
            <w:r>
              <w:rPr>
                <w:rFonts w:hint="eastAsia" w:ascii="宋体" w:hAnsi="宋体" w:eastAsia="宋体" w:cs="宋体"/>
                <w:bCs/>
                <w:color w:val="auto"/>
                <w:sz w:val="24"/>
              </w:rPr>
              <w:t>项目经理</w:t>
            </w:r>
          </w:p>
        </w:tc>
        <w:tc>
          <w:tcPr>
            <w:tcW w:w="928" w:type="dxa"/>
            <w:noWrap w:val="0"/>
            <w:vAlign w:val="center"/>
          </w:tcPr>
          <w:p w14:paraId="001B56D2">
            <w:pPr>
              <w:jc w:val="center"/>
              <w:rPr>
                <w:rFonts w:hint="eastAsia" w:ascii="宋体" w:hAnsi="宋体" w:eastAsia="宋体" w:cs="宋体"/>
                <w:b/>
                <w:color w:val="auto"/>
                <w:sz w:val="24"/>
              </w:rPr>
            </w:pPr>
          </w:p>
        </w:tc>
        <w:tc>
          <w:tcPr>
            <w:tcW w:w="928" w:type="dxa"/>
            <w:noWrap w:val="0"/>
            <w:vAlign w:val="center"/>
          </w:tcPr>
          <w:p w14:paraId="69E6A94C">
            <w:pPr>
              <w:jc w:val="center"/>
              <w:rPr>
                <w:rFonts w:hint="eastAsia" w:ascii="宋体" w:hAnsi="宋体" w:eastAsia="宋体" w:cs="宋体"/>
                <w:b/>
                <w:color w:val="auto"/>
                <w:sz w:val="24"/>
              </w:rPr>
            </w:pPr>
          </w:p>
        </w:tc>
        <w:tc>
          <w:tcPr>
            <w:tcW w:w="1041" w:type="dxa"/>
            <w:noWrap w:val="0"/>
            <w:vAlign w:val="center"/>
          </w:tcPr>
          <w:p w14:paraId="7C322E4E">
            <w:pPr>
              <w:jc w:val="center"/>
              <w:rPr>
                <w:rFonts w:hint="eastAsia" w:ascii="宋体" w:hAnsi="宋体" w:eastAsia="宋体" w:cs="宋体"/>
                <w:b/>
                <w:color w:val="auto"/>
                <w:sz w:val="24"/>
              </w:rPr>
            </w:pPr>
          </w:p>
        </w:tc>
        <w:tc>
          <w:tcPr>
            <w:tcW w:w="1041" w:type="dxa"/>
            <w:noWrap w:val="0"/>
            <w:vAlign w:val="center"/>
          </w:tcPr>
          <w:p w14:paraId="6A8A88E0">
            <w:pPr>
              <w:jc w:val="center"/>
              <w:rPr>
                <w:rFonts w:hint="eastAsia" w:ascii="宋体" w:hAnsi="宋体" w:eastAsia="宋体" w:cs="宋体"/>
                <w:b/>
                <w:color w:val="auto"/>
                <w:sz w:val="24"/>
              </w:rPr>
            </w:pPr>
          </w:p>
        </w:tc>
        <w:tc>
          <w:tcPr>
            <w:tcW w:w="1041" w:type="dxa"/>
            <w:noWrap w:val="0"/>
            <w:vAlign w:val="center"/>
          </w:tcPr>
          <w:p w14:paraId="23582BB6">
            <w:pPr>
              <w:jc w:val="center"/>
              <w:rPr>
                <w:rFonts w:hint="eastAsia" w:ascii="宋体" w:hAnsi="宋体" w:eastAsia="宋体" w:cs="宋体"/>
                <w:b/>
                <w:color w:val="auto"/>
                <w:sz w:val="24"/>
              </w:rPr>
            </w:pPr>
          </w:p>
        </w:tc>
        <w:tc>
          <w:tcPr>
            <w:tcW w:w="1041" w:type="dxa"/>
            <w:noWrap w:val="0"/>
            <w:vAlign w:val="center"/>
          </w:tcPr>
          <w:p w14:paraId="496E24C3">
            <w:pPr>
              <w:jc w:val="center"/>
              <w:rPr>
                <w:rFonts w:hint="eastAsia" w:ascii="宋体" w:hAnsi="宋体" w:eastAsia="宋体" w:cs="宋体"/>
                <w:b/>
                <w:color w:val="auto"/>
                <w:sz w:val="24"/>
              </w:rPr>
            </w:pPr>
          </w:p>
        </w:tc>
        <w:tc>
          <w:tcPr>
            <w:tcW w:w="1170" w:type="dxa"/>
            <w:noWrap w:val="0"/>
            <w:vAlign w:val="center"/>
          </w:tcPr>
          <w:p w14:paraId="0C2380E4">
            <w:pPr>
              <w:jc w:val="center"/>
              <w:rPr>
                <w:rFonts w:hint="eastAsia" w:ascii="宋体" w:hAnsi="宋体" w:eastAsia="宋体" w:cs="宋体"/>
                <w:b/>
                <w:color w:val="auto"/>
                <w:sz w:val="24"/>
              </w:rPr>
            </w:pPr>
          </w:p>
        </w:tc>
        <w:tc>
          <w:tcPr>
            <w:tcW w:w="1170" w:type="dxa"/>
            <w:noWrap w:val="0"/>
            <w:vAlign w:val="center"/>
          </w:tcPr>
          <w:p w14:paraId="044DD0CC">
            <w:pPr>
              <w:jc w:val="center"/>
              <w:rPr>
                <w:rFonts w:hint="eastAsia" w:ascii="宋体" w:hAnsi="宋体" w:eastAsia="宋体" w:cs="宋体"/>
                <w:b/>
                <w:color w:val="auto"/>
                <w:sz w:val="24"/>
              </w:rPr>
            </w:pPr>
          </w:p>
        </w:tc>
      </w:tr>
      <w:tr w14:paraId="7884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79FD7EB9">
            <w:pPr>
              <w:jc w:val="center"/>
              <w:rPr>
                <w:rFonts w:hint="eastAsia" w:ascii="宋体" w:hAnsi="宋体" w:eastAsia="宋体" w:cs="宋体"/>
                <w:bCs/>
                <w:color w:val="auto"/>
                <w:sz w:val="24"/>
              </w:rPr>
            </w:pPr>
            <w:r>
              <w:rPr>
                <w:rFonts w:hint="eastAsia" w:ascii="宋体" w:hAnsi="宋体" w:eastAsia="宋体" w:cs="宋体"/>
                <w:bCs/>
                <w:color w:val="auto"/>
                <w:sz w:val="24"/>
              </w:rPr>
              <w:t>项目技术负责人</w:t>
            </w:r>
          </w:p>
        </w:tc>
        <w:tc>
          <w:tcPr>
            <w:tcW w:w="928" w:type="dxa"/>
            <w:noWrap w:val="0"/>
            <w:vAlign w:val="center"/>
          </w:tcPr>
          <w:p w14:paraId="4E3D59D2">
            <w:pPr>
              <w:jc w:val="center"/>
              <w:rPr>
                <w:rFonts w:hint="eastAsia" w:ascii="宋体" w:hAnsi="宋体" w:eastAsia="宋体" w:cs="宋体"/>
                <w:b/>
                <w:color w:val="auto"/>
                <w:sz w:val="24"/>
              </w:rPr>
            </w:pPr>
          </w:p>
        </w:tc>
        <w:tc>
          <w:tcPr>
            <w:tcW w:w="928" w:type="dxa"/>
            <w:noWrap w:val="0"/>
            <w:vAlign w:val="center"/>
          </w:tcPr>
          <w:p w14:paraId="63678877">
            <w:pPr>
              <w:jc w:val="center"/>
              <w:rPr>
                <w:rFonts w:hint="eastAsia" w:ascii="宋体" w:hAnsi="宋体" w:eastAsia="宋体" w:cs="宋体"/>
                <w:b/>
                <w:color w:val="auto"/>
                <w:sz w:val="24"/>
              </w:rPr>
            </w:pPr>
          </w:p>
        </w:tc>
        <w:tc>
          <w:tcPr>
            <w:tcW w:w="1041" w:type="dxa"/>
            <w:noWrap w:val="0"/>
            <w:vAlign w:val="center"/>
          </w:tcPr>
          <w:p w14:paraId="30FF6970">
            <w:pPr>
              <w:jc w:val="center"/>
              <w:rPr>
                <w:rFonts w:hint="eastAsia" w:ascii="宋体" w:hAnsi="宋体" w:eastAsia="宋体" w:cs="宋体"/>
                <w:b/>
                <w:color w:val="auto"/>
                <w:sz w:val="24"/>
              </w:rPr>
            </w:pPr>
          </w:p>
        </w:tc>
        <w:tc>
          <w:tcPr>
            <w:tcW w:w="1041" w:type="dxa"/>
            <w:noWrap w:val="0"/>
            <w:vAlign w:val="center"/>
          </w:tcPr>
          <w:p w14:paraId="71950A06">
            <w:pPr>
              <w:jc w:val="center"/>
              <w:rPr>
                <w:rFonts w:hint="eastAsia" w:ascii="宋体" w:hAnsi="宋体" w:eastAsia="宋体" w:cs="宋体"/>
                <w:b/>
                <w:color w:val="auto"/>
                <w:sz w:val="24"/>
              </w:rPr>
            </w:pPr>
          </w:p>
        </w:tc>
        <w:tc>
          <w:tcPr>
            <w:tcW w:w="1041" w:type="dxa"/>
            <w:noWrap w:val="0"/>
            <w:vAlign w:val="center"/>
          </w:tcPr>
          <w:p w14:paraId="408A694F">
            <w:pPr>
              <w:jc w:val="center"/>
              <w:rPr>
                <w:rFonts w:hint="eastAsia" w:ascii="宋体" w:hAnsi="宋体" w:eastAsia="宋体" w:cs="宋体"/>
                <w:b/>
                <w:color w:val="auto"/>
                <w:sz w:val="24"/>
              </w:rPr>
            </w:pPr>
          </w:p>
        </w:tc>
        <w:tc>
          <w:tcPr>
            <w:tcW w:w="1041" w:type="dxa"/>
            <w:noWrap w:val="0"/>
            <w:vAlign w:val="center"/>
          </w:tcPr>
          <w:p w14:paraId="589940A4">
            <w:pPr>
              <w:jc w:val="center"/>
              <w:rPr>
                <w:rFonts w:hint="eastAsia" w:ascii="宋体" w:hAnsi="宋体" w:eastAsia="宋体" w:cs="宋体"/>
                <w:b/>
                <w:color w:val="auto"/>
                <w:sz w:val="24"/>
              </w:rPr>
            </w:pPr>
          </w:p>
        </w:tc>
        <w:tc>
          <w:tcPr>
            <w:tcW w:w="1170" w:type="dxa"/>
            <w:noWrap w:val="0"/>
            <w:vAlign w:val="center"/>
          </w:tcPr>
          <w:p w14:paraId="261CD05F">
            <w:pPr>
              <w:jc w:val="center"/>
              <w:rPr>
                <w:rFonts w:hint="eastAsia" w:ascii="宋体" w:hAnsi="宋体" w:eastAsia="宋体" w:cs="宋体"/>
                <w:b/>
                <w:color w:val="auto"/>
                <w:sz w:val="24"/>
              </w:rPr>
            </w:pPr>
          </w:p>
        </w:tc>
        <w:tc>
          <w:tcPr>
            <w:tcW w:w="1170" w:type="dxa"/>
            <w:noWrap w:val="0"/>
            <w:vAlign w:val="center"/>
          </w:tcPr>
          <w:p w14:paraId="3866618B">
            <w:pPr>
              <w:jc w:val="center"/>
              <w:rPr>
                <w:rFonts w:hint="eastAsia" w:ascii="宋体" w:hAnsi="宋体" w:eastAsia="宋体" w:cs="宋体"/>
                <w:b/>
                <w:color w:val="auto"/>
                <w:sz w:val="24"/>
              </w:rPr>
            </w:pPr>
          </w:p>
        </w:tc>
      </w:tr>
      <w:tr w14:paraId="4345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40760FAD">
            <w:pPr>
              <w:jc w:val="center"/>
              <w:rPr>
                <w:rFonts w:hint="eastAsia" w:ascii="宋体" w:hAnsi="宋体" w:eastAsia="宋体" w:cs="宋体"/>
                <w:bCs/>
                <w:color w:val="auto"/>
                <w:sz w:val="24"/>
              </w:rPr>
            </w:pPr>
            <w:r>
              <w:rPr>
                <w:rFonts w:hint="eastAsia" w:ascii="宋体" w:hAnsi="宋体" w:eastAsia="宋体" w:cs="宋体"/>
                <w:bCs/>
                <w:color w:val="auto"/>
                <w:sz w:val="24"/>
              </w:rPr>
              <w:t>施工员</w:t>
            </w:r>
          </w:p>
        </w:tc>
        <w:tc>
          <w:tcPr>
            <w:tcW w:w="928" w:type="dxa"/>
            <w:noWrap w:val="0"/>
            <w:vAlign w:val="center"/>
          </w:tcPr>
          <w:p w14:paraId="4ABF35A4">
            <w:pPr>
              <w:jc w:val="center"/>
              <w:rPr>
                <w:rFonts w:hint="eastAsia" w:ascii="宋体" w:hAnsi="宋体" w:eastAsia="宋体" w:cs="宋体"/>
                <w:b/>
                <w:color w:val="auto"/>
                <w:sz w:val="24"/>
              </w:rPr>
            </w:pPr>
          </w:p>
        </w:tc>
        <w:tc>
          <w:tcPr>
            <w:tcW w:w="928" w:type="dxa"/>
            <w:noWrap w:val="0"/>
            <w:vAlign w:val="center"/>
          </w:tcPr>
          <w:p w14:paraId="302D72FA">
            <w:pPr>
              <w:jc w:val="center"/>
              <w:rPr>
                <w:rFonts w:hint="eastAsia" w:ascii="宋体" w:hAnsi="宋体" w:eastAsia="宋体" w:cs="宋体"/>
                <w:b/>
                <w:color w:val="auto"/>
                <w:sz w:val="24"/>
              </w:rPr>
            </w:pPr>
          </w:p>
        </w:tc>
        <w:tc>
          <w:tcPr>
            <w:tcW w:w="1041" w:type="dxa"/>
            <w:noWrap w:val="0"/>
            <w:vAlign w:val="center"/>
          </w:tcPr>
          <w:p w14:paraId="3797AE9F">
            <w:pPr>
              <w:jc w:val="center"/>
              <w:rPr>
                <w:rFonts w:hint="eastAsia" w:ascii="宋体" w:hAnsi="宋体" w:eastAsia="宋体" w:cs="宋体"/>
                <w:b/>
                <w:color w:val="auto"/>
                <w:sz w:val="24"/>
              </w:rPr>
            </w:pPr>
          </w:p>
        </w:tc>
        <w:tc>
          <w:tcPr>
            <w:tcW w:w="1041" w:type="dxa"/>
            <w:noWrap w:val="0"/>
            <w:vAlign w:val="center"/>
          </w:tcPr>
          <w:p w14:paraId="0F401977">
            <w:pPr>
              <w:jc w:val="center"/>
              <w:rPr>
                <w:rFonts w:hint="eastAsia" w:ascii="宋体" w:hAnsi="宋体" w:eastAsia="宋体" w:cs="宋体"/>
                <w:b/>
                <w:color w:val="auto"/>
                <w:sz w:val="24"/>
              </w:rPr>
            </w:pPr>
          </w:p>
        </w:tc>
        <w:tc>
          <w:tcPr>
            <w:tcW w:w="1041" w:type="dxa"/>
            <w:noWrap w:val="0"/>
            <w:vAlign w:val="center"/>
          </w:tcPr>
          <w:p w14:paraId="624147A5">
            <w:pPr>
              <w:jc w:val="center"/>
              <w:rPr>
                <w:rFonts w:hint="eastAsia" w:ascii="宋体" w:hAnsi="宋体" w:eastAsia="宋体" w:cs="宋体"/>
                <w:b/>
                <w:color w:val="auto"/>
                <w:sz w:val="24"/>
              </w:rPr>
            </w:pPr>
          </w:p>
        </w:tc>
        <w:tc>
          <w:tcPr>
            <w:tcW w:w="1041" w:type="dxa"/>
            <w:noWrap w:val="0"/>
            <w:vAlign w:val="center"/>
          </w:tcPr>
          <w:p w14:paraId="2AEAE0C0">
            <w:pPr>
              <w:jc w:val="center"/>
              <w:rPr>
                <w:rFonts w:hint="eastAsia" w:ascii="宋体" w:hAnsi="宋体" w:eastAsia="宋体" w:cs="宋体"/>
                <w:b/>
                <w:color w:val="auto"/>
                <w:sz w:val="24"/>
              </w:rPr>
            </w:pPr>
          </w:p>
        </w:tc>
        <w:tc>
          <w:tcPr>
            <w:tcW w:w="1170" w:type="dxa"/>
            <w:noWrap w:val="0"/>
            <w:vAlign w:val="center"/>
          </w:tcPr>
          <w:p w14:paraId="145FB6D8">
            <w:pPr>
              <w:jc w:val="center"/>
              <w:rPr>
                <w:rFonts w:hint="eastAsia" w:ascii="宋体" w:hAnsi="宋体" w:eastAsia="宋体" w:cs="宋体"/>
                <w:b/>
                <w:color w:val="auto"/>
                <w:sz w:val="24"/>
              </w:rPr>
            </w:pPr>
          </w:p>
        </w:tc>
        <w:tc>
          <w:tcPr>
            <w:tcW w:w="1170" w:type="dxa"/>
            <w:noWrap w:val="0"/>
            <w:vAlign w:val="center"/>
          </w:tcPr>
          <w:p w14:paraId="6A24F6FD">
            <w:pPr>
              <w:jc w:val="center"/>
              <w:rPr>
                <w:rFonts w:hint="eastAsia" w:ascii="宋体" w:hAnsi="宋体" w:eastAsia="宋体" w:cs="宋体"/>
                <w:b/>
                <w:color w:val="auto"/>
                <w:sz w:val="24"/>
              </w:rPr>
            </w:pPr>
          </w:p>
        </w:tc>
      </w:tr>
      <w:tr w14:paraId="1590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5145B127">
            <w:pPr>
              <w:jc w:val="center"/>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rPr>
              <w:t>安全员</w:t>
            </w:r>
          </w:p>
        </w:tc>
        <w:tc>
          <w:tcPr>
            <w:tcW w:w="928" w:type="dxa"/>
            <w:noWrap w:val="0"/>
            <w:vAlign w:val="center"/>
          </w:tcPr>
          <w:p w14:paraId="342D5F44">
            <w:pPr>
              <w:jc w:val="center"/>
              <w:rPr>
                <w:rFonts w:hint="eastAsia" w:ascii="宋体" w:hAnsi="宋体" w:eastAsia="宋体" w:cs="宋体"/>
                <w:b/>
                <w:color w:val="auto"/>
                <w:sz w:val="24"/>
              </w:rPr>
            </w:pPr>
          </w:p>
        </w:tc>
        <w:tc>
          <w:tcPr>
            <w:tcW w:w="928" w:type="dxa"/>
            <w:noWrap w:val="0"/>
            <w:vAlign w:val="center"/>
          </w:tcPr>
          <w:p w14:paraId="6CC80C0E">
            <w:pPr>
              <w:jc w:val="center"/>
              <w:rPr>
                <w:rFonts w:hint="eastAsia" w:ascii="宋体" w:hAnsi="宋体" w:eastAsia="宋体" w:cs="宋体"/>
                <w:b/>
                <w:color w:val="auto"/>
                <w:sz w:val="24"/>
              </w:rPr>
            </w:pPr>
          </w:p>
        </w:tc>
        <w:tc>
          <w:tcPr>
            <w:tcW w:w="1041" w:type="dxa"/>
            <w:noWrap w:val="0"/>
            <w:vAlign w:val="center"/>
          </w:tcPr>
          <w:p w14:paraId="20D0D0B5">
            <w:pPr>
              <w:jc w:val="center"/>
              <w:rPr>
                <w:rFonts w:hint="eastAsia" w:ascii="宋体" w:hAnsi="宋体" w:eastAsia="宋体" w:cs="宋体"/>
                <w:b/>
                <w:color w:val="auto"/>
                <w:sz w:val="24"/>
              </w:rPr>
            </w:pPr>
          </w:p>
        </w:tc>
        <w:tc>
          <w:tcPr>
            <w:tcW w:w="1041" w:type="dxa"/>
            <w:noWrap w:val="0"/>
            <w:vAlign w:val="center"/>
          </w:tcPr>
          <w:p w14:paraId="0FCF9826">
            <w:pPr>
              <w:jc w:val="center"/>
              <w:rPr>
                <w:rFonts w:hint="eastAsia" w:ascii="宋体" w:hAnsi="宋体" w:eastAsia="宋体" w:cs="宋体"/>
                <w:b/>
                <w:color w:val="auto"/>
                <w:sz w:val="24"/>
              </w:rPr>
            </w:pPr>
          </w:p>
        </w:tc>
        <w:tc>
          <w:tcPr>
            <w:tcW w:w="1041" w:type="dxa"/>
            <w:noWrap w:val="0"/>
            <w:vAlign w:val="center"/>
          </w:tcPr>
          <w:p w14:paraId="3A4FC1E5">
            <w:pPr>
              <w:jc w:val="center"/>
              <w:rPr>
                <w:rFonts w:hint="eastAsia" w:ascii="宋体" w:hAnsi="宋体" w:eastAsia="宋体" w:cs="宋体"/>
                <w:b/>
                <w:color w:val="auto"/>
                <w:sz w:val="24"/>
              </w:rPr>
            </w:pPr>
          </w:p>
        </w:tc>
        <w:tc>
          <w:tcPr>
            <w:tcW w:w="1041" w:type="dxa"/>
            <w:noWrap w:val="0"/>
            <w:vAlign w:val="center"/>
          </w:tcPr>
          <w:p w14:paraId="6DC89213">
            <w:pPr>
              <w:jc w:val="center"/>
              <w:rPr>
                <w:rFonts w:hint="eastAsia" w:ascii="宋体" w:hAnsi="宋体" w:eastAsia="宋体" w:cs="宋体"/>
                <w:b/>
                <w:color w:val="auto"/>
                <w:sz w:val="24"/>
              </w:rPr>
            </w:pPr>
          </w:p>
        </w:tc>
        <w:tc>
          <w:tcPr>
            <w:tcW w:w="1170" w:type="dxa"/>
            <w:noWrap w:val="0"/>
            <w:vAlign w:val="center"/>
          </w:tcPr>
          <w:p w14:paraId="7FC87B46">
            <w:pPr>
              <w:jc w:val="center"/>
              <w:rPr>
                <w:rFonts w:hint="eastAsia" w:ascii="宋体" w:hAnsi="宋体" w:eastAsia="宋体" w:cs="宋体"/>
                <w:b/>
                <w:color w:val="auto"/>
                <w:sz w:val="24"/>
              </w:rPr>
            </w:pPr>
          </w:p>
        </w:tc>
        <w:tc>
          <w:tcPr>
            <w:tcW w:w="1170" w:type="dxa"/>
            <w:noWrap w:val="0"/>
            <w:vAlign w:val="center"/>
          </w:tcPr>
          <w:p w14:paraId="69EF4954">
            <w:pPr>
              <w:jc w:val="center"/>
              <w:rPr>
                <w:rFonts w:hint="eastAsia" w:ascii="宋体" w:hAnsi="宋体" w:eastAsia="宋体" w:cs="宋体"/>
                <w:b/>
                <w:color w:val="auto"/>
                <w:sz w:val="24"/>
              </w:rPr>
            </w:pPr>
          </w:p>
        </w:tc>
      </w:tr>
      <w:tr w14:paraId="12DC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34DE6176">
            <w:pPr>
              <w:jc w:val="center"/>
              <w:rPr>
                <w:rFonts w:hint="eastAsia" w:ascii="宋体" w:hAnsi="宋体" w:eastAsia="宋体" w:cs="宋体"/>
                <w:bCs/>
                <w:color w:val="auto"/>
                <w:sz w:val="24"/>
              </w:rPr>
            </w:pPr>
            <w:r>
              <w:rPr>
                <w:rFonts w:hint="eastAsia" w:ascii="宋体" w:hAnsi="宋体" w:eastAsia="宋体" w:cs="宋体"/>
                <w:bCs/>
                <w:color w:val="auto"/>
                <w:sz w:val="24"/>
              </w:rPr>
              <w:t>材料员</w:t>
            </w:r>
          </w:p>
        </w:tc>
        <w:tc>
          <w:tcPr>
            <w:tcW w:w="928" w:type="dxa"/>
            <w:noWrap w:val="0"/>
            <w:vAlign w:val="center"/>
          </w:tcPr>
          <w:p w14:paraId="1ECE3091">
            <w:pPr>
              <w:jc w:val="center"/>
              <w:rPr>
                <w:rFonts w:hint="eastAsia" w:ascii="宋体" w:hAnsi="宋体" w:eastAsia="宋体" w:cs="宋体"/>
                <w:b/>
                <w:color w:val="auto"/>
                <w:sz w:val="24"/>
              </w:rPr>
            </w:pPr>
          </w:p>
        </w:tc>
        <w:tc>
          <w:tcPr>
            <w:tcW w:w="928" w:type="dxa"/>
            <w:noWrap w:val="0"/>
            <w:vAlign w:val="center"/>
          </w:tcPr>
          <w:p w14:paraId="3EDCE2C9">
            <w:pPr>
              <w:jc w:val="center"/>
              <w:rPr>
                <w:rFonts w:hint="eastAsia" w:ascii="宋体" w:hAnsi="宋体" w:eastAsia="宋体" w:cs="宋体"/>
                <w:b/>
                <w:color w:val="auto"/>
                <w:sz w:val="24"/>
              </w:rPr>
            </w:pPr>
          </w:p>
        </w:tc>
        <w:tc>
          <w:tcPr>
            <w:tcW w:w="1041" w:type="dxa"/>
            <w:noWrap w:val="0"/>
            <w:vAlign w:val="center"/>
          </w:tcPr>
          <w:p w14:paraId="53D883C2">
            <w:pPr>
              <w:jc w:val="center"/>
              <w:rPr>
                <w:rFonts w:hint="eastAsia" w:ascii="宋体" w:hAnsi="宋体" w:eastAsia="宋体" w:cs="宋体"/>
                <w:b/>
                <w:color w:val="auto"/>
                <w:sz w:val="24"/>
              </w:rPr>
            </w:pPr>
          </w:p>
        </w:tc>
        <w:tc>
          <w:tcPr>
            <w:tcW w:w="1041" w:type="dxa"/>
            <w:noWrap w:val="0"/>
            <w:vAlign w:val="center"/>
          </w:tcPr>
          <w:p w14:paraId="5851B742">
            <w:pPr>
              <w:jc w:val="center"/>
              <w:rPr>
                <w:rFonts w:hint="eastAsia" w:ascii="宋体" w:hAnsi="宋体" w:eastAsia="宋体" w:cs="宋体"/>
                <w:b/>
                <w:color w:val="auto"/>
                <w:sz w:val="24"/>
              </w:rPr>
            </w:pPr>
          </w:p>
        </w:tc>
        <w:tc>
          <w:tcPr>
            <w:tcW w:w="1041" w:type="dxa"/>
            <w:noWrap w:val="0"/>
            <w:vAlign w:val="center"/>
          </w:tcPr>
          <w:p w14:paraId="6AB0F6DD">
            <w:pPr>
              <w:jc w:val="center"/>
              <w:rPr>
                <w:rFonts w:hint="eastAsia" w:ascii="宋体" w:hAnsi="宋体" w:eastAsia="宋体" w:cs="宋体"/>
                <w:b/>
                <w:color w:val="auto"/>
                <w:sz w:val="24"/>
              </w:rPr>
            </w:pPr>
          </w:p>
        </w:tc>
        <w:tc>
          <w:tcPr>
            <w:tcW w:w="1041" w:type="dxa"/>
            <w:noWrap w:val="0"/>
            <w:vAlign w:val="center"/>
          </w:tcPr>
          <w:p w14:paraId="6EB36154">
            <w:pPr>
              <w:jc w:val="center"/>
              <w:rPr>
                <w:rFonts w:hint="eastAsia" w:ascii="宋体" w:hAnsi="宋体" w:eastAsia="宋体" w:cs="宋体"/>
                <w:b/>
                <w:color w:val="auto"/>
                <w:sz w:val="24"/>
              </w:rPr>
            </w:pPr>
          </w:p>
        </w:tc>
        <w:tc>
          <w:tcPr>
            <w:tcW w:w="1170" w:type="dxa"/>
            <w:noWrap w:val="0"/>
            <w:vAlign w:val="center"/>
          </w:tcPr>
          <w:p w14:paraId="71D9E64E">
            <w:pPr>
              <w:jc w:val="center"/>
              <w:rPr>
                <w:rFonts w:hint="eastAsia" w:ascii="宋体" w:hAnsi="宋体" w:eastAsia="宋体" w:cs="宋体"/>
                <w:b/>
                <w:color w:val="auto"/>
                <w:sz w:val="24"/>
              </w:rPr>
            </w:pPr>
          </w:p>
        </w:tc>
        <w:tc>
          <w:tcPr>
            <w:tcW w:w="1170" w:type="dxa"/>
            <w:noWrap w:val="0"/>
            <w:vAlign w:val="center"/>
          </w:tcPr>
          <w:p w14:paraId="3AA02E4E">
            <w:pPr>
              <w:jc w:val="center"/>
              <w:rPr>
                <w:rFonts w:hint="eastAsia" w:ascii="宋体" w:hAnsi="宋体" w:eastAsia="宋体" w:cs="宋体"/>
                <w:b/>
                <w:color w:val="auto"/>
                <w:sz w:val="24"/>
              </w:rPr>
            </w:pPr>
          </w:p>
        </w:tc>
      </w:tr>
      <w:tr w14:paraId="5FB8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23DF3E63">
            <w:pPr>
              <w:jc w:val="center"/>
              <w:rPr>
                <w:rFonts w:hint="default" w:ascii="宋体" w:hAnsi="宋体" w:eastAsia="宋体" w:cs="宋体"/>
                <w:bCs/>
                <w:color w:val="auto"/>
                <w:sz w:val="24"/>
                <w:lang w:val="en-US" w:eastAsia="zh-CN"/>
              </w:rPr>
            </w:pPr>
            <w:r>
              <w:rPr>
                <w:rFonts w:hint="eastAsia" w:ascii="宋体" w:hAnsi="宋体" w:cs="宋体"/>
                <w:bCs/>
                <w:color w:val="auto"/>
                <w:sz w:val="24"/>
                <w:lang w:val="en-US" w:eastAsia="zh-CN"/>
              </w:rPr>
              <w:t>...</w:t>
            </w:r>
          </w:p>
        </w:tc>
        <w:tc>
          <w:tcPr>
            <w:tcW w:w="928" w:type="dxa"/>
            <w:noWrap w:val="0"/>
            <w:vAlign w:val="center"/>
          </w:tcPr>
          <w:p w14:paraId="5321A551">
            <w:pPr>
              <w:jc w:val="center"/>
              <w:rPr>
                <w:rFonts w:hint="eastAsia" w:ascii="宋体" w:hAnsi="宋体" w:eastAsia="宋体" w:cs="宋体"/>
                <w:b/>
                <w:color w:val="auto"/>
                <w:sz w:val="24"/>
              </w:rPr>
            </w:pPr>
          </w:p>
        </w:tc>
        <w:tc>
          <w:tcPr>
            <w:tcW w:w="928" w:type="dxa"/>
            <w:noWrap w:val="0"/>
            <w:vAlign w:val="center"/>
          </w:tcPr>
          <w:p w14:paraId="78FFF3BE">
            <w:pPr>
              <w:jc w:val="center"/>
              <w:rPr>
                <w:rFonts w:hint="eastAsia" w:ascii="宋体" w:hAnsi="宋体" w:eastAsia="宋体" w:cs="宋体"/>
                <w:b/>
                <w:color w:val="auto"/>
                <w:sz w:val="24"/>
              </w:rPr>
            </w:pPr>
          </w:p>
        </w:tc>
        <w:tc>
          <w:tcPr>
            <w:tcW w:w="1041" w:type="dxa"/>
            <w:noWrap w:val="0"/>
            <w:vAlign w:val="center"/>
          </w:tcPr>
          <w:p w14:paraId="764282A9">
            <w:pPr>
              <w:jc w:val="center"/>
              <w:rPr>
                <w:rFonts w:hint="eastAsia" w:ascii="宋体" w:hAnsi="宋体" w:eastAsia="宋体" w:cs="宋体"/>
                <w:b/>
                <w:color w:val="auto"/>
                <w:sz w:val="24"/>
              </w:rPr>
            </w:pPr>
          </w:p>
        </w:tc>
        <w:tc>
          <w:tcPr>
            <w:tcW w:w="1041" w:type="dxa"/>
            <w:noWrap w:val="0"/>
            <w:vAlign w:val="center"/>
          </w:tcPr>
          <w:p w14:paraId="1D5D768F">
            <w:pPr>
              <w:jc w:val="center"/>
              <w:rPr>
                <w:rFonts w:hint="eastAsia" w:ascii="宋体" w:hAnsi="宋体" w:eastAsia="宋体" w:cs="宋体"/>
                <w:b/>
                <w:color w:val="auto"/>
                <w:sz w:val="24"/>
              </w:rPr>
            </w:pPr>
          </w:p>
        </w:tc>
        <w:tc>
          <w:tcPr>
            <w:tcW w:w="1041" w:type="dxa"/>
            <w:noWrap w:val="0"/>
            <w:vAlign w:val="center"/>
          </w:tcPr>
          <w:p w14:paraId="311C3FCB">
            <w:pPr>
              <w:jc w:val="center"/>
              <w:rPr>
                <w:rFonts w:hint="eastAsia" w:ascii="宋体" w:hAnsi="宋体" w:eastAsia="宋体" w:cs="宋体"/>
                <w:b/>
                <w:color w:val="auto"/>
                <w:sz w:val="24"/>
              </w:rPr>
            </w:pPr>
          </w:p>
        </w:tc>
        <w:tc>
          <w:tcPr>
            <w:tcW w:w="1041" w:type="dxa"/>
            <w:noWrap w:val="0"/>
            <w:vAlign w:val="center"/>
          </w:tcPr>
          <w:p w14:paraId="17DFE204">
            <w:pPr>
              <w:jc w:val="center"/>
              <w:rPr>
                <w:rFonts w:hint="eastAsia" w:ascii="宋体" w:hAnsi="宋体" w:eastAsia="宋体" w:cs="宋体"/>
                <w:b/>
                <w:color w:val="auto"/>
                <w:sz w:val="24"/>
              </w:rPr>
            </w:pPr>
          </w:p>
        </w:tc>
        <w:tc>
          <w:tcPr>
            <w:tcW w:w="1170" w:type="dxa"/>
            <w:noWrap w:val="0"/>
            <w:vAlign w:val="center"/>
          </w:tcPr>
          <w:p w14:paraId="20A44722">
            <w:pPr>
              <w:jc w:val="center"/>
              <w:rPr>
                <w:rFonts w:hint="eastAsia" w:ascii="宋体" w:hAnsi="宋体" w:eastAsia="宋体" w:cs="宋体"/>
                <w:b/>
                <w:color w:val="auto"/>
                <w:sz w:val="24"/>
              </w:rPr>
            </w:pPr>
          </w:p>
        </w:tc>
        <w:tc>
          <w:tcPr>
            <w:tcW w:w="1170" w:type="dxa"/>
            <w:noWrap w:val="0"/>
            <w:vAlign w:val="center"/>
          </w:tcPr>
          <w:p w14:paraId="62733CE1">
            <w:pPr>
              <w:jc w:val="center"/>
              <w:rPr>
                <w:rFonts w:hint="eastAsia" w:ascii="宋体" w:hAnsi="宋体" w:eastAsia="宋体" w:cs="宋体"/>
                <w:b/>
                <w:color w:val="auto"/>
                <w:sz w:val="24"/>
              </w:rPr>
            </w:pPr>
          </w:p>
        </w:tc>
      </w:tr>
      <w:tr w14:paraId="317C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277DB5A4">
            <w:pPr>
              <w:jc w:val="center"/>
              <w:rPr>
                <w:rFonts w:hint="eastAsia" w:ascii="宋体" w:hAnsi="宋体" w:eastAsia="宋体" w:cs="宋体"/>
                <w:b/>
                <w:color w:val="auto"/>
                <w:sz w:val="24"/>
              </w:rPr>
            </w:pPr>
          </w:p>
        </w:tc>
        <w:tc>
          <w:tcPr>
            <w:tcW w:w="928" w:type="dxa"/>
            <w:noWrap w:val="0"/>
            <w:vAlign w:val="center"/>
          </w:tcPr>
          <w:p w14:paraId="752E6F3C">
            <w:pPr>
              <w:jc w:val="center"/>
              <w:rPr>
                <w:rFonts w:hint="eastAsia" w:ascii="宋体" w:hAnsi="宋体" w:eastAsia="宋体" w:cs="宋体"/>
                <w:b/>
                <w:color w:val="auto"/>
                <w:sz w:val="24"/>
              </w:rPr>
            </w:pPr>
          </w:p>
        </w:tc>
        <w:tc>
          <w:tcPr>
            <w:tcW w:w="928" w:type="dxa"/>
            <w:noWrap w:val="0"/>
            <w:vAlign w:val="center"/>
          </w:tcPr>
          <w:p w14:paraId="02106C4F">
            <w:pPr>
              <w:jc w:val="center"/>
              <w:rPr>
                <w:rFonts w:hint="eastAsia" w:ascii="宋体" w:hAnsi="宋体" w:eastAsia="宋体" w:cs="宋体"/>
                <w:b/>
                <w:color w:val="auto"/>
                <w:sz w:val="24"/>
              </w:rPr>
            </w:pPr>
          </w:p>
        </w:tc>
        <w:tc>
          <w:tcPr>
            <w:tcW w:w="1041" w:type="dxa"/>
            <w:noWrap w:val="0"/>
            <w:vAlign w:val="center"/>
          </w:tcPr>
          <w:p w14:paraId="5C339A56">
            <w:pPr>
              <w:jc w:val="center"/>
              <w:rPr>
                <w:rFonts w:hint="eastAsia" w:ascii="宋体" w:hAnsi="宋体" w:eastAsia="宋体" w:cs="宋体"/>
                <w:b/>
                <w:color w:val="auto"/>
                <w:sz w:val="24"/>
              </w:rPr>
            </w:pPr>
          </w:p>
        </w:tc>
        <w:tc>
          <w:tcPr>
            <w:tcW w:w="1041" w:type="dxa"/>
            <w:noWrap w:val="0"/>
            <w:vAlign w:val="center"/>
          </w:tcPr>
          <w:p w14:paraId="4D54AABC">
            <w:pPr>
              <w:jc w:val="center"/>
              <w:rPr>
                <w:rFonts w:hint="eastAsia" w:ascii="宋体" w:hAnsi="宋体" w:eastAsia="宋体" w:cs="宋体"/>
                <w:b/>
                <w:color w:val="auto"/>
                <w:sz w:val="24"/>
              </w:rPr>
            </w:pPr>
          </w:p>
        </w:tc>
        <w:tc>
          <w:tcPr>
            <w:tcW w:w="1041" w:type="dxa"/>
            <w:noWrap w:val="0"/>
            <w:vAlign w:val="center"/>
          </w:tcPr>
          <w:p w14:paraId="23F66CCC">
            <w:pPr>
              <w:jc w:val="center"/>
              <w:rPr>
                <w:rFonts w:hint="eastAsia" w:ascii="宋体" w:hAnsi="宋体" w:eastAsia="宋体" w:cs="宋体"/>
                <w:b/>
                <w:color w:val="auto"/>
                <w:sz w:val="24"/>
              </w:rPr>
            </w:pPr>
          </w:p>
        </w:tc>
        <w:tc>
          <w:tcPr>
            <w:tcW w:w="1041" w:type="dxa"/>
            <w:noWrap w:val="0"/>
            <w:vAlign w:val="center"/>
          </w:tcPr>
          <w:p w14:paraId="66155E92">
            <w:pPr>
              <w:jc w:val="center"/>
              <w:rPr>
                <w:rFonts w:hint="eastAsia" w:ascii="宋体" w:hAnsi="宋体" w:eastAsia="宋体" w:cs="宋体"/>
                <w:b/>
                <w:color w:val="auto"/>
                <w:sz w:val="24"/>
              </w:rPr>
            </w:pPr>
          </w:p>
        </w:tc>
        <w:tc>
          <w:tcPr>
            <w:tcW w:w="1170" w:type="dxa"/>
            <w:noWrap w:val="0"/>
            <w:vAlign w:val="center"/>
          </w:tcPr>
          <w:p w14:paraId="0312E0BE">
            <w:pPr>
              <w:jc w:val="center"/>
              <w:rPr>
                <w:rFonts w:hint="eastAsia" w:ascii="宋体" w:hAnsi="宋体" w:eastAsia="宋体" w:cs="宋体"/>
                <w:b/>
                <w:color w:val="auto"/>
                <w:sz w:val="24"/>
              </w:rPr>
            </w:pPr>
          </w:p>
        </w:tc>
        <w:tc>
          <w:tcPr>
            <w:tcW w:w="1170" w:type="dxa"/>
            <w:noWrap w:val="0"/>
            <w:vAlign w:val="center"/>
          </w:tcPr>
          <w:p w14:paraId="34037A17">
            <w:pPr>
              <w:jc w:val="center"/>
              <w:rPr>
                <w:rFonts w:hint="eastAsia" w:ascii="宋体" w:hAnsi="宋体" w:eastAsia="宋体" w:cs="宋体"/>
                <w:b/>
                <w:color w:val="auto"/>
                <w:sz w:val="24"/>
              </w:rPr>
            </w:pPr>
          </w:p>
        </w:tc>
      </w:tr>
      <w:tr w14:paraId="1C23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22DBA89C">
            <w:pPr>
              <w:jc w:val="center"/>
              <w:rPr>
                <w:rFonts w:hint="eastAsia" w:ascii="宋体" w:hAnsi="宋体" w:eastAsia="宋体" w:cs="宋体"/>
                <w:b/>
                <w:color w:val="auto"/>
                <w:sz w:val="24"/>
              </w:rPr>
            </w:pPr>
          </w:p>
        </w:tc>
        <w:tc>
          <w:tcPr>
            <w:tcW w:w="928" w:type="dxa"/>
            <w:noWrap w:val="0"/>
            <w:vAlign w:val="center"/>
          </w:tcPr>
          <w:p w14:paraId="2FBEA23F">
            <w:pPr>
              <w:jc w:val="center"/>
              <w:rPr>
                <w:rFonts w:hint="eastAsia" w:ascii="宋体" w:hAnsi="宋体" w:eastAsia="宋体" w:cs="宋体"/>
                <w:b/>
                <w:color w:val="auto"/>
                <w:sz w:val="24"/>
              </w:rPr>
            </w:pPr>
          </w:p>
        </w:tc>
        <w:tc>
          <w:tcPr>
            <w:tcW w:w="928" w:type="dxa"/>
            <w:noWrap w:val="0"/>
            <w:vAlign w:val="center"/>
          </w:tcPr>
          <w:p w14:paraId="394FC430">
            <w:pPr>
              <w:jc w:val="center"/>
              <w:rPr>
                <w:rFonts w:hint="eastAsia" w:ascii="宋体" w:hAnsi="宋体" w:eastAsia="宋体" w:cs="宋体"/>
                <w:b/>
                <w:color w:val="auto"/>
                <w:sz w:val="24"/>
              </w:rPr>
            </w:pPr>
          </w:p>
        </w:tc>
        <w:tc>
          <w:tcPr>
            <w:tcW w:w="1041" w:type="dxa"/>
            <w:noWrap w:val="0"/>
            <w:vAlign w:val="center"/>
          </w:tcPr>
          <w:p w14:paraId="69B5C0C7">
            <w:pPr>
              <w:jc w:val="center"/>
              <w:rPr>
                <w:rFonts w:hint="eastAsia" w:ascii="宋体" w:hAnsi="宋体" w:eastAsia="宋体" w:cs="宋体"/>
                <w:b/>
                <w:color w:val="auto"/>
                <w:sz w:val="24"/>
              </w:rPr>
            </w:pPr>
          </w:p>
        </w:tc>
        <w:tc>
          <w:tcPr>
            <w:tcW w:w="1041" w:type="dxa"/>
            <w:noWrap w:val="0"/>
            <w:vAlign w:val="center"/>
          </w:tcPr>
          <w:p w14:paraId="4D808614">
            <w:pPr>
              <w:jc w:val="center"/>
              <w:rPr>
                <w:rFonts w:hint="eastAsia" w:ascii="宋体" w:hAnsi="宋体" w:eastAsia="宋体" w:cs="宋体"/>
                <w:b/>
                <w:color w:val="auto"/>
                <w:sz w:val="24"/>
              </w:rPr>
            </w:pPr>
          </w:p>
        </w:tc>
        <w:tc>
          <w:tcPr>
            <w:tcW w:w="1041" w:type="dxa"/>
            <w:noWrap w:val="0"/>
            <w:vAlign w:val="center"/>
          </w:tcPr>
          <w:p w14:paraId="722E415D">
            <w:pPr>
              <w:jc w:val="center"/>
              <w:rPr>
                <w:rFonts w:hint="eastAsia" w:ascii="宋体" w:hAnsi="宋体" w:eastAsia="宋体" w:cs="宋体"/>
                <w:b/>
                <w:color w:val="auto"/>
                <w:sz w:val="24"/>
              </w:rPr>
            </w:pPr>
          </w:p>
        </w:tc>
        <w:tc>
          <w:tcPr>
            <w:tcW w:w="1041" w:type="dxa"/>
            <w:noWrap w:val="0"/>
            <w:vAlign w:val="center"/>
          </w:tcPr>
          <w:p w14:paraId="041F6B0E">
            <w:pPr>
              <w:jc w:val="center"/>
              <w:rPr>
                <w:rFonts w:hint="eastAsia" w:ascii="宋体" w:hAnsi="宋体" w:eastAsia="宋体" w:cs="宋体"/>
                <w:b/>
                <w:color w:val="auto"/>
                <w:sz w:val="24"/>
              </w:rPr>
            </w:pPr>
          </w:p>
        </w:tc>
        <w:tc>
          <w:tcPr>
            <w:tcW w:w="1170" w:type="dxa"/>
            <w:noWrap w:val="0"/>
            <w:vAlign w:val="center"/>
          </w:tcPr>
          <w:p w14:paraId="3575CCBF">
            <w:pPr>
              <w:jc w:val="center"/>
              <w:rPr>
                <w:rFonts w:hint="eastAsia" w:ascii="宋体" w:hAnsi="宋体" w:eastAsia="宋体" w:cs="宋体"/>
                <w:b/>
                <w:color w:val="auto"/>
                <w:sz w:val="24"/>
              </w:rPr>
            </w:pPr>
          </w:p>
        </w:tc>
        <w:tc>
          <w:tcPr>
            <w:tcW w:w="1170" w:type="dxa"/>
            <w:noWrap w:val="0"/>
            <w:vAlign w:val="center"/>
          </w:tcPr>
          <w:p w14:paraId="463BB2C7">
            <w:pPr>
              <w:jc w:val="center"/>
              <w:rPr>
                <w:rFonts w:hint="eastAsia" w:ascii="宋体" w:hAnsi="宋体" w:eastAsia="宋体" w:cs="宋体"/>
                <w:b/>
                <w:color w:val="auto"/>
                <w:sz w:val="24"/>
              </w:rPr>
            </w:pPr>
          </w:p>
        </w:tc>
      </w:tr>
      <w:tr w14:paraId="2614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2BC5D477">
            <w:pPr>
              <w:jc w:val="center"/>
              <w:rPr>
                <w:rFonts w:hint="eastAsia" w:ascii="宋体" w:hAnsi="宋体" w:eastAsia="宋体" w:cs="宋体"/>
                <w:b/>
                <w:color w:val="auto"/>
                <w:sz w:val="24"/>
              </w:rPr>
            </w:pPr>
          </w:p>
        </w:tc>
        <w:tc>
          <w:tcPr>
            <w:tcW w:w="928" w:type="dxa"/>
            <w:noWrap w:val="0"/>
            <w:vAlign w:val="center"/>
          </w:tcPr>
          <w:p w14:paraId="3999522B">
            <w:pPr>
              <w:jc w:val="center"/>
              <w:rPr>
                <w:rFonts w:hint="eastAsia" w:ascii="宋体" w:hAnsi="宋体" w:eastAsia="宋体" w:cs="宋体"/>
                <w:b/>
                <w:color w:val="auto"/>
                <w:sz w:val="24"/>
              </w:rPr>
            </w:pPr>
          </w:p>
        </w:tc>
        <w:tc>
          <w:tcPr>
            <w:tcW w:w="928" w:type="dxa"/>
            <w:noWrap w:val="0"/>
            <w:vAlign w:val="center"/>
          </w:tcPr>
          <w:p w14:paraId="4142FF25">
            <w:pPr>
              <w:jc w:val="center"/>
              <w:rPr>
                <w:rFonts w:hint="eastAsia" w:ascii="宋体" w:hAnsi="宋体" w:eastAsia="宋体" w:cs="宋体"/>
                <w:b/>
                <w:color w:val="auto"/>
                <w:sz w:val="24"/>
              </w:rPr>
            </w:pPr>
          </w:p>
        </w:tc>
        <w:tc>
          <w:tcPr>
            <w:tcW w:w="1041" w:type="dxa"/>
            <w:noWrap w:val="0"/>
            <w:vAlign w:val="center"/>
          </w:tcPr>
          <w:p w14:paraId="1B8FAF54">
            <w:pPr>
              <w:jc w:val="center"/>
              <w:rPr>
                <w:rFonts w:hint="eastAsia" w:ascii="宋体" w:hAnsi="宋体" w:eastAsia="宋体" w:cs="宋体"/>
                <w:b/>
                <w:color w:val="auto"/>
                <w:sz w:val="24"/>
              </w:rPr>
            </w:pPr>
          </w:p>
        </w:tc>
        <w:tc>
          <w:tcPr>
            <w:tcW w:w="1041" w:type="dxa"/>
            <w:noWrap w:val="0"/>
            <w:vAlign w:val="center"/>
          </w:tcPr>
          <w:p w14:paraId="40E84916">
            <w:pPr>
              <w:jc w:val="center"/>
              <w:rPr>
                <w:rFonts w:hint="eastAsia" w:ascii="宋体" w:hAnsi="宋体" w:eastAsia="宋体" w:cs="宋体"/>
                <w:b/>
                <w:color w:val="auto"/>
                <w:sz w:val="24"/>
              </w:rPr>
            </w:pPr>
          </w:p>
        </w:tc>
        <w:tc>
          <w:tcPr>
            <w:tcW w:w="1041" w:type="dxa"/>
            <w:noWrap w:val="0"/>
            <w:vAlign w:val="center"/>
          </w:tcPr>
          <w:p w14:paraId="2F587C40">
            <w:pPr>
              <w:jc w:val="center"/>
              <w:rPr>
                <w:rFonts w:hint="eastAsia" w:ascii="宋体" w:hAnsi="宋体" w:eastAsia="宋体" w:cs="宋体"/>
                <w:b/>
                <w:color w:val="auto"/>
                <w:sz w:val="24"/>
              </w:rPr>
            </w:pPr>
          </w:p>
        </w:tc>
        <w:tc>
          <w:tcPr>
            <w:tcW w:w="1041" w:type="dxa"/>
            <w:noWrap w:val="0"/>
            <w:vAlign w:val="center"/>
          </w:tcPr>
          <w:p w14:paraId="30279206">
            <w:pPr>
              <w:jc w:val="center"/>
              <w:rPr>
                <w:rFonts w:hint="eastAsia" w:ascii="宋体" w:hAnsi="宋体" w:eastAsia="宋体" w:cs="宋体"/>
                <w:b/>
                <w:color w:val="auto"/>
                <w:sz w:val="24"/>
              </w:rPr>
            </w:pPr>
          </w:p>
        </w:tc>
        <w:tc>
          <w:tcPr>
            <w:tcW w:w="1170" w:type="dxa"/>
            <w:noWrap w:val="0"/>
            <w:vAlign w:val="center"/>
          </w:tcPr>
          <w:p w14:paraId="14E5F67D">
            <w:pPr>
              <w:jc w:val="center"/>
              <w:rPr>
                <w:rFonts w:hint="eastAsia" w:ascii="宋体" w:hAnsi="宋体" w:eastAsia="宋体" w:cs="宋体"/>
                <w:b/>
                <w:color w:val="auto"/>
                <w:sz w:val="24"/>
              </w:rPr>
            </w:pPr>
          </w:p>
        </w:tc>
        <w:tc>
          <w:tcPr>
            <w:tcW w:w="1170" w:type="dxa"/>
            <w:noWrap w:val="0"/>
            <w:vAlign w:val="center"/>
          </w:tcPr>
          <w:p w14:paraId="5168ACDE">
            <w:pPr>
              <w:jc w:val="center"/>
              <w:rPr>
                <w:rFonts w:hint="eastAsia" w:ascii="宋体" w:hAnsi="宋体" w:eastAsia="宋体" w:cs="宋体"/>
                <w:b/>
                <w:color w:val="auto"/>
                <w:sz w:val="24"/>
              </w:rPr>
            </w:pPr>
          </w:p>
        </w:tc>
      </w:tr>
      <w:tr w14:paraId="35E2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69B1474F">
            <w:pPr>
              <w:jc w:val="center"/>
              <w:rPr>
                <w:rFonts w:hint="eastAsia" w:ascii="宋体" w:hAnsi="宋体" w:eastAsia="宋体" w:cs="宋体"/>
                <w:b/>
                <w:color w:val="auto"/>
                <w:sz w:val="24"/>
              </w:rPr>
            </w:pPr>
          </w:p>
        </w:tc>
        <w:tc>
          <w:tcPr>
            <w:tcW w:w="928" w:type="dxa"/>
            <w:noWrap w:val="0"/>
            <w:vAlign w:val="center"/>
          </w:tcPr>
          <w:p w14:paraId="40BDCD5C">
            <w:pPr>
              <w:jc w:val="center"/>
              <w:rPr>
                <w:rFonts w:hint="eastAsia" w:ascii="宋体" w:hAnsi="宋体" w:eastAsia="宋体" w:cs="宋体"/>
                <w:b/>
                <w:color w:val="auto"/>
                <w:sz w:val="24"/>
              </w:rPr>
            </w:pPr>
          </w:p>
        </w:tc>
        <w:tc>
          <w:tcPr>
            <w:tcW w:w="928" w:type="dxa"/>
            <w:noWrap w:val="0"/>
            <w:vAlign w:val="center"/>
          </w:tcPr>
          <w:p w14:paraId="75BC9074">
            <w:pPr>
              <w:jc w:val="center"/>
              <w:rPr>
                <w:rFonts w:hint="eastAsia" w:ascii="宋体" w:hAnsi="宋体" w:eastAsia="宋体" w:cs="宋体"/>
                <w:b/>
                <w:color w:val="auto"/>
                <w:sz w:val="24"/>
              </w:rPr>
            </w:pPr>
          </w:p>
        </w:tc>
        <w:tc>
          <w:tcPr>
            <w:tcW w:w="1041" w:type="dxa"/>
            <w:noWrap w:val="0"/>
            <w:vAlign w:val="center"/>
          </w:tcPr>
          <w:p w14:paraId="309232B1">
            <w:pPr>
              <w:jc w:val="center"/>
              <w:rPr>
                <w:rFonts w:hint="eastAsia" w:ascii="宋体" w:hAnsi="宋体" w:eastAsia="宋体" w:cs="宋体"/>
                <w:b/>
                <w:color w:val="auto"/>
                <w:sz w:val="24"/>
              </w:rPr>
            </w:pPr>
          </w:p>
        </w:tc>
        <w:tc>
          <w:tcPr>
            <w:tcW w:w="1041" w:type="dxa"/>
            <w:noWrap w:val="0"/>
            <w:vAlign w:val="center"/>
          </w:tcPr>
          <w:p w14:paraId="1D5D8974">
            <w:pPr>
              <w:jc w:val="center"/>
              <w:rPr>
                <w:rFonts w:hint="eastAsia" w:ascii="宋体" w:hAnsi="宋体" w:eastAsia="宋体" w:cs="宋体"/>
                <w:b/>
                <w:color w:val="auto"/>
                <w:sz w:val="24"/>
              </w:rPr>
            </w:pPr>
          </w:p>
        </w:tc>
        <w:tc>
          <w:tcPr>
            <w:tcW w:w="1041" w:type="dxa"/>
            <w:noWrap w:val="0"/>
            <w:vAlign w:val="center"/>
          </w:tcPr>
          <w:p w14:paraId="0F676ABF">
            <w:pPr>
              <w:jc w:val="center"/>
              <w:rPr>
                <w:rFonts w:hint="eastAsia" w:ascii="宋体" w:hAnsi="宋体" w:eastAsia="宋体" w:cs="宋体"/>
                <w:b/>
                <w:color w:val="auto"/>
                <w:sz w:val="24"/>
              </w:rPr>
            </w:pPr>
          </w:p>
        </w:tc>
        <w:tc>
          <w:tcPr>
            <w:tcW w:w="1041" w:type="dxa"/>
            <w:noWrap w:val="0"/>
            <w:vAlign w:val="center"/>
          </w:tcPr>
          <w:p w14:paraId="44A29A6C">
            <w:pPr>
              <w:jc w:val="center"/>
              <w:rPr>
                <w:rFonts w:hint="eastAsia" w:ascii="宋体" w:hAnsi="宋体" w:eastAsia="宋体" w:cs="宋体"/>
                <w:b/>
                <w:color w:val="auto"/>
                <w:sz w:val="24"/>
              </w:rPr>
            </w:pPr>
          </w:p>
        </w:tc>
        <w:tc>
          <w:tcPr>
            <w:tcW w:w="1170" w:type="dxa"/>
            <w:noWrap w:val="0"/>
            <w:vAlign w:val="center"/>
          </w:tcPr>
          <w:p w14:paraId="2A8785A1">
            <w:pPr>
              <w:jc w:val="center"/>
              <w:rPr>
                <w:rFonts w:hint="eastAsia" w:ascii="宋体" w:hAnsi="宋体" w:eastAsia="宋体" w:cs="宋体"/>
                <w:b/>
                <w:color w:val="auto"/>
                <w:sz w:val="24"/>
              </w:rPr>
            </w:pPr>
          </w:p>
        </w:tc>
        <w:tc>
          <w:tcPr>
            <w:tcW w:w="1170" w:type="dxa"/>
            <w:noWrap w:val="0"/>
            <w:vAlign w:val="center"/>
          </w:tcPr>
          <w:p w14:paraId="25E2B831">
            <w:pPr>
              <w:jc w:val="center"/>
              <w:rPr>
                <w:rFonts w:hint="eastAsia" w:ascii="宋体" w:hAnsi="宋体" w:eastAsia="宋体" w:cs="宋体"/>
                <w:b/>
                <w:color w:val="auto"/>
                <w:sz w:val="24"/>
              </w:rPr>
            </w:pPr>
          </w:p>
        </w:tc>
      </w:tr>
      <w:tr w14:paraId="195C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342C110B">
            <w:pPr>
              <w:jc w:val="center"/>
              <w:rPr>
                <w:rFonts w:hint="eastAsia" w:ascii="宋体" w:hAnsi="宋体" w:eastAsia="宋体" w:cs="宋体"/>
                <w:b/>
                <w:color w:val="auto"/>
                <w:sz w:val="24"/>
              </w:rPr>
            </w:pPr>
          </w:p>
        </w:tc>
        <w:tc>
          <w:tcPr>
            <w:tcW w:w="928" w:type="dxa"/>
            <w:noWrap w:val="0"/>
            <w:vAlign w:val="center"/>
          </w:tcPr>
          <w:p w14:paraId="4E8A60BB">
            <w:pPr>
              <w:jc w:val="center"/>
              <w:rPr>
                <w:rFonts w:hint="eastAsia" w:ascii="宋体" w:hAnsi="宋体" w:eastAsia="宋体" w:cs="宋体"/>
                <w:b/>
                <w:color w:val="auto"/>
                <w:sz w:val="24"/>
              </w:rPr>
            </w:pPr>
          </w:p>
        </w:tc>
        <w:tc>
          <w:tcPr>
            <w:tcW w:w="928" w:type="dxa"/>
            <w:noWrap w:val="0"/>
            <w:vAlign w:val="center"/>
          </w:tcPr>
          <w:p w14:paraId="706E57E6">
            <w:pPr>
              <w:jc w:val="center"/>
              <w:rPr>
                <w:rFonts w:hint="eastAsia" w:ascii="宋体" w:hAnsi="宋体" w:eastAsia="宋体" w:cs="宋体"/>
                <w:b/>
                <w:color w:val="auto"/>
                <w:sz w:val="24"/>
              </w:rPr>
            </w:pPr>
          </w:p>
        </w:tc>
        <w:tc>
          <w:tcPr>
            <w:tcW w:w="1041" w:type="dxa"/>
            <w:noWrap w:val="0"/>
            <w:vAlign w:val="center"/>
          </w:tcPr>
          <w:p w14:paraId="710C8013">
            <w:pPr>
              <w:jc w:val="center"/>
              <w:rPr>
                <w:rFonts w:hint="eastAsia" w:ascii="宋体" w:hAnsi="宋体" w:eastAsia="宋体" w:cs="宋体"/>
                <w:b/>
                <w:color w:val="auto"/>
                <w:sz w:val="24"/>
              </w:rPr>
            </w:pPr>
          </w:p>
        </w:tc>
        <w:tc>
          <w:tcPr>
            <w:tcW w:w="1041" w:type="dxa"/>
            <w:noWrap w:val="0"/>
            <w:vAlign w:val="center"/>
          </w:tcPr>
          <w:p w14:paraId="1B270C22">
            <w:pPr>
              <w:jc w:val="center"/>
              <w:rPr>
                <w:rFonts w:hint="eastAsia" w:ascii="宋体" w:hAnsi="宋体" w:eastAsia="宋体" w:cs="宋体"/>
                <w:b/>
                <w:color w:val="auto"/>
                <w:sz w:val="24"/>
              </w:rPr>
            </w:pPr>
          </w:p>
        </w:tc>
        <w:tc>
          <w:tcPr>
            <w:tcW w:w="1041" w:type="dxa"/>
            <w:noWrap w:val="0"/>
            <w:vAlign w:val="center"/>
          </w:tcPr>
          <w:p w14:paraId="3D3B29D3">
            <w:pPr>
              <w:jc w:val="center"/>
              <w:rPr>
                <w:rFonts w:hint="eastAsia" w:ascii="宋体" w:hAnsi="宋体" w:eastAsia="宋体" w:cs="宋体"/>
                <w:b/>
                <w:color w:val="auto"/>
                <w:sz w:val="24"/>
              </w:rPr>
            </w:pPr>
          </w:p>
        </w:tc>
        <w:tc>
          <w:tcPr>
            <w:tcW w:w="1041" w:type="dxa"/>
            <w:noWrap w:val="0"/>
            <w:vAlign w:val="center"/>
          </w:tcPr>
          <w:p w14:paraId="4868DBE3">
            <w:pPr>
              <w:jc w:val="center"/>
              <w:rPr>
                <w:rFonts w:hint="eastAsia" w:ascii="宋体" w:hAnsi="宋体" w:eastAsia="宋体" w:cs="宋体"/>
                <w:b/>
                <w:color w:val="auto"/>
                <w:sz w:val="24"/>
              </w:rPr>
            </w:pPr>
          </w:p>
        </w:tc>
        <w:tc>
          <w:tcPr>
            <w:tcW w:w="1170" w:type="dxa"/>
            <w:noWrap w:val="0"/>
            <w:vAlign w:val="center"/>
          </w:tcPr>
          <w:p w14:paraId="67E64D1E">
            <w:pPr>
              <w:jc w:val="center"/>
              <w:rPr>
                <w:rFonts w:hint="eastAsia" w:ascii="宋体" w:hAnsi="宋体" w:eastAsia="宋体" w:cs="宋体"/>
                <w:b/>
                <w:color w:val="auto"/>
                <w:sz w:val="24"/>
              </w:rPr>
            </w:pPr>
          </w:p>
        </w:tc>
        <w:tc>
          <w:tcPr>
            <w:tcW w:w="1170" w:type="dxa"/>
            <w:noWrap w:val="0"/>
            <w:vAlign w:val="center"/>
          </w:tcPr>
          <w:p w14:paraId="53153C15">
            <w:pPr>
              <w:jc w:val="center"/>
              <w:rPr>
                <w:rFonts w:hint="eastAsia" w:ascii="宋体" w:hAnsi="宋体" w:eastAsia="宋体" w:cs="宋体"/>
                <w:b/>
                <w:color w:val="auto"/>
                <w:sz w:val="24"/>
              </w:rPr>
            </w:pPr>
          </w:p>
        </w:tc>
      </w:tr>
      <w:tr w14:paraId="02ED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05B47AD3">
            <w:pPr>
              <w:jc w:val="center"/>
              <w:rPr>
                <w:rFonts w:hint="eastAsia" w:ascii="宋体" w:hAnsi="宋体" w:eastAsia="宋体" w:cs="宋体"/>
                <w:b/>
                <w:color w:val="auto"/>
                <w:sz w:val="24"/>
              </w:rPr>
            </w:pPr>
          </w:p>
        </w:tc>
        <w:tc>
          <w:tcPr>
            <w:tcW w:w="928" w:type="dxa"/>
            <w:noWrap w:val="0"/>
            <w:vAlign w:val="center"/>
          </w:tcPr>
          <w:p w14:paraId="59982676">
            <w:pPr>
              <w:jc w:val="center"/>
              <w:rPr>
                <w:rFonts w:hint="eastAsia" w:ascii="宋体" w:hAnsi="宋体" w:eastAsia="宋体" w:cs="宋体"/>
                <w:b/>
                <w:color w:val="auto"/>
                <w:sz w:val="24"/>
              </w:rPr>
            </w:pPr>
          </w:p>
        </w:tc>
        <w:tc>
          <w:tcPr>
            <w:tcW w:w="928" w:type="dxa"/>
            <w:noWrap w:val="0"/>
            <w:vAlign w:val="center"/>
          </w:tcPr>
          <w:p w14:paraId="73ECBD15">
            <w:pPr>
              <w:jc w:val="center"/>
              <w:rPr>
                <w:rFonts w:hint="eastAsia" w:ascii="宋体" w:hAnsi="宋体" w:eastAsia="宋体" w:cs="宋体"/>
                <w:b/>
                <w:color w:val="auto"/>
                <w:sz w:val="24"/>
              </w:rPr>
            </w:pPr>
          </w:p>
        </w:tc>
        <w:tc>
          <w:tcPr>
            <w:tcW w:w="1041" w:type="dxa"/>
            <w:noWrap w:val="0"/>
            <w:vAlign w:val="center"/>
          </w:tcPr>
          <w:p w14:paraId="46972DFD">
            <w:pPr>
              <w:jc w:val="center"/>
              <w:rPr>
                <w:rFonts w:hint="eastAsia" w:ascii="宋体" w:hAnsi="宋体" w:eastAsia="宋体" w:cs="宋体"/>
                <w:b/>
                <w:color w:val="auto"/>
                <w:sz w:val="24"/>
              </w:rPr>
            </w:pPr>
          </w:p>
        </w:tc>
        <w:tc>
          <w:tcPr>
            <w:tcW w:w="1041" w:type="dxa"/>
            <w:noWrap w:val="0"/>
            <w:vAlign w:val="center"/>
          </w:tcPr>
          <w:p w14:paraId="3D78AFF1">
            <w:pPr>
              <w:jc w:val="center"/>
              <w:rPr>
                <w:rFonts w:hint="eastAsia" w:ascii="宋体" w:hAnsi="宋体" w:eastAsia="宋体" w:cs="宋体"/>
                <w:b/>
                <w:color w:val="auto"/>
                <w:sz w:val="24"/>
              </w:rPr>
            </w:pPr>
          </w:p>
        </w:tc>
        <w:tc>
          <w:tcPr>
            <w:tcW w:w="1041" w:type="dxa"/>
            <w:noWrap w:val="0"/>
            <w:vAlign w:val="center"/>
          </w:tcPr>
          <w:p w14:paraId="5D4D7FD3">
            <w:pPr>
              <w:jc w:val="center"/>
              <w:rPr>
                <w:rFonts w:hint="eastAsia" w:ascii="宋体" w:hAnsi="宋体" w:eastAsia="宋体" w:cs="宋体"/>
                <w:b/>
                <w:color w:val="auto"/>
                <w:sz w:val="24"/>
              </w:rPr>
            </w:pPr>
          </w:p>
        </w:tc>
        <w:tc>
          <w:tcPr>
            <w:tcW w:w="1041" w:type="dxa"/>
            <w:noWrap w:val="0"/>
            <w:vAlign w:val="center"/>
          </w:tcPr>
          <w:p w14:paraId="3C21F8E0">
            <w:pPr>
              <w:jc w:val="center"/>
              <w:rPr>
                <w:rFonts w:hint="eastAsia" w:ascii="宋体" w:hAnsi="宋体" w:eastAsia="宋体" w:cs="宋体"/>
                <w:b/>
                <w:color w:val="auto"/>
                <w:sz w:val="24"/>
              </w:rPr>
            </w:pPr>
          </w:p>
        </w:tc>
        <w:tc>
          <w:tcPr>
            <w:tcW w:w="1170" w:type="dxa"/>
            <w:noWrap w:val="0"/>
            <w:vAlign w:val="center"/>
          </w:tcPr>
          <w:p w14:paraId="714A04E4">
            <w:pPr>
              <w:jc w:val="center"/>
              <w:rPr>
                <w:rFonts w:hint="eastAsia" w:ascii="宋体" w:hAnsi="宋体" w:eastAsia="宋体" w:cs="宋体"/>
                <w:b/>
                <w:color w:val="auto"/>
                <w:sz w:val="24"/>
              </w:rPr>
            </w:pPr>
          </w:p>
        </w:tc>
        <w:tc>
          <w:tcPr>
            <w:tcW w:w="1170" w:type="dxa"/>
            <w:noWrap w:val="0"/>
            <w:vAlign w:val="center"/>
          </w:tcPr>
          <w:p w14:paraId="3C9DB48F">
            <w:pPr>
              <w:jc w:val="center"/>
              <w:rPr>
                <w:rFonts w:hint="eastAsia" w:ascii="宋体" w:hAnsi="宋体" w:eastAsia="宋体" w:cs="宋体"/>
                <w:b/>
                <w:color w:val="auto"/>
                <w:sz w:val="24"/>
              </w:rPr>
            </w:pPr>
          </w:p>
        </w:tc>
      </w:tr>
      <w:tr w14:paraId="7BA3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11EAF9DE">
            <w:pPr>
              <w:jc w:val="center"/>
              <w:rPr>
                <w:rFonts w:hint="eastAsia" w:ascii="宋体" w:hAnsi="宋体" w:eastAsia="宋体" w:cs="宋体"/>
                <w:b/>
                <w:color w:val="auto"/>
                <w:sz w:val="24"/>
              </w:rPr>
            </w:pPr>
          </w:p>
        </w:tc>
        <w:tc>
          <w:tcPr>
            <w:tcW w:w="928" w:type="dxa"/>
            <w:noWrap w:val="0"/>
            <w:vAlign w:val="center"/>
          </w:tcPr>
          <w:p w14:paraId="5F708D14">
            <w:pPr>
              <w:jc w:val="center"/>
              <w:rPr>
                <w:rFonts w:hint="eastAsia" w:ascii="宋体" w:hAnsi="宋体" w:eastAsia="宋体" w:cs="宋体"/>
                <w:b/>
                <w:color w:val="auto"/>
                <w:sz w:val="24"/>
              </w:rPr>
            </w:pPr>
          </w:p>
        </w:tc>
        <w:tc>
          <w:tcPr>
            <w:tcW w:w="928" w:type="dxa"/>
            <w:noWrap w:val="0"/>
            <w:vAlign w:val="center"/>
          </w:tcPr>
          <w:p w14:paraId="130CDAF6">
            <w:pPr>
              <w:jc w:val="center"/>
              <w:rPr>
                <w:rFonts w:hint="eastAsia" w:ascii="宋体" w:hAnsi="宋体" w:eastAsia="宋体" w:cs="宋体"/>
                <w:b/>
                <w:color w:val="auto"/>
                <w:sz w:val="24"/>
              </w:rPr>
            </w:pPr>
          </w:p>
        </w:tc>
        <w:tc>
          <w:tcPr>
            <w:tcW w:w="1041" w:type="dxa"/>
            <w:noWrap w:val="0"/>
            <w:vAlign w:val="center"/>
          </w:tcPr>
          <w:p w14:paraId="09D10D19">
            <w:pPr>
              <w:jc w:val="center"/>
              <w:rPr>
                <w:rFonts w:hint="eastAsia" w:ascii="宋体" w:hAnsi="宋体" w:eastAsia="宋体" w:cs="宋体"/>
                <w:b/>
                <w:color w:val="auto"/>
                <w:sz w:val="24"/>
              </w:rPr>
            </w:pPr>
          </w:p>
        </w:tc>
        <w:tc>
          <w:tcPr>
            <w:tcW w:w="1041" w:type="dxa"/>
            <w:noWrap w:val="0"/>
            <w:vAlign w:val="center"/>
          </w:tcPr>
          <w:p w14:paraId="465B1238">
            <w:pPr>
              <w:jc w:val="center"/>
              <w:rPr>
                <w:rFonts w:hint="eastAsia" w:ascii="宋体" w:hAnsi="宋体" w:eastAsia="宋体" w:cs="宋体"/>
                <w:b/>
                <w:color w:val="auto"/>
                <w:sz w:val="24"/>
              </w:rPr>
            </w:pPr>
          </w:p>
        </w:tc>
        <w:tc>
          <w:tcPr>
            <w:tcW w:w="1041" w:type="dxa"/>
            <w:noWrap w:val="0"/>
            <w:vAlign w:val="center"/>
          </w:tcPr>
          <w:p w14:paraId="6FFD6BFD">
            <w:pPr>
              <w:jc w:val="center"/>
              <w:rPr>
                <w:rFonts w:hint="eastAsia" w:ascii="宋体" w:hAnsi="宋体" w:eastAsia="宋体" w:cs="宋体"/>
                <w:b/>
                <w:color w:val="auto"/>
                <w:sz w:val="24"/>
              </w:rPr>
            </w:pPr>
          </w:p>
        </w:tc>
        <w:tc>
          <w:tcPr>
            <w:tcW w:w="1041" w:type="dxa"/>
            <w:noWrap w:val="0"/>
            <w:vAlign w:val="center"/>
          </w:tcPr>
          <w:p w14:paraId="08A491F9">
            <w:pPr>
              <w:jc w:val="center"/>
              <w:rPr>
                <w:rFonts w:hint="eastAsia" w:ascii="宋体" w:hAnsi="宋体" w:eastAsia="宋体" w:cs="宋体"/>
                <w:b/>
                <w:color w:val="auto"/>
                <w:sz w:val="24"/>
              </w:rPr>
            </w:pPr>
          </w:p>
        </w:tc>
        <w:tc>
          <w:tcPr>
            <w:tcW w:w="1170" w:type="dxa"/>
            <w:noWrap w:val="0"/>
            <w:vAlign w:val="center"/>
          </w:tcPr>
          <w:p w14:paraId="7743CB07">
            <w:pPr>
              <w:jc w:val="center"/>
              <w:rPr>
                <w:rFonts w:hint="eastAsia" w:ascii="宋体" w:hAnsi="宋体" w:eastAsia="宋体" w:cs="宋体"/>
                <w:b/>
                <w:color w:val="auto"/>
                <w:sz w:val="24"/>
              </w:rPr>
            </w:pPr>
          </w:p>
        </w:tc>
        <w:tc>
          <w:tcPr>
            <w:tcW w:w="1170" w:type="dxa"/>
            <w:noWrap w:val="0"/>
            <w:vAlign w:val="center"/>
          </w:tcPr>
          <w:p w14:paraId="2BC1BA05">
            <w:pPr>
              <w:jc w:val="center"/>
              <w:rPr>
                <w:rFonts w:hint="eastAsia" w:ascii="宋体" w:hAnsi="宋体" w:eastAsia="宋体" w:cs="宋体"/>
                <w:b/>
                <w:color w:val="auto"/>
                <w:sz w:val="24"/>
              </w:rPr>
            </w:pPr>
          </w:p>
        </w:tc>
      </w:tr>
      <w:tr w14:paraId="4223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 w:type="dxa"/>
            <w:noWrap w:val="0"/>
            <w:vAlign w:val="center"/>
          </w:tcPr>
          <w:p w14:paraId="76FB3B02">
            <w:pPr>
              <w:jc w:val="center"/>
              <w:rPr>
                <w:rFonts w:hint="eastAsia" w:ascii="宋体" w:hAnsi="宋体" w:eastAsia="宋体" w:cs="宋体"/>
                <w:b/>
                <w:color w:val="auto"/>
                <w:sz w:val="24"/>
              </w:rPr>
            </w:pPr>
          </w:p>
        </w:tc>
        <w:tc>
          <w:tcPr>
            <w:tcW w:w="928" w:type="dxa"/>
            <w:noWrap w:val="0"/>
            <w:vAlign w:val="center"/>
          </w:tcPr>
          <w:p w14:paraId="7A96CC97">
            <w:pPr>
              <w:jc w:val="center"/>
              <w:rPr>
                <w:rFonts w:hint="eastAsia" w:ascii="宋体" w:hAnsi="宋体" w:eastAsia="宋体" w:cs="宋体"/>
                <w:b/>
                <w:color w:val="auto"/>
                <w:sz w:val="24"/>
              </w:rPr>
            </w:pPr>
          </w:p>
        </w:tc>
        <w:tc>
          <w:tcPr>
            <w:tcW w:w="928" w:type="dxa"/>
            <w:noWrap w:val="0"/>
            <w:vAlign w:val="center"/>
          </w:tcPr>
          <w:p w14:paraId="23D9EE0E">
            <w:pPr>
              <w:jc w:val="center"/>
              <w:rPr>
                <w:rFonts w:hint="eastAsia" w:ascii="宋体" w:hAnsi="宋体" w:eastAsia="宋体" w:cs="宋体"/>
                <w:b/>
                <w:color w:val="auto"/>
                <w:sz w:val="24"/>
              </w:rPr>
            </w:pPr>
          </w:p>
        </w:tc>
        <w:tc>
          <w:tcPr>
            <w:tcW w:w="1041" w:type="dxa"/>
            <w:noWrap w:val="0"/>
            <w:vAlign w:val="center"/>
          </w:tcPr>
          <w:p w14:paraId="0FF30F87">
            <w:pPr>
              <w:jc w:val="center"/>
              <w:rPr>
                <w:rFonts w:hint="eastAsia" w:ascii="宋体" w:hAnsi="宋体" w:eastAsia="宋体" w:cs="宋体"/>
                <w:b/>
                <w:color w:val="auto"/>
                <w:sz w:val="24"/>
              </w:rPr>
            </w:pPr>
          </w:p>
        </w:tc>
        <w:tc>
          <w:tcPr>
            <w:tcW w:w="1041" w:type="dxa"/>
            <w:noWrap w:val="0"/>
            <w:vAlign w:val="center"/>
          </w:tcPr>
          <w:p w14:paraId="1AB253B0">
            <w:pPr>
              <w:jc w:val="center"/>
              <w:rPr>
                <w:rFonts w:hint="eastAsia" w:ascii="宋体" w:hAnsi="宋体" w:eastAsia="宋体" w:cs="宋体"/>
                <w:b/>
                <w:color w:val="auto"/>
                <w:sz w:val="24"/>
              </w:rPr>
            </w:pPr>
          </w:p>
        </w:tc>
        <w:tc>
          <w:tcPr>
            <w:tcW w:w="1041" w:type="dxa"/>
            <w:noWrap w:val="0"/>
            <w:vAlign w:val="center"/>
          </w:tcPr>
          <w:p w14:paraId="0787CC8C">
            <w:pPr>
              <w:jc w:val="center"/>
              <w:rPr>
                <w:rFonts w:hint="eastAsia" w:ascii="宋体" w:hAnsi="宋体" w:eastAsia="宋体" w:cs="宋体"/>
                <w:b/>
                <w:color w:val="auto"/>
                <w:sz w:val="24"/>
              </w:rPr>
            </w:pPr>
          </w:p>
        </w:tc>
        <w:tc>
          <w:tcPr>
            <w:tcW w:w="1041" w:type="dxa"/>
            <w:noWrap w:val="0"/>
            <w:vAlign w:val="center"/>
          </w:tcPr>
          <w:p w14:paraId="25D2B40D">
            <w:pPr>
              <w:jc w:val="center"/>
              <w:rPr>
                <w:rFonts w:hint="eastAsia" w:ascii="宋体" w:hAnsi="宋体" w:eastAsia="宋体" w:cs="宋体"/>
                <w:b/>
                <w:color w:val="auto"/>
                <w:sz w:val="24"/>
              </w:rPr>
            </w:pPr>
          </w:p>
        </w:tc>
        <w:tc>
          <w:tcPr>
            <w:tcW w:w="1170" w:type="dxa"/>
            <w:noWrap w:val="0"/>
            <w:vAlign w:val="center"/>
          </w:tcPr>
          <w:p w14:paraId="1C0C5F58">
            <w:pPr>
              <w:jc w:val="center"/>
              <w:rPr>
                <w:rFonts w:hint="eastAsia" w:ascii="宋体" w:hAnsi="宋体" w:eastAsia="宋体" w:cs="宋体"/>
                <w:b/>
                <w:color w:val="auto"/>
                <w:sz w:val="24"/>
              </w:rPr>
            </w:pPr>
          </w:p>
        </w:tc>
        <w:tc>
          <w:tcPr>
            <w:tcW w:w="1170" w:type="dxa"/>
            <w:noWrap w:val="0"/>
            <w:vAlign w:val="center"/>
          </w:tcPr>
          <w:p w14:paraId="45E202EE">
            <w:pPr>
              <w:jc w:val="center"/>
              <w:rPr>
                <w:rFonts w:hint="eastAsia" w:ascii="宋体" w:hAnsi="宋体" w:eastAsia="宋体" w:cs="宋体"/>
                <w:b/>
                <w:color w:val="auto"/>
                <w:sz w:val="24"/>
              </w:rPr>
            </w:pPr>
          </w:p>
        </w:tc>
      </w:tr>
    </w:tbl>
    <w:p w14:paraId="03D73FD7">
      <w:pPr>
        <w:rPr>
          <w:rFonts w:hint="eastAsia" w:ascii="宋体" w:hAnsi="宋体" w:eastAsia="宋体" w:cs="宋体"/>
          <w:b/>
          <w:color w:val="auto"/>
          <w:kern w:val="0"/>
          <w:szCs w:val="21"/>
        </w:rPr>
      </w:pPr>
      <w:r>
        <w:rPr>
          <w:rFonts w:hint="eastAsia" w:ascii="宋体" w:hAnsi="宋体" w:eastAsia="宋体" w:cs="宋体"/>
          <w:b/>
          <w:color w:val="auto"/>
          <w:kern w:val="0"/>
          <w:szCs w:val="21"/>
        </w:rPr>
        <w:t>【备注：附以上各岗位人员资格证件等</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件，以及供应商认为需要增加的其他证明材料</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件，以上</w:t>
      </w:r>
      <w:r>
        <w:rPr>
          <w:rFonts w:hint="eastAsia" w:ascii="宋体" w:hAnsi="宋体" w:cs="宋体"/>
          <w:b/>
          <w:color w:val="auto"/>
          <w:kern w:val="0"/>
          <w:szCs w:val="21"/>
          <w:lang w:val="en-US" w:eastAsia="zh-CN"/>
        </w:rPr>
        <w:t>扫描</w:t>
      </w:r>
      <w:r>
        <w:rPr>
          <w:rFonts w:hint="eastAsia" w:ascii="宋体" w:hAnsi="宋体" w:eastAsia="宋体" w:cs="宋体"/>
          <w:b/>
          <w:color w:val="auto"/>
          <w:kern w:val="0"/>
          <w:szCs w:val="21"/>
        </w:rPr>
        <w:t>件页面均须加盖供应商单位</w:t>
      </w:r>
      <w:r>
        <w:rPr>
          <w:rFonts w:hint="eastAsia" w:ascii="宋体" w:hAnsi="宋体" w:cs="宋体"/>
          <w:b/>
          <w:color w:val="auto"/>
          <w:kern w:val="0"/>
          <w:szCs w:val="21"/>
          <w:lang w:val="en-US" w:eastAsia="zh-CN"/>
        </w:rPr>
        <w:t>电子</w:t>
      </w:r>
      <w:r>
        <w:rPr>
          <w:rFonts w:hint="eastAsia" w:ascii="宋体" w:hAnsi="宋体" w:eastAsia="宋体" w:cs="宋体"/>
          <w:b/>
          <w:color w:val="auto"/>
          <w:kern w:val="0"/>
          <w:szCs w:val="21"/>
        </w:rPr>
        <w:t>公章。】</w:t>
      </w:r>
    </w:p>
    <w:p w14:paraId="4F861F51">
      <w:pPr>
        <w:spacing w:line="360" w:lineRule="auto"/>
        <w:jc w:val="center"/>
        <w:rPr>
          <w:rFonts w:hint="eastAsia" w:ascii="方正小标宋简体" w:hAnsi="方正小标宋简体" w:eastAsia="方正小标宋简体" w:cs="方正小标宋简体"/>
          <w:color w:val="auto"/>
          <w:sz w:val="40"/>
          <w:szCs w:val="40"/>
          <w:highlight w:val="none"/>
        </w:rPr>
      </w:pPr>
    </w:p>
    <w:p w14:paraId="1C3CF95E">
      <w:pPr>
        <w:spacing w:line="360" w:lineRule="auto"/>
        <w:jc w:val="center"/>
        <w:rPr>
          <w:rFonts w:hint="eastAsia" w:ascii="方正小标宋简体" w:hAnsi="方正小标宋简体" w:eastAsia="方正小标宋简体" w:cs="方正小标宋简体"/>
          <w:color w:val="auto"/>
          <w:sz w:val="40"/>
          <w:szCs w:val="40"/>
          <w:highlight w:val="none"/>
        </w:rPr>
      </w:pPr>
    </w:p>
    <w:p w14:paraId="7C1E0C30">
      <w:pPr>
        <w:spacing w:line="360" w:lineRule="auto"/>
        <w:jc w:val="center"/>
        <w:rPr>
          <w:rFonts w:hint="eastAsia" w:ascii="方正小标宋简体" w:hAnsi="方正小标宋简体" w:eastAsia="方正小标宋简体" w:cs="方正小标宋简体"/>
          <w:color w:val="auto"/>
          <w:sz w:val="40"/>
          <w:szCs w:val="40"/>
          <w:highlight w:val="none"/>
        </w:rPr>
      </w:pPr>
    </w:p>
    <w:p w14:paraId="5204C64C">
      <w:pPr>
        <w:spacing w:line="360" w:lineRule="auto"/>
        <w:jc w:val="center"/>
        <w:rPr>
          <w:rFonts w:hint="eastAsia" w:ascii="宋体" w:hAnsi="宋体"/>
          <w:b/>
          <w:bCs/>
          <w:color w:val="auto"/>
          <w:sz w:val="28"/>
          <w:szCs w:val="28"/>
          <w:highlight w:val="none"/>
        </w:rPr>
      </w:pPr>
      <w:r>
        <w:rPr>
          <w:rFonts w:hint="eastAsia" w:ascii="方正小标宋简体" w:hAnsi="方正小标宋简体" w:eastAsia="方正小标宋简体" w:cs="方正小标宋简体"/>
          <w:color w:val="auto"/>
          <w:sz w:val="40"/>
          <w:szCs w:val="40"/>
          <w:highlight w:val="none"/>
        </w:rPr>
        <w:t>质疑函（格式）</w:t>
      </w:r>
    </w:p>
    <w:p w14:paraId="4E0543AF">
      <w:pPr>
        <w:pStyle w:val="14"/>
        <w:spacing w:line="360" w:lineRule="auto"/>
        <w:ind w:firstLine="442" w:firstLineChars="200"/>
        <w:contextualSpacing/>
        <w:rPr>
          <w:rFonts w:hAnsi="宋体"/>
          <w:b/>
          <w:bCs/>
          <w:color w:val="auto"/>
          <w:sz w:val="22"/>
          <w:szCs w:val="22"/>
          <w:highlight w:val="none"/>
        </w:rPr>
      </w:pPr>
      <w:r>
        <w:rPr>
          <w:rFonts w:hint="eastAsia" w:hAnsi="宋体"/>
          <w:b/>
          <w:bCs/>
          <w:color w:val="auto"/>
          <w:sz w:val="22"/>
          <w:szCs w:val="22"/>
          <w:highlight w:val="none"/>
        </w:rPr>
        <w:t>一、质疑供应商基本信息：</w:t>
      </w:r>
    </w:p>
    <w:p w14:paraId="7A9C2684">
      <w:pPr>
        <w:pStyle w:val="14"/>
        <w:spacing w:line="360" w:lineRule="auto"/>
        <w:ind w:firstLine="440" w:firstLineChars="200"/>
        <w:contextualSpacing/>
        <w:rPr>
          <w:rFonts w:hint="eastAsia" w:hAnsi="宋体"/>
          <w:bCs/>
          <w:color w:val="auto"/>
          <w:sz w:val="22"/>
          <w:szCs w:val="22"/>
          <w:highlight w:val="none"/>
          <w:u w:val="single"/>
        </w:rPr>
      </w:pPr>
      <w:r>
        <w:rPr>
          <w:rFonts w:hint="eastAsia" w:hAnsi="宋体"/>
          <w:bCs/>
          <w:color w:val="auto"/>
          <w:sz w:val="22"/>
          <w:szCs w:val="22"/>
          <w:highlight w:val="none"/>
        </w:rPr>
        <w:t>质疑供应商：</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7767CBFC">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35A97F69">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联系人</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联系电话</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59E55A95">
      <w:pPr>
        <w:pStyle w:val="14"/>
        <w:spacing w:line="360" w:lineRule="auto"/>
        <w:ind w:firstLine="440" w:firstLineChars="200"/>
        <w:contextualSpacing/>
        <w:rPr>
          <w:rFonts w:hint="eastAsia" w:hAnsi="宋体"/>
          <w:bCs/>
          <w:color w:val="auto"/>
          <w:sz w:val="22"/>
          <w:szCs w:val="22"/>
          <w:highlight w:val="none"/>
        </w:rPr>
      </w:pPr>
      <w:r>
        <w:rPr>
          <w:rFonts w:hint="eastAsia" w:hAnsi="宋体"/>
          <w:bCs/>
          <w:color w:val="auto"/>
          <w:sz w:val="22"/>
          <w:szCs w:val="22"/>
          <w:highlight w:val="none"/>
        </w:rPr>
        <w:t>授权代表：</w:t>
      </w:r>
      <w:r>
        <w:rPr>
          <w:rFonts w:hint="eastAsia" w:hAnsi="宋体"/>
          <w:bCs/>
          <w:color w:val="auto"/>
          <w:sz w:val="22"/>
          <w:szCs w:val="22"/>
          <w:highlight w:val="none"/>
          <w:u w:val="single"/>
        </w:rPr>
        <w:t xml:space="preserve">                      </w:t>
      </w:r>
    </w:p>
    <w:p w14:paraId="4666393E">
      <w:pPr>
        <w:pStyle w:val="14"/>
        <w:spacing w:line="360" w:lineRule="auto"/>
        <w:ind w:firstLine="440" w:firstLineChars="200"/>
        <w:contextualSpacing/>
        <w:rPr>
          <w:rFonts w:hint="eastAsia" w:hAnsi="宋体"/>
          <w:bCs/>
          <w:color w:val="auto"/>
          <w:sz w:val="22"/>
          <w:szCs w:val="22"/>
          <w:highlight w:val="none"/>
          <w:u w:val="single"/>
        </w:rPr>
      </w:pP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628A5292">
      <w:pPr>
        <w:pStyle w:val="14"/>
        <w:spacing w:line="360" w:lineRule="auto"/>
        <w:ind w:firstLine="440" w:firstLineChars="200"/>
        <w:contextualSpacing/>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6C582C7E">
      <w:pPr>
        <w:pStyle w:val="14"/>
        <w:spacing w:line="360" w:lineRule="auto"/>
        <w:ind w:firstLine="442" w:firstLineChars="200"/>
        <w:contextualSpacing/>
        <w:rPr>
          <w:rFonts w:hint="eastAsia" w:hAnsi="宋体"/>
          <w:b/>
          <w:bCs/>
          <w:color w:val="auto"/>
          <w:sz w:val="22"/>
          <w:szCs w:val="22"/>
          <w:highlight w:val="none"/>
        </w:rPr>
      </w:pPr>
      <w:r>
        <w:rPr>
          <w:rFonts w:hint="eastAsia" w:hAnsi="宋体"/>
          <w:b/>
          <w:bCs/>
          <w:color w:val="auto"/>
          <w:sz w:val="22"/>
          <w:szCs w:val="22"/>
          <w:highlight w:val="none"/>
        </w:rPr>
        <w:t>二、质疑项目基本情况：</w:t>
      </w:r>
    </w:p>
    <w:p w14:paraId="5650FDE3">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bCs/>
          <w:color w:val="auto"/>
          <w:sz w:val="22"/>
          <w:szCs w:val="22"/>
          <w:highlight w:val="none"/>
        </w:rPr>
        <w:t>质疑</w:t>
      </w:r>
      <w:r>
        <w:rPr>
          <w:rFonts w:hint="eastAsia" w:hAnsi="宋体"/>
          <w:color w:val="auto"/>
          <w:sz w:val="22"/>
          <w:szCs w:val="22"/>
          <w:highlight w:val="none"/>
        </w:rPr>
        <w:t>项目的名称：</w:t>
      </w:r>
      <w:r>
        <w:rPr>
          <w:rFonts w:hint="eastAsia" w:hAnsi="宋体"/>
          <w:bCs/>
          <w:color w:val="auto"/>
          <w:sz w:val="22"/>
          <w:szCs w:val="22"/>
          <w:highlight w:val="none"/>
          <w:u w:val="single"/>
        </w:rPr>
        <w:t xml:space="preserve">                                     </w:t>
      </w:r>
    </w:p>
    <w:p w14:paraId="2E302E38">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bCs/>
          <w:color w:val="auto"/>
          <w:sz w:val="22"/>
          <w:szCs w:val="22"/>
          <w:highlight w:val="none"/>
        </w:rPr>
        <w:t>质疑</w:t>
      </w:r>
      <w:r>
        <w:rPr>
          <w:rFonts w:hint="eastAsia" w:hAnsi="宋体"/>
          <w:color w:val="auto"/>
          <w:sz w:val="22"/>
          <w:szCs w:val="22"/>
          <w:highlight w:val="none"/>
        </w:rPr>
        <w:t>项目的编号：</w:t>
      </w:r>
      <w:r>
        <w:rPr>
          <w:rFonts w:hint="eastAsia" w:hAnsi="宋体"/>
          <w:bCs/>
          <w:color w:val="auto"/>
          <w:sz w:val="22"/>
          <w:szCs w:val="22"/>
          <w:highlight w:val="none"/>
          <w:u w:val="single"/>
        </w:rPr>
        <w:t xml:space="preserve">                                     </w:t>
      </w:r>
    </w:p>
    <w:p w14:paraId="6C54DBF6">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采购人名称：</w:t>
      </w:r>
      <w:r>
        <w:rPr>
          <w:rFonts w:hint="eastAsia" w:hAnsi="宋体"/>
          <w:bCs/>
          <w:color w:val="auto"/>
          <w:sz w:val="22"/>
          <w:szCs w:val="22"/>
          <w:highlight w:val="none"/>
          <w:u w:val="single"/>
        </w:rPr>
        <w:t xml:space="preserve">                                         </w:t>
      </w:r>
    </w:p>
    <w:p w14:paraId="7F2EB0F8">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w:t>
      </w:r>
    </w:p>
    <w:p w14:paraId="1F49952F">
      <w:pPr>
        <w:pStyle w:val="14"/>
        <w:spacing w:line="360" w:lineRule="auto"/>
        <w:ind w:left="25" w:leftChars="12" w:firstLine="323" w:firstLineChars="147"/>
        <w:contextualSpacing/>
        <w:rPr>
          <w:rFonts w:hint="eastAsia" w:hAnsi="宋体"/>
          <w:color w:val="auto"/>
          <w:sz w:val="22"/>
          <w:szCs w:val="22"/>
          <w:highlight w:val="none"/>
        </w:rPr>
      </w:pPr>
      <w:r>
        <w:rPr>
          <w:rFonts w:hint="eastAsia" w:hAnsi="宋体"/>
          <w:color w:val="auto"/>
          <w:sz w:val="22"/>
          <w:szCs w:val="22"/>
          <w:highlight w:val="none"/>
        </w:rPr>
        <w:t>□采购文件   采购文件获取日期：</w:t>
      </w:r>
      <w:r>
        <w:rPr>
          <w:rFonts w:hint="eastAsia" w:hAnsi="宋体"/>
          <w:bCs/>
          <w:color w:val="auto"/>
          <w:sz w:val="22"/>
          <w:szCs w:val="22"/>
          <w:highlight w:val="none"/>
          <w:u w:val="single"/>
        </w:rPr>
        <w:t xml:space="preserve">                                   </w:t>
      </w:r>
    </w:p>
    <w:p w14:paraId="3EE72622">
      <w:pPr>
        <w:pStyle w:val="14"/>
        <w:spacing w:line="360" w:lineRule="auto"/>
        <w:ind w:left="25" w:leftChars="12" w:firstLine="323" w:firstLineChars="147"/>
        <w:contextualSpacing/>
        <w:rPr>
          <w:rFonts w:hint="eastAsia" w:hAnsi="宋体"/>
          <w:color w:val="auto"/>
          <w:sz w:val="22"/>
          <w:szCs w:val="22"/>
          <w:highlight w:val="none"/>
        </w:rPr>
      </w:pPr>
      <w:r>
        <w:rPr>
          <w:rFonts w:hint="eastAsia" w:hAnsi="宋体"/>
          <w:color w:val="auto"/>
          <w:sz w:val="22"/>
          <w:szCs w:val="22"/>
          <w:highlight w:val="none"/>
        </w:rPr>
        <w:t xml:space="preserve">□采购过程   </w:t>
      </w:r>
    </w:p>
    <w:p w14:paraId="546EB1CB">
      <w:pPr>
        <w:pStyle w:val="14"/>
        <w:spacing w:line="360" w:lineRule="auto"/>
        <w:ind w:left="25" w:leftChars="12" w:firstLine="323" w:firstLineChars="147"/>
        <w:contextualSpacing/>
        <w:rPr>
          <w:rFonts w:hint="eastAsia" w:hAnsi="宋体"/>
          <w:bCs/>
          <w:color w:val="auto"/>
          <w:sz w:val="22"/>
          <w:szCs w:val="22"/>
          <w:highlight w:val="none"/>
          <w:u w:val="single"/>
        </w:rPr>
      </w:pPr>
      <w:r>
        <w:rPr>
          <w:rFonts w:hint="eastAsia" w:hAnsi="宋体"/>
          <w:color w:val="auto"/>
          <w:sz w:val="22"/>
          <w:szCs w:val="22"/>
          <w:highlight w:val="none"/>
        </w:rPr>
        <w:t xml:space="preserve">□成交结果   </w:t>
      </w:r>
    </w:p>
    <w:p w14:paraId="63EA23CA">
      <w:pPr>
        <w:pStyle w:val="14"/>
        <w:spacing w:line="360" w:lineRule="auto"/>
        <w:ind w:left="25" w:leftChars="12" w:firstLine="433" w:firstLineChars="196"/>
        <w:contextualSpacing/>
        <w:rPr>
          <w:rFonts w:hint="eastAsia" w:hAnsi="宋体"/>
          <w:b/>
          <w:color w:val="auto"/>
          <w:sz w:val="22"/>
          <w:szCs w:val="22"/>
          <w:highlight w:val="none"/>
        </w:rPr>
      </w:pPr>
      <w:r>
        <w:rPr>
          <w:rFonts w:hint="eastAsia" w:hAnsi="宋体"/>
          <w:b/>
          <w:color w:val="auto"/>
          <w:sz w:val="22"/>
          <w:szCs w:val="22"/>
          <w:highlight w:val="none"/>
        </w:rPr>
        <w:t>三、质疑事项具体内容</w:t>
      </w:r>
    </w:p>
    <w:p w14:paraId="39CBAB6A">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质疑事项1：</w:t>
      </w:r>
      <w:r>
        <w:rPr>
          <w:rFonts w:hint="eastAsia" w:hAnsi="宋体"/>
          <w:bCs/>
          <w:color w:val="auto"/>
          <w:sz w:val="22"/>
          <w:szCs w:val="22"/>
          <w:highlight w:val="none"/>
          <w:u w:val="single"/>
        </w:rPr>
        <w:t xml:space="preserve">                                                                    </w:t>
      </w:r>
    </w:p>
    <w:p w14:paraId="7F703CCF">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事实依据：</w:t>
      </w:r>
      <w:r>
        <w:rPr>
          <w:rFonts w:hint="eastAsia" w:hAnsi="宋体"/>
          <w:bCs/>
          <w:color w:val="auto"/>
          <w:sz w:val="22"/>
          <w:szCs w:val="22"/>
          <w:highlight w:val="none"/>
          <w:u w:val="single"/>
        </w:rPr>
        <w:t xml:space="preserve">                                                                      </w:t>
      </w:r>
    </w:p>
    <w:p w14:paraId="4D25F429">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法律依据：</w:t>
      </w:r>
      <w:r>
        <w:rPr>
          <w:rFonts w:hint="eastAsia" w:hAnsi="宋体"/>
          <w:color w:val="auto"/>
          <w:sz w:val="22"/>
          <w:szCs w:val="22"/>
          <w:highlight w:val="none"/>
          <w:u w:val="single"/>
        </w:rPr>
        <w:t xml:space="preserve">                                                        </w:t>
      </w:r>
      <w:r>
        <w:rPr>
          <w:rFonts w:hint="eastAsia" w:hAnsi="宋体"/>
          <w:bCs/>
          <w:color w:val="auto"/>
          <w:sz w:val="22"/>
          <w:szCs w:val="22"/>
          <w:highlight w:val="none"/>
          <w:u w:val="single"/>
        </w:rPr>
        <w:t xml:space="preserve">               </w:t>
      </w:r>
    </w:p>
    <w:p w14:paraId="08391150">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质疑事项2</w:t>
      </w:r>
    </w:p>
    <w:p w14:paraId="2A28A1DA">
      <w:pPr>
        <w:pStyle w:val="14"/>
        <w:spacing w:line="360" w:lineRule="auto"/>
        <w:ind w:left="25" w:leftChars="12" w:firstLine="433" w:firstLineChars="197"/>
        <w:contextualSpacing/>
        <w:rPr>
          <w:rFonts w:hint="eastAsia" w:hAnsi="宋体"/>
          <w:color w:val="auto"/>
          <w:sz w:val="22"/>
          <w:szCs w:val="22"/>
          <w:highlight w:val="none"/>
        </w:rPr>
      </w:pPr>
      <w:r>
        <w:rPr>
          <w:rFonts w:hAnsi="宋体"/>
          <w:color w:val="auto"/>
          <w:sz w:val="22"/>
          <w:szCs w:val="22"/>
          <w:highlight w:val="none"/>
        </w:rPr>
        <w:t>……</w:t>
      </w:r>
    </w:p>
    <w:p w14:paraId="48124C25">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四、与质疑事项相关的质疑请求：</w:t>
      </w:r>
    </w:p>
    <w:p w14:paraId="0BD31050">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请求：</w:t>
      </w:r>
      <w:r>
        <w:rPr>
          <w:rFonts w:hint="eastAsia" w:hAnsi="宋体"/>
          <w:bCs/>
          <w:color w:val="auto"/>
          <w:sz w:val="22"/>
          <w:szCs w:val="22"/>
          <w:highlight w:val="none"/>
          <w:u w:val="single"/>
        </w:rPr>
        <w:t xml:space="preserve">                                                                </w:t>
      </w:r>
    </w:p>
    <w:p w14:paraId="2F89C25F">
      <w:pPr>
        <w:pStyle w:val="14"/>
        <w:spacing w:line="360" w:lineRule="auto"/>
        <w:ind w:left="25" w:leftChars="12" w:firstLine="323" w:firstLineChars="147"/>
        <w:contextualSpacing/>
        <w:rPr>
          <w:rFonts w:hint="eastAsia" w:hAnsi="宋体"/>
          <w:color w:val="auto"/>
          <w:sz w:val="22"/>
          <w:szCs w:val="22"/>
          <w:highlight w:val="none"/>
        </w:rPr>
      </w:pPr>
    </w:p>
    <w:p w14:paraId="5C74EB70">
      <w:pPr>
        <w:pStyle w:val="14"/>
        <w:spacing w:line="360" w:lineRule="auto"/>
        <w:ind w:left="25" w:leftChars="12" w:firstLine="433" w:firstLineChars="197"/>
        <w:contextualSpacing/>
        <w:rPr>
          <w:rFonts w:hint="eastAsia" w:hAnsi="宋体"/>
          <w:color w:val="auto"/>
          <w:sz w:val="22"/>
          <w:szCs w:val="22"/>
          <w:highlight w:val="none"/>
        </w:rPr>
      </w:pPr>
      <w:r>
        <w:rPr>
          <w:rFonts w:hint="eastAsia" w:hAnsi="宋体"/>
          <w:color w:val="auto"/>
          <w:sz w:val="22"/>
          <w:szCs w:val="22"/>
          <w:highlight w:val="none"/>
        </w:rPr>
        <w:t>签字（签章）：                                       公章：</w:t>
      </w:r>
    </w:p>
    <w:p w14:paraId="11224F7A">
      <w:pPr>
        <w:pStyle w:val="14"/>
        <w:spacing w:line="360" w:lineRule="auto"/>
        <w:ind w:firstLine="440" w:firstLineChars="200"/>
        <w:contextualSpacing/>
        <w:rPr>
          <w:rFonts w:hint="eastAsia" w:hAnsi="宋体"/>
          <w:b/>
          <w:color w:val="auto"/>
          <w:sz w:val="22"/>
          <w:szCs w:val="22"/>
          <w:highlight w:val="none"/>
        </w:rPr>
      </w:pPr>
      <w:r>
        <w:rPr>
          <w:rFonts w:hint="eastAsia" w:hAnsi="宋体"/>
          <w:color w:val="auto"/>
          <w:sz w:val="22"/>
          <w:szCs w:val="22"/>
          <w:highlight w:val="none"/>
        </w:rPr>
        <w:t>日期：</w:t>
      </w:r>
    </w:p>
    <w:p w14:paraId="73B1E177">
      <w:pPr>
        <w:pStyle w:val="14"/>
        <w:spacing w:line="360" w:lineRule="auto"/>
        <w:contextualSpacing/>
        <w:rPr>
          <w:rFonts w:hint="eastAsia" w:hAnsi="宋体"/>
          <w:b/>
          <w:color w:val="auto"/>
          <w:sz w:val="22"/>
          <w:szCs w:val="22"/>
          <w:highlight w:val="none"/>
        </w:rPr>
      </w:pPr>
    </w:p>
    <w:p w14:paraId="2C93DA77">
      <w:pPr>
        <w:pStyle w:val="14"/>
        <w:spacing w:line="360" w:lineRule="auto"/>
        <w:contextualSpacing/>
        <w:rPr>
          <w:rFonts w:hint="eastAsia" w:hAnsi="宋体"/>
          <w:b/>
          <w:color w:val="auto"/>
          <w:sz w:val="22"/>
          <w:szCs w:val="22"/>
          <w:highlight w:val="none"/>
        </w:rPr>
      </w:pPr>
      <w:r>
        <w:rPr>
          <w:rFonts w:hint="eastAsia" w:hAnsi="宋体"/>
          <w:b/>
          <w:color w:val="auto"/>
          <w:sz w:val="22"/>
          <w:szCs w:val="22"/>
          <w:highlight w:val="none"/>
        </w:rPr>
        <w:t>说明：</w:t>
      </w:r>
    </w:p>
    <w:p w14:paraId="063D69C6">
      <w:pPr>
        <w:pStyle w:val="14"/>
        <w:spacing w:line="360" w:lineRule="auto"/>
        <w:ind w:left="25" w:leftChars="12" w:firstLine="325" w:firstLineChars="147"/>
        <w:contextualSpacing/>
        <w:rPr>
          <w:rFonts w:hint="eastAsia" w:hAnsi="宋体"/>
          <w:b/>
          <w:bCs/>
          <w:color w:val="auto"/>
          <w:sz w:val="22"/>
          <w:szCs w:val="22"/>
          <w:highlight w:val="none"/>
        </w:rPr>
      </w:pPr>
      <w:r>
        <w:rPr>
          <w:rFonts w:hint="eastAsia" w:hAnsi="宋体"/>
          <w:b/>
          <w:color w:val="auto"/>
          <w:sz w:val="22"/>
          <w:szCs w:val="22"/>
          <w:highlight w:val="none"/>
        </w:rPr>
        <w:t>1.供应商提出质疑时，应提交质疑函和必要的证明材料</w:t>
      </w:r>
      <w:r>
        <w:rPr>
          <w:rFonts w:hint="eastAsia" w:hAnsi="宋体"/>
          <w:b/>
          <w:bCs/>
          <w:color w:val="auto"/>
          <w:sz w:val="22"/>
          <w:szCs w:val="22"/>
          <w:highlight w:val="none"/>
        </w:rPr>
        <w:t>。</w:t>
      </w:r>
    </w:p>
    <w:p w14:paraId="507AF4B7">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5786B76">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3.质疑函的质疑事项应具体、明确，并有必要的事实依据和法律依据。</w:t>
      </w:r>
    </w:p>
    <w:p w14:paraId="03DF5D00">
      <w:pPr>
        <w:pStyle w:val="14"/>
        <w:spacing w:line="360" w:lineRule="auto"/>
        <w:ind w:left="25" w:leftChars="12" w:firstLine="325" w:firstLineChars="147"/>
        <w:contextualSpacing/>
        <w:rPr>
          <w:rFonts w:hint="eastAsia" w:hAnsi="宋体"/>
          <w:b/>
          <w:color w:val="auto"/>
          <w:sz w:val="22"/>
          <w:szCs w:val="22"/>
          <w:highlight w:val="none"/>
        </w:rPr>
      </w:pPr>
      <w:r>
        <w:rPr>
          <w:rFonts w:hint="eastAsia" w:hAnsi="宋体"/>
          <w:b/>
          <w:color w:val="auto"/>
          <w:sz w:val="22"/>
          <w:szCs w:val="22"/>
          <w:highlight w:val="none"/>
        </w:rPr>
        <w:t>4.质疑函的质疑请求应与质疑事项相关。</w:t>
      </w:r>
    </w:p>
    <w:p w14:paraId="7C1E2582">
      <w:pPr>
        <w:pStyle w:val="14"/>
        <w:spacing w:line="360" w:lineRule="auto"/>
        <w:ind w:left="25" w:leftChars="12" w:firstLine="325" w:firstLineChars="147"/>
        <w:contextualSpacing/>
        <w:rPr>
          <w:rFonts w:hint="eastAsia" w:hAnsi="宋体"/>
          <w:b/>
          <w:color w:val="auto"/>
          <w:sz w:val="20"/>
          <w:szCs w:val="18"/>
          <w:highlight w:val="none"/>
        </w:rPr>
      </w:pPr>
      <w:r>
        <w:rPr>
          <w:rFonts w:hint="eastAsia" w:hAnsi="宋体"/>
          <w:b/>
          <w:color w:val="auto"/>
          <w:sz w:val="22"/>
          <w:szCs w:val="22"/>
          <w:highlight w:val="none"/>
        </w:rPr>
        <w:t>5.质疑供应商为法人或者其他组织的，质疑函应由法定代表人、主要负责人，或者其授权代表签字或者盖章，并加盖公章。</w:t>
      </w:r>
    </w:p>
    <w:p w14:paraId="0A323A48">
      <w:pPr>
        <w:pStyle w:val="14"/>
        <w:snapToGrid w:val="0"/>
        <w:rPr>
          <w:rFonts w:hint="eastAsia"/>
          <w:b/>
          <w:color w:val="auto"/>
          <w:sz w:val="22"/>
          <w:szCs w:val="22"/>
          <w:highlight w:val="none"/>
        </w:rPr>
      </w:pPr>
    </w:p>
    <w:p w14:paraId="53F0A784">
      <w:pPr>
        <w:rPr>
          <w:rFonts w:hint="eastAsia"/>
          <w:color w:val="auto"/>
          <w:sz w:val="28"/>
          <w:szCs w:val="36"/>
          <w:highlight w:val="none"/>
        </w:rPr>
      </w:pPr>
    </w:p>
    <w:p w14:paraId="7DAF7953">
      <w:pPr>
        <w:rPr>
          <w:rFonts w:hint="eastAsia"/>
          <w:color w:val="auto"/>
          <w:sz w:val="28"/>
          <w:szCs w:val="36"/>
          <w:highlight w:val="none"/>
        </w:rPr>
      </w:pPr>
    </w:p>
    <w:p w14:paraId="1E17B67F">
      <w:pPr>
        <w:rPr>
          <w:rFonts w:hint="eastAsia"/>
          <w:color w:val="auto"/>
          <w:sz w:val="28"/>
          <w:szCs w:val="36"/>
          <w:highlight w:val="none"/>
        </w:rPr>
      </w:pPr>
    </w:p>
    <w:p w14:paraId="78E6B124">
      <w:pPr>
        <w:rPr>
          <w:rFonts w:hint="eastAsia"/>
          <w:color w:val="auto"/>
          <w:sz w:val="28"/>
          <w:szCs w:val="36"/>
          <w:highlight w:val="none"/>
        </w:rPr>
      </w:pPr>
    </w:p>
    <w:p w14:paraId="450F8C80">
      <w:pPr>
        <w:rPr>
          <w:rFonts w:hint="eastAsia"/>
          <w:color w:val="auto"/>
          <w:sz w:val="28"/>
          <w:szCs w:val="36"/>
          <w:highlight w:val="none"/>
        </w:rPr>
      </w:pPr>
    </w:p>
    <w:p w14:paraId="0E80A117">
      <w:pPr>
        <w:rPr>
          <w:rFonts w:hint="eastAsia"/>
          <w:color w:val="auto"/>
          <w:sz w:val="28"/>
          <w:szCs w:val="36"/>
          <w:highlight w:val="none"/>
        </w:rPr>
      </w:pPr>
    </w:p>
    <w:p w14:paraId="75952818">
      <w:pPr>
        <w:rPr>
          <w:rFonts w:hint="eastAsia"/>
          <w:color w:val="auto"/>
          <w:sz w:val="28"/>
          <w:szCs w:val="36"/>
          <w:highlight w:val="none"/>
        </w:rPr>
      </w:pPr>
    </w:p>
    <w:p w14:paraId="00F2B4BC">
      <w:pPr>
        <w:rPr>
          <w:rFonts w:hint="eastAsia"/>
          <w:color w:val="auto"/>
          <w:sz w:val="28"/>
          <w:szCs w:val="36"/>
          <w:highlight w:val="none"/>
        </w:rPr>
      </w:pPr>
    </w:p>
    <w:p w14:paraId="483BBE5C">
      <w:pPr>
        <w:rPr>
          <w:rFonts w:hint="eastAsia"/>
          <w:color w:val="auto"/>
          <w:sz w:val="28"/>
          <w:szCs w:val="36"/>
          <w:highlight w:val="none"/>
        </w:rPr>
      </w:pPr>
    </w:p>
    <w:p w14:paraId="57C233D5">
      <w:pPr>
        <w:rPr>
          <w:rFonts w:hint="eastAsia" w:eastAsia="宋体"/>
          <w:color w:val="auto"/>
          <w:sz w:val="28"/>
          <w:szCs w:val="36"/>
          <w:highlight w:val="none"/>
          <w:lang w:eastAsia="zh-CN"/>
        </w:rPr>
      </w:pPr>
    </w:p>
    <w:p w14:paraId="20095853">
      <w:pPr>
        <w:rPr>
          <w:rFonts w:hint="eastAsia"/>
          <w:color w:val="auto"/>
          <w:sz w:val="28"/>
          <w:szCs w:val="36"/>
          <w:highlight w:val="none"/>
        </w:rPr>
      </w:pPr>
    </w:p>
    <w:p w14:paraId="789E180A">
      <w:pPr>
        <w:rPr>
          <w:rFonts w:hint="eastAsia"/>
          <w:color w:val="auto"/>
          <w:sz w:val="28"/>
          <w:szCs w:val="36"/>
          <w:highlight w:val="none"/>
        </w:rPr>
      </w:pPr>
    </w:p>
    <w:p w14:paraId="16FD3085">
      <w:pPr>
        <w:rPr>
          <w:rFonts w:hint="eastAsia"/>
          <w:color w:val="auto"/>
          <w:sz w:val="28"/>
          <w:szCs w:val="36"/>
          <w:highlight w:val="none"/>
        </w:rPr>
      </w:pPr>
    </w:p>
    <w:p w14:paraId="181DBDFA">
      <w:pPr>
        <w:rPr>
          <w:rFonts w:hint="eastAsia"/>
          <w:color w:val="auto"/>
          <w:sz w:val="28"/>
          <w:szCs w:val="36"/>
          <w:highlight w:val="none"/>
        </w:rPr>
      </w:pPr>
    </w:p>
    <w:p w14:paraId="3DC16F33">
      <w:pPr>
        <w:rPr>
          <w:rFonts w:hint="eastAsia"/>
          <w:color w:val="auto"/>
          <w:sz w:val="28"/>
          <w:szCs w:val="36"/>
          <w:highlight w:val="none"/>
        </w:rPr>
      </w:pPr>
    </w:p>
    <w:p w14:paraId="4E16C254">
      <w:pPr>
        <w:spacing w:line="360" w:lineRule="auto"/>
        <w:jc w:val="both"/>
        <w:rPr>
          <w:rFonts w:hint="eastAsia" w:ascii="方正小标宋简体" w:hAnsi="方正小标宋简体" w:eastAsia="方正小标宋简体" w:cs="方正小标宋简体"/>
          <w:color w:val="auto"/>
          <w:sz w:val="40"/>
          <w:szCs w:val="40"/>
          <w:highlight w:val="none"/>
        </w:rPr>
      </w:pPr>
    </w:p>
    <w:p w14:paraId="0E757FEF">
      <w:pPr>
        <w:spacing w:line="360" w:lineRule="auto"/>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t>投诉书（格式）</w:t>
      </w:r>
    </w:p>
    <w:p w14:paraId="4C288A06">
      <w:pPr>
        <w:pStyle w:val="14"/>
        <w:snapToGrid w:val="0"/>
        <w:spacing w:line="360" w:lineRule="auto"/>
        <w:ind w:firstLine="442" w:firstLineChars="200"/>
        <w:rPr>
          <w:rFonts w:hAnsi="宋体"/>
          <w:b/>
          <w:bCs/>
          <w:color w:val="auto"/>
          <w:sz w:val="22"/>
          <w:szCs w:val="22"/>
          <w:highlight w:val="none"/>
        </w:rPr>
      </w:pPr>
      <w:r>
        <w:rPr>
          <w:rFonts w:hint="eastAsia" w:hAnsi="宋体"/>
          <w:b/>
          <w:bCs/>
          <w:color w:val="auto"/>
          <w:sz w:val="22"/>
          <w:szCs w:val="22"/>
          <w:highlight w:val="none"/>
        </w:rPr>
        <w:t>一、投诉相关主体基本情况：</w:t>
      </w:r>
    </w:p>
    <w:p w14:paraId="69087CCF">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供应商：</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5BC8E7CB">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59C9FA94">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法定代表人/主要负责人：</w:t>
      </w:r>
      <w:r>
        <w:rPr>
          <w:rFonts w:hint="eastAsia" w:hAnsi="宋体"/>
          <w:bCs/>
          <w:color w:val="auto"/>
          <w:sz w:val="22"/>
          <w:szCs w:val="22"/>
          <w:highlight w:val="none"/>
          <w:u w:val="single"/>
        </w:rPr>
        <w:t xml:space="preserve">                                                         </w:t>
      </w:r>
    </w:p>
    <w:p w14:paraId="5587ACDB">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联系电话</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61EBF0E0">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授权代表：</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31AA307C">
      <w:pPr>
        <w:pStyle w:val="14"/>
        <w:snapToGrid w:val="0"/>
        <w:spacing w:line="360" w:lineRule="auto"/>
        <w:ind w:firstLine="440" w:firstLineChars="200"/>
        <w:rPr>
          <w:rFonts w:hint="eastAsia" w:hAnsi="宋体"/>
          <w:bCs/>
          <w:color w:val="auto"/>
          <w:sz w:val="22"/>
          <w:szCs w:val="22"/>
          <w:highlight w:val="none"/>
          <w:u w:val="singl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4A09F1FB">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054ECE5B">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被投诉人1：</w:t>
      </w:r>
    </w:p>
    <w:p w14:paraId="1E0FED19">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地址：</w:t>
      </w:r>
      <w:r>
        <w:rPr>
          <w:rFonts w:hint="eastAsia" w:hAnsi="宋体"/>
          <w:bCs/>
          <w:color w:val="auto"/>
          <w:sz w:val="22"/>
          <w:szCs w:val="22"/>
          <w:highlight w:val="none"/>
          <w:u w:val="single"/>
        </w:rPr>
        <w:t xml:space="preserve">                                                            </w:t>
      </w:r>
    </w:p>
    <w:p w14:paraId="0450E8BF">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06E3F582">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联系人：</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p>
    <w:p w14:paraId="618A4C3D">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被投诉人2：</w:t>
      </w:r>
    </w:p>
    <w:p w14:paraId="36CEBE78">
      <w:pPr>
        <w:pStyle w:val="14"/>
        <w:snapToGrid w:val="0"/>
        <w:spacing w:line="360" w:lineRule="auto"/>
        <w:ind w:firstLine="440" w:firstLineChars="200"/>
        <w:rPr>
          <w:rFonts w:hint="eastAsia" w:hAnsi="宋体"/>
          <w:bCs/>
          <w:color w:val="auto"/>
          <w:sz w:val="22"/>
          <w:szCs w:val="22"/>
          <w:highlight w:val="none"/>
        </w:rPr>
      </w:pPr>
      <w:r>
        <w:rPr>
          <w:rFonts w:hAnsi="宋体"/>
          <w:bCs/>
          <w:color w:val="auto"/>
          <w:sz w:val="22"/>
          <w:szCs w:val="22"/>
          <w:highlight w:val="none"/>
        </w:rPr>
        <w:t>……</w:t>
      </w:r>
    </w:p>
    <w:p w14:paraId="424721F2">
      <w:pPr>
        <w:pStyle w:val="14"/>
        <w:snapToGrid w:val="0"/>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相关供应商：</w:t>
      </w:r>
      <w:r>
        <w:rPr>
          <w:rFonts w:hint="eastAsia" w:hAnsi="宋体"/>
          <w:bCs/>
          <w:color w:val="auto"/>
          <w:sz w:val="22"/>
          <w:szCs w:val="22"/>
          <w:highlight w:val="none"/>
          <w:u w:val="single"/>
        </w:rPr>
        <w:t xml:space="preserve">                                                                       </w:t>
      </w:r>
    </w:p>
    <w:p w14:paraId="62C112A1">
      <w:pPr>
        <w:pStyle w:val="14"/>
        <w:snapToGrid w:val="0"/>
        <w:spacing w:line="360" w:lineRule="auto"/>
        <w:ind w:firstLine="440" w:firstLineChars="200"/>
        <w:rPr>
          <w:rFonts w:hint="eastAsia" w:hAnsi="宋体"/>
          <w:bCs/>
          <w:color w:val="auto"/>
          <w:sz w:val="22"/>
          <w:szCs w:val="22"/>
          <w:highlight w:val="none"/>
          <w:u w:val="single"/>
        </w:rPr>
      </w:pPr>
      <w:r>
        <w:rPr>
          <w:rFonts w:hAnsi="宋体"/>
          <w:bCs/>
          <w:color w:val="auto"/>
          <w:sz w:val="22"/>
          <w:szCs w:val="22"/>
          <w:highlight w:val="none"/>
        </w:rPr>
        <w:t>地址</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r>
        <w:rPr>
          <w:rFonts w:hAnsi="宋体"/>
          <w:bCs/>
          <w:color w:val="auto"/>
          <w:sz w:val="22"/>
          <w:szCs w:val="22"/>
          <w:highlight w:val="none"/>
        </w:rPr>
        <w:t>邮编</w:t>
      </w:r>
      <w:r>
        <w:rPr>
          <w:rFonts w:hint="eastAsia" w:hAnsi="宋体"/>
          <w:bCs/>
          <w:color w:val="auto"/>
          <w:sz w:val="22"/>
          <w:szCs w:val="22"/>
          <w:highlight w:val="none"/>
        </w:rPr>
        <w:t>：</w:t>
      </w:r>
      <w:r>
        <w:rPr>
          <w:rFonts w:hint="eastAsia" w:hAnsi="宋体"/>
          <w:bCs/>
          <w:color w:val="auto"/>
          <w:sz w:val="22"/>
          <w:szCs w:val="22"/>
          <w:highlight w:val="none"/>
          <w:u w:val="single"/>
        </w:rPr>
        <w:t xml:space="preserve">                         </w:t>
      </w:r>
    </w:p>
    <w:p w14:paraId="18AF9C0A">
      <w:pPr>
        <w:pStyle w:val="14"/>
        <w:snapToGrid w:val="0"/>
        <w:spacing w:line="360" w:lineRule="auto"/>
        <w:ind w:firstLine="440" w:firstLineChars="200"/>
        <w:rPr>
          <w:rFonts w:hint="eastAsia" w:hAnsi="宋体"/>
          <w:bCs/>
          <w:color w:val="auto"/>
          <w:sz w:val="22"/>
          <w:szCs w:val="22"/>
          <w:highlight w:val="none"/>
        </w:rPr>
      </w:pPr>
      <w:r>
        <w:rPr>
          <w:rFonts w:hint="eastAsia" w:hAnsi="宋体"/>
          <w:bCs/>
          <w:color w:val="auto"/>
          <w:sz w:val="22"/>
          <w:szCs w:val="22"/>
          <w:highlight w:val="none"/>
        </w:rPr>
        <w:t>联系人：</w:t>
      </w:r>
      <w:r>
        <w:rPr>
          <w:rFonts w:hint="eastAsia" w:hAnsi="宋体"/>
          <w:bCs/>
          <w:color w:val="auto"/>
          <w:sz w:val="22"/>
          <w:szCs w:val="22"/>
          <w:highlight w:val="none"/>
          <w:u w:val="single"/>
        </w:rPr>
        <w:t xml:space="preserve">                                            </w:t>
      </w:r>
      <w:r>
        <w:rPr>
          <w:rFonts w:hAnsi="宋体"/>
          <w:bCs/>
          <w:color w:val="auto"/>
          <w:sz w:val="22"/>
          <w:szCs w:val="22"/>
          <w:highlight w:val="none"/>
        </w:rPr>
        <w:t>联系</w:t>
      </w:r>
      <w:r>
        <w:rPr>
          <w:rFonts w:hint="eastAsia" w:hAnsi="宋体"/>
          <w:bCs/>
          <w:color w:val="auto"/>
          <w:sz w:val="22"/>
          <w:szCs w:val="22"/>
          <w:highlight w:val="none"/>
        </w:rPr>
        <w:t>电话：</w:t>
      </w:r>
      <w:r>
        <w:rPr>
          <w:rFonts w:hint="eastAsia" w:hAnsi="宋体"/>
          <w:bCs/>
          <w:color w:val="auto"/>
          <w:sz w:val="22"/>
          <w:szCs w:val="22"/>
          <w:highlight w:val="none"/>
          <w:u w:val="single"/>
        </w:rPr>
        <w:t xml:space="preserve">                     </w:t>
      </w:r>
      <w:r>
        <w:rPr>
          <w:rFonts w:hint="eastAsia" w:hAnsi="宋体"/>
          <w:bCs/>
          <w:color w:val="auto"/>
          <w:sz w:val="22"/>
          <w:szCs w:val="22"/>
          <w:highlight w:val="none"/>
        </w:rPr>
        <w:t xml:space="preserve">                </w:t>
      </w:r>
    </w:p>
    <w:p w14:paraId="5ECA1560">
      <w:pPr>
        <w:pStyle w:val="14"/>
        <w:snapToGrid w:val="0"/>
        <w:spacing w:line="360" w:lineRule="auto"/>
        <w:ind w:firstLine="442" w:firstLineChars="200"/>
        <w:rPr>
          <w:rFonts w:hint="eastAsia" w:hAnsi="宋体"/>
          <w:b/>
          <w:bCs/>
          <w:color w:val="auto"/>
          <w:sz w:val="22"/>
          <w:szCs w:val="22"/>
          <w:highlight w:val="none"/>
        </w:rPr>
      </w:pPr>
      <w:r>
        <w:rPr>
          <w:rFonts w:hint="eastAsia" w:hAnsi="宋体"/>
          <w:b/>
          <w:bCs/>
          <w:color w:val="auto"/>
          <w:sz w:val="22"/>
          <w:szCs w:val="22"/>
          <w:highlight w:val="none"/>
        </w:rPr>
        <w:t>二、投诉项目基本情况：</w:t>
      </w:r>
    </w:p>
    <w:p w14:paraId="79FE9EF1">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rPr>
        <w:t>采购</w:t>
      </w:r>
      <w:r>
        <w:rPr>
          <w:rFonts w:hint="eastAsia" w:hAnsi="宋体"/>
          <w:color w:val="auto"/>
          <w:sz w:val="22"/>
          <w:szCs w:val="22"/>
          <w:highlight w:val="none"/>
        </w:rPr>
        <w:t>项目的名称：</w:t>
      </w:r>
      <w:r>
        <w:rPr>
          <w:rFonts w:hint="eastAsia" w:hAnsi="宋体"/>
          <w:bCs/>
          <w:color w:val="auto"/>
          <w:sz w:val="22"/>
          <w:szCs w:val="22"/>
          <w:highlight w:val="none"/>
          <w:u w:val="single"/>
        </w:rPr>
        <w:t xml:space="preserve">                                                                   </w:t>
      </w:r>
    </w:p>
    <w:p w14:paraId="208EDED1">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rPr>
        <w:t>采购</w:t>
      </w:r>
      <w:r>
        <w:rPr>
          <w:rFonts w:hint="eastAsia" w:hAnsi="宋体"/>
          <w:color w:val="auto"/>
          <w:sz w:val="22"/>
          <w:szCs w:val="22"/>
          <w:highlight w:val="none"/>
        </w:rPr>
        <w:t>项目的编号：</w:t>
      </w:r>
      <w:r>
        <w:rPr>
          <w:rFonts w:hint="eastAsia" w:hAnsi="宋体"/>
          <w:bCs/>
          <w:color w:val="auto"/>
          <w:sz w:val="22"/>
          <w:szCs w:val="22"/>
          <w:highlight w:val="none"/>
          <w:u w:val="single"/>
        </w:rPr>
        <w:t xml:space="preserve">                                          </w:t>
      </w:r>
    </w:p>
    <w:p w14:paraId="314A1273">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采购人名称：</w:t>
      </w:r>
      <w:r>
        <w:rPr>
          <w:rFonts w:hint="eastAsia" w:hAnsi="宋体"/>
          <w:bCs/>
          <w:color w:val="auto"/>
          <w:sz w:val="22"/>
          <w:szCs w:val="22"/>
          <w:highlight w:val="none"/>
          <w:u w:val="single"/>
        </w:rPr>
        <w:t xml:space="preserve">                                                                        </w:t>
      </w:r>
    </w:p>
    <w:p w14:paraId="0447BDA5">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代理机构名称：</w:t>
      </w:r>
      <w:r>
        <w:rPr>
          <w:rFonts w:hint="eastAsia" w:hAnsi="宋体"/>
          <w:bCs/>
          <w:color w:val="auto"/>
          <w:sz w:val="22"/>
          <w:szCs w:val="22"/>
          <w:highlight w:val="none"/>
          <w:u w:val="single"/>
        </w:rPr>
        <w:t xml:space="preserve">                                                                      </w:t>
      </w:r>
    </w:p>
    <w:p w14:paraId="25136B3C">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bCs/>
          <w:color w:val="auto"/>
          <w:sz w:val="22"/>
          <w:szCs w:val="22"/>
          <w:highlight w:val="none"/>
        </w:rPr>
        <w:t>采购文件公告：</w:t>
      </w:r>
      <w:r>
        <w:rPr>
          <w:rFonts w:hint="eastAsia" w:hAnsi="宋体"/>
          <w:bCs/>
          <w:color w:val="auto"/>
          <w:sz w:val="22"/>
          <w:szCs w:val="22"/>
          <w:highlight w:val="none"/>
          <w:u w:val="single"/>
        </w:rPr>
        <w:t>是/否</w:t>
      </w:r>
      <w:r>
        <w:rPr>
          <w:rFonts w:hint="eastAsia" w:hAnsi="宋体"/>
          <w:bCs/>
          <w:color w:val="auto"/>
          <w:sz w:val="22"/>
          <w:szCs w:val="22"/>
          <w:highlight w:val="none"/>
        </w:rPr>
        <w:t>公告期限：</w:t>
      </w:r>
      <w:r>
        <w:rPr>
          <w:rFonts w:hint="eastAsia" w:hAnsi="宋体"/>
          <w:bCs/>
          <w:color w:val="auto"/>
          <w:sz w:val="22"/>
          <w:szCs w:val="22"/>
          <w:highlight w:val="none"/>
          <w:u w:val="single"/>
        </w:rPr>
        <w:t xml:space="preserve">                                                       </w:t>
      </w:r>
    </w:p>
    <w:p w14:paraId="1F944195">
      <w:pPr>
        <w:pStyle w:val="14"/>
        <w:spacing w:line="360" w:lineRule="auto"/>
        <w:ind w:left="25" w:leftChars="12" w:firstLine="433" w:firstLineChars="197"/>
        <w:rPr>
          <w:rFonts w:hint="eastAsia" w:hAnsi="宋体"/>
          <w:b/>
          <w:color w:val="auto"/>
          <w:sz w:val="22"/>
          <w:szCs w:val="22"/>
          <w:highlight w:val="none"/>
        </w:rPr>
      </w:pPr>
      <w:r>
        <w:rPr>
          <w:rFonts w:hint="eastAsia" w:hAnsi="宋体"/>
          <w:bCs/>
          <w:color w:val="auto"/>
          <w:sz w:val="22"/>
          <w:szCs w:val="22"/>
          <w:highlight w:val="none"/>
        </w:rPr>
        <w:t>采购结果公告：</w:t>
      </w:r>
      <w:r>
        <w:rPr>
          <w:rFonts w:hint="eastAsia" w:hAnsi="宋体"/>
          <w:bCs/>
          <w:color w:val="auto"/>
          <w:sz w:val="22"/>
          <w:szCs w:val="22"/>
          <w:highlight w:val="none"/>
          <w:u w:val="single"/>
        </w:rPr>
        <w:t>是/否</w:t>
      </w:r>
      <w:r>
        <w:rPr>
          <w:rFonts w:hint="eastAsia" w:hAnsi="宋体"/>
          <w:bCs/>
          <w:color w:val="auto"/>
          <w:sz w:val="22"/>
          <w:szCs w:val="22"/>
          <w:highlight w:val="none"/>
        </w:rPr>
        <w:t>公告期限：</w:t>
      </w:r>
      <w:r>
        <w:rPr>
          <w:rFonts w:hint="eastAsia" w:hAnsi="宋体"/>
          <w:bCs/>
          <w:color w:val="auto"/>
          <w:sz w:val="22"/>
          <w:szCs w:val="22"/>
          <w:highlight w:val="none"/>
          <w:u w:val="single"/>
        </w:rPr>
        <w:t xml:space="preserve">                                                       </w:t>
      </w:r>
    </w:p>
    <w:p w14:paraId="6CBF0B6B">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三、质疑基本情况</w:t>
      </w:r>
    </w:p>
    <w:p w14:paraId="420A6894">
      <w:pPr>
        <w:pStyle w:val="14"/>
        <w:spacing w:line="360" w:lineRule="auto"/>
        <w:ind w:firstLine="440" w:firstLineChars="200"/>
        <w:rPr>
          <w:rFonts w:hint="eastAsia" w:hAnsi="宋体"/>
          <w:color w:val="auto"/>
          <w:sz w:val="22"/>
          <w:szCs w:val="22"/>
          <w:highlight w:val="none"/>
        </w:rPr>
      </w:pPr>
      <w:r>
        <w:rPr>
          <w:rFonts w:hint="eastAsia" w:hAnsi="宋体"/>
          <w:color w:val="auto"/>
          <w:sz w:val="22"/>
          <w:szCs w:val="22"/>
          <w:highlight w:val="none"/>
        </w:rPr>
        <w:t>投诉人于</w:t>
      </w:r>
      <w:r>
        <w:rPr>
          <w:rFonts w:hint="eastAsia" w:hAnsi="宋体"/>
          <w:color w:val="auto"/>
          <w:sz w:val="22"/>
          <w:szCs w:val="22"/>
          <w:highlight w:val="none"/>
          <w:u w:val="single"/>
        </w:rPr>
        <w:t xml:space="preserve">      </w:t>
      </w:r>
      <w:r>
        <w:rPr>
          <w:rFonts w:hint="eastAsia" w:hAnsi="宋体"/>
          <w:color w:val="auto"/>
          <w:sz w:val="22"/>
          <w:szCs w:val="22"/>
          <w:highlight w:val="none"/>
        </w:rPr>
        <w:t>年</w:t>
      </w:r>
      <w:r>
        <w:rPr>
          <w:rFonts w:hint="eastAsia" w:hAnsi="宋体"/>
          <w:color w:val="auto"/>
          <w:sz w:val="22"/>
          <w:szCs w:val="22"/>
          <w:highlight w:val="none"/>
          <w:u w:val="single"/>
        </w:rPr>
        <w:t xml:space="preserve">   </w:t>
      </w:r>
      <w:r>
        <w:rPr>
          <w:rFonts w:hint="eastAsia" w:hAnsi="宋体"/>
          <w:color w:val="auto"/>
          <w:sz w:val="22"/>
          <w:szCs w:val="22"/>
          <w:highlight w:val="none"/>
        </w:rPr>
        <w:t>月</w:t>
      </w:r>
      <w:r>
        <w:rPr>
          <w:rFonts w:hint="eastAsia" w:hAnsi="宋体"/>
          <w:color w:val="auto"/>
          <w:sz w:val="22"/>
          <w:szCs w:val="22"/>
          <w:highlight w:val="none"/>
          <w:u w:val="single"/>
        </w:rPr>
        <w:t xml:space="preserve">   </w:t>
      </w:r>
      <w:r>
        <w:rPr>
          <w:rFonts w:hint="eastAsia" w:hAnsi="宋体"/>
          <w:color w:val="auto"/>
          <w:sz w:val="22"/>
          <w:szCs w:val="22"/>
          <w:highlight w:val="none"/>
        </w:rPr>
        <w:t>日，向</w:t>
      </w:r>
      <w:r>
        <w:rPr>
          <w:rFonts w:hint="eastAsia" w:hAnsi="宋体"/>
          <w:color w:val="auto"/>
          <w:sz w:val="22"/>
          <w:szCs w:val="22"/>
          <w:highlight w:val="none"/>
          <w:u w:val="single"/>
        </w:rPr>
        <w:t xml:space="preserve">                                </w:t>
      </w:r>
      <w:r>
        <w:rPr>
          <w:rFonts w:hint="eastAsia" w:hAnsi="宋体"/>
          <w:color w:val="auto"/>
          <w:sz w:val="22"/>
          <w:szCs w:val="22"/>
          <w:highlight w:val="none"/>
        </w:rPr>
        <w:t>提出质疑，质疑事项为：</w:t>
      </w:r>
    </w:p>
    <w:p w14:paraId="20DB1762">
      <w:pPr>
        <w:pStyle w:val="14"/>
        <w:spacing w:line="360" w:lineRule="auto"/>
        <w:ind w:firstLine="241"/>
        <w:rPr>
          <w:rFonts w:hint="eastAsia" w:hAnsi="宋体"/>
          <w:bCs/>
          <w:color w:val="auto"/>
          <w:sz w:val="22"/>
          <w:szCs w:val="22"/>
          <w:highlight w:val="none"/>
          <w:u w:val="single"/>
        </w:rPr>
      </w:pP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6276CE5F">
      <w:pPr>
        <w:pStyle w:val="14"/>
        <w:spacing w:line="360" w:lineRule="auto"/>
        <w:ind w:firstLine="241"/>
        <w:rPr>
          <w:rFonts w:hint="eastAsia" w:hAnsi="宋体"/>
          <w:bCs/>
          <w:color w:val="auto"/>
          <w:sz w:val="22"/>
          <w:szCs w:val="22"/>
          <w:highlight w:val="none"/>
          <w:u w:val="single"/>
        </w:rPr>
      </w:pPr>
      <w:r>
        <w:rPr>
          <w:rFonts w:hint="eastAsia" w:hAnsi="宋体"/>
          <w:bCs/>
          <w:color w:val="auto"/>
          <w:sz w:val="22"/>
          <w:szCs w:val="22"/>
          <w:highlight w:val="none"/>
        </w:rPr>
        <w:t xml:space="preserve">    </w:t>
      </w:r>
      <w:r>
        <w:rPr>
          <w:rFonts w:hint="eastAsia" w:hAnsi="宋体"/>
          <w:bCs/>
          <w:color w:val="auto"/>
          <w:sz w:val="22"/>
          <w:szCs w:val="22"/>
          <w:highlight w:val="none"/>
          <w:u w:val="single"/>
        </w:rPr>
        <w:t xml:space="preserve">                                                                                      </w:t>
      </w:r>
    </w:p>
    <w:p w14:paraId="4CFB6BB2">
      <w:pPr>
        <w:pStyle w:val="14"/>
        <w:spacing w:line="360" w:lineRule="auto"/>
        <w:ind w:firstLine="440" w:firstLineChars="200"/>
        <w:rPr>
          <w:rFonts w:hint="eastAsia" w:hAnsi="宋体"/>
          <w:color w:val="auto"/>
          <w:sz w:val="22"/>
          <w:szCs w:val="22"/>
          <w:highlight w:val="none"/>
        </w:rPr>
      </w:pPr>
      <w:r>
        <w:rPr>
          <w:rFonts w:hint="eastAsia" w:hAnsi="宋体"/>
          <w:bCs/>
          <w:color w:val="auto"/>
          <w:sz w:val="22"/>
          <w:szCs w:val="22"/>
          <w:highlight w:val="none"/>
          <w:u w:val="single"/>
        </w:rPr>
        <w:t>采购人/代理机构</w:t>
      </w:r>
      <w:r>
        <w:rPr>
          <w:rFonts w:hint="eastAsia" w:hAnsi="宋体"/>
          <w:bCs/>
          <w:color w:val="auto"/>
          <w:sz w:val="22"/>
          <w:szCs w:val="22"/>
          <w:highlight w:val="none"/>
        </w:rPr>
        <w:t>于</w:t>
      </w:r>
      <w:r>
        <w:rPr>
          <w:rFonts w:hint="eastAsia" w:hAnsi="宋体"/>
          <w:color w:val="auto"/>
          <w:sz w:val="22"/>
          <w:szCs w:val="22"/>
          <w:highlight w:val="none"/>
          <w:u w:val="single"/>
        </w:rPr>
        <w:t xml:space="preserve">      </w:t>
      </w:r>
      <w:r>
        <w:rPr>
          <w:rFonts w:hint="eastAsia" w:hAnsi="宋体"/>
          <w:color w:val="auto"/>
          <w:sz w:val="22"/>
          <w:szCs w:val="22"/>
          <w:highlight w:val="none"/>
        </w:rPr>
        <w:t>年</w:t>
      </w:r>
      <w:r>
        <w:rPr>
          <w:rFonts w:hint="eastAsia" w:hAnsi="宋体"/>
          <w:color w:val="auto"/>
          <w:sz w:val="22"/>
          <w:szCs w:val="22"/>
          <w:highlight w:val="none"/>
          <w:u w:val="single"/>
        </w:rPr>
        <w:t xml:space="preserve">   </w:t>
      </w:r>
      <w:r>
        <w:rPr>
          <w:rFonts w:hint="eastAsia" w:hAnsi="宋体"/>
          <w:color w:val="auto"/>
          <w:sz w:val="22"/>
          <w:szCs w:val="22"/>
          <w:highlight w:val="none"/>
        </w:rPr>
        <w:t>月</w:t>
      </w:r>
      <w:r>
        <w:rPr>
          <w:rFonts w:hint="eastAsia" w:hAnsi="宋体"/>
          <w:color w:val="auto"/>
          <w:sz w:val="22"/>
          <w:szCs w:val="22"/>
          <w:highlight w:val="none"/>
          <w:u w:val="single"/>
        </w:rPr>
        <w:t xml:space="preserve">   </w:t>
      </w:r>
      <w:r>
        <w:rPr>
          <w:rFonts w:hint="eastAsia" w:hAnsi="宋体"/>
          <w:color w:val="auto"/>
          <w:sz w:val="22"/>
          <w:szCs w:val="22"/>
          <w:highlight w:val="none"/>
        </w:rPr>
        <w:t>日，</w:t>
      </w:r>
      <w:r>
        <w:rPr>
          <w:rFonts w:hint="eastAsia" w:hAnsi="宋体"/>
          <w:bCs/>
          <w:color w:val="auto"/>
          <w:sz w:val="22"/>
          <w:szCs w:val="22"/>
          <w:highlight w:val="none"/>
        </w:rPr>
        <w:t xml:space="preserve">就质疑事项作出了答复/没有在法定期限内作出答复。                                                                                             </w:t>
      </w:r>
    </w:p>
    <w:p w14:paraId="07F21805">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四、投诉事项具体内容</w:t>
      </w:r>
    </w:p>
    <w:p w14:paraId="7D19E676">
      <w:pPr>
        <w:pStyle w:val="14"/>
        <w:spacing w:line="360" w:lineRule="auto"/>
        <w:ind w:left="25" w:leftChars="12" w:firstLine="433" w:firstLineChars="197"/>
        <w:rPr>
          <w:rFonts w:hint="eastAsia" w:hAnsi="宋体"/>
          <w:bCs/>
          <w:color w:val="auto"/>
          <w:sz w:val="22"/>
          <w:szCs w:val="22"/>
          <w:highlight w:val="none"/>
          <w:u w:val="single"/>
        </w:rPr>
      </w:pPr>
      <w:r>
        <w:rPr>
          <w:rFonts w:hint="eastAsia" w:hAnsi="宋体"/>
          <w:color w:val="auto"/>
          <w:sz w:val="22"/>
          <w:szCs w:val="22"/>
          <w:highlight w:val="none"/>
        </w:rPr>
        <w:t>投诉事项1：</w:t>
      </w:r>
      <w:r>
        <w:rPr>
          <w:rFonts w:hint="eastAsia" w:hAnsi="宋体"/>
          <w:bCs/>
          <w:color w:val="auto"/>
          <w:sz w:val="22"/>
          <w:szCs w:val="22"/>
          <w:highlight w:val="none"/>
          <w:u w:val="single"/>
        </w:rPr>
        <w:t xml:space="preserve">                                                                           </w:t>
      </w:r>
    </w:p>
    <w:p w14:paraId="3156EFB8">
      <w:pPr>
        <w:pStyle w:val="14"/>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事实依据：</w:t>
      </w: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24DF1E98">
      <w:pPr>
        <w:pStyle w:val="14"/>
        <w:spacing w:line="360" w:lineRule="auto"/>
        <w:ind w:left="25" w:leftChars="12" w:firstLine="433" w:firstLineChars="197"/>
        <w:rPr>
          <w:rFonts w:hint="eastAsia" w:hAnsi="宋体"/>
          <w:color w:val="auto"/>
          <w:sz w:val="22"/>
          <w:szCs w:val="22"/>
          <w:highlight w:val="none"/>
        </w:rPr>
      </w:pPr>
      <w:r>
        <w:rPr>
          <w:rFonts w:hint="eastAsia" w:hAnsi="宋体"/>
          <w:bCs/>
          <w:color w:val="auto"/>
          <w:sz w:val="22"/>
          <w:szCs w:val="22"/>
          <w:highlight w:val="none"/>
          <w:u w:val="single"/>
        </w:rPr>
        <w:t xml:space="preserve">                                                                                        </w:t>
      </w:r>
    </w:p>
    <w:p w14:paraId="0FA18318">
      <w:pPr>
        <w:pStyle w:val="14"/>
        <w:spacing w:line="360" w:lineRule="auto"/>
        <w:ind w:firstLine="440" w:firstLineChars="200"/>
        <w:rPr>
          <w:rFonts w:hint="eastAsia" w:hAnsi="宋体"/>
          <w:bCs/>
          <w:color w:val="auto"/>
          <w:sz w:val="22"/>
          <w:szCs w:val="22"/>
          <w:highlight w:val="none"/>
          <w:u w:val="single"/>
        </w:rPr>
      </w:pPr>
      <w:r>
        <w:rPr>
          <w:rFonts w:hint="eastAsia" w:hAnsi="宋体"/>
          <w:bCs/>
          <w:color w:val="auto"/>
          <w:sz w:val="22"/>
          <w:szCs w:val="22"/>
          <w:highlight w:val="none"/>
        </w:rPr>
        <w:t>法律依据：</w:t>
      </w:r>
      <w:r>
        <w:rPr>
          <w:rFonts w:hint="eastAsia" w:hAnsi="宋体"/>
          <w:color w:val="auto"/>
          <w:sz w:val="22"/>
          <w:szCs w:val="22"/>
          <w:highlight w:val="none"/>
        </w:rPr>
        <w:t xml:space="preserve"> </w:t>
      </w:r>
      <w:r>
        <w:rPr>
          <w:rFonts w:hint="eastAsia" w:hAnsi="宋体"/>
          <w:bCs/>
          <w:color w:val="auto"/>
          <w:sz w:val="22"/>
          <w:szCs w:val="22"/>
          <w:highlight w:val="none"/>
          <w:u w:val="single"/>
        </w:rPr>
        <w:t xml:space="preserve">                                                                                      </w:t>
      </w:r>
    </w:p>
    <w:p w14:paraId="22832ABA">
      <w:pPr>
        <w:pStyle w:val="14"/>
        <w:spacing w:line="360" w:lineRule="auto"/>
        <w:ind w:left="25" w:leftChars="12" w:firstLine="323" w:firstLineChars="147"/>
        <w:rPr>
          <w:rFonts w:hint="eastAsia" w:hAnsi="宋体"/>
          <w:bCs/>
          <w:color w:val="auto"/>
          <w:sz w:val="22"/>
          <w:szCs w:val="22"/>
          <w:highlight w:val="none"/>
          <w:u w:val="single"/>
        </w:rPr>
      </w:pPr>
      <w:r>
        <w:rPr>
          <w:rFonts w:hint="eastAsia" w:hAnsi="宋体"/>
          <w:bCs/>
          <w:color w:val="auto"/>
          <w:sz w:val="22"/>
          <w:szCs w:val="22"/>
          <w:highlight w:val="none"/>
        </w:rPr>
        <w:t xml:space="preserve"> </w:t>
      </w:r>
      <w:r>
        <w:rPr>
          <w:rFonts w:hint="eastAsia" w:hAnsi="宋体"/>
          <w:bCs/>
          <w:color w:val="auto"/>
          <w:sz w:val="22"/>
          <w:szCs w:val="22"/>
          <w:highlight w:val="none"/>
          <w:u w:val="single"/>
        </w:rPr>
        <w:t xml:space="preserve">                                                                                        </w:t>
      </w:r>
    </w:p>
    <w:p w14:paraId="592CECAF">
      <w:pPr>
        <w:pStyle w:val="14"/>
        <w:spacing w:line="360" w:lineRule="auto"/>
        <w:ind w:left="25" w:leftChars="12" w:firstLine="433" w:firstLineChars="197"/>
        <w:rPr>
          <w:rFonts w:hint="eastAsia" w:hAnsi="宋体"/>
          <w:bCs/>
          <w:color w:val="auto"/>
          <w:sz w:val="22"/>
          <w:szCs w:val="22"/>
          <w:highlight w:val="none"/>
        </w:rPr>
      </w:pPr>
      <w:r>
        <w:rPr>
          <w:rFonts w:hint="eastAsia" w:hAnsi="宋体"/>
          <w:color w:val="auto"/>
          <w:sz w:val="22"/>
          <w:szCs w:val="22"/>
          <w:highlight w:val="none"/>
        </w:rPr>
        <w:t xml:space="preserve">投诉事项2  </w:t>
      </w:r>
      <w:r>
        <w:rPr>
          <w:rFonts w:hint="eastAsia" w:hAnsi="宋体"/>
          <w:bCs/>
          <w:color w:val="auto"/>
          <w:sz w:val="22"/>
          <w:szCs w:val="22"/>
          <w:highlight w:val="none"/>
        </w:rPr>
        <w:t xml:space="preserve">   </w:t>
      </w:r>
    </w:p>
    <w:p w14:paraId="6A04FD03">
      <w:pPr>
        <w:pStyle w:val="14"/>
        <w:spacing w:line="360" w:lineRule="auto"/>
        <w:ind w:left="25" w:leftChars="12" w:firstLine="433" w:firstLineChars="197"/>
        <w:rPr>
          <w:rFonts w:hint="eastAsia" w:hAnsi="宋体"/>
          <w:bCs/>
          <w:color w:val="auto"/>
          <w:sz w:val="22"/>
          <w:szCs w:val="22"/>
          <w:highlight w:val="none"/>
        </w:rPr>
      </w:pPr>
      <w:r>
        <w:rPr>
          <w:rFonts w:hAnsi="宋体"/>
          <w:bCs/>
          <w:color w:val="auto"/>
          <w:sz w:val="22"/>
          <w:szCs w:val="22"/>
          <w:highlight w:val="none"/>
        </w:rPr>
        <w:t>……</w:t>
      </w:r>
    </w:p>
    <w:p w14:paraId="08C9D2B7">
      <w:pPr>
        <w:pStyle w:val="14"/>
        <w:spacing w:line="360" w:lineRule="auto"/>
        <w:ind w:left="25" w:leftChars="12" w:firstLine="433" w:firstLineChars="196"/>
        <w:rPr>
          <w:rFonts w:hint="eastAsia" w:hAnsi="宋体"/>
          <w:b/>
          <w:color w:val="auto"/>
          <w:sz w:val="22"/>
          <w:szCs w:val="22"/>
          <w:highlight w:val="none"/>
        </w:rPr>
      </w:pPr>
      <w:r>
        <w:rPr>
          <w:rFonts w:hint="eastAsia" w:hAnsi="宋体"/>
          <w:b/>
          <w:color w:val="auto"/>
          <w:sz w:val="22"/>
          <w:szCs w:val="22"/>
          <w:highlight w:val="none"/>
        </w:rPr>
        <w:t>五、与投诉事项相关的投诉请求：</w:t>
      </w:r>
    </w:p>
    <w:p w14:paraId="42EDC214">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请求：</w:t>
      </w:r>
      <w:r>
        <w:rPr>
          <w:rFonts w:hint="eastAsia" w:hAnsi="宋体"/>
          <w:bCs/>
          <w:color w:val="auto"/>
          <w:sz w:val="22"/>
          <w:szCs w:val="22"/>
          <w:highlight w:val="none"/>
          <w:u w:val="single"/>
        </w:rPr>
        <w:t xml:space="preserve">                                                                                 </w:t>
      </w:r>
    </w:p>
    <w:p w14:paraId="6FE66339">
      <w:pPr>
        <w:pStyle w:val="14"/>
        <w:spacing w:line="360" w:lineRule="auto"/>
        <w:ind w:left="25" w:leftChars="12" w:firstLine="323" w:firstLineChars="147"/>
        <w:rPr>
          <w:rFonts w:hint="eastAsia" w:hAnsi="宋体"/>
          <w:color w:val="auto"/>
          <w:sz w:val="22"/>
          <w:szCs w:val="22"/>
          <w:highlight w:val="none"/>
        </w:rPr>
      </w:pPr>
    </w:p>
    <w:p w14:paraId="63329678">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签字（签章）：                                       公章：</w:t>
      </w:r>
    </w:p>
    <w:p w14:paraId="363A4DC7">
      <w:pPr>
        <w:pStyle w:val="14"/>
        <w:spacing w:line="360" w:lineRule="auto"/>
        <w:ind w:left="25" w:leftChars="12" w:firstLine="323" w:firstLineChars="147"/>
        <w:rPr>
          <w:rFonts w:hint="eastAsia" w:hAnsi="宋体"/>
          <w:color w:val="auto"/>
          <w:sz w:val="22"/>
          <w:szCs w:val="22"/>
          <w:highlight w:val="none"/>
        </w:rPr>
      </w:pPr>
    </w:p>
    <w:p w14:paraId="4ACE3CD2">
      <w:pPr>
        <w:pStyle w:val="14"/>
        <w:spacing w:line="360" w:lineRule="auto"/>
        <w:ind w:left="25" w:leftChars="12" w:firstLine="433" w:firstLineChars="197"/>
        <w:rPr>
          <w:rFonts w:hint="eastAsia" w:hAnsi="宋体"/>
          <w:color w:val="auto"/>
          <w:sz w:val="22"/>
          <w:szCs w:val="22"/>
          <w:highlight w:val="none"/>
        </w:rPr>
      </w:pPr>
      <w:r>
        <w:rPr>
          <w:rFonts w:hint="eastAsia" w:hAnsi="宋体"/>
          <w:color w:val="auto"/>
          <w:sz w:val="22"/>
          <w:szCs w:val="22"/>
          <w:highlight w:val="none"/>
        </w:rPr>
        <w:t>日期：</w:t>
      </w:r>
    </w:p>
    <w:p w14:paraId="0592FDFF">
      <w:pPr>
        <w:pStyle w:val="14"/>
        <w:spacing w:line="360" w:lineRule="auto"/>
        <w:ind w:left="25" w:leftChars="12" w:firstLine="433" w:firstLineChars="197"/>
        <w:rPr>
          <w:rFonts w:hint="eastAsia" w:hAnsi="宋体"/>
          <w:b/>
          <w:color w:val="auto"/>
          <w:sz w:val="22"/>
          <w:szCs w:val="22"/>
          <w:highlight w:val="none"/>
        </w:rPr>
      </w:pPr>
      <w:r>
        <w:rPr>
          <w:rFonts w:hint="eastAsia" w:hAnsi="宋体"/>
          <w:bCs/>
          <w:color w:val="auto"/>
          <w:sz w:val="22"/>
          <w:szCs w:val="22"/>
          <w:highlight w:val="none"/>
        </w:rPr>
        <w:t xml:space="preserve">                                                                                 </w:t>
      </w:r>
    </w:p>
    <w:p w14:paraId="7B17C72F">
      <w:pPr>
        <w:pStyle w:val="14"/>
        <w:snapToGrid w:val="0"/>
        <w:spacing w:line="360" w:lineRule="auto"/>
        <w:rPr>
          <w:rFonts w:hint="eastAsia" w:hAnsi="宋体"/>
          <w:b/>
          <w:color w:val="auto"/>
          <w:sz w:val="22"/>
          <w:szCs w:val="22"/>
          <w:highlight w:val="none"/>
        </w:rPr>
      </w:pPr>
      <w:r>
        <w:rPr>
          <w:rFonts w:hint="eastAsia" w:hAnsi="宋体"/>
          <w:b/>
          <w:color w:val="auto"/>
          <w:sz w:val="22"/>
          <w:szCs w:val="22"/>
          <w:highlight w:val="none"/>
        </w:rPr>
        <w:t>说明：</w:t>
      </w:r>
    </w:p>
    <w:p w14:paraId="34FB97AF">
      <w:pPr>
        <w:pStyle w:val="14"/>
        <w:spacing w:line="360" w:lineRule="auto"/>
        <w:ind w:left="25" w:leftChars="12" w:firstLine="325" w:firstLineChars="147"/>
        <w:rPr>
          <w:rFonts w:hint="eastAsia" w:hAnsi="宋体"/>
          <w:b/>
          <w:bCs/>
          <w:color w:val="auto"/>
          <w:sz w:val="22"/>
          <w:szCs w:val="22"/>
          <w:highlight w:val="none"/>
        </w:rPr>
      </w:pPr>
      <w:r>
        <w:rPr>
          <w:rFonts w:hint="eastAsia" w:hAnsi="宋体"/>
          <w:b/>
          <w:color w:val="auto"/>
          <w:sz w:val="22"/>
          <w:szCs w:val="22"/>
          <w:highlight w:val="none"/>
        </w:rPr>
        <w:t>1.投诉人提起投诉时，应当提交投诉书和必要的证明材料，并按照被投诉人和与投诉事项有关的供应商数量提供投诉书副本</w:t>
      </w:r>
      <w:r>
        <w:rPr>
          <w:rFonts w:hint="eastAsia" w:hAnsi="宋体"/>
          <w:b/>
          <w:bCs/>
          <w:color w:val="auto"/>
          <w:sz w:val="22"/>
          <w:szCs w:val="22"/>
          <w:highlight w:val="none"/>
        </w:rPr>
        <w:t>。</w:t>
      </w:r>
    </w:p>
    <w:p w14:paraId="539F48AB">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15B0480">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3.投诉书应简要列明质疑事项，质疑函、质疑答复等作为附件材料提供。</w:t>
      </w:r>
    </w:p>
    <w:p w14:paraId="0C624073">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4.投诉书的投诉事项应具体、明确，并有必要的事实依据和法律依据。</w:t>
      </w:r>
    </w:p>
    <w:p w14:paraId="51C50166">
      <w:pPr>
        <w:pStyle w:val="14"/>
        <w:spacing w:line="360" w:lineRule="auto"/>
        <w:ind w:left="25" w:leftChars="12" w:firstLine="325" w:firstLineChars="147"/>
        <w:rPr>
          <w:rFonts w:hint="eastAsia" w:hAnsi="宋体"/>
          <w:b/>
          <w:color w:val="auto"/>
          <w:sz w:val="22"/>
          <w:szCs w:val="22"/>
          <w:highlight w:val="none"/>
        </w:rPr>
      </w:pPr>
      <w:r>
        <w:rPr>
          <w:rFonts w:hint="eastAsia" w:hAnsi="宋体"/>
          <w:b/>
          <w:color w:val="auto"/>
          <w:sz w:val="22"/>
          <w:szCs w:val="22"/>
          <w:highlight w:val="none"/>
        </w:rPr>
        <w:t>5.投诉书的投诉请求应与投诉事项相关。</w:t>
      </w:r>
    </w:p>
    <w:p w14:paraId="652476DD">
      <w:pPr>
        <w:pStyle w:val="14"/>
        <w:spacing w:line="360" w:lineRule="auto"/>
        <w:ind w:left="25" w:leftChars="12" w:firstLine="325" w:firstLineChars="147"/>
        <w:rPr>
          <w:rFonts w:hint="eastAsia" w:hAnsi="宋体"/>
          <w:b/>
          <w:color w:val="auto"/>
          <w:sz w:val="20"/>
          <w:szCs w:val="18"/>
          <w:highlight w:val="none"/>
        </w:rPr>
      </w:pPr>
      <w:r>
        <w:rPr>
          <w:rFonts w:hint="eastAsia" w:hAnsi="宋体"/>
          <w:b/>
          <w:color w:val="auto"/>
          <w:sz w:val="22"/>
          <w:szCs w:val="22"/>
          <w:highlight w:val="none"/>
        </w:rPr>
        <w:t>6.投诉人为法人或者其他组织的，投诉书应由法定代表人、主要负责人，或者其授权代表签字或者盖章，并加盖公章。</w:t>
      </w:r>
    </w:p>
    <w:p w14:paraId="2107800B">
      <w:pPr>
        <w:pStyle w:val="2"/>
        <w:keepLines/>
        <w:spacing w:before="340" w:after="330" w:line="578" w:lineRule="auto"/>
        <w:jc w:val="both"/>
        <w:outlineLvl w:val="9"/>
        <w:rPr>
          <w:rFonts w:hint="eastAsia" w:asciiTheme="majorEastAsia" w:hAnsiTheme="majorEastAsia" w:eastAsiaTheme="majorEastAsia" w:cstheme="majorEastAsia"/>
          <w:b/>
          <w:bCs w:val="0"/>
          <w:color w:val="auto"/>
          <w:kern w:val="2"/>
          <w:sz w:val="40"/>
          <w:szCs w:val="52"/>
          <w:lang w:val="en-US" w:eastAsia="zh-CN" w:bidi="ar-SA"/>
        </w:rPr>
      </w:pPr>
    </w:p>
    <w:p w14:paraId="6D24D87D">
      <w:pPr>
        <w:rPr>
          <w:rFonts w:hint="eastAsia"/>
          <w:color w:val="auto"/>
          <w:lang w:val="en-US" w:eastAsia="zh-CN"/>
        </w:rPr>
      </w:pPr>
    </w:p>
    <w:p w14:paraId="3E7B0D3C">
      <w:pPr>
        <w:pStyle w:val="2"/>
        <w:keepLines/>
        <w:spacing w:before="340" w:after="330" w:line="578" w:lineRule="auto"/>
        <w:jc w:val="both"/>
        <w:rPr>
          <w:rFonts w:hint="eastAsia" w:asciiTheme="majorEastAsia" w:hAnsiTheme="majorEastAsia" w:eastAsiaTheme="majorEastAsia" w:cstheme="majorEastAsia"/>
          <w:b/>
          <w:bCs w:val="0"/>
          <w:color w:val="auto"/>
          <w:kern w:val="2"/>
          <w:sz w:val="40"/>
          <w:szCs w:val="52"/>
          <w:lang w:val="en-US" w:eastAsia="zh-CN" w:bidi="ar-SA"/>
        </w:rPr>
      </w:pPr>
      <w:bookmarkStart w:id="129" w:name="_Toc26675"/>
    </w:p>
    <w:p w14:paraId="2191D89C">
      <w:pPr>
        <w:pStyle w:val="2"/>
        <w:keepLines/>
        <w:spacing w:before="340" w:after="330" w:line="578" w:lineRule="auto"/>
        <w:jc w:val="center"/>
        <w:rPr>
          <w:rFonts w:hint="eastAsia" w:asciiTheme="majorEastAsia" w:hAnsiTheme="majorEastAsia" w:eastAsiaTheme="majorEastAsia" w:cstheme="majorEastAsia"/>
          <w:b/>
          <w:bCs w:val="0"/>
          <w:color w:val="auto"/>
          <w:kern w:val="2"/>
          <w:sz w:val="40"/>
          <w:szCs w:val="52"/>
          <w:lang w:val="en-US" w:eastAsia="zh-CN" w:bidi="ar-SA"/>
        </w:rPr>
      </w:pPr>
    </w:p>
    <w:p w14:paraId="240D0A23">
      <w:pPr>
        <w:pStyle w:val="2"/>
        <w:keepLines/>
        <w:spacing w:before="340" w:after="330" w:line="578" w:lineRule="auto"/>
        <w:jc w:val="center"/>
        <w:rPr>
          <w:rFonts w:hint="eastAsia" w:ascii="宋体" w:hAnsi="宋体" w:cs="Courier New"/>
          <w:b/>
          <w:color w:val="auto"/>
          <w:sz w:val="32"/>
          <w:szCs w:val="32"/>
        </w:rPr>
      </w:pPr>
      <w:r>
        <w:rPr>
          <w:rFonts w:hint="eastAsia" w:asciiTheme="majorEastAsia" w:hAnsiTheme="majorEastAsia" w:eastAsiaTheme="majorEastAsia" w:cstheme="majorEastAsia"/>
          <w:b/>
          <w:bCs w:val="0"/>
          <w:color w:val="auto"/>
          <w:kern w:val="2"/>
          <w:sz w:val="40"/>
          <w:szCs w:val="52"/>
          <w:lang w:val="en-US" w:eastAsia="zh-CN" w:bidi="ar-SA"/>
        </w:rPr>
        <w:t>第七章 合同文本</w:t>
      </w:r>
      <w:bookmarkEnd w:id="99"/>
      <w:bookmarkEnd w:id="129"/>
    </w:p>
    <w:p w14:paraId="752E02C4">
      <w:pPr>
        <w:pStyle w:val="34"/>
        <w:pageBreakBefore w:val="0"/>
        <w:kinsoku/>
        <w:wordWrap/>
        <w:overflowPunct/>
        <w:topLinePunct w:val="0"/>
        <w:autoSpaceDE/>
        <w:autoSpaceDN/>
        <w:bidi w:val="0"/>
        <w:adjustRightInd/>
        <w:snapToGrid/>
        <w:spacing w:line="500" w:lineRule="exact"/>
        <w:textAlignment w:val="auto"/>
        <w:rPr>
          <w:rFonts w:hint="default" w:ascii="宋体" w:hAnsi="宋体" w:eastAsia="宋体" w:cs="宋体"/>
          <w:b/>
          <w:bCs/>
          <w:color w:val="auto"/>
          <w:spacing w:val="0"/>
          <w:kern w:val="2"/>
          <w:sz w:val="22"/>
          <w:szCs w:val="22"/>
          <w:u w:val="none"/>
          <w:lang w:val="en-US" w:eastAsia="zh-CN" w:bidi="ar-SA"/>
        </w:rPr>
      </w:pPr>
    </w:p>
    <w:p w14:paraId="1FCB2B1D">
      <w:pPr>
        <w:spacing w:line="360" w:lineRule="exact"/>
        <w:jc w:val="center"/>
        <w:outlineLvl w:val="9"/>
        <w:rPr>
          <w:rFonts w:hint="eastAsia" w:ascii="宋体" w:hAnsi="宋体" w:cs="宋体"/>
          <w:b/>
          <w:color w:val="auto"/>
          <w:sz w:val="28"/>
          <w:szCs w:val="28"/>
          <w:highlight w:val="none"/>
        </w:rPr>
      </w:pPr>
      <w:bookmarkStart w:id="130" w:name="_Toc405556742"/>
      <w:bookmarkStart w:id="131" w:name="_Toc402260948"/>
      <w:bookmarkStart w:id="132" w:name="_Toc382487074"/>
      <w:bookmarkStart w:id="133" w:name="_Toc396386925"/>
    </w:p>
    <w:p w14:paraId="1EFB8D97">
      <w:pPr>
        <w:spacing w:line="360" w:lineRule="exact"/>
        <w:jc w:val="center"/>
        <w:outlineLvl w:val="9"/>
        <w:rPr>
          <w:rFonts w:hint="eastAsia" w:ascii="宋体" w:hAnsi="宋体" w:cs="宋体"/>
          <w:b/>
          <w:color w:val="auto"/>
          <w:sz w:val="28"/>
          <w:szCs w:val="28"/>
          <w:highlight w:val="none"/>
        </w:rPr>
      </w:pPr>
    </w:p>
    <w:p w14:paraId="2F0AF784">
      <w:pPr>
        <w:spacing w:line="360" w:lineRule="exact"/>
        <w:jc w:val="both"/>
        <w:outlineLvl w:val="9"/>
        <w:rPr>
          <w:rFonts w:hint="eastAsia" w:ascii="宋体" w:hAnsi="宋体" w:cs="宋体"/>
          <w:b/>
          <w:color w:val="auto"/>
          <w:sz w:val="28"/>
          <w:szCs w:val="28"/>
          <w:highlight w:val="none"/>
        </w:rPr>
      </w:pPr>
    </w:p>
    <w:p w14:paraId="0C0924AE">
      <w:pPr>
        <w:spacing w:line="360" w:lineRule="exact"/>
        <w:jc w:val="both"/>
        <w:outlineLvl w:val="9"/>
        <w:rPr>
          <w:rFonts w:hint="eastAsia" w:ascii="宋体" w:hAnsi="宋体" w:cs="宋体"/>
          <w:b/>
          <w:color w:val="auto"/>
          <w:sz w:val="28"/>
          <w:szCs w:val="28"/>
          <w:highlight w:val="none"/>
        </w:rPr>
      </w:pPr>
    </w:p>
    <w:p w14:paraId="66BAB221">
      <w:pPr>
        <w:spacing w:line="360" w:lineRule="exact"/>
        <w:jc w:val="both"/>
        <w:outlineLvl w:val="9"/>
        <w:rPr>
          <w:rFonts w:hint="eastAsia" w:ascii="宋体" w:hAnsi="宋体" w:cs="宋体"/>
          <w:b/>
          <w:color w:val="auto"/>
          <w:sz w:val="28"/>
          <w:szCs w:val="28"/>
          <w:highlight w:val="none"/>
        </w:rPr>
      </w:pPr>
    </w:p>
    <w:p w14:paraId="2A53A593">
      <w:pPr>
        <w:spacing w:line="360" w:lineRule="exact"/>
        <w:jc w:val="both"/>
        <w:outlineLvl w:val="9"/>
        <w:rPr>
          <w:rFonts w:hint="eastAsia" w:ascii="宋体" w:hAnsi="宋体" w:cs="宋体"/>
          <w:b/>
          <w:color w:val="auto"/>
          <w:sz w:val="28"/>
          <w:szCs w:val="28"/>
          <w:highlight w:val="none"/>
        </w:rPr>
      </w:pPr>
    </w:p>
    <w:p w14:paraId="6A038FCD">
      <w:pPr>
        <w:spacing w:line="360" w:lineRule="exact"/>
        <w:jc w:val="both"/>
        <w:outlineLvl w:val="9"/>
        <w:rPr>
          <w:rFonts w:hint="eastAsia" w:ascii="宋体" w:hAnsi="宋体" w:cs="宋体"/>
          <w:b/>
          <w:color w:val="auto"/>
          <w:sz w:val="28"/>
          <w:szCs w:val="28"/>
          <w:highlight w:val="none"/>
        </w:rPr>
      </w:pPr>
    </w:p>
    <w:p w14:paraId="0FB96E5D">
      <w:pPr>
        <w:spacing w:line="360" w:lineRule="exact"/>
        <w:jc w:val="both"/>
        <w:outlineLvl w:val="9"/>
        <w:rPr>
          <w:rFonts w:hint="eastAsia" w:ascii="宋体" w:hAnsi="宋体" w:cs="宋体"/>
          <w:b/>
          <w:color w:val="auto"/>
          <w:sz w:val="28"/>
          <w:szCs w:val="28"/>
          <w:highlight w:val="none"/>
        </w:rPr>
      </w:pPr>
    </w:p>
    <w:p w14:paraId="6E775D85">
      <w:pPr>
        <w:spacing w:line="360" w:lineRule="exact"/>
        <w:jc w:val="both"/>
        <w:outlineLvl w:val="9"/>
        <w:rPr>
          <w:rFonts w:hint="eastAsia" w:ascii="宋体" w:hAnsi="宋体" w:cs="宋体"/>
          <w:b/>
          <w:color w:val="auto"/>
          <w:sz w:val="28"/>
          <w:szCs w:val="28"/>
          <w:highlight w:val="none"/>
        </w:rPr>
      </w:pPr>
    </w:p>
    <w:p w14:paraId="303EBAE7">
      <w:pPr>
        <w:spacing w:line="360" w:lineRule="exact"/>
        <w:jc w:val="both"/>
        <w:outlineLvl w:val="9"/>
        <w:rPr>
          <w:rFonts w:hint="eastAsia" w:ascii="宋体" w:hAnsi="宋体" w:cs="宋体"/>
          <w:b/>
          <w:color w:val="auto"/>
          <w:sz w:val="28"/>
          <w:szCs w:val="28"/>
          <w:highlight w:val="none"/>
        </w:rPr>
      </w:pPr>
    </w:p>
    <w:p w14:paraId="5EA2CB3B">
      <w:pPr>
        <w:spacing w:line="360" w:lineRule="exact"/>
        <w:jc w:val="both"/>
        <w:outlineLvl w:val="9"/>
        <w:rPr>
          <w:rFonts w:hint="eastAsia" w:ascii="宋体" w:hAnsi="宋体" w:cs="宋体"/>
          <w:b/>
          <w:color w:val="auto"/>
          <w:sz w:val="28"/>
          <w:szCs w:val="28"/>
          <w:highlight w:val="none"/>
        </w:rPr>
      </w:pPr>
    </w:p>
    <w:p w14:paraId="7E5E358F">
      <w:pPr>
        <w:spacing w:line="360" w:lineRule="exact"/>
        <w:jc w:val="both"/>
        <w:outlineLvl w:val="9"/>
        <w:rPr>
          <w:rFonts w:hint="eastAsia" w:ascii="宋体" w:hAnsi="宋体" w:cs="宋体"/>
          <w:b/>
          <w:color w:val="auto"/>
          <w:sz w:val="28"/>
          <w:szCs w:val="28"/>
          <w:highlight w:val="none"/>
        </w:rPr>
      </w:pPr>
    </w:p>
    <w:p w14:paraId="5C6C0154">
      <w:pPr>
        <w:spacing w:line="360" w:lineRule="exact"/>
        <w:jc w:val="both"/>
        <w:outlineLvl w:val="9"/>
        <w:rPr>
          <w:rFonts w:hint="eastAsia" w:ascii="宋体" w:hAnsi="宋体" w:cs="宋体"/>
          <w:b/>
          <w:color w:val="auto"/>
          <w:sz w:val="28"/>
          <w:szCs w:val="28"/>
          <w:highlight w:val="none"/>
        </w:rPr>
      </w:pPr>
    </w:p>
    <w:p w14:paraId="633D2F18">
      <w:pPr>
        <w:spacing w:line="360" w:lineRule="exact"/>
        <w:jc w:val="both"/>
        <w:outlineLvl w:val="9"/>
        <w:rPr>
          <w:rFonts w:hint="eastAsia" w:ascii="宋体" w:hAnsi="宋体" w:cs="宋体"/>
          <w:b/>
          <w:color w:val="auto"/>
          <w:sz w:val="28"/>
          <w:szCs w:val="28"/>
          <w:highlight w:val="none"/>
        </w:rPr>
      </w:pPr>
    </w:p>
    <w:p w14:paraId="700A611C">
      <w:pPr>
        <w:spacing w:line="360" w:lineRule="exact"/>
        <w:jc w:val="both"/>
        <w:outlineLvl w:val="9"/>
        <w:rPr>
          <w:rFonts w:hint="eastAsia" w:ascii="宋体" w:hAnsi="宋体" w:cs="宋体"/>
          <w:b/>
          <w:color w:val="auto"/>
          <w:sz w:val="28"/>
          <w:szCs w:val="28"/>
          <w:highlight w:val="none"/>
        </w:rPr>
      </w:pPr>
    </w:p>
    <w:p w14:paraId="199C59EC">
      <w:pPr>
        <w:spacing w:line="360" w:lineRule="exact"/>
        <w:jc w:val="both"/>
        <w:outlineLvl w:val="9"/>
        <w:rPr>
          <w:rFonts w:hint="eastAsia" w:ascii="宋体" w:hAnsi="宋体" w:cs="宋体"/>
          <w:b/>
          <w:color w:val="auto"/>
          <w:sz w:val="28"/>
          <w:szCs w:val="28"/>
          <w:highlight w:val="none"/>
        </w:rPr>
      </w:pPr>
    </w:p>
    <w:p w14:paraId="337B0EA6">
      <w:pPr>
        <w:spacing w:line="360" w:lineRule="exact"/>
        <w:jc w:val="both"/>
        <w:outlineLvl w:val="9"/>
        <w:rPr>
          <w:rFonts w:hint="eastAsia" w:ascii="宋体" w:hAnsi="宋体" w:cs="宋体"/>
          <w:b/>
          <w:color w:val="auto"/>
          <w:sz w:val="28"/>
          <w:szCs w:val="28"/>
          <w:highlight w:val="none"/>
        </w:rPr>
      </w:pPr>
    </w:p>
    <w:p w14:paraId="015F45A4">
      <w:pPr>
        <w:spacing w:line="360" w:lineRule="exact"/>
        <w:jc w:val="both"/>
        <w:outlineLvl w:val="9"/>
        <w:rPr>
          <w:rFonts w:hint="eastAsia" w:ascii="宋体" w:hAnsi="宋体" w:cs="宋体"/>
          <w:b/>
          <w:color w:val="auto"/>
          <w:sz w:val="28"/>
          <w:szCs w:val="28"/>
          <w:highlight w:val="none"/>
        </w:rPr>
      </w:pPr>
    </w:p>
    <w:p w14:paraId="3445CB65">
      <w:pPr>
        <w:spacing w:line="360" w:lineRule="exact"/>
        <w:jc w:val="both"/>
        <w:outlineLvl w:val="9"/>
        <w:rPr>
          <w:rFonts w:hint="eastAsia" w:ascii="宋体" w:hAnsi="宋体" w:cs="宋体"/>
          <w:b/>
          <w:color w:val="auto"/>
          <w:sz w:val="28"/>
          <w:szCs w:val="28"/>
          <w:highlight w:val="none"/>
        </w:rPr>
      </w:pPr>
    </w:p>
    <w:p w14:paraId="47B99DF2">
      <w:pPr>
        <w:spacing w:line="360" w:lineRule="exact"/>
        <w:jc w:val="both"/>
        <w:outlineLvl w:val="9"/>
        <w:rPr>
          <w:rFonts w:hint="eastAsia" w:ascii="宋体" w:hAnsi="宋体" w:cs="宋体"/>
          <w:b/>
          <w:color w:val="auto"/>
          <w:sz w:val="28"/>
          <w:szCs w:val="28"/>
          <w:highlight w:val="none"/>
        </w:rPr>
      </w:pPr>
    </w:p>
    <w:p w14:paraId="71CE66C1">
      <w:pPr>
        <w:spacing w:line="360" w:lineRule="exact"/>
        <w:jc w:val="both"/>
        <w:outlineLvl w:val="9"/>
        <w:rPr>
          <w:rFonts w:hint="eastAsia" w:ascii="宋体" w:hAnsi="宋体" w:cs="宋体"/>
          <w:b/>
          <w:color w:val="auto"/>
          <w:sz w:val="28"/>
          <w:szCs w:val="28"/>
          <w:highlight w:val="none"/>
        </w:rPr>
      </w:pPr>
    </w:p>
    <w:p w14:paraId="0C9555C1">
      <w:pPr>
        <w:spacing w:line="360" w:lineRule="exact"/>
        <w:jc w:val="both"/>
        <w:outlineLvl w:val="9"/>
        <w:rPr>
          <w:rFonts w:hint="eastAsia" w:ascii="宋体" w:hAnsi="宋体" w:cs="宋体"/>
          <w:b/>
          <w:color w:val="auto"/>
          <w:sz w:val="28"/>
          <w:szCs w:val="28"/>
          <w:highlight w:val="none"/>
        </w:rPr>
      </w:pPr>
    </w:p>
    <w:p w14:paraId="0495D5CC">
      <w:pPr>
        <w:spacing w:line="360" w:lineRule="exact"/>
        <w:jc w:val="both"/>
        <w:outlineLvl w:val="9"/>
        <w:rPr>
          <w:rFonts w:hint="eastAsia" w:ascii="宋体" w:hAnsi="宋体" w:cs="宋体"/>
          <w:b/>
          <w:color w:val="auto"/>
          <w:sz w:val="28"/>
          <w:szCs w:val="28"/>
          <w:highlight w:val="none"/>
        </w:rPr>
      </w:pPr>
    </w:p>
    <w:p w14:paraId="15B86D68">
      <w:pPr>
        <w:spacing w:line="360" w:lineRule="exact"/>
        <w:jc w:val="both"/>
        <w:outlineLvl w:val="9"/>
        <w:rPr>
          <w:rFonts w:hint="eastAsia" w:ascii="宋体" w:hAnsi="宋体" w:cs="宋体"/>
          <w:b/>
          <w:color w:val="auto"/>
          <w:sz w:val="28"/>
          <w:szCs w:val="28"/>
          <w:highlight w:val="none"/>
        </w:rPr>
      </w:pPr>
    </w:p>
    <w:p w14:paraId="46615DAB">
      <w:pPr>
        <w:spacing w:line="360" w:lineRule="exact"/>
        <w:jc w:val="both"/>
        <w:outlineLvl w:val="9"/>
        <w:rPr>
          <w:rFonts w:hint="eastAsia" w:ascii="宋体" w:hAnsi="宋体" w:cs="宋体"/>
          <w:b/>
          <w:color w:val="auto"/>
          <w:sz w:val="28"/>
          <w:szCs w:val="28"/>
          <w:highlight w:val="none"/>
        </w:rPr>
      </w:pPr>
    </w:p>
    <w:p w14:paraId="308DB35F">
      <w:pPr>
        <w:spacing w:line="360" w:lineRule="exact"/>
        <w:jc w:val="both"/>
        <w:outlineLvl w:val="9"/>
        <w:rPr>
          <w:rFonts w:hint="eastAsia" w:ascii="宋体" w:hAnsi="宋体" w:cs="宋体"/>
          <w:b/>
          <w:color w:val="auto"/>
          <w:sz w:val="28"/>
          <w:szCs w:val="28"/>
          <w:highlight w:val="none"/>
        </w:rPr>
      </w:pPr>
    </w:p>
    <w:bookmarkEnd w:id="130"/>
    <w:bookmarkEnd w:id="131"/>
    <w:bookmarkEnd w:id="132"/>
    <w:bookmarkEnd w:id="133"/>
    <w:p w14:paraId="7C150B8D">
      <w:pPr>
        <w:keepNext/>
        <w:keepLines/>
        <w:spacing w:before="260" w:after="260" w:line="413" w:lineRule="auto"/>
        <w:jc w:val="center"/>
        <w:outlineLvl w:val="0"/>
        <w:rPr>
          <w:rFonts w:eastAsia="华文中宋"/>
          <w:bCs/>
          <w:color w:val="auto"/>
          <w:sz w:val="32"/>
          <w:szCs w:val="32"/>
          <w:highlight w:val="none"/>
        </w:rPr>
      </w:pPr>
      <w:bookmarkStart w:id="134" w:name="_Toc296503025"/>
      <w:bookmarkStart w:id="135" w:name="_Toc14329"/>
      <w:bookmarkStart w:id="136" w:name="_Toc351203480"/>
      <w:bookmarkStart w:id="137" w:name="_Toc8988"/>
      <w:bookmarkStart w:id="138" w:name="_Toc25864"/>
      <w:bookmarkStart w:id="139" w:name="_Toc296890982"/>
      <w:r>
        <w:rPr>
          <w:rFonts w:ascii="华文中宋" w:hAnsi="华文中宋" w:eastAsia="华文中宋"/>
          <w:b/>
          <w:bCs/>
          <w:color w:val="auto"/>
          <w:sz w:val="32"/>
          <w:szCs w:val="32"/>
          <w:highlight w:val="none"/>
        </w:rPr>
        <w:t>第一部分 合同协议书</w:t>
      </w:r>
      <w:bookmarkEnd w:id="134"/>
      <w:bookmarkEnd w:id="135"/>
      <w:bookmarkEnd w:id="136"/>
      <w:bookmarkEnd w:id="137"/>
      <w:bookmarkEnd w:id="138"/>
      <w:bookmarkEnd w:id="139"/>
    </w:p>
    <w:p w14:paraId="3A09DA10">
      <w:pPr>
        <w:spacing w:line="360" w:lineRule="auto"/>
        <w:rPr>
          <w:rFonts w:hint="default" w:ascii="宋体" w:hAnsi="宋体" w:eastAsia="宋体" w:cs="宋体"/>
          <w:b/>
          <w:color w:val="auto"/>
          <w:sz w:val="21"/>
          <w:szCs w:val="21"/>
          <w:highlight w:val="none"/>
          <w:u w:val="single"/>
          <w:lang w:val="en-US" w:eastAsia="zh-CN"/>
        </w:rPr>
      </w:pPr>
      <w:r>
        <w:rPr>
          <w:rFonts w:hint="eastAsia" w:ascii="宋体" w:hAnsi="宋体" w:eastAsia="宋体" w:cs="宋体"/>
          <w:b/>
          <w:color w:val="auto"/>
          <w:sz w:val="21"/>
          <w:szCs w:val="21"/>
          <w:highlight w:val="none"/>
        </w:rPr>
        <w:t>发包人（全称）：</w:t>
      </w: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b/>
          <w:color w:val="auto"/>
          <w:sz w:val="21"/>
          <w:szCs w:val="21"/>
          <w:highlight w:val="none"/>
          <w:u w:val="single"/>
        </w:rPr>
        <w:t></w:t>
      </w:r>
      <w:r>
        <w:rPr>
          <w:rFonts w:hint="eastAsia" w:ascii="宋体" w:hAnsi="宋体" w:eastAsia="宋体" w:cs="宋体"/>
          <w:b/>
          <w:color w:val="auto"/>
          <w:sz w:val="21"/>
          <w:szCs w:val="21"/>
          <w:highlight w:val="none"/>
          <w:u w:val="single"/>
          <w:lang w:val="en-US" w:eastAsia="zh-CN"/>
        </w:rPr>
        <w:t xml:space="preserve">     </w:t>
      </w:r>
    </w:p>
    <w:p w14:paraId="4A8DF770">
      <w:pPr>
        <w:spacing w:line="360" w:lineRule="auto"/>
        <w:rPr>
          <w:rFonts w:hint="eastAsia" w:ascii="宋体" w:hAnsi="宋体" w:eastAsia="宋体" w:cs="宋体"/>
          <w:b/>
          <w:color w:val="auto"/>
          <w:sz w:val="21"/>
          <w:szCs w:val="21"/>
          <w:highlight w:val="none"/>
          <w:u w:val="single"/>
        </w:rPr>
      </w:pPr>
      <w:r>
        <w:rPr>
          <w:rFonts w:hint="eastAsia" w:ascii="宋体" w:hAnsi="宋体" w:eastAsia="宋体" w:cs="宋体"/>
          <w:b/>
          <w:color w:val="auto"/>
          <w:sz w:val="21"/>
          <w:szCs w:val="21"/>
          <w:highlight w:val="none"/>
        </w:rPr>
        <w:t>承包人（全称）：</w:t>
      </w:r>
      <w:r>
        <w:rPr>
          <w:rFonts w:hint="eastAsia" w:ascii="宋体" w:hAnsi="宋体" w:eastAsia="宋体" w:cs="宋体"/>
          <w:b/>
          <w:color w:val="auto"/>
          <w:sz w:val="21"/>
          <w:szCs w:val="21"/>
          <w:highlight w:val="none"/>
          <w:u w:val="single"/>
        </w:rPr>
        <w:t>              </w:t>
      </w:r>
    </w:p>
    <w:p w14:paraId="1B04CD61">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val="en-US" w:eastAsia="zh-CN"/>
        </w:rPr>
        <w:t>民法典</w:t>
      </w:r>
      <w:r>
        <w:rPr>
          <w:rFonts w:hint="eastAsia" w:ascii="宋体" w:hAnsi="宋体" w:eastAsia="宋体" w:cs="宋体"/>
          <w:color w:val="auto"/>
          <w:sz w:val="21"/>
          <w:szCs w:val="21"/>
          <w:highlight w:val="none"/>
        </w:rPr>
        <w:t>》《中华人民共和国建筑法》及有关法律规定，遵循平等、自愿、公平和诚实信用的原则，双方就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工程施工及有关事项协商一致，共同达成如下协议：</w:t>
      </w:r>
    </w:p>
    <w:p w14:paraId="2C8B12AE">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0" w:name="_Toc351203481"/>
      <w:r>
        <w:rPr>
          <w:rFonts w:hint="eastAsia" w:ascii="宋体" w:hAnsi="宋体" w:eastAsia="宋体" w:cs="宋体"/>
          <w:bCs/>
          <w:color w:val="auto"/>
          <w:sz w:val="21"/>
          <w:szCs w:val="21"/>
          <w:highlight w:val="none"/>
        </w:rPr>
        <w:t>一、工程概况</w:t>
      </w:r>
      <w:bookmarkEnd w:id="140"/>
    </w:p>
    <w:p w14:paraId="41652347">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1.工程名称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76AA1E42">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2.工程地点：</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1D23009F">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3.工程立项批准文号：</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63FE0157">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4.资金来源：</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3A92487B">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5.工程内容：</w:t>
      </w:r>
      <w:r>
        <w:rPr>
          <w:rFonts w:hint="eastAsia" w:ascii="宋体" w:hAnsi="宋体" w:eastAsia="宋体" w:cs="宋体"/>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05C0381F">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群体工程应附《承包人承揽工程项目一览表》（附件1）。</w:t>
      </w:r>
    </w:p>
    <w:p w14:paraId="6D474F10">
      <w:pPr>
        <w:pageBreakBefore w:val="0"/>
        <w:widowControl w:val="0"/>
        <w:kinsoku/>
        <w:wordWrap/>
        <w:overflowPunct/>
        <w:topLinePunct w:val="0"/>
        <w:bidi w:val="0"/>
        <w:snapToGrid/>
        <w:spacing w:line="312" w:lineRule="auto"/>
        <w:ind w:firstLine="411" w:firstLineChars="196"/>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6.工程承包范围：</w:t>
      </w:r>
    </w:p>
    <w:p w14:paraId="3D7F4BDE">
      <w:pPr>
        <w:pageBreakBefore w:val="0"/>
        <w:widowControl w:val="0"/>
        <w:kinsoku/>
        <w:wordWrap/>
        <w:overflowPunct/>
        <w:topLinePunct w:val="0"/>
        <w:bidi w:val="0"/>
        <w:snapToGrid/>
        <w:spacing w:line="312" w:lineRule="auto"/>
        <w:ind w:firstLine="405" w:firstLineChars="19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w:t>
      </w:r>
    </w:p>
    <w:p w14:paraId="14D6FC95">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w:t>
      </w:r>
      <w:bookmarkStart w:id="141" w:name="_Toc351203482"/>
      <w:r>
        <w:rPr>
          <w:rFonts w:hint="eastAsia" w:ascii="宋体" w:hAnsi="宋体" w:eastAsia="宋体" w:cs="宋体"/>
          <w:bCs/>
          <w:color w:val="auto"/>
          <w:sz w:val="21"/>
          <w:szCs w:val="21"/>
          <w:highlight w:val="none"/>
        </w:rPr>
        <w:t>二、合同工期</w:t>
      </w:r>
      <w:bookmarkEnd w:id="141"/>
    </w:p>
    <w:p w14:paraId="03A32F33">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日。</w:t>
      </w:r>
    </w:p>
    <w:p w14:paraId="35731380">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日。</w:t>
      </w:r>
    </w:p>
    <w:p w14:paraId="51BA4F34">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天。工期总日历天数与根据前述计划开竣工日期计算的工期天数不一致的，以工期总日历天数为准。</w:t>
      </w:r>
    </w:p>
    <w:p w14:paraId="64B025EA">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42" w:name="_Toc351203483"/>
      <w:r>
        <w:rPr>
          <w:rFonts w:hint="eastAsia" w:ascii="宋体" w:hAnsi="宋体" w:eastAsia="宋体" w:cs="宋体"/>
          <w:bCs/>
          <w:color w:val="auto"/>
          <w:sz w:val="21"/>
          <w:szCs w:val="21"/>
          <w:highlight w:val="none"/>
        </w:rPr>
        <w:t>三、质量标准</w:t>
      </w:r>
      <w:bookmarkEnd w:id="142"/>
    </w:p>
    <w:p w14:paraId="0AA19CC0">
      <w:pPr>
        <w:pageBreakBefore w:val="0"/>
        <w:widowControl w:val="0"/>
        <w:kinsoku/>
        <w:wordWrap/>
        <w:overflowPunct/>
        <w:topLinePunct w:val="0"/>
        <w:bidi w:val="0"/>
        <w:snapToGrid/>
        <w:spacing w:line="312" w:lineRule="auto"/>
        <w:ind w:firstLine="45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工程质量符合</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标准。</w:t>
      </w:r>
    </w:p>
    <w:p w14:paraId="02DC970A">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3" w:name="_Toc351203484"/>
      <w:r>
        <w:rPr>
          <w:rFonts w:hint="eastAsia" w:ascii="宋体" w:hAnsi="宋体" w:eastAsia="宋体" w:cs="宋体"/>
          <w:bCs/>
          <w:color w:val="auto"/>
          <w:sz w:val="21"/>
          <w:szCs w:val="21"/>
          <w:highlight w:val="none"/>
        </w:rPr>
        <w:t>四、签约合同价与合同价格形式</w:t>
      </w:r>
      <w:bookmarkEnd w:id="143"/>
      <w:r>
        <w:rPr>
          <w:rFonts w:hint="eastAsia" w:ascii="宋体" w:hAnsi="宋体" w:eastAsia="宋体" w:cs="宋体"/>
          <w:bCs/>
          <w:color w:val="auto"/>
          <w:sz w:val="21"/>
          <w:szCs w:val="21"/>
          <w:highlight w:val="none"/>
        </w:rPr>
        <w:tab/>
      </w:r>
    </w:p>
    <w:p w14:paraId="572CC7E2">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1.签约合同价为：</w:t>
      </w:r>
    </w:p>
    <w:p w14:paraId="3EFDF54B">
      <w:pPr>
        <w:pageBreakBefore w:val="0"/>
        <w:widowControl w:val="0"/>
        <w:kinsoku/>
        <w:wordWrap/>
        <w:overflowPunct/>
        <w:topLinePunct w:val="0"/>
        <w:bidi w:val="0"/>
        <w:snapToGrid/>
        <w:spacing w:line="312" w:lineRule="auto"/>
        <w:ind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161E410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w:t>
      </w:r>
    </w:p>
    <w:p w14:paraId="7662B2CD">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（1）安全文明施工费：</w:t>
      </w:r>
    </w:p>
    <w:p w14:paraId="43875F43">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262ADFCF">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（2）材料和工程设备暂估价金额：</w:t>
      </w:r>
    </w:p>
    <w:p w14:paraId="2F02D20F">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4E99A0BA">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（3）专业工程暂估价金额：</w:t>
      </w:r>
    </w:p>
    <w:p w14:paraId="266E5613">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064191CB">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（4）暂列金额：</w:t>
      </w:r>
    </w:p>
    <w:p w14:paraId="7879C0A6">
      <w:pPr>
        <w:pageBreakBefore w:val="0"/>
        <w:widowControl w:val="0"/>
        <w:kinsoku/>
        <w:wordWrap/>
        <w:overflowPunct/>
        <w:topLinePunct w:val="0"/>
        <w:bidi w:val="0"/>
        <w:snapToGrid/>
        <w:spacing w:line="312" w:lineRule="auto"/>
        <w:ind w:firstLine="945" w:firstLineChars="4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3FB3A063">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2.合同价格形式：</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w:t>
      </w:r>
    </w:p>
    <w:p w14:paraId="14166AEF">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4" w:name="_Toc351203485"/>
      <w:r>
        <w:rPr>
          <w:rFonts w:hint="eastAsia" w:ascii="宋体" w:hAnsi="宋体" w:eastAsia="宋体" w:cs="宋体"/>
          <w:bCs/>
          <w:color w:val="auto"/>
          <w:sz w:val="21"/>
          <w:szCs w:val="21"/>
          <w:highlight w:val="none"/>
        </w:rPr>
        <w:t>五、</w:t>
      </w:r>
      <w:bookmarkEnd w:id="144"/>
      <w:r>
        <w:rPr>
          <w:rFonts w:hint="eastAsia" w:ascii="宋体" w:hAnsi="宋体" w:eastAsia="宋体" w:cs="宋体"/>
          <w:bCs/>
          <w:color w:val="auto"/>
          <w:sz w:val="21"/>
          <w:szCs w:val="21"/>
          <w:highlight w:val="none"/>
        </w:rPr>
        <w:t>项目经理</w:t>
      </w:r>
    </w:p>
    <w:p w14:paraId="70EED4EE">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承包人项目经理：</w:t>
      </w:r>
      <w:r>
        <w:rPr>
          <w:rFonts w:hint="eastAsia" w:ascii="宋体" w:hAnsi="宋体" w:eastAsia="宋体" w:cs="宋体"/>
          <w:color w:val="auto"/>
          <w:sz w:val="21"/>
          <w:szCs w:val="21"/>
          <w:highlight w:val="none"/>
          <w:u w:val="single"/>
        </w:rPr>
        <w:t>                     </w:t>
      </w:r>
      <w:r>
        <w:rPr>
          <w:rFonts w:hint="eastAsia" w:ascii="宋体" w:hAnsi="宋体" w:eastAsia="宋体" w:cs="宋体"/>
          <w:color w:val="auto"/>
          <w:sz w:val="21"/>
          <w:szCs w:val="21"/>
          <w:highlight w:val="none"/>
        </w:rPr>
        <w:t>。</w:t>
      </w:r>
    </w:p>
    <w:p w14:paraId="3B3CFF21">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5" w:name="_Toc351203486"/>
      <w:r>
        <w:rPr>
          <w:rFonts w:hint="eastAsia" w:ascii="宋体" w:hAnsi="宋体" w:eastAsia="宋体" w:cs="宋体"/>
          <w:bCs/>
          <w:color w:val="auto"/>
          <w:sz w:val="21"/>
          <w:szCs w:val="21"/>
          <w:highlight w:val="none"/>
        </w:rPr>
        <w:t>六、合同文件构成</w:t>
      </w:r>
      <w:bookmarkEnd w:id="145"/>
    </w:p>
    <w:p w14:paraId="016B946C">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本协议书与下列文件一起构成合同文件：</w:t>
      </w:r>
    </w:p>
    <w:p w14:paraId="5C349BDF">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通知书（如果有）；</w:t>
      </w:r>
    </w:p>
    <w:p w14:paraId="149F5A52">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 xml:space="preserve">函及其附录（如果有）； </w:t>
      </w:r>
    </w:p>
    <w:p w14:paraId="662D2D26">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（3）专用合同条款及其附件；</w:t>
      </w:r>
    </w:p>
    <w:p w14:paraId="23931DCA">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（4）通用合同条款；</w:t>
      </w:r>
    </w:p>
    <w:p w14:paraId="0057E37D">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05F941E0">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47AA8F21">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p>
    <w:p w14:paraId="7E443CAA">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（8）其他合同文件。</w:t>
      </w:r>
    </w:p>
    <w:p w14:paraId="19D24018">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w:t>
      </w:r>
    </w:p>
    <w:p w14:paraId="0F2BC850">
      <w:pPr>
        <w:pageBreakBefore w:val="0"/>
        <w:widowControl w:val="0"/>
        <w:kinsoku/>
        <w:wordWrap/>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4DC9A88A">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6" w:name="_Toc351203487"/>
      <w:r>
        <w:rPr>
          <w:rFonts w:hint="eastAsia" w:ascii="宋体" w:hAnsi="宋体" w:eastAsia="宋体" w:cs="宋体"/>
          <w:bCs/>
          <w:color w:val="auto"/>
          <w:sz w:val="21"/>
          <w:szCs w:val="21"/>
          <w:highlight w:val="none"/>
        </w:rPr>
        <w:t>七、承诺</w:t>
      </w:r>
      <w:bookmarkEnd w:id="146"/>
    </w:p>
    <w:p w14:paraId="76CD8068">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1.发包人承诺按照法律规定履行项目审批手续、筹集工程建设资金并按照合同约定的期限和方式支付合同价款。</w:t>
      </w:r>
    </w:p>
    <w:p w14:paraId="3ADC75D7">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6EF54956">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3.发包人和承包人通过招投标形式签订合同的，双方理解并承诺不再就同一工程另行签订与合同实质性内容相背离的协议。</w:t>
      </w:r>
    </w:p>
    <w:p w14:paraId="5DC25C27">
      <w:pPr>
        <w:pageBreakBefore w:val="0"/>
        <w:widowControl w:val="0"/>
        <w:kinsoku/>
        <w:wordWrap/>
        <w:overflowPunct/>
        <w:topLinePunct w:val="0"/>
        <w:bidi w:val="0"/>
        <w:snapToGrid/>
        <w:spacing w:line="312" w:lineRule="auto"/>
        <w:textAlignment w:val="auto"/>
        <w:rPr>
          <w:rFonts w:hint="eastAsia" w:ascii="宋体" w:hAnsi="宋体" w:eastAsia="宋体" w:cs="宋体"/>
          <w:bCs/>
          <w:color w:val="auto"/>
          <w:sz w:val="21"/>
          <w:szCs w:val="21"/>
          <w:highlight w:val="none"/>
        </w:rPr>
      </w:pPr>
      <w:bookmarkStart w:id="147" w:name="_Toc351203488"/>
      <w:r>
        <w:rPr>
          <w:rFonts w:hint="eastAsia" w:ascii="宋体" w:hAnsi="宋体" w:eastAsia="宋体" w:cs="宋体"/>
          <w:b/>
          <w:color w:val="auto"/>
          <w:sz w:val="21"/>
          <w:szCs w:val="21"/>
          <w:highlight w:val="none"/>
        </w:rPr>
        <w:t xml:space="preserve">    八、词语含义</w:t>
      </w:r>
      <w:bookmarkEnd w:id="147"/>
    </w:p>
    <w:p w14:paraId="1A09CBEC">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本协议书中词语含义与第二部分通用合同条款中赋予的含义相同。</w:t>
      </w:r>
    </w:p>
    <w:p w14:paraId="3A63B709">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r>
        <w:rPr>
          <w:rFonts w:hint="eastAsia" w:ascii="宋体" w:hAnsi="宋体" w:eastAsia="宋体" w:cs="宋体"/>
          <w:bCs/>
          <w:color w:val="auto"/>
          <w:sz w:val="21"/>
          <w:szCs w:val="21"/>
          <w:highlight w:val="none"/>
        </w:rPr>
        <w:t xml:space="preserve">  </w:t>
      </w:r>
      <w:bookmarkStart w:id="148" w:name="_Toc351203489"/>
      <w:r>
        <w:rPr>
          <w:rFonts w:hint="eastAsia" w:ascii="宋体" w:hAnsi="宋体" w:eastAsia="宋体" w:cs="宋体"/>
          <w:bCs/>
          <w:color w:val="auto"/>
          <w:sz w:val="21"/>
          <w:szCs w:val="21"/>
          <w:highlight w:val="none"/>
        </w:rPr>
        <w:t>九、签订时间</w:t>
      </w:r>
      <w:bookmarkEnd w:id="148"/>
    </w:p>
    <w:p w14:paraId="7B139C6E">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本合同于</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日签订。</w:t>
      </w:r>
    </w:p>
    <w:p w14:paraId="020C5B40">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49" w:name="_Toc351203490"/>
      <w:r>
        <w:rPr>
          <w:rFonts w:hint="eastAsia" w:ascii="宋体" w:hAnsi="宋体" w:eastAsia="宋体" w:cs="宋体"/>
          <w:bCs/>
          <w:color w:val="auto"/>
          <w:sz w:val="21"/>
          <w:szCs w:val="21"/>
          <w:highlight w:val="none"/>
        </w:rPr>
        <w:t>十、签订地点</w:t>
      </w:r>
      <w:bookmarkEnd w:id="149"/>
    </w:p>
    <w:p w14:paraId="2E255D06">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本合同在</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陆川县文物事务中心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签订。</w:t>
      </w:r>
    </w:p>
    <w:p w14:paraId="72FC6212">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0" w:name="_Toc351203491"/>
      <w:r>
        <w:rPr>
          <w:rFonts w:hint="eastAsia" w:ascii="宋体" w:hAnsi="宋体" w:eastAsia="宋体" w:cs="宋体"/>
          <w:bCs/>
          <w:color w:val="auto"/>
          <w:sz w:val="21"/>
          <w:szCs w:val="21"/>
          <w:highlight w:val="none"/>
        </w:rPr>
        <w:t>十一、补充协议</w:t>
      </w:r>
      <w:bookmarkEnd w:id="150"/>
    </w:p>
    <w:p w14:paraId="52D320A3">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合同未尽事宜，合同当事人另行签订补充协议，补充协议是合同的组成部分。</w:t>
      </w:r>
    </w:p>
    <w:p w14:paraId="573F7CEC">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1" w:name="_Toc351203492"/>
      <w:r>
        <w:rPr>
          <w:rFonts w:hint="eastAsia" w:ascii="宋体" w:hAnsi="宋体" w:eastAsia="宋体" w:cs="宋体"/>
          <w:bCs/>
          <w:color w:val="auto"/>
          <w:sz w:val="21"/>
          <w:szCs w:val="21"/>
          <w:highlight w:val="none"/>
        </w:rPr>
        <w:t>十二、合同生效</w:t>
      </w:r>
      <w:bookmarkEnd w:id="151"/>
    </w:p>
    <w:p w14:paraId="3C712ED8">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本合同自</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双方法定代表人或委托代理人签字并加盖公章</w:t>
      </w:r>
      <w:r>
        <w:rPr>
          <w:rFonts w:hint="eastAsia" w:ascii="宋体" w:hAnsi="宋体" w:eastAsia="宋体" w:cs="宋体"/>
          <w:bCs/>
          <w:color w:val="auto"/>
          <w:sz w:val="21"/>
          <w:szCs w:val="21"/>
          <w:highlight w:val="none"/>
        </w:rPr>
        <w:t>生效。</w:t>
      </w:r>
    </w:p>
    <w:p w14:paraId="24691307">
      <w:pPr>
        <w:keepNext/>
        <w:keepLines/>
        <w:pageBreakBefore w:val="0"/>
        <w:widowControl w:val="0"/>
        <w:kinsoku/>
        <w:wordWrap/>
        <w:overflowPunct/>
        <w:topLinePunct w:val="0"/>
        <w:bidi w:val="0"/>
        <w:snapToGrid/>
        <w:spacing w:before="120" w:after="120" w:line="312" w:lineRule="auto"/>
        <w:textAlignment w:val="auto"/>
        <w:outlineLvl w:val="3"/>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bookmarkStart w:id="152" w:name="_Toc351203493"/>
      <w:r>
        <w:rPr>
          <w:rFonts w:hint="eastAsia" w:ascii="宋体" w:hAnsi="宋体" w:eastAsia="宋体" w:cs="宋体"/>
          <w:bCs/>
          <w:color w:val="auto"/>
          <w:sz w:val="21"/>
          <w:szCs w:val="21"/>
          <w:highlight w:val="none"/>
        </w:rPr>
        <w:t>十三、合同份数</w:t>
      </w:r>
      <w:bookmarkEnd w:id="152"/>
    </w:p>
    <w:p w14:paraId="5AF51BBA">
      <w:pPr>
        <w:pageBreakBefore w:val="0"/>
        <w:widowControl w:val="0"/>
        <w:kinsoku/>
        <w:wordWrap/>
        <w:overflowPunct/>
        <w:topLinePunct w:val="0"/>
        <w:bidi w:val="0"/>
        <w:snapToGrid/>
        <w:spacing w:line="312"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本合同一式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捌</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份，均具有同等法律效力，发包人执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叁</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份，承包人执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叁</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监督部门</w:t>
      </w:r>
      <w:r>
        <w:rPr>
          <w:rFonts w:hint="eastAsia" w:ascii="宋体" w:hAnsi="宋体" w:eastAsia="宋体" w:cs="宋体"/>
          <w:bCs/>
          <w:color w:val="auto"/>
          <w:sz w:val="21"/>
          <w:szCs w:val="21"/>
          <w:highlight w:val="none"/>
          <w:u w:val="single"/>
          <w:lang w:val="en-US" w:eastAsia="zh-CN"/>
        </w:rPr>
        <w:t xml:space="preserve"> 壹</w:t>
      </w:r>
      <w:r>
        <w:rPr>
          <w:rFonts w:hint="eastAsia" w:ascii="宋体" w:hAnsi="宋体" w:eastAsia="宋体" w:cs="宋体"/>
          <w:bCs/>
          <w:color w:val="auto"/>
          <w:sz w:val="21"/>
          <w:szCs w:val="21"/>
          <w:highlight w:val="none"/>
          <w:lang w:val="en-US" w:eastAsia="zh-CN"/>
        </w:rPr>
        <w:t>份，代理机构</w:t>
      </w:r>
      <w:r>
        <w:rPr>
          <w:rFonts w:hint="eastAsia" w:ascii="宋体" w:hAnsi="宋体" w:eastAsia="宋体" w:cs="宋体"/>
          <w:bCs/>
          <w:color w:val="auto"/>
          <w:sz w:val="21"/>
          <w:szCs w:val="21"/>
          <w:highlight w:val="none"/>
          <w:u w:val="single"/>
          <w:lang w:val="en-US" w:eastAsia="zh-CN"/>
        </w:rPr>
        <w:t xml:space="preserve"> 壹 </w:t>
      </w:r>
      <w:r>
        <w:rPr>
          <w:rFonts w:hint="eastAsia" w:ascii="宋体" w:hAnsi="宋体" w:eastAsia="宋体" w:cs="宋体"/>
          <w:bCs/>
          <w:color w:val="auto"/>
          <w:sz w:val="21"/>
          <w:szCs w:val="21"/>
          <w:highlight w:val="none"/>
          <w:lang w:val="en-US" w:eastAsia="zh-CN"/>
        </w:rPr>
        <w:t>份</w:t>
      </w:r>
      <w:r>
        <w:rPr>
          <w:rFonts w:hint="eastAsia" w:ascii="宋体" w:hAnsi="宋体" w:eastAsia="宋体" w:cs="宋体"/>
          <w:bCs/>
          <w:color w:val="auto"/>
          <w:sz w:val="21"/>
          <w:szCs w:val="21"/>
          <w:highlight w:val="none"/>
        </w:rPr>
        <w:t>。</w:t>
      </w:r>
    </w:p>
    <w:p w14:paraId="5F1D1644">
      <w:pPr>
        <w:spacing w:line="360" w:lineRule="auto"/>
        <w:rPr>
          <w:rFonts w:hint="eastAsia" w:ascii="宋体" w:hAnsi="宋体" w:eastAsia="宋体" w:cs="宋体"/>
          <w:color w:val="auto"/>
          <w:sz w:val="21"/>
          <w:szCs w:val="21"/>
          <w:highlight w:val="none"/>
        </w:rPr>
      </w:pPr>
    </w:p>
    <w:p w14:paraId="1F5CD49F">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发包人：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承包人：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p>
    <w:p w14:paraId="29F4BF13">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0EBDDB7D">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法定代表人或其委托代理人：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法定代表人或其委托代理人：</w:t>
      </w:r>
    </w:p>
    <w:p w14:paraId="0064B68E">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p>
    <w:p w14:paraId="2AE98BDC">
      <w:pPr>
        <w:spacing w:line="360" w:lineRule="auto"/>
        <w:rPr>
          <w:rFonts w:hint="eastAsia" w:ascii="宋体" w:hAnsi="宋体" w:eastAsia="宋体" w:cs="宋体"/>
          <w:color w:val="auto"/>
          <w:sz w:val="21"/>
          <w:szCs w:val="21"/>
          <w:highlight w:val="none"/>
          <w:u w:val="single"/>
        </w:rPr>
      </w:pPr>
    </w:p>
    <w:p w14:paraId="3FA15E1B">
      <w:pPr>
        <w:tabs>
          <w:tab w:val="left" w:pos="4410"/>
        </w:tabs>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组织机构代码：</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组织机构代码：</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p>
    <w:p w14:paraId="22EC295B">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       </w:t>
      </w:r>
    </w:p>
    <w:p w14:paraId="45B1CBE5">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3F564B9E">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       </w:t>
      </w:r>
    </w:p>
    <w:p w14:paraId="7C9483B0">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p>
    <w:p w14:paraId="02900DCF">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14:paraId="710064AA">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   </w:t>
      </w:r>
    </w:p>
    <w:p w14:paraId="3CB1D374">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p>
    <w:p w14:paraId="01451034">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040A533D">
      <w:p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账  号：</w:t>
      </w:r>
      <w:r>
        <w:rPr>
          <w:rFonts w:hint="eastAsia" w:ascii="宋体" w:hAnsi="宋体" w:eastAsia="宋体" w:cs="宋体"/>
          <w:color w:val="auto"/>
          <w:sz w:val="21"/>
          <w:szCs w:val="21"/>
          <w:highlight w:val="none"/>
          <w:u w:val="single"/>
        </w:rPr>
        <w:t xml:space="preserve">     </w:t>
      </w:r>
    </w:p>
    <w:p w14:paraId="5AAA9502">
      <w:pPr>
        <w:keepNext/>
        <w:keepLines/>
        <w:spacing w:before="260" w:after="260" w:line="413" w:lineRule="auto"/>
        <w:jc w:val="center"/>
        <w:outlineLvl w:val="0"/>
        <w:rPr>
          <w:rFonts w:hint="eastAsia" w:ascii="华文中宋" w:hAnsi="华文中宋" w:eastAsia="华文中宋"/>
          <w:b/>
          <w:bCs/>
          <w:color w:val="auto"/>
          <w:sz w:val="32"/>
          <w:szCs w:val="32"/>
          <w:highlight w:val="none"/>
        </w:rPr>
      </w:pPr>
      <w:r>
        <w:rPr>
          <w:rFonts w:ascii="Calibri" w:hAnsi="Calibri" w:eastAsia="仿宋_GB2312"/>
          <w:b/>
          <w:bCs/>
          <w:color w:val="auto"/>
          <w:sz w:val="24"/>
          <w:highlight w:val="none"/>
        </w:rPr>
        <w:br w:type="page"/>
      </w:r>
      <w:bookmarkStart w:id="153" w:name="_Toc24906"/>
      <w:bookmarkStart w:id="154" w:name="_Toc31811"/>
      <w:bookmarkStart w:id="155" w:name="_Toc351203494"/>
      <w:bookmarkStart w:id="156" w:name="_Toc16646"/>
      <w:r>
        <w:rPr>
          <w:rFonts w:ascii="华文中宋" w:hAnsi="华文中宋" w:eastAsia="华文中宋"/>
          <w:b/>
          <w:bCs/>
          <w:color w:val="auto"/>
          <w:sz w:val="32"/>
          <w:szCs w:val="32"/>
          <w:highlight w:val="none"/>
        </w:rPr>
        <w:t>第二部分 通用合同条款</w:t>
      </w:r>
      <w:bookmarkEnd w:id="153"/>
      <w:bookmarkEnd w:id="154"/>
      <w:bookmarkEnd w:id="155"/>
      <w:bookmarkEnd w:id="156"/>
      <w:bookmarkStart w:id="157" w:name="_Toc337558727"/>
    </w:p>
    <w:p w14:paraId="1A770C50">
      <w:pPr>
        <w:jc w:val="left"/>
        <w:rPr>
          <w:rFonts w:hint="eastAsia" w:ascii="宋体" w:hAnsi="宋体" w:eastAsia="宋体" w:cs="宋体"/>
          <w:color w:val="auto"/>
          <w:kern w:val="0"/>
          <w:sz w:val="28"/>
          <w:szCs w:val="28"/>
          <w:highlight w:val="none"/>
        </w:rPr>
      </w:pPr>
      <w:bookmarkStart w:id="158" w:name="_Toc418003503"/>
      <w:bookmarkStart w:id="159" w:name="_Toc389065257"/>
      <w:bookmarkStart w:id="160" w:name="_Toc351203495"/>
      <w:r>
        <w:rPr>
          <w:rFonts w:hint="eastAsia" w:ascii="宋体" w:hAnsi="宋体" w:eastAsia="宋体" w:cs="宋体"/>
          <w:bCs/>
          <w:color w:val="auto"/>
          <w:sz w:val="28"/>
          <w:szCs w:val="28"/>
          <w:highlight w:val="none"/>
        </w:rPr>
        <w:t>本工程的施工合同通用条款按GF-2017-0201《建设工程施工合同》通用条款执行。</w:t>
      </w:r>
    </w:p>
    <w:bookmarkEnd w:id="158"/>
    <w:bookmarkEnd w:id="159"/>
    <w:p w14:paraId="3B734768">
      <w:pPr>
        <w:keepNext/>
        <w:keepLines/>
        <w:spacing w:before="120" w:after="120" w:line="360" w:lineRule="auto"/>
        <w:outlineLvl w:val="9"/>
        <w:rPr>
          <w:rFonts w:eastAsia="黑体"/>
          <w:bCs/>
          <w:color w:val="auto"/>
          <w:sz w:val="32"/>
          <w:szCs w:val="32"/>
          <w:highlight w:val="none"/>
        </w:rPr>
      </w:pPr>
    </w:p>
    <w:bookmarkEnd w:id="157"/>
    <w:bookmarkEnd w:id="160"/>
    <w:p w14:paraId="0A6F5B1E">
      <w:pPr>
        <w:keepNext/>
        <w:keepLines/>
        <w:spacing w:before="260" w:after="260" w:line="413" w:lineRule="auto"/>
        <w:jc w:val="center"/>
        <w:outlineLvl w:val="0"/>
        <w:rPr>
          <w:rFonts w:ascii="华文中宋" w:hAnsi="华文中宋" w:eastAsia="华文中宋"/>
          <w:b/>
          <w:bCs/>
          <w:color w:val="auto"/>
          <w:sz w:val="32"/>
          <w:szCs w:val="32"/>
          <w:highlight w:val="none"/>
        </w:rPr>
      </w:pPr>
      <w:bookmarkStart w:id="161" w:name="_Toc351203632"/>
      <w:r>
        <w:rPr>
          <w:rFonts w:ascii="华文中宋" w:hAnsi="华文中宋" w:eastAsia="华文中宋"/>
          <w:b/>
          <w:bCs/>
          <w:color w:val="auto"/>
          <w:sz w:val="44"/>
          <w:szCs w:val="44"/>
          <w:highlight w:val="none"/>
        </w:rPr>
        <w:br w:type="page"/>
      </w:r>
      <w:bookmarkStart w:id="162" w:name="_Toc31483"/>
      <w:bookmarkStart w:id="163" w:name="_Toc26122"/>
      <w:r>
        <w:rPr>
          <w:rFonts w:ascii="华文中宋" w:hAnsi="华文中宋" w:eastAsia="华文中宋"/>
          <w:b/>
          <w:bCs/>
          <w:color w:val="auto"/>
          <w:sz w:val="32"/>
          <w:szCs w:val="32"/>
          <w:highlight w:val="none"/>
        </w:rPr>
        <w:t xml:space="preserve">第三部分 </w:t>
      </w:r>
      <w:r>
        <w:rPr>
          <w:rFonts w:hint="eastAsia" w:ascii="华文中宋" w:hAnsi="华文中宋" w:eastAsia="华文中宋"/>
          <w:b/>
          <w:bCs/>
          <w:color w:val="auto"/>
          <w:sz w:val="32"/>
          <w:szCs w:val="32"/>
          <w:highlight w:val="none"/>
        </w:rPr>
        <w:t>专用合同条款</w:t>
      </w:r>
      <w:bookmarkEnd w:id="161"/>
      <w:bookmarkEnd w:id="162"/>
      <w:bookmarkEnd w:id="163"/>
    </w:p>
    <w:p w14:paraId="69099852">
      <w:pPr>
        <w:pStyle w:val="3"/>
        <w:rPr>
          <w:color w:val="auto"/>
          <w:highlight w:val="none"/>
        </w:rPr>
      </w:pPr>
      <w:bookmarkStart w:id="164" w:name="_Toc14399"/>
      <w:bookmarkStart w:id="165" w:name="_Toc373227692"/>
      <w:bookmarkStart w:id="166" w:name="_Toc389065258"/>
      <w:bookmarkStart w:id="167" w:name="_Toc351203633"/>
      <w:bookmarkStart w:id="168" w:name="_Toc407135194"/>
      <w:bookmarkStart w:id="169" w:name="_Toc373478339"/>
      <w:r>
        <w:rPr>
          <w:color w:val="auto"/>
          <w:highlight w:val="none"/>
        </w:rPr>
        <w:t>1</w:t>
      </w:r>
      <w:bookmarkStart w:id="170" w:name="_Toc296944495"/>
      <w:bookmarkStart w:id="171" w:name="_Toc296347155"/>
      <w:bookmarkStart w:id="172" w:name="_Toc297048342"/>
      <w:bookmarkStart w:id="173" w:name="_Toc296891196"/>
      <w:bookmarkStart w:id="174" w:name="_Toc296346657"/>
      <w:bookmarkStart w:id="175" w:name="_Toc292559361"/>
      <w:bookmarkStart w:id="176" w:name="_Toc296503156"/>
      <w:bookmarkStart w:id="177" w:name="_Toc297120456"/>
      <w:bookmarkStart w:id="178" w:name="_Toc296890984"/>
      <w:bookmarkStart w:id="179" w:name="_Toc292559866"/>
      <w:r>
        <w:rPr>
          <w:color w:val="auto"/>
          <w:highlight w:val="none"/>
        </w:rPr>
        <w:t xml:space="preserve">. </w:t>
      </w:r>
      <w:r>
        <w:rPr>
          <w:rFonts w:hint="eastAsia" w:hAnsi="宋体" w:cs="黑体"/>
          <w:color w:val="auto"/>
          <w:highlight w:val="none"/>
        </w:rPr>
        <w:t>一般约定</w:t>
      </w:r>
      <w:bookmarkEnd w:id="164"/>
      <w:bookmarkEnd w:id="165"/>
      <w:bookmarkEnd w:id="166"/>
      <w:bookmarkEnd w:id="167"/>
      <w:bookmarkEnd w:id="168"/>
      <w:bookmarkEnd w:id="169"/>
    </w:p>
    <w:bookmarkEnd w:id="170"/>
    <w:bookmarkEnd w:id="171"/>
    <w:bookmarkEnd w:id="172"/>
    <w:bookmarkEnd w:id="173"/>
    <w:bookmarkEnd w:id="174"/>
    <w:bookmarkEnd w:id="175"/>
    <w:bookmarkEnd w:id="176"/>
    <w:bookmarkEnd w:id="177"/>
    <w:bookmarkEnd w:id="178"/>
    <w:bookmarkEnd w:id="179"/>
    <w:p w14:paraId="49B834C9">
      <w:pPr>
        <w:pStyle w:val="4"/>
        <w:rPr>
          <w:color w:val="auto"/>
          <w:highlight w:val="none"/>
        </w:rPr>
      </w:pPr>
      <w:bookmarkStart w:id="180" w:name="_Toc407135195"/>
      <w:bookmarkStart w:id="181" w:name="_Toc373227693"/>
      <w:bookmarkStart w:id="182" w:name="_Toc373478340"/>
      <w:bookmarkStart w:id="183" w:name="_Toc21109"/>
      <w:bookmarkStart w:id="184" w:name="_Toc389065259"/>
      <w:r>
        <w:rPr>
          <w:color w:val="auto"/>
          <w:highlight w:val="none"/>
        </w:rPr>
        <w:t xml:space="preserve">1.1 </w:t>
      </w:r>
      <w:r>
        <w:rPr>
          <w:rFonts w:hint="eastAsia" w:hAnsi="宋体" w:cs="黑体"/>
          <w:color w:val="auto"/>
          <w:highlight w:val="none"/>
        </w:rPr>
        <w:t>词语定义</w:t>
      </w:r>
      <w:bookmarkEnd w:id="180"/>
      <w:bookmarkEnd w:id="181"/>
      <w:bookmarkEnd w:id="182"/>
      <w:bookmarkEnd w:id="183"/>
      <w:bookmarkEnd w:id="184"/>
    </w:p>
    <w:p w14:paraId="394F90E7">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14:paraId="22C85855">
      <w:pPr>
        <w:spacing w:line="360" w:lineRule="auto"/>
        <w:ind w:firstLine="420" w:firstLineChars="200"/>
        <w:rPr>
          <w:color w:val="auto"/>
          <w:kern w:val="0"/>
          <w:highlight w:val="none"/>
        </w:rPr>
      </w:pPr>
      <w:r>
        <w:rPr>
          <w:color w:val="auto"/>
          <w:kern w:val="0"/>
          <w:highlight w:val="none"/>
        </w:rPr>
        <w:t xml:space="preserve">1.1.1.10 </w:t>
      </w:r>
      <w:r>
        <w:rPr>
          <w:rFonts w:hint="eastAsia" w:hAnsi="宋体" w:cs="宋体"/>
          <w:color w:val="auto"/>
          <w:kern w:val="0"/>
          <w:highlight w:val="none"/>
        </w:rPr>
        <w:t>其他合同文件包括：</w:t>
      </w:r>
      <w:r>
        <w:rPr>
          <w:color w:val="auto"/>
          <w:highlight w:val="none"/>
          <w:u w:val="single"/>
        </w:rPr>
        <w:t xml:space="preserve"> </w:t>
      </w:r>
      <w:r>
        <w:rPr>
          <w:rFonts w:hint="eastAsia"/>
          <w:color w:val="auto"/>
          <w:highlight w:val="none"/>
          <w:u w:val="single"/>
        </w:rPr>
        <w:t>合同协议书、</w:t>
      </w:r>
      <w:r>
        <w:rPr>
          <w:rFonts w:hint="eastAsia"/>
          <w:color w:val="auto"/>
          <w:highlight w:val="none"/>
          <w:u w:val="single"/>
          <w:lang w:val="en-US" w:eastAsia="zh-CN"/>
        </w:rPr>
        <w:t>成交</w:t>
      </w:r>
      <w:r>
        <w:rPr>
          <w:rFonts w:hint="eastAsia"/>
          <w:color w:val="auto"/>
          <w:highlight w:val="none"/>
          <w:u w:val="single"/>
        </w:rPr>
        <w:t>通知书、</w:t>
      </w:r>
      <w:r>
        <w:rPr>
          <w:rFonts w:hint="eastAsia"/>
          <w:color w:val="auto"/>
          <w:highlight w:val="none"/>
          <w:u w:val="single"/>
          <w:lang w:val="en-US" w:eastAsia="zh-CN"/>
        </w:rPr>
        <w:t>磋商</w:t>
      </w:r>
      <w:r>
        <w:rPr>
          <w:rFonts w:hint="eastAsia"/>
          <w:color w:val="auto"/>
          <w:highlight w:val="none"/>
          <w:u w:val="single"/>
        </w:rPr>
        <w:t>函、专用合同条款及其附件、通用合同条款、技术标准和要求、图纸、已标价工程量清单或预算书以及其他合同文件</w:t>
      </w:r>
      <w:r>
        <w:rPr>
          <w:color w:val="auto"/>
          <w:highlight w:val="none"/>
          <w:u w:val="single"/>
        </w:rPr>
        <w:t xml:space="preserve"> </w:t>
      </w:r>
      <w:r>
        <w:rPr>
          <w:rFonts w:hint="eastAsia" w:hAnsi="宋体" w:cs="宋体"/>
          <w:color w:val="auto"/>
          <w:highlight w:val="none"/>
        </w:rPr>
        <w:t>。</w:t>
      </w:r>
    </w:p>
    <w:p w14:paraId="7A536695">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14:paraId="07B43C12">
      <w:pPr>
        <w:spacing w:line="360" w:lineRule="auto"/>
        <w:ind w:firstLine="420" w:firstLineChars="200"/>
        <w:outlineLvl w:val="0"/>
        <w:rPr>
          <w:color w:val="auto"/>
          <w:highlight w:val="none"/>
        </w:rPr>
      </w:pPr>
      <w:r>
        <w:rPr>
          <w:color w:val="auto"/>
          <w:highlight w:val="none"/>
        </w:rPr>
        <w:t xml:space="preserve">1.1.2.4 </w:t>
      </w:r>
      <w:r>
        <w:rPr>
          <w:rFonts w:hint="eastAsia" w:hAnsi="宋体" w:cs="宋体"/>
          <w:color w:val="auto"/>
          <w:highlight w:val="none"/>
        </w:rPr>
        <w:t>监理人：</w:t>
      </w:r>
    </w:p>
    <w:p w14:paraId="3E09A278">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7ABA4063">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43729400">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29ADA6F7">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47F1DC80">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197726EE">
      <w:pPr>
        <w:spacing w:line="360" w:lineRule="auto"/>
        <w:ind w:firstLine="420" w:firstLineChars="200"/>
        <w:outlineLvl w:val="0"/>
        <w:rPr>
          <w:color w:val="auto"/>
          <w:highlight w:val="none"/>
        </w:rPr>
      </w:pPr>
      <w:r>
        <w:rPr>
          <w:color w:val="auto"/>
          <w:highlight w:val="none"/>
        </w:rPr>
        <w:t xml:space="preserve">1.1.2.5 </w:t>
      </w:r>
      <w:r>
        <w:rPr>
          <w:rFonts w:hint="eastAsia" w:hAnsi="宋体" w:cs="宋体"/>
          <w:color w:val="auto"/>
          <w:highlight w:val="none"/>
        </w:rPr>
        <w:t>设计人：</w:t>
      </w:r>
    </w:p>
    <w:p w14:paraId="6C6E7629">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hAnsi="宋体" w:cs="宋体"/>
          <w:color w:val="auto"/>
          <w:highlight w:val="none"/>
        </w:rPr>
        <w:t>；</w:t>
      </w:r>
    </w:p>
    <w:p w14:paraId="54AA7101">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76D343A7">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3A9A7F6D">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6BA21AA6">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5149E44F">
      <w:pPr>
        <w:spacing w:line="360" w:lineRule="auto"/>
        <w:ind w:firstLine="420" w:firstLineChars="200"/>
        <w:rPr>
          <w:color w:val="auto"/>
          <w:highlight w:val="none"/>
        </w:rPr>
      </w:pPr>
      <w:r>
        <w:rPr>
          <w:color w:val="auto"/>
          <w:highlight w:val="none"/>
        </w:rPr>
        <w:t xml:space="preserve">1.1.3 </w:t>
      </w:r>
      <w:r>
        <w:rPr>
          <w:rFonts w:hint="eastAsia" w:hAnsi="宋体" w:cs="宋体"/>
          <w:color w:val="auto"/>
          <w:highlight w:val="none"/>
        </w:rPr>
        <w:t>工程和设备</w:t>
      </w:r>
    </w:p>
    <w:p w14:paraId="5C238796">
      <w:pPr>
        <w:spacing w:line="360" w:lineRule="auto"/>
        <w:ind w:firstLine="420" w:firstLineChars="200"/>
        <w:outlineLvl w:val="0"/>
        <w:rPr>
          <w:rFonts w:hAnsi="宋体"/>
          <w:color w:val="auto"/>
          <w:highlight w:val="none"/>
        </w:rPr>
      </w:pPr>
      <w:r>
        <w:rPr>
          <w:color w:val="auto"/>
          <w:highlight w:val="none"/>
        </w:rPr>
        <w:t xml:space="preserve">1.1.3.7 </w:t>
      </w:r>
      <w:r>
        <w:rPr>
          <w:rFonts w:hint="eastAsia" w:hAnsi="宋体" w:cs="宋体"/>
          <w:color w:val="auto"/>
          <w:highlight w:val="none"/>
        </w:rPr>
        <w:t>作为施工现场组成部分的其他场所包括：</w:t>
      </w:r>
    </w:p>
    <w:p w14:paraId="69E62C65">
      <w:pPr>
        <w:spacing w:line="360" w:lineRule="auto"/>
        <w:ind w:firstLine="420" w:firstLineChars="200"/>
        <w:rPr>
          <w:color w:val="auto"/>
          <w:highlight w:val="none"/>
        </w:rPr>
      </w:pP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3A6A6A51">
      <w:pPr>
        <w:spacing w:line="360" w:lineRule="auto"/>
        <w:ind w:firstLine="420" w:firstLineChars="200"/>
        <w:jc w:val="left"/>
        <w:rPr>
          <w:color w:val="auto"/>
          <w:kern w:val="0"/>
          <w:highlight w:val="none"/>
        </w:rPr>
      </w:pPr>
      <w:r>
        <w:rPr>
          <w:color w:val="auto"/>
          <w:kern w:val="0"/>
          <w:highlight w:val="none"/>
        </w:rPr>
        <w:t xml:space="preserve">1.1.3.9 </w:t>
      </w:r>
      <w:r>
        <w:rPr>
          <w:rFonts w:hint="eastAsia" w:hAnsi="宋体" w:cs="宋体"/>
          <w:color w:val="auto"/>
          <w:kern w:val="0"/>
          <w:highlight w:val="none"/>
        </w:rPr>
        <w:t>永久占地包括：</w:t>
      </w:r>
      <w:r>
        <w:rPr>
          <w:color w:val="auto"/>
          <w:highlight w:val="none"/>
          <w:u w:val="single"/>
        </w:rPr>
        <w:t xml:space="preserve">                        </w:t>
      </w:r>
      <w:r>
        <w:rPr>
          <w:rFonts w:hint="eastAsia" w:hAnsi="宋体" w:cs="宋体"/>
          <w:color w:val="auto"/>
          <w:kern w:val="0"/>
          <w:highlight w:val="none"/>
        </w:rPr>
        <w:t>。</w:t>
      </w:r>
    </w:p>
    <w:p w14:paraId="7EA31694">
      <w:pPr>
        <w:spacing w:line="360" w:lineRule="auto"/>
        <w:ind w:firstLine="420" w:firstLineChars="200"/>
        <w:jc w:val="left"/>
        <w:rPr>
          <w:color w:val="auto"/>
          <w:highlight w:val="none"/>
        </w:rPr>
      </w:pPr>
      <w:r>
        <w:rPr>
          <w:color w:val="auto"/>
          <w:kern w:val="0"/>
          <w:highlight w:val="none"/>
        </w:rPr>
        <w:t xml:space="preserve">1.1.3.10 </w:t>
      </w:r>
      <w:r>
        <w:rPr>
          <w:rFonts w:hint="eastAsia" w:hAnsi="宋体" w:cs="宋体"/>
          <w:color w:val="auto"/>
          <w:kern w:val="0"/>
          <w:highlight w:val="none"/>
        </w:rPr>
        <w:t>临时占地包括：</w:t>
      </w:r>
      <w:r>
        <w:rPr>
          <w:color w:val="auto"/>
          <w:highlight w:val="none"/>
          <w:u w:val="single"/>
        </w:rPr>
        <w:t xml:space="preserve">                       </w:t>
      </w:r>
      <w:r>
        <w:rPr>
          <w:rFonts w:hint="eastAsia" w:hAnsi="宋体" w:cs="宋体"/>
          <w:color w:val="auto"/>
          <w:kern w:val="0"/>
          <w:highlight w:val="none"/>
        </w:rPr>
        <w:t>。</w:t>
      </w:r>
    </w:p>
    <w:p w14:paraId="278B5B9D">
      <w:pPr>
        <w:pStyle w:val="4"/>
        <w:rPr>
          <w:color w:val="auto"/>
          <w:highlight w:val="none"/>
        </w:rPr>
      </w:pPr>
      <w:bookmarkStart w:id="185" w:name="_Toc10126"/>
      <w:bookmarkStart w:id="186" w:name="_Toc373227694"/>
      <w:bookmarkStart w:id="187" w:name="_Toc373478341"/>
      <w:bookmarkStart w:id="188" w:name="_Toc389065260"/>
      <w:bookmarkStart w:id="189" w:name="_Toc407135196"/>
      <w:r>
        <w:rPr>
          <w:color w:val="auto"/>
          <w:highlight w:val="none"/>
        </w:rPr>
        <w:t xml:space="preserve">1.3 </w:t>
      </w:r>
      <w:r>
        <w:rPr>
          <w:rFonts w:hint="eastAsia" w:hAnsi="宋体" w:cs="黑体"/>
          <w:color w:val="auto"/>
          <w:highlight w:val="none"/>
        </w:rPr>
        <w:t>法律</w:t>
      </w:r>
      <w:bookmarkEnd w:id="185"/>
      <w:bookmarkEnd w:id="186"/>
      <w:bookmarkEnd w:id="187"/>
      <w:bookmarkEnd w:id="188"/>
      <w:bookmarkEnd w:id="189"/>
    </w:p>
    <w:p w14:paraId="0E070F30">
      <w:pPr>
        <w:spacing w:line="360" w:lineRule="auto"/>
        <w:ind w:firstLine="420" w:firstLineChars="200"/>
        <w:rPr>
          <w:color w:val="auto"/>
          <w:highlight w:val="none"/>
        </w:rPr>
      </w:pPr>
      <w:r>
        <w:rPr>
          <w:rFonts w:hint="eastAsia" w:hAnsi="宋体" w:cs="宋体"/>
          <w:color w:val="auto"/>
          <w:highlight w:val="none"/>
        </w:rPr>
        <w:t>适用于合同的其他规范性文件：</w:t>
      </w:r>
      <w:r>
        <w:rPr>
          <w:rFonts w:hint="eastAsia" w:hAnsi="宋体"/>
          <w:color w:val="auto"/>
          <w:highlight w:val="none"/>
          <w:u w:val="single"/>
        </w:rPr>
        <w:t xml:space="preserve">现行的国家法律和行政法规、工程所在地政府的有关文件法规和规章 </w:t>
      </w:r>
      <w:r>
        <w:rPr>
          <w:rFonts w:hint="eastAsia" w:hAnsi="宋体" w:cs="宋体"/>
          <w:color w:val="auto"/>
          <w:highlight w:val="none"/>
        </w:rPr>
        <w:t>。</w:t>
      </w:r>
    </w:p>
    <w:p w14:paraId="3EDFC8B1">
      <w:pPr>
        <w:pStyle w:val="4"/>
        <w:rPr>
          <w:color w:val="auto"/>
          <w:highlight w:val="none"/>
        </w:rPr>
      </w:pPr>
      <w:bookmarkStart w:id="190" w:name="_Toc373227695"/>
      <w:bookmarkStart w:id="191" w:name="_Toc373478342"/>
      <w:bookmarkStart w:id="192" w:name="_Toc24898"/>
      <w:bookmarkStart w:id="193" w:name="_Toc407135197"/>
      <w:bookmarkStart w:id="194" w:name="_Toc389065261"/>
      <w:r>
        <w:rPr>
          <w:color w:val="auto"/>
          <w:highlight w:val="none"/>
        </w:rPr>
        <w:t xml:space="preserve">1.4 </w:t>
      </w:r>
      <w:r>
        <w:rPr>
          <w:rFonts w:hint="eastAsia" w:hAnsi="宋体" w:cs="黑体"/>
          <w:color w:val="auto"/>
          <w:highlight w:val="none"/>
        </w:rPr>
        <w:t>标准和规范</w:t>
      </w:r>
      <w:bookmarkEnd w:id="190"/>
      <w:bookmarkEnd w:id="191"/>
      <w:bookmarkEnd w:id="192"/>
      <w:bookmarkEnd w:id="193"/>
      <w:bookmarkEnd w:id="194"/>
    </w:p>
    <w:p w14:paraId="5BEA15D5">
      <w:pPr>
        <w:spacing w:line="360" w:lineRule="auto"/>
        <w:ind w:firstLine="420" w:firstLineChars="200"/>
        <w:rPr>
          <w:color w:val="auto"/>
          <w:highlight w:val="none"/>
        </w:rPr>
      </w:pPr>
      <w:r>
        <w:rPr>
          <w:color w:val="auto"/>
          <w:highlight w:val="none"/>
        </w:rPr>
        <w:t xml:space="preserve">1.4.1 </w:t>
      </w:r>
      <w:r>
        <w:rPr>
          <w:rFonts w:hint="eastAsia" w:hAnsi="宋体" w:cs="宋体"/>
          <w:color w:val="auto"/>
          <w:highlight w:val="none"/>
        </w:rPr>
        <w:t>适用于工程的标准规范包括：</w:t>
      </w:r>
      <w:r>
        <w:rPr>
          <w:rFonts w:hint="eastAsia" w:hAnsi="宋体"/>
          <w:color w:val="auto"/>
          <w:highlight w:val="none"/>
          <w:u w:val="single"/>
        </w:rPr>
        <w:t xml:space="preserve">现行的国家标准和规范、行业标准、规范等 </w:t>
      </w:r>
      <w:r>
        <w:rPr>
          <w:rFonts w:hint="eastAsia" w:hAnsi="宋体" w:cs="宋体"/>
          <w:color w:val="auto"/>
          <w:highlight w:val="none"/>
        </w:rPr>
        <w:t>。</w:t>
      </w:r>
    </w:p>
    <w:p w14:paraId="7F14FFBB">
      <w:pPr>
        <w:spacing w:line="360" w:lineRule="auto"/>
        <w:ind w:firstLine="420" w:firstLineChars="200"/>
        <w:rPr>
          <w:color w:val="auto"/>
          <w:kern w:val="0"/>
          <w:highlight w:val="none"/>
        </w:rPr>
      </w:pPr>
      <w:r>
        <w:rPr>
          <w:color w:val="auto"/>
          <w:kern w:val="0"/>
          <w:highlight w:val="none"/>
        </w:rPr>
        <w:t xml:space="preserve">1.4.2 </w:t>
      </w:r>
      <w:r>
        <w:rPr>
          <w:rFonts w:hint="eastAsia" w:hAnsi="宋体" w:cs="宋体"/>
          <w:color w:val="auto"/>
          <w:kern w:val="0"/>
          <w:highlight w:val="none"/>
        </w:rPr>
        <w:t>发包人提供国外标准、规范的名称：</w:t>
      </w: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53DD203E">
      <w:pPr>
        <w:spacing w:line="360" w:lineRule="auto"/>
        <w:ind w:firstLine="420" w:firstLineChars="200"/>
        <w:rPr>
          <w:color w:val="auto"/>
          <w:kern w:val="0"/>
          <w:highlight w:val="none"/>
        </w:rPr>
      </w:pPr>
      <w:r>
        <w:rPr>
          <w:rFonts w:hint="eastAsia" w:hAnsi="宋体" w:cs="宋体"/>
          <w:color w:val="auto"/>
          <w:kern w:val="0"/>
          <w:highlight w:val="none"/>
        </w:rPr>
        <w:t>发包人提供国外标准、规范的份数：</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3180BF27">
      <w:pPr>
        <w:spacing w:line="360" w:lineRule="auto"/>
        <w:ind w:firstLine="420" w:firstLineChars="200"/>
        <w:rPr>
          <w:color w:val="auto"/>
          <w:highlight w:val="none"/>
        </w:rPr>
      </w:pPr>
      <w:r>
        <w:rPr>
          <w:rFonts w:hint="eastAsia" w:hAnsi="宋体" w:cs="宋体"/>
          <w:color w:val="auto"/>
          <w:kern w:val="0"/>
          <w:highlight w:val="none"/>
        </w:rPr>
        <w:t>发包人提供国外标准、规范的名称：</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3834E829">
      <w:pPr>
        <w:spacing w:line="360" w:lineRule="auto"/>
        <w:ind w:firstLine="420" w:firstLineChars="200"/>
        <w:rPr>
          <w:color w:val="auto"/>
          <w:highlight w:val="none"/>
        </w:rPr>
      </w:pPr>
      <w:r>
        <w:rPr>
          <w:color w:val="auto"/>
          <w:highlight w:val="none"/>
        </w:rPr>
        <w:t xml:space="preserve">1.4.3 </w:t>
      </w:r>
      <w:r>
        <w:rPr>
          <w:rFonts w:hint="eastAsia" w:hAnsi="宋体" w:cs="宋体"/>
          <w:color w:val="auto"/>
          <w:highlight w:val="none"/>
        </w:rPr>
        <w:t>发包人对工程的技术标准和功能要求的特殊要求：</w:t>
      </w:r>
    </w:p>
    <w:p w14:paraId="72EC7515">
      <w:pPr>
        <w:spacing w:line="360" w:lineRule="auto"/>
        <w:rPr>
          <w:color w:val="auto"/>
          <w:highlight w:val="none"/>
        </w:rPr>
      </w:pP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rFonts w:hint="eastAsia" w:hAnsi="宋体" w:cs="宋体"/>
          <w:color w:val="auto"/>
          <w:highlight w:val="none"/>
        </w:rPr>
        <w:t>。</w:t>
      </w:r>
    </w:p>
    <w:p w14:paraId="3514B8D3">
      <w:pPr>
        <w:pStyle w:val="4"/>
        <w:rPr>
          <w:color w:val="auto"/>
          <w:highlight w:val="none"/>
        </w:rPr>
      </w:pPr>
      <w:bookmarkStart w:id="195" w:name="_Toc407135198"/>
      <w:bookmarkStart w:id="196" w:name="_Toc373227696"/>
      <w:bookmarkStart w:id="197" w:name="_Toc373478343"/>
      <w:bookmarkStart w:id="198" w:name="_Toc23707"/>
      <w:bookmarkStart w:id="199" w:name="_Toc389065262"/>
      <w:r>
        <w:rPr>
          <w:color w:val="auto"/>
          <w:highlight w:val="none"/>
        </w:rPr>
        <w:t xml:space="preserve">1.5 </w:t>
      </w:r>
      <w:r>
        <w:rPr>
          <w:rFonts w:hint="eastAsia" w:cs="黑体"/>
          <w:color w:val="auto"/>
          <w:highlight w:val="none"/>
        </w:rPr>
        <w:t>合同文件的优先顺序</w:t>
      </w:r>
      <w:bookmarkEnd w:id="195"/>
      <w:bookmarkEnd w:id="196"/>
      <w:bookmarkEnd w:id="197"/>
      <w:bookmarkEnd w:id="198"/>
      <w:bookmarkEnd w:id="199"/>
    </w:p>
    <w:p w14:paraId="78F945AF">
      <w:pPr>
        <w:spacing w:line="360" w:lineRule="auto"/>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合同文件组成及优先顺序为：</w:t>
      </w:r>
    </w:p>
    <w:p w14:paraId="5A7B3B25">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（1）合同协议书；</w:t>
      </w:r>
    </w:p>
    <w:p w14:paraId="4C1047B4">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（2）</w:t>
      </w:r>
      <w:r>
        <w:rPr>
          <w:rFonts w:hint="eastAsia" w:ascii="新宋体" w:hAnsi="新宋体" w:eastAsia="新宋体" w:cs="新宋体"/>
          <w:color w:val="auto"/>
          <w:kern w:val="0"/>
          <w:sz w:val="21"/>
          <w:szCs w:val="21"/>
          <w:highlight w:val="none"/>
          <w:lang w:val="en-US" w:eastAsia="zh-CN"/>
        </w:rPr>
        <w:t>成交</w:t>
      </w:r>
      <w:r>
        <w:rPr>
          <w:rFonts w:hint="eastAsia" w:ascii="新宋体" w:hAnsi="新宋体" w:eastAsia="新宋体" w:cs="新宋体"/>
          <w:color w:val="auto"/>
          <w:kern w:val="0"/>
          <w:sz w:val="21"/>
          <w:szCs w:val="21"/>
          <w:highlight w:val="none"/>
        </w:rPr>
        <w:t>通知书（如有）；</w:t>
      </w:r>
    </w:p>
    <w:p w14:paraId="717E524A">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（3）</w:t>
      </w:r>
      <w:r>
        <w:rPr>
          <w:rFonts w:hint="eastAsia" w:ascii="新宋体" w:hAnsi="新宋体" w:eastAsia="新宋体" w:cs="新宋体"/>
          <w:color w:val="auto"/>
          <w:kern w:val="0"/>
          <w:sz w:val="21"/>
          <w:szCs w:val="21"/>
          <w:highlight w:val="none"/>
          <w:lang w:val="en-US" w:eastAsia="zh-CN"/>
        </w:rPr>
        <w:t>磋商</w:t>
      </w:r>
      <w:r>
        <w:rPr>
          <w:rFonts w:hint="eastAsia" w:ascii="新宋体" w:hAnsi="新宋体" w:eastAsia="新宋体" w:cs="新宋体"/>
          <w:color w:val="auto"/>
          <w:kern w:val="0"/>
          <w:sz w:val="21"/>
          <w:szCs w:val="21"/>
          <w:highlight w:val="none"/>
        </w:rPr>
        <w:t>函及其附录（如有）；</w:t>
      </w:r>
    </w:p>
    <w:p w14:paraId="33F0B728">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（4）专用合同条款及其附件；</w:t>
      </w:r>
    </w:p>
    <w:p w14:paraId="6FEF8D52">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（5）通用合同条款；</w:t>
      </w:r>
    </w:p>
    <w:p w14:paraId="1A8C15D1">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（6）</w:t>
      </w:r>
      <w:r>
        <w:rPr>
          <w:rFonts w:hint="eastAsia" w:ascii="新宋体" w:hAnsi="新宋体" w:eastAsia="新宋体" w:cs="新宋体"/>
          <w:color w:val="auto"/>
          <w:kern w:val="0"/>
          <w:sz w:val="21"/>
          <w:szCs w:val="21"/>
          <w:highlight w:val="none"/>
          <w:u w:val="single"/>
        </w:rPr>
        <w:t xml:space="preserve">技术标准和要求  </w:t>
      </w:r>
      <w:r>
        <w:rPr>
          <w:rFonts w:hint="eastAsia" w:ascii="新宋体" w:hAnsi="新宋体" w:eastAsia="新宋体" w:cs="新宋体"/>
          <w:color w:val="auto"/>
          <w:kern w:val="0"/>
          <w:sz w:val="21"/>
          <w:szCs w:val="21"/>
          <w:highlight w:val="none"/>
        </w:rPr>
        <w:t>；</w:t>
      </w:r>
    </w:p>
    <w:p w14:paraId="3BAA50F9">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（7）</w:t>
      </w:r>
      <w:r>
        <w:rPr>
          <w:rFonts w:hint="eastAsia" w:ascii="新宋体" w:hAnsi="新宋体" w:eastAsia="新宋体" w:cs="新宋体"/>
          <w:color w:val="auto"/>
          <w:kern w:val="0"/>
          <w:sz w:val="21"/>
          <w:szCs w:val="21"/>
          <w:highlight w:val="none"/>
          <w:u w:val="single"/>
        </w:rPr>
        <w:t xml:space="preserve"> 图纸  </w:t>
      </w:r>
      <w:r>
        <w:rPr>
          <w:rFonts w:hint="eastAsia" w:ascii="新宋体" w:hAnsi="新宋体" w:eastAsia="新宋体" w:cs="新宋体"/>
          <w:color w:val="auto"/>
          <w:kern w:val="0"/>
          <w:sz w:val="21"/>
          <w:szCs w:val="21"/>
          <w:highlight w:val="none"/>
        </w:rPr>
        <w:t>；</w:t>
      </w:r>
    </w:p>
    <w:p w14:paraId="77CD3EBE">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（8）</w:t>
      </w:r>
      <w:r>
        <w:rPr>
          <w:rFonts w:hint="eastAsia" w:ascii="新宋体" w:hAnsi="新宋体" w:eastAsia="新宋体" w:cs="新宋体"/>
          <w:color w:val="auto"/>
          <w:kern w:val="0"/>
          <w:sz w:val="21"/>
          <w:szCs w:val="21"/>
          <w:highlight w:val="none"/>
          <w:u w:val="single"/>
        </w:rPr>
        <w:t>已标价工程量清单或预算书 ；</w:t>
      </w:r>
    </w:p>
    <w:p w14:paraId="7E12A88E">
      <w:pPr>
        <w:spacing w:line="360" w:lineRule="auto"/>
        <w:ind w:firstLine="420" w:firstLineChars="20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rPr>
        <w:t>（9）</w:t>
      </w:r>
      <w:r>
        <w:rPr>
          <w:rFonts w:hint="eastAsia" w:ascii="新宋体" w:hAnsi="新宋体" w:eastAsia="新宋体" w:cs="新宋体"/>
          <w:color w:val="auto"/>
          <w:kern w:val="0"/>
          <w:sz w:val="21"/>
          <w:szCs w:val="21"/>
          <w:highlight w:val="none"/>
          <w:u w:val="single"/>
        </w:rPr>
        <w:t xml:space="preserve"> 其他合同文件 </w:t>
      </w:r>
      <w:r>
        <w:rPr>
          <w:rFonts w:hint="eastAsia" w:ascii="新宋体" w:hAnsi="新宋体" w:eastAsia="新宋体" w:cs="新宋体"/>
          <w:color w:val="auto"/>
          <w:kern w:val="0"/>
          <w:sz w:val="21"/>
          <w:szCs w:val="21"/>
          <w:highlight w:val="none"/>
        </w:rPr>
        <w:t>。</w:t>
      </w:r>
    </w:p>
    <w:p w14:paraId="39B5EBEF">
      <w:pPr>
        <w:spacing w:line="360" w:lineRule="auto"/>
        <w:ind w:firstLine="420" w:firstLineChars="200"/>
        <w:rPr>
          <w:rFonts w:hint="eastAsia" w:ascii="新宋体" w:hAnsi="新宋体" w:eastAsia="新宋体" w:cs="新宋体"/>
          <w:color w:val="auto"/>
          <w:sz w:val="21"/>
          <w:szCs w:val="21"/>
          <w:highlight w:val="none"/>
        </w:rPr>
      </w:pPr>
      <w:r>
        <w:rPr>
          <w:rFonts w:hint="eastAsia" w:ascii="新宋体" w:hAnsi="新宋体" w:eastAsia="新宋体" w:cs="新宋体"/>
          <w:i w:val="0"/>
          <w:caps w:val="0"/>
          <w:color w:val="auto"/>
          <w:spacing w:val="0"/>
          <w:sz w:val="21"/>
          <w:szCs w:val="21"/>
          <w:highlight w:val="none"/>
          <w:shd w:val="clear" w:color="auto" w:fill="FFFFFF"/>
        </w:rPr>
        <w:t>上述各项合同文件包括合同当事人就该项合同文件所作出的补充和修改，属于同一类内容的文件，应以最新签署的为准（违反招标文件实质性内容的约定除外）。专用合同条款及其附件须经合同当事人签字或盖章</w:t>
      </w:r>
      <w:r>
        <w:rPr>
          <w:rFonts w:hint="eastAsia" w:ascii="新宋体" w:hAnsi="新宋体" w:eastAsia="新宋体" w:cs="新宋体"/>
          <w:color w:val="auto"/>
          <w:kern w:val="0"/>
          <w:sz w:val="21"/>
          <w:szCs w:val="21"/>
          <w:highlight w:val="none"/>
        </w:rPr>
        <w:t>。</w:t>
      </w:r>
    </w:p>
    <w:p w14:paraId="0CE28DFD">
      <w:pPr>
        <w:pStyle w:val="4"/>
        <w:rPr>
          <w:color w:val="auto"/>
          <w:highlight w:val="none"/>
        </w:rPr>
      </w:pPr>
      <w:bookmarkStart w:id="200" w:name="_Toc407135199"/>
      <w:bookmarkStart w:id="201" w:name="_Toc373478344"/>
      <w:bookmarkStart w:id="202" w:name="_Toc389065263"/>
      <w:bookmarkStart w:id="203" w:name="_Toc373227697"/>
      <w:bookmarkStart w:id="204" w:name="_Toc14049"/>
      <w:r>
        <w:rPr>
          <w:color w:val="auto"/>
          <w:highlight w:val="none"/>
        </w:rPr>
        <w:t xml:space="preserve">1.6 </w:t>
      </w:r>
      <w:r>
        <w:rPr>
          <w:rFonts w:hint="eastAsia" w:cs="黑体"/>
          <w:color w:val="auto"/>
          <w:highlight w:val="none"/>
        </w:rPr>
        <w:t>图纸和承包人文件</w:t>
      </w:r>
      <w:bookmarkEnd w:id="200"/>
      <w:bookmarkEnd w:id="201"/>
      <w:bookmarkEnd w:id="202"/>
      <w:bookmarkEnd w:id="203"/>
      <w:bookmarkEnd w:id="204"/>
      <w:r>
        <w:rPr>
          <w:color w:val="auto"/>
          <w:highlight w:val="none"/>
        </w:rPr>
        <w:tab/>
      </w:r>
    </w:p>
    <w:p w14:paraId="799E9DFF">
      <w:pPr>
        <w:spacing w:line="360" w:lineRule="auto"/>
        <w:ind w:firstLine="420" w:firstLineChars="200"/>
        <w:rPr>
          <w:color w:val="auto"/>
          <w:highlight w:val="none"/>
        </w:rPr>
      </w:pPr>
      <w:r>
        <w:rPr>
          <w:color w:val="auto"/>
          <w:highlight w:val="none"/>
        </w:rPr>
        <w:t xml:space="preserve">1.6.1 </w:t>
      </w:r>
      <w:r>
        <w:rPr>
          <w:rFonts w:hint="eastAsia" w:hAnsi="宋体" w:cs="宋体"/>
          <w:color w:val="auto"/>
          <w:highlight w:val="none"/>
        </w:rPr>
        <w:t>图纸的提供</w:t>
      </w:r>
    </w:p>
    <w:p w14:paraId="04817875">
      <w:pPr>
        <w:pStyle w:val="49"/>
        <w:bidi w:val="0"/>
        <w:spacing w:line="360" w:lineRule="auto"/>
        <w:rPr>
          <w:rStyle w:val="27"/>
          <w:rFonts w:hint="eastAsia" w:ascii="宋体" w:hAnsi="宋体" w:cs="宋体"/>
          <w:color w:val="auto"/>
          <w:szCs w:val="21"/>
          <w:highlight w:val="none"/>
        </w:rPr>
      </w:pPr>
      <w:r>
        <w:rPr>
          <w:rStyle w:val="27"/>
          <w:rFonts w:hint="eastAsia" w:ascii="宋体" w:hAnsi="宋体" w:cs="宋体"/>
          <w:color w:val="auto"/>
          <w:szCs w:val="21"/>
          <w:highlight w:val="none"/>
        </w:rPr>
        <w:t>发包人向承包人提供图纸的期限：</w:t>
      </w:r>
      <w:r>
        <w:rPr>
          <w:rStyle w:val="27"/>
          <w:rFonts w:hint="eastAsia" w:ascii="宋体" w:hAnsi="宋体" w:cs="宋体"/>
          <w:color w:val="auto"/>
          <w:szCs w:val="21"/>
          <w:highlight w:val="none"/>
          <w:u w:val="single"/>
        </w:rPr>
        <w:t xml:space="preserve">        </w:t>
      </w:r>
      <w:r>
        <w:rPr>
          <w:rStyle w:val="27"/>
          <w:rFonts w:hint="eastAsia" w:ascii="宋体" w:hAnsi="宋体" w:cs="宋体"/>
          <w:color w:val="auto"/>
          <w:szCs w:val="21"/>
          <w:highlight w:val="none"/>
          <w:u w:val="single"/>
          <w:lang w:val="en-US" w:eastAsia="zh-CN"/>
        </w:rPr>
        <w:t xml:space="preserve">  </w:t>
      </w:r>
      <w:r>
        <w:rPr>
          <w:rStyle w:val="27"/>
          <w:rFonts w:hint="eastAsia" w:ascii="宋体" w:hAnsi="宋体" w:cs="宋体"/>
          <w:color w:val="auto"/>
          <w:szCs w:val="21"/>
          <w:highlight w:val="none"/>
          <w:u w:val="single"/>
        </w:rPr>
        <w:t xml:space="preserve">        </w:t>
      </w:r>
      <w:r>
        <w:rPr>
          <w:rStyle w:val="27"/>
          <w:rFonts w:hint="eastAsia" w:ascii="宋体" w:hAnsi="宋体" w:cs="宋体"/>
          <w:color w:val="auto"/>
          <w:szCs w:val="21"/>
          <w:highlight w:val="none"/>
        </w:rPr>
        <w:t xml:space="preserve"> ；</w:t>
      </w:r>
    </w:p>
    <w:p w14:paraId="73E0A7F5">
      <w:pPr>
        <w:pStyle w:val="49"/>
        <w:bidi w:val="0"/>
        <w:spacing w:line="360" w:lineRule="auto"/>
        <w:rPr>
          <w:rStyle w:val="27"/>
          <w:rFonts w:hint="eastAsia" w:ascii="宋体" w:hAnsi="宋体" w:cs="宋体"/>
          <w:color w:val="auto"/>
          <w:szCs w:val="21"/>
          <w:highlight w:val="none"/>
        </w:rPr>
      </w:pPr>
      <w:r>
        <w:rPr>
          <w:rStyle w:val="27"/>
          <w:rFonts w:hint="eastAsia" w:ascii="宋体" w:hAnsi="宋体" w:cs="宋体"/>
          <w:color w:val="auto"/>
          <w:szCs w:val="21"/>
          <w:highlight w:val="none"/>
        </w:rPr>
        <w:t>发包人向承包人提供图纸的数量：</w:t>
      </w:r>
      <w:r>
        <w:rPr>
          <w:rStyle w:val="27"/>
          <w:rFonts w:hint="eastAsia" w:ascii="宋体" w:hAnsi="宋体" w:cs="宋体"/>
          <w:color w:val="auto"/>
          <w:szCs w:val="21"/>
          <w:highlight w:val="none"/>
          <w:u w:val="single"/>
        </w:rPr>
        <w:t xml:space="preserve">    </w:t>
      </w:r>
      <w:r>
        <w:rPr>
          <w:rStyle w:val="27"/>
          <w:rFonts w:hint="eastAsia" w:ascii="宋体" w:hAnsi="宋体" w:cs="宋体"/>
          <w:color w:val="auto"/>
          <w:szCs w:val="21"/>
          <w:highlight w:val="none"/>
          <w:u w:val="single"/>
          <w:lang w:val="en-US" w:eastAsia="zh-CN"/>
        </w:rPr>
        <w:t xml:space="preserve">  </w:t>
      </w:r>
      <w:r>
        <w:rPr>
          <w:rStyle w:val="27"/>
          <w:rFonts w:hint="eastAsia" w:ascii="宋体" w:hAnsi="宋体" w:cs="宋体"/>
          <w:color w:val="auto"/>
          <w:szCs w:val="21"/>
          <w:highlight w:val="none"/>
          <w:u w:val="single"/>
        </w:rPr>
        <w:t xml:space="preserve">   套</w:t>
      </w:r>
      <w:r>
        <w:rPr>
          <w:rStyle w:val="27"/>
          <w:rFonts w:hint="eastAsia" w:ascii="宋体" w:hAnsi="宋体" w:cs="宋体"/>
          <w:color w:val="auto"/>
          <w:szCs w:val="21"/>
          <w:highlight w:val="none"/>
        </w:rPr>
        <w:t>；</w:t>
      </w:r>
    </w:p>
    <w:p w14:paraId="60938BDD">
      <w:pPr>
        <w:pStyle w:val="49"/>
        <w:bidi w:val="0"/>
        <w:spacing w:line="360" w:lineRule="auto"/>
        <w:rPr>
          <w:color w:val="auto"/>
          <w:highlight w:val="none"/>
        </w:rPr>
      </w:pPr>
      <w:r>
        <w:rPr>
          <w:rStyle w:val="27"/>
          <w:rFonts w:hint="eastAsia" w:ascii="宋体" w:hAnsi="宋体" w:cs="宋体"/>
          <w:color w:val="auto"/>
          <w:szCs w:val="21"/>
          <w:highlight w:val="none"/>
        </w:rPr>
        <w:t>发包人向承包人提供图纸的内容：</w:t>
      </w:r>
      <w:r>
        <w:rPr>
          <w:rStyle w:val="27"/>
          <w:rFonts w:hint="eastAsia" w:ascii="宋体" w:hAnsi="宋体" w:cs="宋体"/>
          <w:color w:val="auto"/>
          <w:szCs w:val="21"/>
          <w:highlight w:val="none"/>
          <w:u w:val="single"/>
        </w:rPr>
        <w:t xml:space="preserve">      承包人所承包的范围     </w:t>
      </w:r>
      <w:r>
        <w:rPr>
          <w:rStyle w:val="27"/>
          <w:rFonts w:hint="eastAsia" w:ascii="宋体" w:hAnsi="宋体" w:cs="宋体"/>
          <w:color w:val="auto"/>
          <w:szCs w:val="21"/>
          <w:highlight w:val="none"/>
        </w:rPr>
        <w:t xml:space="preserve"> 。</w:t>
      </w:r>
    </w:p>
    <w:p w14:paraId="49B819D6">
      <w:pPr>
        <w:spacing w:line="360" w:lineRule="auto"/>
        <w:ind w:firstLine="420" w:firstLineChars="200"/>
        <w:rPr>
          <w:color w:val="auto"/>
          <w:highlight w:val="none"/>
        </w:rPr>
      </w:pPr>
      <w:r>
        <w:rPr>
          <w:color w:val="auto"/>
          <w:highlight w:val="none"/>
        </w:rPr>
        <w:t xml:space="preserve">1.6.4 </w:t>
      </w:r>
      <w:r>
        <w:rPr>
          <w:rFonts w:hint="eastAsia" w:hAnsi="宋体" w:cs="宋体"/>
          <w:color w:val="auto"/>
          <w:highlight w:val="none"/>
        </w:rPr>
        <w:t>承包人文件</w:t>
      </w:r>
    </w:p>
    <w:p w14:paraId="5220B8DF">
      <w:pPr>
        <w:pStyle w:val="49"/>
        <w:bidi w:val="0"/>
        <w:spacing w:line="360" w:lineRule="auto"/>
        <w:rPr>
          <w:rStyle w:val="27"/>
          <w:rFonts w:hint="eastAsia" w:ascii="宋体" w:hAnsi="宋体" w:cs="宋体"/>
          <w:color w:val="auto"/>
          <w:szCs w:val="21"/>
          <w:highlight w:val="none"/>
        </w:rPr>
      </w:pPr>
      <w:r>
        <w:rPr>
          <w:rStyle w:val="27"/>
          <w:rFonts w:hint="eastAsia" w:ascii="宋体" w:hAnsi="宋体" w:cs="宋体"/>
          <w:color w:val="auto"/>
          <w:szCs w:val="21"/>
          <w:highlight w:val="none"/>
        </w:rPr>
        <w:t>需要由承包人提供的文件，包括：</w:t>
      </w:r>
      <w:r>
        <w:rPr>
          <w:rStyle w:val="27"/>
          <w:rFonts w:hint="eastAsia" w:ascii="宋体" w:hAnsi="宋体" w:cs="宋体"/>
          <w:color w:val="auto"/>
          <w:szCs w:val="21"/>
          <w:highlight w:val="none"/>
          <w:u w:val="single"/>
        </w:rPr>
        <w:t xml:space="preserve">  施工组织设计、进度计划等   </w:t>
      </w:r>
      <w:r>
        <w:rPr>
          <w:rStyle w:val="27"/>
          <w:rFonts w:hint="eastAsia" w:ascii="宋体" w:hAnsi="宋体" w:cs="宋体"/>
          <w:color w:val="auto"/>
          <w:szCs w:val="21"/>
          <w:highlight w:val="none"/>
        </w:rPr>
        <w:t xml:space="preserve"> ；</w:t>
      </w:r>
    </w:p>
    <w:p w14:paraId="3C623AC4">
      <w:pPr>
        <w:pStyle w:val="49"/>
        <w:bidi w:val="0"/>
        <w:spacing w:line="360" w:lineRule="auto"/>
        <w:rPr>
          <w:rStyle w:val="27"/>
          <w:rFonts w:hint="eastAsia" w:ascii="宋体" w:hAnsi="宋体" w:cs="宋体"/>
          <w:color w:val="auto"/>
          <w:szCs w:val="21"/>
          <w:highlight w:val="none"/>
        </w:rPr>
      </w:pPr>
      <w:r>
        <w:rPr>
          <w:rStyle w:val="27"/>
          <w:rFonts w:hint="eastAsia" w:ascii="宋体" w:hAnsi="宋体" w:cs="宋体"/>
          <w:color w:val="auto"/>
          <w:szCs w:val="21"/>
          <w:highlight w:val="none"/>
        </w:rPr>
        <w:t>承包人提供的文件的期限为：</w:t>
      </w:r>
      <w:r>
        <w:rPr>
          <w:rStyle w:val="27"/>
          <w:rFonts w:hint="eastAsia" w:ascii="宋体" w:hAnsi="宋体" w:cs="宋体"/>
          <w:color w:val="auto"/>
          <w:szCs w:val="21"/>
          <w:highlight w:val="none"/>
          <w:u w:val="single"/>
        </w:rPr>
        <w:t xml:space="preserve">        </w:t>
      </w:r>
      <w:r>
        <w:rPr>
          <w:rStyle w:val="27"/>
          <w:rFonts w:hint="eastAsia" w:ascii="宋体" w:hAnsi="宋体" w:cs="宋体"/>
          <w:color w:val="auto"/>
          <w:szCs w:val="21"/>
          <w:highlight w:val="none"/>
          <w:u w:val="single"/>
          <w:lang w:val="en-US" w:eastAsia="zh-CN"/>
        </w:rPr>
        <w:t xml:space="preserve">  </w:t>
      </w:r>
      <w:r>
        <w:rPr>
          <w:rStyle w:val="27"/>
          <w:rFonts w:hint="eastAsia" w:ascii="宋体" w:hAnsi="宋体" w:cs="宋体"/>
          <w:color w:val="auto"/>
          <w:szCs w:val="21"/>
          <w:highlight w:val="none"/>
          <w:u w:val="single"/>
        </w:rPr>
        <w:t xml:space="preserve">        </w:t>
      </w:r>
      <w:r>
        <w:rPr>
          <w:rStyle w:val="27"/>
          <w:rFonts w:hint="eastAsia" w:ascii="宋体" w:hAnsi="宋体" w:cs="宋体"/>
          <w:color w:val="auto"/>
          <w:szCs w:val="21"/>
          <w:highlight w:val="none"/>
        </w:rPr>
        <w:t xml:space="preserve">  ；</w:t>
      </w:r>
    </w:p>
    <w:p w14:paraId="40BF7E6F">
      <w:pPr>
        <w:pStyle w:val="49"/>
        <w:bidi w:val="0"/>
        <w:spacing w:line="360" w:lineRule="auto"/>
        <w:rPr>
          <w:rStyle w:val="27"/>
          <w:rFonts w:hint="eastAsia" w:ascii="宋体" w:hAnsi="宋体" w:cs="宋体"/>
          <w:color w:val="auto"/>
          <w:szCs w:val="21"/>
          <w:highlight w:val="none"/>
        </w:rPr>
      </w:pPr>
      <w:r>
        <w:rPr>
          <w:rStyle w:val="27"/>
          <w:rFonts w:hint="eastAsia" w:ascii="宋体" w:hAnsi="宋体" w:cs="宋体"/>
          <w:color w:val="auto"/>
          <w:szCs w:val="21"/>
          <w:highlight w:val="none"/>
        </w:rPr>
        <w:t>承包人提供的文件的数量为：</w:t>
      </w:r>
      <w:r>
        <w:rPr>
          <w:rStyle w:val="27"/>
          <w:rFonts w:hint="eastAsia" w:ascii="宋体" w:hAnsi="宋体" w:cs="宋体"/>
          <w:color w:val="auto"/>
          <w:szCs w:val="21"/>
          <w:highlight w:val="none"/>
          <w:u w:val="single"/>
        </w:rPr>
        <w:t xml:space="preserve">  </w:t>
      </w:r>
      <w:r>
        <w:rPr>
          <w:rStyle w:val="27"/>
          <w:rFonts w:hint="eastAsia" w:ascii="宋体" w:hAnsi="宋体" w:cs="宋体"/>
          <w:color w:val="auto"/>
          <w:szCs w:val="21"/>
          <w:highlight w:val="none"/>
          <w:u w:val="single"/>
          <w:lang w:val="en-US" w:eastAsia="zh-CN"/>
        </w:rPr>
        <w:t xml:space="preserve">     </w:t>
      </w:r>
      <w:r>
        <w:rPr>
          <w:rStyle w:val="27"/>
          <w:rFonts w:hint="eastAsia" w:ascii="宋体" w:hAnsi="宋体" w:cs="宋体"/>
          <w:color w:val="auto"/>
          <w:szCs w:val="21"/>
          <w:highlight w:val="none"/>
          <w:u w:val="single"/>
        </w:rPr>
        <w:t xml:space="preserve">   </w:t>
      </w:r>
      <w:r>
        <w:rPr>
          <w:rStyle w:val="27"/>
          <w:rFonts w:hint="eastAsia" w:ascii="宋体" w:hAnsi="宋体" w:cs="宋体"/>
          <w:color w:val="auto"/>
          <w:szCs w:val="21"/>
          <w:highlight w:val="none"/>
        </w:rPr>
        <w:t xml:space="preserve"> ；</w:t>
      </w:r>
    </w:p>
    <w:p w14:paraId="7EEC46AA">
      <w:pPr>
        <w:pStyle w:val="49"/>
        <w:bidi w:val="0"/>
        <w:spacing w:line="360" w:lineRule="auto"/>
        <w:rPr>
          <w:rStyle w:val="27"/>
          <w:rFonts w:hint="eastAsia" w:ascii="宋体" w:hAnsi="宋体" w:cs="宋体"/>
          <w:color w:val="auto"/>
          <w:szCs w:val="21"/>
          <w:highlight w:val="none"/>
        </w:rPr>
      </w:pPr>
      <w:r>
        <w:rPr>
          <w:rStyle w:val="27"/>
          <w:rFonts w:hint="eastAsia" w:ascii="宋体" w:hAnsi="宋体" w:cs="宋体"/>
          <w:color w:val="auto"/>
          <w:szCs w:val="21"/>
          <w:highlight w:val="none"/>
        </w:rPr>
        <w:t>承包人提供的文件的形式为：</w:t>
      </w:r>
      <w:r>
        <w:rPr>
          <w:rStyle w:val="27"/>
          <w:rFonts w:hint="eastAsia" w:ascii="宋体" w:hAnsi="宋体" w:cs="宋体"/>
          <w:color w:val="auto"/>
          <w:szCs w:val="21"/>
          <w:highlight w:val="none"/>
          <w:u w:val="single"/>
        </w:rPr>
        <w:t xml:space="preserve"> 纸质或电子版本   </w:t>
      </w:r>
      <w:r>
        <w:rPr>
          <w:rStyle w:val="27"/>
          <w:rFonts w:hint="eastAsia" w:ascii="宋体" w:hAnsi="宋体" w:cs="宋体"/>
          <w:color w:val="auto"/>
          <w:szCs w:val="21"/>
          <w:highlight w:val="none"/>
        </w:rPr>
        <w:t xml:space="preserve"> ；</w:t>
      </w:r>
    </w:p>
    <w:p w14:paraId="02873B60">
      <w:pPr>
        <w:pStyle w:val="49"/>
        <w:bidi w:val="0"/>
        <w:spacing w:line="360" w:lineRule="auto"/>
        <w:rPr>
          <w:rStyle w:val="27"/>
          <w:rFonts w:hint="eastAsia" w:ascii="宋体" w:hAnsi="宋体" w:cs="宋体"/>
          <w:color w:val="auto"/>
          <w:szCs w:val="21"/>
          <w:highlight w:val="none"/>
        </w:rPr>
      </w:pPr>
      <w:r>
        <w:rPr>
          <w:rStyle w:val="27"/>
          <w:rFonts w:hint="eastAsia" w:ascii="宋体" w:hAnsi="宋体" w:cs="宋体"/>
          <w:color w:val="auto"/>
          <w:szCs w:val="21"/>
          <w:highlight w:val="none"/>
        </w:rPr>
        <w:t>发包人审批承包人文件的期限：</w:t>
      </w:r>
      <w:r>
        <w:rPr>
          <w:rStyle w:val="27"/>
          <w:rFonts w:hint="eastAsia" w:ascii="宋体" w:hAnsi="宋体" w:cs="宋体"/>
          <w:color w:val="auto"/>
          <w:szCs w:val="21"/>
          <w:highlight w:val="none"/>
          <w:u w:val="single"/>
        </w:rPr>
        <w:t xml:space="preserve">        </w:t>
      </w:r>
      <w:r>
        <w:rPr>
          <w:rStyle w:val="27"/>
          <w:rFonts w:hint="eastAsia" w:ascii="宋体" w:hAnsi="宋体" w:cs="宋体"/>
          <w:color w:val="auto"/>
          <w:szCs w:val="21"/>
          <w:highlight w:val="none"/>
          <w:u w:val="single"/>
          <w:lang w:val="en-US" w:eastAsia="zh-CN"/>
        </w:rPr>
        <w:t xml:space="preserve">  </w:t>
      </w:r>
      <w:r>
        <w:rPr>
          <w:rStyle w:val="27"/>
          <w:rFonts w:hint="eastAsia" w:ascii="宋体" w:hAnsi="宋体" w:cs="宋体"/>
          <w:color w:val="auto"/>
          <w:szCs w:val="21"/>
          <w:highlight w:val="none"/>
          <w:u w:val="single"/>
        </w:rPr>
        <w:t xml:space="preserve">           </w:t>
      </w:r>
      <w:r>
        <w:rPr>
          <w:rStyle w:val="27"/>
          <w:rFonts w:hint="eastAsia" w:ascii="宋体" w:hAnsi="宋体" w:cs="宋体"/>
          <w:color w:val="auto"/>
          <w:szCs w:val="21"/>
          <w:highlight w:val="none"/>
        </w:rPr>
        <w:t>。</w:t>
      </w:r>
    </w:p>
    <w:p w14:paraId="2C1382F3">
      <w:pPr>
        <w:spacing w:line="360" w:lineRule="auto"/>
        <w:ind w:firstLine="420" w:firstLineChars="200"/>
        <w:rPr>
          <w:color w:val="auto"/>
          <w:highlight w:val="none"/>
        </w:rPr>
      </w:pPr>
      <w:r>
        <w:rPr>
          <w:color w:val="auto"/>
          <w:highlight w:val="none"/>
        </w:rPr>
        <w:t xml:space="preserve">1.6.5 </w:t>
      </w:r>
      <w:r>
        <w:rPr>
          <w:rFonts w:hint="eastAsia" w:hAnsi="宋体" w:cs="宋体"/>
          <w:color w:val="auto"/>
          <w:highlight w:val="none"/>
        </w:rPr>
        <w:t>现场图纸准备</w:t>
      </w:r>
    </w:p>
    <w:p w14:paraId="6A8C1AE4">
      <w:pPr>
        <w:spacing w:line="360" w:lineRule="auto"/>
        <w:ind w:firstLine="420" w:firstLineChars="200"/>
        <w:rPr>
          <w:color w:val="auto"/>
          <w:highlight w:val="none"/>
        </w:rPr>
      </w:pPr>
      <w:r>
        <w:rPr>
          <w:rFonts w:hint="eastAsia" w:hAnsi="宋体" w:cs="宋体"/>
          <w:color w:val="auto"/>
          <w:highlight w:val="none"/>
        </w:rPr>
        <w:t>关于现场图纸准备的约定：</w:t>
      </w:r>
      <w:r>
        <w:rPr>
          <w:rFonts w:hint="eastAsia" w:hAnsi="宋体" w:cs="宋体"/>
          <w:color w:val="auto"/>
          <w:highlight w:val="none"/>
          <w:u w:val="single"/>
        </w:rPr>
        <w:t xml:space="preserve">在承包人提供文件后三天内审定完毕，如有重大异议必须在收到上述资料之日起五个工作日内以书面形式送达承包人，逾期不确认也不提出书面意见的，视为同意 </w:t>
      </w:r>
      <w:r>
        <w:rPr>
          <w:rFonts w:hint="eastAsia" w:hAnsi="宋体" w:cs="宋体"/>
          <w:color w:val="auto"/>
          <w:highlight w:val="none"/>
        </w:rPr>
        <w:t>。</w:t>
      </w:r>
    </w:p>
    <w:p w14:paraId="4F2F4AF1">
      <w:pPr>
        <w:pStyle w:val="4"/>
        <w:rPr>
          <w:color w:val="auto"/>
          <w:highlight w:val="none"/>
        </w:rPr>
      </w:pPr>
      <w:bookmarkStart w:id="205" w:name="_Toc12819"/>
      <w:bookmarkStart w:id="206" w:name="_Toc373227698"/>
      <w:bookmarkStart w:id="207" w:name="_Toc389065264"/>
      <w:bookmarkStart w:id="208" w:name="_Toc373478345"/>
      <w:bookmarkStart w:id="209" w:name="_Toc407135200"/>
      <w:r>
        <w:rPr>
          <w:color w:val="auto"/>
          <w:highlight w:val="none"/>
        </w:rPr>
        <w:t xml:space="preserve">1.7 </w:t>
      </w:r>
      <w:r>
        <w:rPr>
          <w:rFonts w:hint="eastAsia" w:hAnsi="宋体" w:cs="黑体"/>
          <w:color w:val="auto"/>
          <w:highlight w:val="none"/>
        </w:rPr>
        <w:t>联络</w:t>
      </w:r>
      <w:bookmarkEnd w:id="205"/>
      <w:bookmarkEnd w:id="206"/>
      <w:bookmarkEnd w:id="207"/>
      <w:bookmarkEnd w:id="208"/>
      <w:bookmarkEnd w:id="209"/>
    </w:p>
    <w:p w14:paraId="1EAF5125">
      <w:pPr>
        <w:spacing w:line="360" w:lineRule="auto"/>
        <w:ind w:firstLine="420" w:firstLineChars="200"/>
        <w:rPr>
          <w:color w:val="auto"/>
          <w:kern w:val="0"/>
          <w:highlight w:val="none"/>
        </w:rPr>
      </w:pPr>
      <w:r>
        <w:rPr>
          <w:color w:val="auto"/>
          <w:kern w:val="0"/>
          <w:highlight w:val="none"/>
        </w:rPr>
        <w:t>1.7.1</w:t>
      </w:r>
      <w:r>
        <w:rPr>
          <w:rFonts w:hint="eastAsia" w:hAnsi="宋体" w:cs="宋体"/>
          <w:color w:val="auto"/>
          <w:kern w:val="0"/>
          <w:highlight w:val="none"/>
        </w:rPr>
        <w:t>发包人和承包人应当在</w:t>
      </w:r>
      <w:r>
        <w:rPr>
          <w:color w:val="auto"/>
          <w:highlight w:val="none"/>
          <w:u w:val="single"/>
        </w:rPr>
        <w:t xml:space="preserve">  </w:t>
      </w:r>
      <w:r>
        <w:rPr>
          <w:rFonts w:hint="eastAsia"/>
          <w:color w:val="auto"/>
          <w:highlight w:val="none"/>
          <w:u w:val="single"/>
        </w:rPr>
        <w:t>15</w:t>
      </w:r>
      <w:r>
        <w:rPr>
          <w:color w:val="auto"/>
          <w:highlight w:val="none"/>
          <w:u w:val="single"/>
        </w:rPr>
        <w:t xml:space="preserve">  </w:t>
      </w:r>
      <w:r>
        <w:rPr>
          <w:rFonts w:hint="eastAsia" w:hAnsi="宋体" w:cs="宋体"/>
          <w:color w:val="auto"/>
          <w:kern w:val="0"/>
          <w:highlight w:val="none"/>
        </w:rPr>
        <w:t>天内将与合同有关的通知、批准、证明、证书、指示、指令、要求、请求、同意、意见、确定和决定等书面函件送达对方当事人。</w:t>
      </w:r>
    </w:p>
    <w:p w14:paraId="370CDB15">
      <w:pPr>
        <w:spacing w:line="360" w:lineRule="auto"/>
        <w:ind w:firstLine="420" w:firstLineChars="200"/>
        <w:rPr>
          <w:color w:val="auto"/>
          <w:kern w:val="0"/>
          <w:highlight w:val="none"/>
        </w:rPr>
      </w:pPr>
      <w:r>
        <w:rPr>
          <w:color w:val="auto"/>
          <w:kern w:val="0"/>
          <w:highlight w:val="none"/>
        </w:rPr>
        <w:t xml:space="preserve">1.7.2 </w:t>
      </w:r>
      <w:r>
        <w:rPr>
          <w:rFonts w:hint="eastAsia" w:hAnsi="宋体" w:cs="宋体"/>
          <w:color w:val="auto"/>
          <w:kern w:val="0"/>
          <w:highlight w:val="none"/>
        </w:rPr>
        <w:t>发包人接收文件的地点：</w:t>
      </w:r>
      <w:r>
        <w:rPr>
          <w:rFonts w:hint="eastAsia" w:hAnsi="宋体" w:cs="宋体"/>
          <w:color w:val="auto"/>
          <w:kern w:val="0"/>
          <w:highlight w:val="none"/>
          <w:u w:val="single"/>
          <w:lang w:val="en-US" w:eastAsia="zh-CN"/>
        </w:rPr>
        <w:t>承</w:t>
      </w:r>
      <w:r>
        <w:rPr>
          <w:rFonts w:hint="eastAsia"/>
          <w:color w:val="auto"/>
          <w:highlight w:val="none"/>
          <w:u w:val="single"/>
        </w:rPr>
        <w:t xml:space="preserve">包人设于施工现场的办公室    </w:t>
      </w:r>
      <w:r>
        <w:rPr>
          <w:rFonts w:hint="eastAsia" w:hAnsi="宋体" w:cs="宋体"/>
          <w:color w:val="auto"/>
          <w:kern w:val="0"/>
          <w:highlight w:val="none"/>
        </w:rPr>
        <w:t>；</w:t>
      </w:r>
    </w:p>
    <w:p w14:paraId="72DF5436">
      <w:pPr>
        <w:spacing w:line="360" w:lineRule="auto"/>
        <w:ind w:firstLine="420" w:firstLineChars="200"/>
        <w:rPr>
          <w:color w:val="auto"/>
          <w:kern w:val="0"/>
          <w:highlight w:val="none"/>
        </w:rPr>
      </w:pPr>
      <w:r>
        <w:rPr>
          <w:rFonts w:hint="eastAsia" w:hAnsi="宋体" w:cs="宋体"/>
          <w:color w:val="auto"/>
          <w:kern w:val="0"/>
          <w:highlight w:val="none"/>
        </w:rPr>
        <w:t>发包人指定的接收人为：</w:t>
      </w:r>
      <w:r>
        <w:rPr>
          <w:rFonts w:hint="eastAsia"/>
          <w:color w:val="auto"/>
          <w:highlight w:val="none"/>
          <w:u w:val="single"/>
        </w:rPr>
        <w:t xml:space="preserve">发包人指派的项目负责人 </w:t>
      </w:r>
      <w:r>
        <w:rPr>
          <w:color w:val="auto"/>
          <w:highlight w:val="none"/>
          <w:u w:val="single"/>
        </w:rPr>
        <w:t xml:space="preserve">          </w:t>
      </w:r>
      <w:r>
        <w:rPr>
          <w:rFonts w:hint="eastAsia" w:hAnsi="宋体" w:cs="宋体"/>
          <w:color w:val="auto"/>
          <w:kern w:val="0"/>
          <w:highlight w:val="none"/>
        </w:rPr>
        <w:t>。</w:t>
      </w:r>
    </w:p>
    <w:p w14:paraId="4A8E24A5">
      <w:pPr>
        <w:spacing w:line="360" w:lineRule="auto"/>
        <w:ind w:firstLine="420" w:firstLineChars="200"/>
        <w:rPr>
          <w:color w:val="auto"/>
          <w:kern w:val="0"/>
          <w:highlight w:val="none"/>
        </w:rPr>
      </w:pPr>
      <w:r>
        <w:rPr>
          <w:rFonts w:hint="eastAsia" w:hAnsi="宋体" w:cs="宋体"/>
          <w:color w:val="auto"/>
          <w:kern w:val="0"/>
          <w:highlight w:val="none"/>
        </w:rPr>
        <w:t>承包人接收文件的地点：</w:t>
      </w:r>
      <w:r>
        <w:rPr>
          <w:rFonts w:hint="eastAsia"/>
          <w:color w:val="auto"/>
          <w:highlight w:val="none"/>
          <w:u w:val="single"/>
        </w:rPr>
        <w:t>承包人设于施工现场的办公室</w:t>
      </w:r>
      <w:r>
        <w:rPr>
          <w:color w:val="auto"/>
          <w:highlight w:val="none"/>
          <w:u w:val="single"/>
        </w:rPr>
        <w:t xml:space="preserve">  </w:t>
      </w:r>
      <w:r>
        <w:rPr>
          <w:rFonts w:hint="eastAsia"/>
          <w:color w:val="auto"/>
          <w:highlight w:val="none"/>
          <w:u w:val="single"/>
        </w:rPr>
        <w:t xml:space="preserve">     </w:t>
      </w:r>
      <w:r>
        <w:rPr>
          <w:rFonts w:hint="eastAsia" w:hAnsi="宋体" w:cs="宋体"/>
          <w:color w:val="auto"/>
          <w:kern w:val="0"/>
          <w:highlight w:val="none"/>
        </w:rPr>
        <w:t>；</w:t>
      </w:r>
    </w:p>
    <w:p w14:paraId="7B41BE26">
      <w:pPr>
        <w:spacing w:line="360" w:lineRule="auto"/>
        <w:ind w:firstLine="420" w:firstLineChars="200"/>
        <w:rPr>
          <w:color w:val="auto"/>
          <w:kern w:val="0"/>
          <w:highlight w:val="none"/>
        </w:rPr>
      </w:pPr>
      <w:r>
        <w:rPr>
          <w:rFonts w:hint="eastAsia" w:hAnsi="宋体" w:cs="宋体"/>
          <w:color w:val="auto"/>
          <w:kern w:val="0"/>
          <w:highlight w:val="none"/>
        </w:rPr>
        <w:t>承包人指定的接收人为：</w:t>
      </w:r>
      <w:r>
        <w:rPr>
          <w:color w:val="auto"/>
          <w:highlight w:val="none"/>
          <w:u w:val="single"/>
        </w:rPr>
        <w:t xml:space="preserve"> </w:t>
      </w:r>
      <w:r>
        <w:rPr>
          <w:rFonts w:hint="eastAsia"/>
          <w:color w:val="auto"/>
          <w:highlight w:val="none"/>
          <w:u w:val="single"/>
        </w:rPr>
        <w:t>承包人项目经理</w:t>
      </w:r>
      <w:r>
        <w:rPr>
          <w:rFonts w:hint="eastAsia"/>
          <w:color w:val="auto"/>
          <w:highlight w:val="none"/>
          <w:u w:val="single"/>
          <w:lang w:val="en-US"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4E887A30">
      <w:pPr>
        <w:spacing w:line="360" w:lineRule="auto"/>
        <w:ind w:firstLine="420" w:firstLineChars="200"/>
        <w:rPr>
          <w:color w:val="auto"/>
          <w:kern w:val="0"/>
          <w:highlight w:val="none"/>
        </w:rPr>
      </w:pPr>
      <w:r>
        <w:rPr>
          <w:rFonts w:hint="eastAsia" w:hAnsi="宋体" w:cs="宋体"/>
          <w:color w:val="auto"/>
          <w:kern w:val="0"/>
          <w:highlight w:val="none"/>
        </w:rPr>
        <w:t>监理人接收文件的地点：</w:t>
      </w:r>
      <w:r>
        <w:rPr>
          <w:rFonts w:hint="eastAsia"/>
          <w:color w:val="auto"/>
          <w:highlight w:val="none"/>
          <w:u w:val="single"/>
        </w:rPr>
        <w:t xml:space="preserve">监理人设于施工现场的办公室       </w:t>
      </w:r>
      <w:r>
        <w:rPr>
          <w:rFonts w:hint="eastAsia" w:hAnsi="宋体" w:cs="宋体"/>
          <w:color w:val="auto"/>
          <w:kern w:val="0"/>
          <w:highlight w:val="none"/>
        </w:rPr>
        <w:t>；</w:t>
      </w:r>
    </w:p>
    <w:p w14:paraId="592AB671">
      <w:pPr>
        <w:spacing w:line="360" w:lineRule="auto"/>
        <w:ind w:firstLine="420" w:firstLineChars="200"/>
        <w:rPr>
          <w:color w:val="auto"/>
          <w:kern w:val="0"/>
          <w:highlight w:val="none"/>
        </w:rPr>
      </w:pPr>
      <w:r>
        <w:rPr>
          <w:rFonts w:hint="eastAsia" w:hAnsi="宋体" w:cs="宋体"/>
          <w:color w:val="auto"/>
          <w:kern w:val="0"/>
          <w:highlight w:val="none"/>
        </w:rPr>
        <w:t>监理人指定的接收人为：</w:t>
      </w:r>
      <w:r>
        <w:rPr>
          <w:rFonts w:hint="eastAsia" w:hAnsi="宋体" w:cs="宋体"/>
          <w:color w:val="auto"/>
          <w:kern w:val="0"/>
          <w:highlight w:val="none"/>
          <w:u w:val="single"/>
        </w:rPr>
        <w:t>监理工程师</w:t>
      </w:r>
      <w:r>
        <w:rPr>
          <w:color w:val="auto"/>
          <w:highlight w:val="none"/>
          <w:u w:val="single"/>
        </w:rPr>
        <w:t xml:space="preserve">         </w:t>
      </w:r>
      <w:r>
        <w:rPr>
          <w:rFonts w:hint="eastAsia"/>
          <w:color w:val="auto"/>
          <w:highlight w:val="none"/>
          <w:u w:val="single"/>
        </w:rPr>
        <w:t xml:space="preserve">              </w:t>
      </w:r>
      <w:r>
        <w:rPr>
          <w:rFonts w:hint="eastAsia" w:hAnsi="宋体" w:cs="宋体"/>
          <w:color w:val="auto"/>
          <w:kern w:val="0"/>
          <w:highlight w:val="none"/>
        </w:rPr>
        <w:t>。</w:t>
      </w:r>
    </w:p>
    <w:p w14:paraId="7E66F0CD">
      <w:pPr>
        <w:pStyle w:val="4"/>
        <w:rPr>
          <w:color w:val="auto"/>
          <w:highlight w:val="none"/>
        </w:rPr>
      </w:pPr>
      <w:bookmarkStart w:id="210" w:name="_Toc389065265"/>
      <w:bookmarkStart w:id="211" w:name="_Toc5539"/>
      <w:bookmarkStart w:id="212" w:name="_Toc373227699"/>
      <w:bookmarkStart w:id="213" w:name="_Toc407135201"/>
      <w:bookmarkStart w:id="214" w:name="_Toc373478346"/>
      <w:r>
        <w:rPr>
          <w:color w:val="auto"/>
          <w:highlight w:val="none"/>
        </w:rPr>
        <w:t xml:space="preserve">1.10 </w:t>
      </w:r>
      <w:r>
        <w:rPr>
          <w:rFonts w:hint="eastAsia" w:hAnsi="宋体" w:cs="黑体"/>
          <w:color w:val="auto"/>
          <w:highlight w:val="none"/>
        </w:rPr>
        <w:t>交通运输</w:t>
      </w:r>
      <w:bookmarkEnd w:id="210"/>
      <w:bookmarkEnd w:id="211"/>
      <w:bookmarkEnd w:id="212"/>
      <w:bookmarkEnd w:id="213"/>
      <w:bookmarkEnd w:id="214"/>
    </w:p>
    <w:p w14:paraId="5807004D">
      <w:pPr>
        <w:spacing w:line="360" w:lineRule="auto"/>
        <w:ind w:firstLine="420" w:firstLineChars="200"/>
        <w:rPr>
          <w:color w:val="auto"/>
          <w:highlight w:val="none"/>
        </w:rPr>
      </w:pPr>
      <w:r>
        <w:rPr>
          <w:color w:val="auto"/>
          <w:highlight w:val="none"/>
        </w:rPr>
        <w:t>1</w:t>
      </w:r>
      <w:bookmarkStart w:id="215" w:name="_Toc300934943"/>
      <w:bookmarkStart w:id="216" w:name="_Toc312677986"/>
      <w:bookmarkStart w:id="217" w:name="_Toc303539100"/>
      <w:bookmarkStart w:id="218" w:name="_Toc304295521"/>
      <w:bookmarkStart w:id="219" w:name="_Toc318581155"/>
      <w:r>
        <w:rPr>
          <w:color w:val="auto"/>
          <w:highlight w:val="none"/>
        </w:rPr>
        <w:t xml:space="preserve">.10.1 </w:t>
      </w:r>
      <w:r>
        <w:rPr>
          <w:rFonts w:hint="eastAsia" w:hAnsi="宋体" w:cs="宋体"/>
          <w:color w:val="auto"/>
          <w:highlight w:val="none"/>
        </w:rPr>
        <w:t>出入现场的权利</w:t>
      </w:r>
    </w:p>
    <w:p w14:paraId="2439F644">
      <w:pPr>
        <w:spacing w:line="360" w:lineRule="auto"/>
        <w:ind w:firstLine="420" w:firstLineChars="200"/>
        <w:rPr>
          <w:color w:val="auto"/>
          <w:highlight w:val="none"/>
          <w:u w:val="single"/>
        </w:rPr>
      </w:pPr>
      <w:r>
        <w:rPr>
          <w:rFonts w:hint="eastAsia" w:hAnsi="宋体" w:cs="宋体"/>
          <w:color w:val="auto"/>
          <w:highlight w:val="none"/>
        </w:rPr>
        <w:t>关于出入现场的权利的约定：</w:t>
      </w:r>
      <w:r>
        <w:rPr>
          <w:color w:val="auto"/>
          <w:highlight w:val="none"/>
          <w:u w:val="single"/>
        </w:rPr>
        <w:t xml:space="preserve"> </w:t>
      </w:r>
      <w:r>
        <w:rPr>
          <w:rFonts w:hint="eastAsia"/>
          <w:color w:val="auto"/>
          <w:highlight w:val="none"/>
          <w:u w:val="single"/>
        </w:rPr>
        <w:t>发包人应根据施工需要，负责取得出入施工现场所需的批准手续和全部权利</w:t>
      </w:r>
      <w:r>
        <w:rPr>
          <w:rFonts w:hint="eastAsia" w:hAnsi="宋体" w:cs="宋体"/>
          <w:color w:val="auto"/>
          <w:highlight w:val="none"/>
        </w:rPr>
        <w:t>。</w:t>
      </w:r>
    </w:p>
    <w:bookmarkEnd w:id="215"/>
    <w:bookmarkEnd w:id="216"/>
    <w:bookmarkEnd w:id="217"/>
    <w:bookmarkEnd w:id="218"/>
    <w:bookmarkEnd w:id="219"/>
    <w:p w14:paraId="5B757AFF">
      <w:pPr>
        <w:spacing w:line="360" w:lineRule="auto"/>
        <w:ind w:firstLine="420" w:firstLineChars="200"/>
        <w:jc w:val="left"/>
        <w:rPr>
          <w:color w:val="auto"/>
          <w:highlight w:val="none"/>
        </w:rPr>
      </w:pPr>
      <w:r>
        <w:rPr>
          <w:color w:val="auto"/>
          <w:highlight w:val="none"/>
        </w:rPr>
        <w:t>1</w:t>
      </w:r>
      <w:bookmarkStart w:id="220" w:name="_Toc318581156"/>
      <w:bookmarkStart w:id="221" w:name="_Toc300934944"/>
      <w:bookmarkStart w:id="222" w:name="_Toc312677987"/>
      <w:bookmarkStart w:id="223" w:name="_Toc303539101"/>
      <w:bookmarkStart w:id="224" w:name="_Toc304295522"/>
      <w:r>
        <w:rPr>
          <w:color w:val="auto"/>
          <w:highlight w:val="none"/>
        </w:rPr>
        <w:t xml:space="preserve">.10.3 </w:t>
      </w:r>
      <w:r>
        <w:rPr>
          <w:rFonts w:hint="eastAsia" w:hAnsi="宋体" w:cs="宋体"/>
          <w:color w:val="auto"/>
          <w:highlight w:val="none"/>
        </w:rPr>
        <w:t>场内交通</w:t>
      </w:r>
    </w:p>
    <w:p w14:paraId="43D87990">
      <w:pPr>
        <w:spacing w:line="360" w:lineRule="auto"/>
        <w:ind w:firstLine="420" w:firstLineChars="200"/>
        <w:jc w:val="left"/>
        <w:rPr>
          <w:rFonts w:hint="eastAsia" w:hAnsi="宋体" w:cs="宋体"/>
          <w:color w:val="auto"/>
          <w:highlight w:val="none"/>
        </w:rPr>
      </w:pPr>
      <w:r>
        <w:rPr>
          <w:rFonts w:hint="eastAsia" w:hAnsi="宋体" w:cs="宋体"/>
          <w:color w:val="auto"/>
          <w:kern w:val="0"/>
          <w:highlight w:val="none"/>
        </w:rPr>
        <w:t>关于场外交通和场内交通的边界的约定：</w:t>
      </w:r>
      <w:r>
        <w:rPr>
          <w:color w:val="auto"/>
          <w:highlight w:val="none"/>
          <w:u w:val="single"/>
        </w:rPr>
        <w:t xml:space="preserve"> </w:t>
      </w:r>
      <w:r>
        <w:rPr>
          <w:rStyle w:val="27"/>
          <w:rFonts w:hint="eastAsia" w:ascii="宋体" w:hAnsi="宋体" w:cs="宋体"/>
          <w:color w:val="auto"/>
          <w:szCs w:val="21"/>
          <w:highlight w:val="none"/>
          <w:u w:val="single"/>
        </w:rPr>
        <w:t>原则上以工程施工红线界定</w:t>
      </w:r>
      <w:r>
        <w:rPr>
          <w:rStyle w:val="27"/>
          <w:rFonts w:hint="eastAsia" w:ascii="宋体" w:hAnsi="宋体" w:cs="宋体"/>
          <w:color w:val="auto"/>
          <w:szCs w:val="21"/>
          <w:highlight w:val="none"/>
          <w:u w:val="single"/>
          <w:lang w:val="en-US" w:eastAsia="zh-CN"/>
        </w:rPr>
        <w:t xml:space="preserve">   </w:t>
      </w:r>
      <w:r>
        <w:rPr>
          <w:rFonts w:hint="eastAsia" w:hAnsi="宋体" w:cs="宋体"/>
          <w:color w:val="auto"/>
          <w:highlight w:val="none"/>
        </w:rPr>
        <w:t>。</w:t>
      </w:r>
    </w:p>
    <w:bookmarkEnd w:id="220"/>
    <w:bookmarkEnd w:id="221"/>
    <w:bookmarkEnd w:id="222"/>
    <w:bookmarkEnd w:id="223"/>
    <w:bookmarkEnd w:id="224"/>
    <w:p w14:paraId="4071EBC3">
      <w:pPr>
        <w:spacing w:line="360" w:lineRule="auto"/>
        <w:ind w:firstLine="420" w:firstLineChars="200"/>
        <w:jc w:val="left"/>
        <w:rPr>
          <w:rStyle w:val="27"/>
          <w:rFonts w:hint="eastAsia" w:ascii="宋体" w:hAnsi="宋体" w:cs="宋体"/>
          <w:color w:val="auto"/>
          <w:szCs w:val="21"/>
          <w:highlight w:val="none"/>
        </w:rPr>
      </w:pPr>
      <w:bookmarkStart w:id="225" w:name="_Toc318581157"/>
      <w:r>
        <w:rPr>
          <w:rStyle w:val="27"/>
          <w:rFonts w:hint="eastAsia" w:ascii="宋体" w:hAnsi="宋体" w:cs="宋体"/>
          <w:color w:val="auto"/>
          <w:szCs w:val="21"/>
          <w:highlight w:val="none"/>
        </w:rPr>
        <w:t xml:space="preserve">关于发包人向承包人免费提供满足工程施工需要的场内道路和交通设施的约定：  </w:t>
      </w:r>
      <w:r>
        <w:rPr>
          <w:rStyle w:val="27"/>
          <w:rFonts w:hint="eastAsia" w:ascii="宋体" w:hAnsi="宋体" w:cs="宋体"/>
          <w:color w:val="auto"/>
          <w:szCs w:val="21"/>
          <w:highlight w:val="none"/>
          <w:u w:val="single"/>
        </w:rPr>
        <w:t xml:space="preserve">由承包人根据现场实际自行考虑，费用自理  </w:t>
      </w:r>
      <w:r>
        <w:rPr>
          <w:rStyle w:val="27"/>
          <w:rFonts w:hint="eastAsia" w:ascii="宋体" w:hAnsi="宋体" w:cs="宋体"/>
          <w:color w:val="auto"/>
          <w:szCs w:val="21"/>
          <w:highlight w:val="none"/>
          <w:u w:val="single"/>
          <w:lang w:eastAsia="zh-CN"/>
        </w:rPr>
        <w:t>。</w:t>
      </w:r>
      <w:r>
        <w:rPr>
          <w:rStyle w:val="27"/>
          <w:rFonts w:hint="eastAsia" w:ascii="宋体" w:hAnsi="宋体" w:cs="宋体"/>
          <w:color w:val="auto"/>
          <w:szCs w:val="21"/>
          <w:highlight w:val="none"/>
        </w:rPr>
        <w:t xml:space="preserve"> </w:t>
      </w:r>
    </w:p>
    <w:p w14:paraId="57FF40DE">
      <w:pPr>
        <w:spacing w:line="360" w:lineRule="auto"/>
        <w:ind w:firstLine="420" w:firstLineChars="200"/>
        <w:jc w:val="left"/>
        <w:rPr>
          <w:color w:val="auto"/>
          <w:highlight w:val="none"/>
        </w:rPr>
      </w:pPr>
      <w:r>
        <w:rPr>
          <w:color w:val="auto"/>
          <w:highlight w:val="none"/>
        </w:rPr>
        <w:t xml:space="preserve">1.10.4 </w:t>
      </w:r>
      <w:r>
        <w:rPr>
          <w:rFonts w:hint="eastAsia" w:hAnsi="宋体" w:cs="宋体"/>
          <w:color w:val="auto"/>
          <w:highlight w:val="none"/>
        </w:rPr>
        <w:t>超大件和超重件的运输</w:t>
      </w:r>
    </w:p>
    <w:p w14:paraId="09EC8C4F">
      <w:pPr>
        <w:spacing w:line="360" w:lineRule="auto"/>
        <w:ind w:firstLine="420" w:firstLineChars="200"/>
        <w:jc w:val="left"/>
        <w:rPr>
          <w:color w:val="auto"/>
          <w:highlight w:val="none"/>
          <w:u w:val="single"/>
        </w:rPr>
      </w:pPr>
      <w:r>
        <w:rPr>
          <w:rFonts w:hint="eastAsia" w:hAnsi="宋体" w:cs="宋体"/>
          <w:color w:val="auto"/>
          <w:highlight w:val="none"/>
        </w:rPr>
        <w:t>运输超大件或超重件所需的道路和桥梁临时加固改造费用和其他有关费用由</w:t>
      </w:r>
      <w:r>
        <w:rPr>
          <w:color w:val="auto"/>
          <w:highlight w:val="none"/>
          <w:u w:val="single"/>
        </w:rPr>
        <w:t xml:space="preserve"> </w:t>
      </w:r>
      <w:r>
        <w:rPr>
          <w:rFonts w:hint="eastAsia"/>
          <w:color w:val="auto"/>
          <w:highlight w:val="none"/>
          <w:u w:val="single"/>
          <w:lang w:val="en-US" w:eastAsia="zh-CN"/>
        </w:rPr>
        <w:t>承</w:t>
      </w:r>
      <w:r>
        <w:rPr>
          <w:rFonts w:hint="eastAsia"/>
          <w:color w:val="auto"/>
          <w:highlight w:val="none"/>
          <w:u w:val="single"/>
        </w:rPr>
        <w:t>包人</w:t>
      </w:r>
      <w:r>
        <w:rPr>
          <w:color w:val="auto"/>
          <w:highlight w:val="none"/>
          <w:u w:val="single"/>
        </w:rPr>
        <w:t xml:space="preserve"> </w:t>
      </w:r>
      <w:r>
        <w:rPr>
          <w:rFonts w:hint="eastAsia" w:hAnsi="宋体" w:cs="宋体"/>
          <w:color w:val="auto"/>
          <w:highlight w:val="none"/>
        </w:rPr>
        <w:t>承担。</w:t>
      </w:r>
    </w:p>
    <w:bookmarkEnd w:id="225"/>
    <w:p w14:paraId="3F190049">
      <w:pPr>
        <w:pStyle w:val="4"/>
        <w:rPr>
          <w:color w:val="auto"/>
          <w:highlight w:val="none"/>
        </w:rPr>
      </w:pPr>
      <w:bookmarkStart w:id="226" w:name="_Toc373227700"/>
      <w:bookmarkStart w:id="227" w:name="_Toc389065266"/>
      <w:bookmarkStart w:id="228" w:name="_Toc373478347"/>
      <w:bookmarkStart w:id="229" w:name="_Toc20972"/>
      <w:bookmarkStart w:id="230" w:name="_Toc407135202"/>
      <w:r>
        <w:rPr>
          <w:color w:val="auto"/>
          <w:highlight w:val="none"/>
        </w:rPr>
        <w:t xml:space="preserve">1.11 </w:t>
      </w:r>
      <w:r>
        <w:rPr>
          <w:rFonts w:hint="eastAsia" w:hAnsi="宋体" w:cs="黑体"/>
          <w:color w:val="auto"/>
          <w:highlight w:val="none"/>
        </w:rPr>
        <w:t>知识产权</w:t>
      </w:r>
      <w:bookmarkEnd w:id="226"/>
      <w:bookmarkEnd w:id="227"/>
      <w:bookmarkEnd w:id="228"/>
      <w:bookmarkEnd w:id="229"/>
      <w:bookmarkEnd w:id="230"/>
    </w:p>
    <w:p w14:paraId="744A6780">
      <w:pPr>
        <w:spacing w:line="360" w:lineRule="auto"/>
        <w:ind w:firstLine="420" w:firstLineChars="200"/>
        <w:rPr>
          <w:rFonts w:hint="eastAsia"/>
          <w:color w:val="auto"/>
          <w:highlight w:val="none"/>
          <w:u w:val="single"/>
        </w:rPr>
      </w:pPr>
      <w:r>
        <w:rPr>
          <w:color w:val="auto"/>
          <w:highlight w:val="none"/>
        </w:rPr>
        <w:t xml:space="preserve">1.11.1 </w:t>
      </w:r>
      <w:r>
        <w:rPr>
          <w:rFonts w:hint="eastAsia" w:hAnsi="宋体" w:cs="宋体"/>
          <w:color w:val="auto"/>
          <w:highlight w:val="none"/>
        </w:rPr>
        <w:t>关于发包人提供给承包人的图纸、发包人为实施工程自行编制或委托编制的技术规范以及反映发包人关于合同要求或其他类似性质的文件的著作权的归属：</w:t>
      </w:r>
      <w:r>
        <w:rPr>
          <w:rFonts w:hint="eastAsia"/>
          <w:color w:val="auto"/>
          <w:highlight w:val="none"/>
          <w:u w:val="single"/>
        </w:rPr>
        <w:t>发包人提供给承包</w:t>
      </w:r>
    </w:p>
    <w:p w14:paraId="7586125D">
      <w:pPr>
        <w:spacing w:line="360" w:lineRule="auto"/>
        <w:rPr>
          <w:color w:val="auto"/>
          <w:highlight w:val="none"/>
        </w:rPr>
      </w:pPr>
      <w:r>
        <w:rPr>
          <w:rFonts w:hint="eastAsia"/>
          <w:color w:val="auto"/>
          <w:highlight w:val="none"/>
          <w:u w:val="single"/>
        </w:rPr>
        <w:t xml:space="preserve">人的图纸、发包人为实施工程自行编制或委托编制的技术规范以及反映发包人要求的或其他类似性质的文件的著作权属于发包人，承包人可以为实现合同目的而复制、使用此类文件，但不能用于与合同无关的其他事项 </w:t>
      </w:r>
      <w:r>
        <w:rPr>
          <w:rFonts w:hint="eastAsia" w:hAnsi="宋体" w:cs="宋体"/>
          <w:color w:val="auto"/>
          <w:highlight w:val="none"/>
        </w:rPr>
        <w:t>。</w:t>
      </w:r>
    </w:p>
    <w:p w14:paraId="591B6836">
      <w:pPr>
        <w:spacing w:line="360" w:lineRule="auto"/>
        <w:ind w:firstLine="420" w:firstLineChars="200"/>
        <w:rPr>
          <w:color w:val="auto"/>
          <w:highlight w:val="none"/>
        </w:rPr>
      </w:pPr>
      <w:r>
        <w:rPr>
          <w:rFonts w:hint="eastAsia" w:hAnsi="宋体" w:cs="宋体"/>
          <w:color w:val="auto"/>
          <w:highlight w:val="none"/>
        </w:rPr>
        <w:t>关于发包人提供的上述文件的使用限制的要求：</w:t>
      </w:r>
      <w:r>
        <w:rPr>
          <w:color w:val="auto"/>
          <w:highlight w:val="none"/>
          <w:u w:val="single"/>
        </w:rPr>
        <w:t xml:space="preserve"> </w:t>
      </w:r>
      <w:r>
        <w:rPr>
          <w:rFonts w:hint="eastAsia"/>
          <w:color w:val="auto"/>
          <w:highlight w:val="none"/>
          <w:u w:val="single"/>
        </w:rPr>
        <w:t>未经发包人书面同意，承包人不得为了合同以外的目的而复制、使用上述文件或将之提供给任何第三方</w:t>
      </w:r>
      <w:r>
        <w:rPr>
          <w:color w:val="auto"/>
          <w:highlight w:val="none"/>
          <w:u w:val="single"/>
        </w:rPr>
        <w:t xml:space="preserve"> </w:t>
      </w:r>
      <w:r>
        <w:rPr>
          <w:rFonts w:hint="eastAsia" w:hAnsi="宋体" w:cs="宋体"/>
          <w:color w:val="auto"/>
          <w:highlight w:val="none"/>
        </w:rPr>
        <w:t>。</w:t>
      </w:r>
    </w:p>
    <w:p w14:paraId="177DB805">
      <w:pPr>
        <w:spacing w:line="360" w:lineRule="auto"/>
        <w:ind w:firstLine="420" w:firstLineChars="200"/>
        <w:rPr>
          <w:color w:val="auto"/>
          <w:highlight w:val="none"/>
        </w:rPr>
      </w:pPr>
      <w:r>
        <w:rPr>
          <w:color w:val="auto"/>
          <w:highlight w:val="none"/>
        </w:rPr>
        <w:t xml:space="preserve">1.11.2 </w:t>
      </w:r>
      <w:r>
        <w:rPr>
          <w:rFonts w:hint="eastAsia" w:hAnsi="宋体" w:cs="宋体"/>
          <w:color w:val="auto"/>
          <w:highlight w:val="none"/>
        </w:rPr>
        <w:t>关于承包人为实施工程所编制文件的著作权的归属：</w:t>
      </w:r>
      <w:r>
        <w:rPr>
          <w:rFonts w:hint="eastAsia"/>
          <w:color w:val="auto"/>
          <w:highlight w:val="none"/>
          <w:u w:val="single"/>
        </w:rPr>
        <w:t>承包人为实施工程所编制的文件，除署名权以外的著作权属于发包人，承包人可因实施工程的运行、调试、维修、改造等目的而复制、使用此类文件，但不能用于与合同无关的其他事项</w:t>
      </w:r>
      <w:r>
        <w:rPr>
          <w:color w:val="auto"/>
          <w:highlight w:val="none"/>
          <w:u w:val="single"/>
        </w:rPr>
        <w:t xml:space="preserve">  </w:t>
      </w:r>
      <w:r>
        <w:rPr>
          <w:rFonts w:hint="eastAsia" w:hAnsi="宋体" w:cs="宋体"/>
          <w:color w:val="auto"/>
          <w:highlight w:val="none"/>
        </w:rPr>
        <w:t>。</w:t>
      </w:r>
    </w:p>
    <w:p w14:paraId="0A3B0CBD">
      <w:pPr>
        <w:spacing w:line="360" w:lineRule="auto"/>
        <w:ind w:firstLine="420" w:firstLineChars="200"/>
        <w:rPr>
          <w:color w:val="auto"/>
          <w:highlight w:val="none"/>
          <w:u w:val="single"/>
        </w:rPr>
      </w:pPr>
      <w:r>
        <w:rPr>
          <w:rFonts w:hint="eastAsia" w:hAnsi="宋体" w:cs="宋体"/>
          <w:color w:val="auto"/>
          <w:highlight w:val="none"/>
        </w:rPr>
        <w:t>关于承包人提供的上述文件的使用限制的要求：</w:t>
      </w:r>
      <w:r>
        <w:rPr>
          <w:color w:val="auto"/>
          <w:highlight w:val="none"/>
          <w:u w:val="single"/>
        </w:rPr>
        <w:t xml:space="preserve"> </w:t>
      </w:r>
      <w:r>
        <w:rPr>
          <w:rFonts w:hint="eastAsia"/>
          <w:color w:val="auto"/>
          <w:highlight w:val="none"/>
          <w:u w:val="single"/>
        </w:rPr>
        <w:t xml:space="preserve">未经发包人书面同意，承包人不得为了合同以外的目的而复制、使用上述文件或将之提供给任何第三方 </w:t>
      </w:r>
      <w:r>
        <w:rPr>
          <w:rFonts w:hint="eastAsia" w:hAnsi="宋体" w:cs="宋体"/>
          <w:color w:val="auto"/>
          <w:highlight w:val="none"/>
        </w:rPr>
        <w:t>。</w:t>
      </w:r>
    </w:p>
    <w:p w14:paraId="467BE06A">
      <w:pPr>
        <w:spacing w:line="360" w:lineRule="auto"/>
        <w:ind w:firstLine="420" w:firstLineChars="200"/>
        <w:rPr>
          <w:color w:val="auto"/>
          <w:kern w:val="0"/>
          <w:highlight w:val="none"/>
        </w:rPr>
      </w:pPr>
      <w:r>
        <w:rPr>
          <w:color w:val="auto"/>
          <w:highlight w:val="none"/>
        </w:rPr>
        <w:t xml:space="preserve">1.11.4 </w:t>
      </w:r>
      <w:r>
        <w:rPr>
          <w:rFonts w:hint="eastAsia" w:hAnsi="宋体" w:cs="宋体"/>
          <w:color w:val="auto"/>
          <w:highlight w:val="none"/>
        </w:rPr>
        <w:t>承包人在施工过程中所采用的专利、专有技术、技术秘密的使用费的承担方式：</w:t>
      </w:r>
      <w:r>
        <w:rPr>
          <w:rFonts w:hint="eastAsia"/>
          <w:color w:val="auto"/>
          <w:highlight w:val="none"/>
          <w:u w:val="single"/>
        </w:rPr>
        <w:t xml:space="preserve">承包人在合同签订前和签订时已确定采用的专利、专有技术、技术秘密的使用费已包含在签约合同价中 </w:t>
      </w:r>
      <w:r>
        <w:rPr>
          <w:rFonts w:hint="eastAsia" w:hAnsi="宋体" w:cs="宋体"/>
          <w:color w:val="auto"/>
          <w:kern w:val="0"/>
          <w:highlight w:val="none"/>
        </w:rPr>
        <w:t>。</w:t>
      </w:r>
    </w:p>
    <w:p w14:paraId="238614BA">
      <w:pPr>
        <w:pStyle w:val="4"/>
        <w:rPr>
          <w:color w:val="auto"/>
          <w:highlight w:val="none"/>
        </w:rPr>
      </w:pPr>
      <w:bookmarkStart w:id="231" w:name="_Toc407135203"/>
      <w:bookmarkStart w:id="232" w:name="_Toc373478348"/>
      <w:bookmarkStart w:id="233" w:name="_Toc373227701"/>
      <w:bookmarkStart w:id="234" w:name="_Toc29903"/>
      <w:bookmarkStart w:id="235" w:name="_Toc389065267"/>
      <w:r>
        <w:rPr>
          <w:color w:val="auto"/>
          <w:highlight w:val="none"/>
        </w:rPr>
        <w:t>1.13</w:t>
      </w:r>
      <w:r>
        <w:rPr>
          <w:rFonts w:hint="eastAsia" w:cs="黑体"/>
          <w:color w:val="auto"/>
          <w:highlight w:val="none"/>
        </w:rPr>
        <w:t>工程量清单错误的修正</w:t>
      </w:r>
      <w:bookmarkEnd w:id="231"/>
      <w:bookmarkEnd w:id="232"/>
      <w:bookmarkEnd w:id="233"/>
      <w:bookmarkEnd w:id="234"/>
      <w:bookmarkEnd w:id="235"/>
    </w:p>
    <w:p w14:paraId="7F572990">
      <w:pPr>
        <w:spacing w:line="360" w:lineRule="auto"/>
        <w:ind w:firstLine="420" w:firstLineChars="200"/>
        <w:rPr>
          <w:rFonts w:hint="eastAsia" w:hAnsi="宋体" w:cs="宋体"/>
          <w:color w:val="auto"/>
          <w:kern w:val="0"/>
          <w:highlight w:val="none"/>
        </w:rPr>
      </w:pPr>
      <w:r>
        <w:rPr>
          <w:rFonts w:hint="eastAsia" w:hAnsi="宋体" w:cs="宋体"/>
          <w:color w:val="auto"/>
          <w:highlight w:val="none"/>
        </w:rPr>
        <w:t>出现工程量清单工程量偏差时，是否调整合同价格：</w:t>
      </w:r>
      <w:r>
        <w:rPr>
          <w:rFonts w:hint="eastAsia" w:ascii="宋体" w:hAnsi="宋体" w:cs="宋体"/>
          <w:color w:val="auto"/>
          <w:highlight w:val="none"/>
          <w:u w:val="single"/>
        </w:rPr>
        <w:t>☑</w:t>
      </w:r>
      <w:r>
        <w:rPr>
          <w:rFonts w:hint="eastAsia" w:ascii="宋体" w:hAnsi="宋体" w:cs="宋体"/>
          <w:color w:val="auto"/>
          <w:highlight w:val="none"/>
          <w:u w:val="single"/>
          <w:lang w:eastAsia="zh-CN"/>
        </w:rPr>
        <w:t>是</w:t>
      </w:r>
      <w:r>
        <w:rPr>
          <w:rFonts w:hint="eastAsia" w:hAnsi="宋体" w:cs="宋体"/>
          <w:color w:val="auto"/>
          <w:highlight w:val="none"/>
          <w:u w:val="single"/>
        </w:rPr>
        <w:t xml:space="preserve">  </w:t>
      </w:r>
      <w:r>
        <w:rPr>
          <w:rFonts w:hint="eastAsia" w:ascii="宋体" w:hAnsi="宋体" w:cs="宋体"/>
          <w:color w:val="auto"/>
          <w:highlight w:val="none"/>
          <w:u w:val="single"/>
        </w:rPr>
        <w:t>□</w:t>
      </w:r>
      <w:r>
        <w:rPr>
          <w:rFonts w:hint="eastAsia" w:ascii="宋体" w:hAnsi="宋体" w:cs="宋体"/>
          <w:color w:val="auto"/>
          <w:highlight w:val="none"/>
          <w:u w:val="single"/>
          <w:lang w:eastAsia="zh-CN"/>
        </w:rPr>
        <w:t>否</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0D053136">
      <w:pPr>
        <w:spacing w:line="360" w:lineRule="auto"/>
        <w:ind w:firstLine="420" w:firstLineChars="200"/>
        <w:rPr>
          <w:color w:val="auto"/>
          <w:kern w:val="0"/>
          <w:highlight w:val="none"/>
        </w:rPr>
      </w:pPr>
      <w:r>
        <w:rPr>
          <w:rFonts w:hint="eastAsia" w:ascii="宋体" w:hAnsi="宋体" w:cs="宋体"/>
          <w:color w:val="auto"/>
          <w:highlight w:val="none"/>
        </w:rPr>
        <w:t>□</w:t>
      </w:r>
      <w:r>
        <w:rPr>
          <w:color w:val="auto"/>
          <w:highlight w:val="none"/>
          <w:u w:val="single"/>
        </w:rPr>
        <w:t xml:space="preserve"> </w:t>
      </w:r>
      <w:r>
        <w:rPr>
          <w:rFonts w:hint="eastAsia"/>
          <w:color w:val="auto"/>
          <w:highlight w:val="none"/>
          <w:u w:val="single"/>
        </w:rPr>
        <w:t>除严重不平衡报价外，无论分部分项工程量清单项目中的工程量变化多少均不调整</w:t>
      </w:r>
      <w:r>
        <w:rPr>
          <w:rFonts w:hint="eastAsia" w:hAnsi="宋体" w:cs="宋体"/>
          <w:color w:val="auto"/>
          <w:kern w:val="0"/>
          <w:highlight w:val="none"/>
        </w:rPr>
        <w:t>。</w:t>
      </w:r>
    </w:p>
    <w:p w14:paraId="5C765186">
      <w:pPr>
        <w:spacing w:line="360" w:lineRule="auto"/>
        <w:ind w:firstLine="420" w:firstLineChars="200"/>
        <w:rPr>
          <w:rFonts w:hint="eastAsia" w:hAnsi="宋体" w:cs="宋体"/>
          <w:color w:val="auto"/>
          <w:highlight w:val="none"/>
          <w:u w:val="single"/>
        </w:rPr>
      </w:pPr>
      <w:r>
        <w:rPr>
          <w:rFonts w:hint="eastAsia" w:ascii="MS Mincho" w:hAnsi="MS Mincho" w:eastAsia="宋体" w:cs="MS Mincho"/>
          <w:color w:val="auto"/>
          <w:highlight w:val="none"/>
          <w:u w:val="single"/>
          <w:lang w:eastAsia="zh-CN"/>
        </w:rPr>
        <w:t>□</w:t>
      </w:r>
      <w:r>
        <w:rPr>
          <w:rFonts w:hint="eastAsia" w:ascii="Calibri" w:hAnsi="宋体" w:cs="宋体"/>
          <w:color w:val="auto"/>
          <w:highlight w:val="none"/>
          <w:u w:val="single"/>
        </w:rPr>
        <w:t>承包人实际完成的某单项清单项目工程量与招标工程量清单工程量偏差超过15 %且该单项清单造价超过合同总价</w:t>
      </w:r>
      <w:r>
        <w:rPr>
          <w:rFonts w:hint="eastAsia" w:ascii="Calibri" w:hAnsi="宋体" w:cs="宋体"/>
          <w:color w:val="auto"/>
          <w:highlight w:val="none"/>
          <w:u w:val="single"/>
          <w:lang w:val="en-US" w:eastAsia="zh-CN"/>
        </w:rPr>
        <w:t>15</w:t>
      </w:r>
      <w:r>
        <w:rPr>
          <w:rFonts w:hint="eastAsia" w:ascii="Calibri" w:hAnsi="宋体" w:cs="宋体"/>
          <w:color w:val="auto"/>
          <w:highlight w:val="none"/>
          <w:u w:val="single"/>
        </w:rPr>
        <w:t>%以上的，超过后增加部分工程量或减少后剩余部分工程量的综合单价按以下方法调整： 按中标的综合单价执行 。</w:t>
      </w:r>
    </w:p>
    <w:p w14:paraId="7DF3FAEA">
      <w:pPr>
        <w:pStyle w:val="34"/>
        <w:rPr>
          <w:color w:val="auto"/>
          <w:highlight w:val="none"/>
        </w:rPr>
      </w:pPr>
    </w:p>
    <w:p w14:paraId="189AF73E">
      <w:pPr>
        <w:pStyle w:val="3"/>
        <w:rPr>
          <w:color w:val="auto"/>
          <w:highlight w:val="none"/>
        </w:rPr>
      </w:pPr>
      <w:bookmarkStart w:id="236" w:name="_Toc373227702"/>
      <w:bookmarkStart w:id="237" w:name="_Toc7902"/>
      <w:bookmarkStart w:id="238" w:name="_Toc407135204"/>
      <w:bookmarkStart w:id="239" w:name="_Toc351203634"/>
      <w:bookmarkStart w:id="240" w:name="_Toc373478349"/>
      <w:bookmarkStart w:id="241" w:name="_Toc389065268"/>
      <w:r>
        <w:rPr>
          <w:color w:val="auto"/>
          <w:highlight w:val="none"/>
        </w:rPr>
        <w:t>2</w:t>
      </w:r>
      <w:bookmarkStart w:id="242" w:name="_Toc297048343"/>
      <w:bookmarkStart w:id="243" w:name="_Toc296347156"/>
      <w:bookmarkStart w:id="244" w:name="_Toc296890985"/>
      <w:bookmarkStart w:id="245" w:name="_Toc296346658"/>
      <w:bookmarkStart w:id="246" w:name="_Toc296944496"/>
      <w:bookmarkStart w:id="247" w:name="_Toc292559867"/>
      <w:bookmarkStart w:id="248" w:name="_Toc292559362"/>
      <w:bookmarkStart w:id="249" w:name="_Toc297120457"/>
      <w:bookmarkStart w:id="250" w:name="_Toc296891197"/>
      <w:bookmarkStart w:id="251" w:name="_Toc296503157"/>
      <w:r>
        <w:rPr>
          <w:color w:val="auto"/>
          <w:highlight w:val="none"/>
        </w:rPr>
        <w:t xml:space="preserve">. </w:t>
      </w:r>
      <w:r>
        <w:rPr>
          <w:rFonts w:hint="eastAsia" w:hAnsi="宋体" w:cs="黑体"/>
          <w:color w:val="auto"/>
          <w:highlight w:val="none"/>
        </w:rPr>
        <w:t>发包人</w:t>
      </w:r>
      <w:bookmarkEnd w:id="236"/>
      <w:bookmarkEnd w:id="237"/>
      <w:bookmarkEnd w:id="238"/>
      <w:bookmarkEnd w:id="239"/>
      <w:bookmarkEnd w:id="240"/>
      <w:bookmarkEnd w:id="241"/>
    </w:p>
    <w:bookmarkEnd w:id="242"/>
    <w:bookmarkEnd w:id="243"/>
    <w:bookmarkEnd w:id="244"/>
    <w:bookmarkEnd w:id="245"/>
    <w:bookmarkEnd w:id="246"/>
    <w:bookmarkEnd w:id="247"/>
    <w:bookmarkEnd w:id="248"/>
    <w:bookmarkEnd w:id="249"/>
    <w:bookmarkEnd w:id="250"/>
    <w:bookmarkEnd w:id="251"/>
    <w:p w14:paraId="73754063">
      <w:pPr>
        <w:pStyle w:val="4"/>
        <w:rPr>
          <w:color w:val="auto"/>
          <w:highlight w:val="none"/>
        </w:rPr>
      </w:pPr>
      <w:bookmarkStart w:id="252" w:name="_Toc389065269"/>
      <w:bookmarkStart w:id="253" w:name="_Toc23230"/>
      <w:bookmarkStart w:id="254" w:name="_Toc373478350"/>
      <w:bookmarkStart w:id="255" w:name="_Toc373227703"/>
      <w:bookmarkStart w:id="256" w:name="_Toc407135205"/>
      <w:r>
        <w:rPr>
          <w:color w:val="auto"/>
          <w:highlight w:val="none"/>
        </w:rPr>
        <w:t xml:space="preserve">2.2 </w:t>
      </w:r>
      <w:r>
        <w:rPr>
          <w:rFonts w:hint="eastAsia" w:hAnsi="宋体" w:cs="黑体"/>
          <w:color w:val="auto"/>
          <w:highlight w:val="none"/>
        </w:rPr>
        <w:t>发包人代表</w:t>
      </w:r>
      <w:bookmarkEnd w:id="252"/>
      <w:bookmarkEnd w:id="253"/>
      <w:bookmarkEnd w:id="254"/>
      <w:bookmarkEnd w:id="255"/>
      <w:bookmarkEnd w:id="256"/>
    </w:p>
    <w:p w14:paraId="50DF3546">
      <w:pPr>
        <w:spacing w:line="360" w:lineRule="auto"/>
        <w:ind w:firstLine="420" w:firstLineChars="200"/>
        <w:rPr>
          <w:color w:val="auto"/>
          <w:highlight w:val="none"/>
        </w:rPr>
      </w:pPr>
      <w:r>
        <w:rPr>
          <w:rFonts w:hint="eastAsia" w:hAnsi="宋体" w:cs="宋体"/>
          <w:color w:val="auto"/>
          <w:highlight w:val="none"/>
        </w:rPr>
        <w:t>发包人代表：</w:t>
      </w:r>
    </w:p>
    <w:p w14:paraId="03511D16">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CBFA175">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1E5443B">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E647A15">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76F56A4">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2B39B6CA">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5EB5520">
      <w:pPr>
        <w:spacing w:line="360" w:lineRule="auto"/>
        <w:ind w:firstLine="420" w:firstLineChars="200"/>
        <w:rPr>
          <w:color w:val="auto"/>
          <w:highlight w:val="none"/>
          <w:u w:val="single"/>
        </w:rPr>
      </w:pPr>
      <w:r>
        <w:rPr>
          <w:rFonts w:hint="eastAsia" w:hAnsi="宋体" w:cs="宋体"/>
          <w:color w:val="auto"/>
          <w:highlight w:val="none"/>
        </w:rPr>
        <w:t>发包人对发包人代表的授权范围如下：</w:t>
      </w:r>
      <w:r>
        <w:rPr>
          <w:color w:val="auto"/>
          <w:highlight w:val="none"/>
          <w:u w:val="single"/>
        </w:rPr>
        <w:t xml:space="preserve">  </w:t>
      </w:r>
      <w:r>
        <w:rPr>
          <w:rFonts w:hint="eastAsia"/>
          <w:color w:val="auto"/>
          <w:highlight w:val="none"/>
          <w:u w:val="single"/>
        </w:rPr>
        <w:t>监督工程施工，协调工程建设所有外部关系，对监理单位提出的工程问题作出决定</w:t>
      </w:r>
      <w:r>
        <w:rPr>
          <w:rFonts w:hint="eastAsia" w:hAnsi="宋体" w:cs="宋体"/>
          <w:color w:val="auto"/>
          <w:highlight w:val="none"/>
        </w:rPr>
        <w:t>。</w:t>
      </w:r>
    </w:p>
    <w:p w14:paraId="77D9A894">
      <w:pPr>
        <w:pStyle w:val="4"/>
        <w:rPr>
          <w:color w:val="auto"/>
          <w:highlight w:val="none"/>
        </w:rPr>
      </w:pPr>
      <w:bookmarkStart w:id="257" w:name="_Toc373227704"/>
      <w:bookmarkStart w:id="258" w:name="_Toc389065270"/>
      <w:bookmarkStart w:id="259" w:name="_Toc25194"/>
      <w:bookmarkStart w:id="260" w:name="_Toc407135206"/>
      <w:bookmarkStart w:id="261" w:name="_Toc373478351"/>
      <w:r>
        <w:rPr>
          <w:color w:val="auto"/>
          <w:highlight w:val="none"/>
        </w:rPr>
        <w:t xml:space="preserve">2.4 </w:t>
      </w:r>
      <w:r>
        <w:rPr>
          <w:rFonts w:hint="eastAsia" w:cs="黑体"/>
          <w:color w:val="auto"/>
          <w:highlight w:val="none"/>
        </w:rPr>
        <w:t>施工现场、施工条件和基础资料的提供</w:t>
      </w:r>
      <w:bookmarkEnd w:id="257"/>
      <w:bookmarkEnd w:id="258"/>
      <w:bookmarkEnd w:id="259"/>
      <w:bookmarkEnd w:id="260"/>
      <w:bookmarkEnd w:id="261"/>
    </w:p>
    <w:p w14:paraId="1864D1A3">
      <w:pPr>
        <w:spacing w:line="360" w:lineRule="auto"/>
        <w:ind w:firstLine="420" w:firstLineChars="200"/>
        <w:rPr>
          <w:color w:val="auto"/>
          <w:highlight w:val="none"/>
        </w:rPr>
      </w:pPr>
      <w:r>
        <w:rPr>
          <w:color w:val="auto"/>
          <w:highlight w:val="none"/>
        </w:rPr>
        <w:t xml:space="preserve">2.4.1 </w:t>
      </w:r>
      <w:r>
        <w:rPr>
          <w:rFonts w:hint="eastAsia" w:hAnsi="宋体" w:cs="宋体"/>
          <w:color w:val="auto"/>
          <w:highlight w:val="none"/>
        </w:rPr>
        <w:t>提供施工现场</w:t>
      </w:r>
    </w:p>
    <w:p w14:paraId="6FAEE309">
      <w:pPr>
        <w:spacing w:line="360" w:lineRule="auto"/>
        <w:ind w:firstLine="420" w:firstLineChars="200"/>
        <w:jc w:val="left"/>
        <w:rPr>
          <w:color w:val="auto"/>
          <w:highlight w:val="none"/>
        </w:rPr>
      </w:pPr>
      <w:r>
        <w:rPr>
          <w:rFonts w:hint="eastAsia" w:hAnsi="宋体" w:cs="宋体"/>
          <w:color w:val="auto"/>
          <w:highlight w:val="none"/>
        </w:rPr>
        <w:t>关于发包人移交施工现场的期限要求：</w:t>
      </w:r>
      <w:r>
        <w:rPr>
          <w:color w:val="auto"/>
          <w:highlight w:val="none"/>
          <w:u w:val="single"/>
        </w:rPr>
        <w:t xml:space="preserve">  </w:t>
      </w:r>
      <w:r>
        <w:rPr>
          <w:rFonts w:hint="eastAsia"/>
          <w:color w:val="auto"/>
          <w:highlight w:val="none"/>
          <w:u w:val="single"/>
        </w:rPr>
        <w:t>开工前七天</w:t>
      </w:r>
      <w:r>
        <w:rPr>
          <w:color w:val="auto"/>
          <w:highlight w:val="none"/>
          <w:u w:val="single"/>
        </w:rPr>
        <w:t xml:space="preserve"> </w:t>
      </w:r>
      <w:r>
        <w:rPr>
          <w:rFonts w:hint="eastAsia" w:hAnsi="宋体" w:cs="宋体"/>
          <w:color w:val="auto"/>
          <w:highlight w:val="none"/>
        </w:rPr>
        <w:t>。</w:t>
      </w:r>
    </w:p>
    <w:p w14:paraId="1E55979F">
      <w:pPr>
        <w:spacing w:line="360" w:lineRule="auto"/>
        <w:ind w:firstLine="420" w:firstLineChars="200"/>
        <w:rPr>
          <w:color w:val="auto"/>
          <w:highlight w:val="none"/>
        </w:rPr>
      </w:pPr>
      <w:r>
        <w:rPr>
          <w:color w:val="auto"/>
          <w:highlight w:val="none"/>
        </w:rPr>
        <w:t xml:space="preserve">2.4.2 </w:t>
      </w:r>
      <w:r>
        <w:rPr>
          <w:rFonts w:hint="eastAsia" w:hAnsi="宋体" w:cs="宋体"/>
          <w:color w:val="auto"/>
          <w:highlight w:val="none"/>
        </w:rPr>
        <w:t>提供施工条件</w:t>
      </w:r>
    </w:p>
    <w:p w14:paraId="0D48DC9E">
      <w:pPr>
        <w:pStyle w:val="49"/>
        <w:bidi w:val="0"/>
        <w:spacing w:line="360" w:lineRule="auto"/>
        <w:rPr>
          <w:rFonts w:hint="eastAsia" w:hAnsi="宋体" w:cs="宋体"/>
          <w:color w:val="auto"/>
          <w:highlight w:val="none"/>
        </w:rPr>
      </w:pPr>
      <w:r>
        <w:rPr>
          <w:rFonts w:hint="eastAsia" w:hAnsi="宋体" w:cs="宋体"/>
          <w:color w:val="auto"/>
          <w:highlight w:val="none"/>
        </w:rPr>
        <w:t>关于发包人应负责提供施工所需要的条件，包括：</w:t>
      </w:r>
      <w:r>
        <w:rPr>
          <w:color w:val="auto"/>
          <w:highlight w:val="none"/>
          <w:u w:val="single"/>
        </w:rPr>
        <w:t xml:space="preserve"> </w:t>
      </w:r>
      <w:r>
        <w:rPr>
          <w:rFonts w:hint="eastAsia"/>
          <w:color w:val="auto"/>
          <w:highlight w:val="none"/>
          <w:u w:val="single"/>
          <w:lang w:val="en-US" w:eastAsia="zh-CN"/>
        </w:rPr>
        <w:t xml:space="preserve">        /          </w:t>
      </w:r>
      <w:r>
        <w:rPr>
          <w:rFonts w:hint="eastAsia" w:hAnsi="宋体" w:cs="宋体"/>
          <w:color w:val="auto"/>
          <w:highlight w:val="none"/>
        </w:rPr>
        <w:t>。</w:t>
      </w:r>
    </w:p>
    <w:p w14:paraId="6FB13C3E">
      <w:pPr>
        <w:pStyle w:val="49"/>
        <w:bidi w:val="0"/>
        <w:spacing w:line="360" w:lineRule="auto"/>
        <w:ind w:firstLine="420" w:firstLineChars="200"/>
        <w:rPr>
          <w:rStyle w:val="27"/>
          <w:rFonts w:hint="eastAsia" w:ascii="宋体" w:hAnsi="宋体" w:cs="宋体"/>
          <w:color w:val="auto"/>
          <w:szCs w:val="21"/>
          <w:highlight w:val="none"/>
          <w:u w:val="single"/>
        </w:rPr>
      </w:pPr>
      <w:r>
        <w:rPr>
          <w:rStyle w:val="27"/>
          <w:rFonts w:hint="eastAsia" w:ascii="宋体" w:hAnsi="宋体" w:cs="宋体"/>
          <w:color w:val="auto"/>
          <w:szCs w:val="21"/>
          <w:highlight w:val="none"/>
        </w:rPr>
        <w:t>将施工所需的水、电、电讯线路接至施工场地的时间、地点和供应要求：</w:t>
      </w:r>
      <w:r>
        <w:rPr>
          <w:rStyle w:val="27"/>
          <w:rFonts w:hint="eastAsia" w:ascii="宋体" w:hAnsi="宋体" w:cs="宋体"/>
          <w:color w:val="auto"/>
          <w:szCs w:val="21"/>
          <w:highlight w:val="none"/>
          <w:u w:val="single"/>
        </w:rPr>
        <w:t xml:space="preserve">  施工现场临时道路、水、电、电讯线路等费用由承包人在</w:t>
      </w:r>
      <w:r>
        <w:rPr>
          <w:rStyle w:val="27"/>
          <w:rFonts w:hint="eastAsia" w:ascii="宋体" w:hAnsi="宋体" w:cs="宋体"/>
          <w:color w:val="auto"/>
          <w:szCs w:val="21"/>
          <w:highlight w:val="none"/>
          <w:u w:val="single"/>
          <w:lang w:val="en-US" w:eastAsia="zh-CN"/>
        </w:rPr>
        <w:t>竞标</w:t>
      </w:r>
      <w:r>
        <w:rPr>
          <w:rStyle w:val="27"/>
          <w:rFonts w:hint="eastAsia" w:ascii="宋体" w:hAnsi="宋体" w:cs="宋体"/>
          <w:color w:val="auto"/>
          <w:szCs w:val="21"/>
          <w:highlight w:val="none"/>
          <w:u w:val="single"/>
        </w:rPr>
        <w:t>报价中自行考虑。若供水、供电部门的原因造成停水、停电，承包人必须自行解决施工用水、用电，费用自理  。</w:t>
      </w:r>
    </w:p>
    <w:p w14:paraId="22717258">
      <w:pPr>
        <w:pStyle w:val="4"/>
        <w:ind w:left="0" w:leftChars="0" w:firstLine="643" w:firstLineChars="200"/>
        <w:rPr>
          <w:color w:val="auto"/>
          <w:highlight w:val="none"/>
        </w:rPr>
      </w:pPr>
      <w:bookmarkStart w:id="262" w:name="_Toc389065271"/>
      <w:bookmarkStart w:id="263" w:name="_Toc7469"/>
      <w:bookmarkStart w:id="264" w:name="_Toc373227705"/>
      <w:bookmarkStart w:id="265" w:name="_Toc373478352"/>
      <w:bookmarkStart w:id="266" w:name="_Toc407135207"/>
      <w:r>
        <w:rPr>
          <w:color w:val="auto"/>
          <w:highlight w:val="none"/>
        </w:rPr>
        <w:t xml:space="preserve">2.5 </w:t>
      </w:r>
      <w:r>
        <w:rPr>
          <w:rFonts w:hint="eastAsia" w:cs="黑体"/>
          <w:color w:val="auto"/>
          <w:highlight w:val="none"/>
        </w:rPr>
        <w:t>资金来源证明及支付担保</w:t>
      </w:r>
      <w:bookmarkEnd w:id="262"/>
      <w:bookmarkEnd w:id="263"/>
      <w:bookmarkEnd w:id="264"/>
      <w:bookmarkEnd w:id="265"/>
      <w:bookmarkEnd w:id="266"/>
    </w:p>
    <w:p w14:paraId="043EBB30">
      <w:pPr>
        <w:spacing w:line="360" w:lineRule="auto"/>
        <w:ind w:firstLine="420" w:firstLineChars="200"/>
        <w:rPr>
          <w:color w:val="auto"/>
          <w:highlight w:val="none"/>
        </w:rPr>
      </w:pPr>
      <w:r>
        <w:rPr>
          <w:rFonts w:hint="eastAsia" w:hAnsi="宋体" w:cs="宋体"/>
          <w:color w:val="auto"/>
          <w:highlight w:val="none"/>
        </w:rPr>
        <w:t>发包人提供资金来源证明的期限要求：</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4602E222">
      <w:pPr>
        <w:spacing w:line="360" w:lineRule="auto"/>
        <w:ind w:firstLine="420" w:firstLineChars="200"/>
        <w:rPr>
          <w:color w:val="auto"/>
          <w:highlight w:val="none"/>
        </w:rPr>
      </w:pPr>
      <w:r>
        <w:rPr>
          <w:rFonts w:hint="eastAsia" w:hAnsi="宋体" w:cs="宋体"/>
          <w:color w:val="auto"/>
          <w:highlight w:val="none"/>
        </w:rPr>
        <w:t>发包人是否提供支付担保：</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6C1A4DF">
      <w:pPr>
        <w:spacing w:line="360" w:lineRule="auto"/>
        <w:ind w:firstLine="420" w:firstLineChars="200"/>
        <w:rPr>
          <w:rFonts w:hAnsi="宋体"/>
          <w:color w:val="auto"/>
          <w:highlight w:val="none"/>
        </w:rPr>
      </w:pPr>
      <w:r>
        <w:rPr>
          <w:rFonts w:hint="eastAsia" w:hAnsi="宋体" w:cs="宋体"/>
          <w:color w:val="auto"/>
          <w:highlight w:val="none"/>
        </w:rPr>
        <w:t>发包人提供支付担保的形式：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AAB94FF">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14:paraId="77CCD7BA">
      <w:pPr>
        <w:pStyle w:val="3"/>
        <w:rPr>
          <w:color w:val="auto"/>
          <w:highlight w:val="none"/>
        </w:rPr>
      </w:pPr>
      <w:bookmarkStart w:id="267" w:name="_Toc351203635"/>
      <w:bookmarkStart w:id="268" w:name="_Toc389065272"/>
      <w:bookmarkStart w:id="269" w:name="_Toc11387"/>
      <w:bookmarkStart w:id="270" w:name="_Toc407135208"/>
      <w:bookmarkStart w:id="271" w:name="_Toc373478353"/>
      <w:bookmarkStart w:id="272" w:name="_Toc373227706"/>
      <w:r>
        <w:rPr>
          <w:color w:val="auto"/>
          <w:highlight w:val="none"/>
        </w:rPr>
        <w:t>3</w:t>
      </w:r>
      <w:bookmarkStart w:id="273" w:name="_Toc292559363"/>
      <w:bookmarkStart w:id="274" w:name="_Toc292559868"/>
      <w:bookmarkStart w:id="275" w:name="_Toc296890986"/>
      <w:bookmarkStart w:id="276" w:name="_Toc297048344"/>
      <w:bookmarkStart w:id="277" w:name="_Toc296503158"/>
      <w:bookmarkStart w:id="278" w:name="_Toc296347157"/>
      <w:bookmarkStart w:id="279" w:name="_Toc296891198"/>
      <w:bookmarkStart w:id="280" w:name="_Toc297120458"/>
      <w:bookmarkStart w:id="281" w:name="_Toc296944497"/>
      <w:bookmarkStart w:id="282" w:name="_Toc296346659"/>
      <w:r>
        <w:rPr>
          <w:color w:val="auto"/>
          <w:highlight w:val="none"/>
        </w:rPr>
        <w:t xml:space="preserve">. </w:t>
      </w:r>
      <w:r>
        <w:rPr>
          <w:rFonts w:hint="eastAsia" w:hAnsi="宋体" w:cs="黑体"/>
          <w:color w:val="auto"/>
          <w:highlight w:val="none"/>
        </w:rPr>
        <w:t>承包人</w:t>
      </w:r>
      <w:bookmarkEnd w:id="267"/>
      <w:bookmarkEnd w:id="268"/>
      <w:bookmarkEnd w:id="269"/>
      <w:bookmarkEnd w:id="270"/>
      <w:bookmarkEnd w:id="271"/>
      <w:bookmarkEnd w:id="272"/>
    </w:p>
    <w:bookmarkEnd w:id="273"/>
    <w:bookmarkEnd w:id="274"/>
    <w:bookmarkEnd w:id="275"/>
    <w:bookmarkEnd w:id="276"/>
    <w:bookmarkEnd w:id="277"/>
    <w:bookmarkEnd w:id="278"/>
    <w:bookmarkEnd w:id="279"/>
    <w:bookmarkEnd w:id="280"/>
    <w:bookmarkEnd w:id="281"/>
    <w:bookmarkEnd w:id="282"/>
    <w:p w14:paraId="4C47B6B1">
      <w:pPr>
        <w:pStyle w:val="4"/>
        <w:rPr>
          <w:color w:val="auto"/>
          <w:highlight w:val="none"/>
        </w:rPr>
      </w:pPr>
      <w:bookmarkStart w:id="283" w:name="_Toc389065273"/>
      <w:bookmarkStart w:id="284" w:name="_Toc373227707"/>
      <w:bookmarkStart w:id="285" w:name="_Toc407135209"/>
      <w:bookmarkStart w:id="286" w:name="_Toc24830"/>
      <w:bookmarkStart w:id="287" w:name="_Toc373478354"/>
      <w:r>
        <w:rPr>
          <w:color w:val="auto"/>
          <w:highlight w:val="none"/>
        </w:rPr>
        <w:t xml:space="preserve">3.1 </w:t>
      </w:r>
      <w:r>
        <w:rPr>
          <w:rFonts w:hint="eastAsia" w:cs="黑体"/>
          <w:color w:val="auto"/>
          <w:highlight w:val="none"/>
        </w:rPr>
        <w:t>承包人的一般义务</w:t>
      </w:r>
      <w:bookmarkEnd w:id="283"/>
      <w:bookmarkEnd w:id="284"/>
      <w:bookmarkEnd w:id="285"/>
      <w:bookmarkEnd w:id="286"/>
      <w:bookmarkEnd w:id="287"/>
    </w:p>
    <w:p w14:paraId="709F9D70">
      <w:pPr>
        <w:spacing w:line="360" w:lineRule="auto"/>
        <w:ind w:firstLine="420" w:firstLineChars="200"/>
        <w:jc w:val="left"/>
        <w:rPr>
          <w:color w:val="auto"/>
          <w:highlight w:val="none"/>
          <w:u w:val="single"/>
        </w:rPr>
      </w:pPr>
      <w:r>
        <w:rPr>
          <w:rFonts w:hint="eastAsia" w:hAnsi="宋体" w:cs="宋体"/>
          <w:color w:val="auto"/>
          <w:kern w:val="0"/>
          <w:highlight w:val="none"/>
        </w:rPr>
        <w:t>（</w:t>
      </w:r>
      <w:r>
        <w:rPr>
          <w:color w:val="auto"/>
          <w:kern w:val="0"/>
          <w:highlight w:val="none"/>
        </w:rPr>
        <w:t>9</w:t>
      </w:r>
      <w:r>
        <w:rPr>
          <w:rFonts w:hint="eastAsia" w:hAnsi="宋体" w:cs="宋体"/>
          <w:color w:val="auto"/>
          <w:kern w:val="0"/>
          <w:highlight w:val="none"/>
        </w:rPr>
        <w:t>）</w:t>
      </w:r>
      <w:r>
        <w:rPr>
          <w:rFonts w:hint="eastAsia" w:hAnsi="宋体" w:cs="宋体"/>
          <w:color w:val="auto"/>
          <w:highlight w:val="none"/>
        </w:rPr>
        <w:t>承包人提交的竣工资料的内容：</w:t>
      </w:r>
      <w:r>
        <w:rPr>
          <w:color w:val="auto"/>
          <w:highlight w:val="none"/>
          <w:u w:val="single"/>
        </w:rPr>
        <w:t xml:space="preserve"> </w:t>
      </w:r>
      <w:r>
        <w:rPr>
          <w:rFonts w:hint="eastAsia"/>
          <w:color w:val="auto"/>
          <w:highlight w:val="none"/>
          <w:u w:val="single"/>
        </w:rPr>
        <w:t>1、完整准确的竣工图纸 2、竣工内业资料</w:t>
      </w:r>
      <w:r>
        <w:rPr>
          <w:color w:val="auto"/>
          <w:highlight w:val="none"/>
          <w:u w:val="single"/>
        </w:rPr>
        <w:t xml:space="preserve"> </w:t>
      </w:r>
      <w:r>
        <w:rPr>
          <w:rFonts w:hint="eastAsia" w:hAnsi="宋体" w:cs="宋体"/>
          <w:color w:val="auto"/>
          <w:highlight w:val="none"/>
        </w:rPr>
        <w:t>。</w:t>
      </w:r>
    </w:p>
    <w:p w14:paraId="5685649A">
      <w:pPr>
        <w:spacing w:line="360" w:lineRule="auto"/>
        <w:ind w:firstLine="420" w:firstLineChars="200"/>
        <w:jc w:val="left"/>
        <w:rPr>
          <w:color w:val="auto"/>
          <w:highlight w:val="none"/>
        </w:rPr>
      </w:pPr>
      <w:r>
        <w:rPr>
          <w:rFonts w:hint="eastAsia" w:hAnsi="宋体" w:cs="宋体"/>
          <w:color w:val="auto"/>
          <w:highlight w:val="none"/>
        </w:rPr>
        <w:t>承包人需要提交的竣工资料套数：</w:t>
      </w:r>
      <w:r>
        <w:rPr>
          <w:color w:val="auto"/>
          <w:highlight w:val="none"/>
          <w:u w:val="single"/>
        </w:rPr>
        <w:t xml:space="preserve">  </w:t>
      </w:r>
      <w:r>
        <w:rPr>
          <w:rFonts w:hint="eastAsia"/>
          <w:color w:val="auto"/>
          <w:highlight w:val="none"/>
          <w:u w:val="single"/>
        </w:rPr>
        <w:t>肆套</w:t>
      </w:r>
      <w:r>
        <w:rPr>
          <w:color w:val="auto"/>
          <w:highlight w:val="none"/>
          <w:u w:val="single"/>
        </w:rPr>
        <w:t xml:space="preserve">    </w:t>
      </w:r>
      <w:r>
        <w:rPr>
          <w:rFonts w:hint="eastAsia" w:hAnsi="宋体" w:cs="宋体"/>
          <w:color w:val="auto"/>
          <w:highlight w:val="none"/>
        </w:rPr>
        <w:t>。</w:t>
      </w:r>
    </w:p>
    <w:p w14:paraId="02B19128">
      <w:pPr>
        <w:spacing w:line="360" w:lineRule="auto"/>
        <w:ind w:left="424" w:leftChars="202"/>
        <w:jc w:val="left"/>
        <w:rPr>
          <w:color w:val="auto"/>
          <w:highlight w:val="none"/>
        </w:rPr>
      </w:pPr>
      <w:r>
        <w:rPr>
          <w:rFonts w:hint="eastAsia" w:hAnsi="宋体" w:cs="宋体"/>
          <w:color w:val="auto"/>
          <w:highlight w:val="none"/>
        </w:rPr>
        <w:t>承包人提交的竣工资料的费用承担：</w:t>
      </w:r>
      <w:r>
        <w:rPr>
          <w:color w:val="auto"/>
          <w:highlight w:val="none"/>
          <w:u w:val="single"/>
        </w:rPr>
        <w:t xml:space="preserve">  </w:t>
      </w:r>
      <w:r>
        <w:rPr>
          <w:rFonts w:hint="eastAsia"/>
          <w:color w:val="auto"/>
          <w:highlight w:val="none"/>
          <w:u w:val="single"/>
        </w:rPr>
        <w:t>承包人承担</w:t>
      </w:r>
      <w:r>
        <w:rPr>
          <w:color w:val="auto"/>
          <w:highlight w:val="none"/>
          <w:u w:val="single"/>
        </w:rPr>
        <w:t xml:space="preserve">  </w:t>
      </w:r>
      <w:r>
        <w:rPr>
          <w:rFonts w:hint="eastAsia" w:hAnsi="宋体" w:cs="宋体"/>
          <w:color w:val="auto"/>
          <w:highlight w:val="none"/>
        </w:rPr>
        <w:t>。</w:t>
      </w:r>
    </w:p>
    <w:p w14:paraId="27090D1B">
      <w:pPr>
        <w:spacing w:line="360" w:lineRule="auto"/>
        <w:ind w:left="424" w:leftChars="202"/>
        <w:jc w:val="left"/>
        <w:rPr>
          <w:color w:val="auto"/>
          <w:highlight w:val="none"/>
        </w:rPr>
      </w:pPr>
      <w:r>
        <w:rPr>
          <w:rFonts w:hint="eastAsia" w:hAnsi="宋体" w:cs="宋体"/>
          <w:color w:val="auto"/>
          <w:highlight w:val="none"/>
        </w:rPr>
        <w:t>承包人提交的竣工资料移交时间：</w:t>
      </w:r>
      <w:r>
        <w:rPr>
          <w:color w:val="auto"/>
          <w:highlight w:val="none"/>
          <w:u w:val="single"/>
        </w:rPr>
        <w:t xml:space="preserve"> </w:t>
      </w:r>
      <w:r>
        <w:rPr>
          <w:rFonts w:hint="eastAsia"/>
          <w:color w:val="auto"/>
          <w:highlight w:val="none"/>
          <w:u w:val="single"/>
        </w:rPr>
        <w:t>竣工验收合格之日起三个月内</w:t>
      </w:r>
      <w:r>
        <w:rPr>
          <w:color w:val="auto"/>
          <w:highlight w:val="none"/>
          <w:u w:val="single"/>
        </w:rPr>
        <w:t xml:space="preserve">  </w:t>
      </w:r>
      <w:r>
        <w:rPr>
          <w:rFonts w:hint="eastAsia" w:hAnsi="宋体" w:cs="宋体"/>
          <w:color w:val="auto"/>
          <w:highlight w:val="none"/>
        </w:rPr>
        <w:t>。</w:t>
      </w:r>
    </w:p>
    <w:p w14:paraId="7A632FD9">
      <w:pPr>
        <w:spacing w:line="360" w:lineRule="auto"/>
        <w:ind w:firstLine="420" w:firstLineChars="200"/>
        <w:jc w:val="left"/>
        <w:rPr>
          <w:color w:val="auto"/>
          <w:highlight w:val="none"/>
        </w:rPr>
      </w:pPr>
      <w:r>
        <w:rPr>
          <w:rFonts w:hint="eastAsia" w:hAnsi="宋体" w:cs="宋体"/>
          <w:color w:val="auto"/>
          <w:highlight w:val="none"/>
        </w:rPr>
        <w:t>承包人提交的竣工资料形式要求：</w:t>
      </w:r>
      <w:r>
        <w:rPr>
          <w:rFonts w:hint="eastAsia"/>
          <w:color w:val="auto"/>
          <w:highlight w:val="none"/>
          <w:u w:val="single"/>
        </w:rPr>
        <w:t xml:space="preserve">符合《建设工程文件归档整理规范》的要求 </w:t>
      </w:r>
      <w:r>
        <w:rPr>
          <w:color w:val="auto"/>
          <w:highlight w:val="none"/>
          <w:u w:val="single"/>
        </w:rPr>
        <w:t xml:space="preserve"> </w:t>
      </w:r>
      <w:r>
        <w:rPr>
          <w:rFonts w:hint="eastAsia" w:hAnsi="宋体" w:cs="宋体"/>
          <w:color w:val="auto"/>
          <w:highlight w:val="none"/>
        </w:rPr>
        <w:t>。</w:t>
      </w:r>
    </w:p>
    <w:p w14:paraId="753BA779">
      <w:pPr>
        <w:spacing w:line="360" w:lineRule="auto"/>
        <w:ind w:firstLine="420" w:firstLineChars="200"/>
        <w:rPr>
          <w:color w:val="auto"/>
          <w:kern w:val="0"/>
          <w:highlight w:val="none"/>
        </w:rPr>
      </w:pPr>
      <w:r>
        <w:rPr>
          <w:rFonts w:hint="eastAsia" w:hAnsi="宋体" w:cs="宋体"/>
          <w:color w:val="auto"/>
          <w:kern w:val="0"/>
          <w:highlight w:val="none"/>
        </w:rPr>
        <w:t>（</w:t>
      </w:r>
      <w:r>
        <w:rPr>
          <w:color w:val="auto"/>
          <w:kern w:val="0"/>
          <w:highlight w:val="none"/>
        </w:rPr>
        <w:t>10</w:t>
      </w:r>
      <w:r>
        <w:rPr>
          <w:rFonts w:hint="eastAsia" w:hAnsi="宋体" w:cs="宋体"/>
          <w:color w:val="auto"/>
          <w:kern w:val="0"/>
          <w:highlight w:val="none"/>
        </w:rPr>
        <w:t>）承包人应履行的其他义务：</w:t>
      </w:r>
    </w:p>
    <w:p w14:paraId="3A041BBF">
      <w:pPr>
        <w:spacing w:line="360" w:lineRule="auto"/>
        <w:ind w:firstLine="420" w:firstLineChars="200"/>
        <w:rPr>
          <w:color w:val="auto"/>
          <w:kern w:val="0"/>
          <w:highlight w:val="none"/>
        </w:rPr>
      </w:pPr>
      <w:r>
        <w:rPr>
          <w:color w:val="auto"/>
          <w:kern w:val="0"/>
          <w:highlight w:val="none"/>
          <w:u w:val="single"/>
        </w:rPr>
        <w:t xml:space="preserve"> </w:t>
      </w:r>
      <w:r>
        <w:rPr>
          <w:rFonts w:hint="eastAsia"/>
          <w:color w:val="auto"/>
          <w:kern w:val="0"/>
          <w:highlight w:val="none"/>
          <w:u w:val="single"/>
        </w:rPr>
        <w:t>按本合同通用条款 3.1 条执行</w:t>
      </w:r>
      <w:r>
        <w:rPr>
          <w:color w:val="auto"/>
          <w:kern w:val="0"/>
          <w:highlight w:val="none"/>
          <w:u w:val="single"/>
        </w:rPr>
        <w:t xml:space="preserve">   </w:t>
      </w:r>
      <w:r>
        <w:rPr>
          <w:rFonts w:hint="eastAsia" w:hAnsi="宋体" w:cs="宋体"/>
          <w:color w:val="auto"/>
          <w:kern w:val="0"/>
          <w:highlight w:val="none"/>
        </w:rPr>
        <w:t>。</w:t>
      </w:r>
    </w:p>
    <w:p w14:paraId="4956F8EA">
      <w:pPr>
        <w:pStyle w:val="4"/>
        <w:rPr>
          <w:color w:val="auto"/>
          <w:highlight w:val="none"/>
        </w:rPr>
      </w:pPr>
      <w:bookmarkStart w:id="288" w:name="_Toc389065274"/>
      <w:bookmarkStart w:id="289" w:name="_Toc407135210"/>
      <w:bookmarkStart w:id="290" w:name="_Toc373227708"/>
      <w:bookmarkStart w:id="291" w:name="_Toc30879"/>
      <w:bookmarkStart w:id="292" w:name="_Toc373478355"/>
      <w:r>
        <w:rPr>
          <w:color w:val="auto"/>
          <w:highlight w:val="none"/>
        </w:rPr>
        <w:t xml:space="preserve">3.2 </w:t>
      </w:r>
      <w:r>
        <w:rPr>
          <w:rFonts w:hint="eastAsia" w:hAnsi="宋体" w:cs="黑体"/>
          <w:color w:val="auto"/>
          <w:highlight w:val="none"/>
        </w:rPr>
        <w:t>项目经理</w:t>
      </w:r>
      <w:bookmarkEnd w:id="288"/>
      <w:bookmarkEnd w:id="289"/>
      <w:bookmarkEnd w:id="290"/>
      <w:bookmarkEnd w:id="291"/>
      <w:bookmarkEnd w:id="292"/>
    </w:p>
    <w:p w14:paraId="2C5F5F3F">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14:paraId="78E5FBED">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39D61ED">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C17C739">
      <w:pPr>
        <w:spacing w:line="360" w:lineRule="auto"/>
        <w:ind w:firstLine="420" w:firstLineChars="200"/>
        <w:rPr>
          <w:color w:val="auto"/>
          <w:highlight w:val="none"/>
        </w:rPr>
      </w:pPr>
      <w:r>
        <w:rPr>
          <w:rFonts w:hAnsi="宋体"/>
          <w:color w:val="auto"/>
          <w:highlight w:val="none"/>
        </w:rPr>
        <w:t>建造师执业资格等级：</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A66FED4">
      <w:pPr>
        <w:spacing w:line="360" w:lineRule="auto"/>
        <w:ind w:firstLine="420" w:firstLineChars="200"/>
        <w:rPr>
          <w:color w:val="auto"/>
          <w:highlight w:val="none"/>
        </w:rPr>
      </w:pPr>
      <w:r>
        <w:rPr>
          <w:rFonts w:hAnsi="宋体"/>
          <w:color w:val="auto"/>
          <w:highlight w:val="none"/>
        </w:rPr>
        <w:t>建造师注册证书号：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E96067B">
      <w:pPr>
        <w:spacing w:line="360" w:lineRule="auto"/>
        <w:ind w:firstLine="420" w:firstLineChars="200"/>
        <w:rPr>
          <w:color w:val="auto"/>
          <w:highlight w:val="none"/>
        </w:rPr>
      </w:pPr>
      <w:r>
        <w:rPr>
          <w:rFonts w:hAnsi="宋体"/>
          <w:color w:val="auto"/>
          <w:highlight w:val="none"/>
        </w:rPr>
        <w:t>建造师执业印章号：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24BE1A74">
      <w:pPr>
        <w:spacing w:line="360" w:lineRule="auto"/>
        <w:ind w:firstLine="420" w:firstLineChars="200"/>
        <w:rPr>
          <w:rFonts w:hAnsi="宋体"/>
          <w:color w:val="auto"/>
          <w:highlight w:val="none"/>
        </w:rPr>
      </w:pPr>
      <w:r>
        <w:rPr>
          <w:rFonts w:hAnsi="宋体"/>
          <w:color w:val="auto"/>
          <w:highlight w:val="none"/>
        </w:rPr>
        <w:t>安全生产考核合格证书号：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267D6D6">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8DF4EF5">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BC7000E">
      <w:pPr>
        <w:spacing w:line="360" w:lineRule="auto"/>
        <w:ind w:firstLine="420" w:firstLineChars="200"/>
        <w:rPr>
          <w:rFonts w:hint="eastAsia" w:hAnsi="宋体"/>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051002A">
      <w:pPr>
        <w:spacing w:line="360" w:lineRule="auto"/>
        <w:ind w:firstLine="420" w:firstLineChars="200"/>
        <w:rPr>
          <w:rFonts w:hint="eastAsia"/>
          <w:color w:val="auto"/>
          <w:highlight w:val="none"/>
          <w:u w:val="single"/>
        </w:rPr>
      </w:pPr>
      <w:r>
        <w:rPr>
          <w:rFonts w:hint="eastAsia" w:hAnsi="宋体" w:cs="宋体"/>
          <w:color w:val="auto"/>
          <w:highlight w:val="none"/>
        </w:rPr>
        <w:t>承包人对项目经理的授权范围如下：</w:t>
      </w: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 xml:space="preserve">代表承包人履行合同，以承包人名义协调处理与本工程 </w:t>
      </w:r>
    </w:p>
    <w:p w14:paraId="42763AB0">
      <w:pPr>
        <w:spacing w:line="360" w:lineRule="auto"/>
        <w:ind w:firstLine="420" w:firstLineChars="200"/>
        <w:rPr>
          <w:color w:val="auto"/>
          <w:highlight w:val="none"/>
        </w:rPr>
      </w:pPr>
      <w:r>
        <w:rPr>
          <w:rFonts w:hint="eastAsia"/>
          <w:color w:val="auto"/>
          <w:highlight w:val="none"/>
          <w:u w:val="single"/>
          <w:lang w:val="en-US" w:eastAsia="zh-CN"/>
        </w:rPr>
        <w:t>有关的对内对外相关事务，签署签证，签发文件</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4430FF37">
      <w:pPr>
        <w:spacing w:line="360" w:lineRule="auto"/>
        <w:ind w:firstLine="420" w:firstLineChars="200"/>
        <w:jc w:val="left"/>
        <w:rPr>
          <w:color w:val="auto"/>
          <w:kern w:val="0"/>
          <w:highlight w:val="none"/>
        </w:rPr>
      </w:pPr>
      <w:r>
        <w:rPr>
          <w:rFonts w:hint="eastAsia" w:hAnsi="宋体" w:cs="宋体"/>
          <w:color w:val="auto"/>
          <w:kern w:val="0"/>
          <w:highlight w:val="none"/>
        </w:rPr>
        <w:t>关于项目经理每月在施工现场的时间要求：</w:t>
      </w:r>
      <w:r>
        <w:rPr>
          <w:rFonts w:hint="eastAsia"/>
          <w:color w:val="auto"/>
          <w:highlight w:val="none"/>
          <w:u w:val="single"/>
        </w:rPr>
        <w:t>每月带班生产时间不得少于施工时间的 80%</w:t>
      </w:r>
      <w:r>
        <w:rPr>
          <w:color w:val="auto"/>
          <w:highlight w:val="none"/>
          <w:u w:val="single"/>
        </w:rPr>
        <w:t xml:space="preserve"> </w:t>
      </w:r>
      <w:r>
        <w:rPr>
          <w:rFonts w:hint="eastAsia" w:hAnsi="宋体" w:cs="宋体"/>
          <w:color w:val="auto"/>
          <w:highlight w:val="none"/>
        </w:rPr>
        <w:t>。</w:t>
      </w:r>
    </w:p>
    <w:p w14:paraId="4CB96F18">
      <w:pPr>
        <w:spacing w:line="360" w:lineRule="auto"/>
        <w:ind w:firstLine="420" w:firstLineChars="200"/>
        <w:rPr>
          <w:color w:val="auto"/>
          <w:kern w:val="0"/>
          <w:highlight w:val="none"/>
        </w:rPr>
      </w:pPr>
      <w:r>
        <w:rPr>
          <w:rFonts w:hint="eastAsia" w:hAnsi="宋体" w:cs="宋体"/>
          <w:color w:val="auto"/>
          <w:kern w:val="0"/>
          <w:highlight w:val="none"/>
        </w:rPr>
        <w:t>承包人未提交劳动合同，以及没有为项目经理缴纳社会保险证明的违约责任：</w:t>
      </w:r>
      <w:r>
        <w:rPr>
          <w:rFonts w:hint="eastAsia" w:hAnsi="宋体"/>
          <w:color w:val="auto"/>
          <w:highlight w:val="none"/>
          <w:u w:val="single"/>
        </w:rPr>
        <w:t>对有关承包人给予罚款，罚款金额视情节轻重而定</w:t>
      </w:r>
      <w:r>
        <w:rPr>
          <w:rFonts w:hAnsi="宋体"/>
          <w:color w:val="auto"/>
          <w:highlight w:val="none"/>
          <w:u w:val="single"/>
        </w:rPr>
        <w:t xml:space="preserve"> </w:t>
      </w:r>
      <w:r>
        <w:rPr>
          <w:rFonts w:hint="eastAsia" w:hAnsi="宋体" w:cs="宋体"/>
          <w:color w:val="auto"/>
          <w:highlight w:val="none"/>
        </w:rPr>
        <w:t>。</w:t>
      </w:r>
    </w:p>
    <w:p w14:paraId="1C2D2F2B">
      <w:pPr>
        <w:spacing w:line="360" w:lineRule="auto"/>
        <w:ind w:firstLine="420" w:firstLineChars="200"/>
        <w:rPr>
          <w:color w:val="auto"/>
          <w:highlight w:val="none"/>
          <w:u w:val="single"/>
        </w:rPr>
      </w:pPr>
      <w:r>
        <w:rPr>
          <w:rFonts w:hint="eastAsia" w:hAnsi="宋体" w:cs="宋体"/>
          <w:color w:val="auto"/>
          <w:kern w:val="0"/>
          <w:highlight w:val="none"/>
        </w:rPr>
        <w:t>项目经理未经批准，擅自离开施工现场的违约责任：</w:t>
      </w:r>
      <w:r>
        <w:rPr>
          <w:rFonts w:hint="eastAsia" w:hAnsi="宋体" w:cs="宋体"/>
          <w:color w:val="auto"/>
          <w:highlight w:val="none"/>
          <w:u w:val="single"/>
        </w:rPr>
        <w:t>项目经理每月在岗带班时间不得少于当月施工时间的</w:t>
      </w:r>
      <w:r>
        <w:rPr>
          <w:rFonts w:hAnsi="宋体"/>
          <w:color w:val="auto"/>
          <w:highlight w:val="none"/>
          <w:u w:val="single"/>
        </w:rPr>
        <w:t>80%</w:t>
      </w:r>
      <w:r>
        <w:rPr>
          <w:rFonts w:hint="eastAsia" w:hAnsi="宋体" w:cs="宋体"/>
          <w:color w:val="auto"/>
          <w:highlight w:val="none"/>
          <w:u w:val="single"/>
        </w:rPr>
        <w:t>。未经发包人同意或正当理由，项目经理每月在岗带班时间少于当月施工时间</w:t>
      </w:r>
      <w:r>
        <w:rPr>
          <w:rFonts w:hAnsi="宋体"/>
          <w:color w:val="auto"/>
          <w:highlight w:val="none"/>
          <w:u w:val="single"/>
        </w:rPr>
        <w:t>80%</w:t>
      </w:r>
      <w:r>
        <w:rPr>
          <w:rFonts w:hint="eastAsia" w:hAnsi="宋体" w:cs="宋体"/>
          <w:color w:val="auto"/>
          <w:highlight w:val="none"/>
          <w:u w:val="single"/>
        </w:rPr>
        <w:t>的，少在岗带班一天，发包人有权处违约金</w:t>
      </w:r>
      <w:r>
        <w:rPr>
          <w:color w:val="auto"/>
          <w:highlight w:val="none"/>
          <w:u w:val="single"/>
        </w:rPr>
        <w:t xml:space="preserve"> </w:t>
      </w:r>
      <w:r>
        <w:rPr>
          <w:rFonts w:hint="eastAsia"/>
          <w:color w:val="auto"/>
          <w:highlight w:val="none"/>
          <w:u w:val="single"/>
        </w:rPr>
        <w:t>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cs="宋体"/>
          <w:color w:val="auto"/>
          <w:highlight w:val="none"/>
          <w:u w:val="single"/>
        </w:rPr>
        <w:t>日（</w:t>
      </w:r>
      <w:r>
        <w:rPr>
          <w:rFonts w:hint="eastAsia" w:hAnsi="宋体" w:cs="宋体"/>
          <w:color w:val="auto"/>
          <w:highlight w:val="none"/>
          <w:u w:val="single"/>
        </w:rPr>
        <w:t>人民币</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rPr>
        <w:t>。</w:t>
      </w:r>
    </w:p>
    <w:p w14:paraId="009F9E5B">
      <w:pPr>
        <w:spacing w:line="360" w:lineRule="auto"/>
        <w:ind w:firstLine="420" w:firstLineChars="200"/>
        <w:rPr>
          <w:rFonts w:hAnsi="宋体"/>
          <w:color w:val="auto"/>
          <w:highlight w:val="none"/>
        </w:rPr>
      </w:pPr>
      <w:r>
        <w:rPr>
          <w:color w:val="auto"/>
          <w:highlight w:val="none"/>
        </w:rPr>
        <w:t xml:space="preserve">3.2.3 </w:t>
      </w:r>
      <w:r>
        <w:rPr>
          <w:rFonts w:hint="eastAsia" w:hAnsi="宋体" w:cs="宋体"/>
          <w:color w:val="auto"/>
          <w:highlight w:val="none"/>
        </w:rPr>
        <w:t>承包人擅自更换项目经理的违约责任</w:t>
      </w:r>
      <w:r>
        <w:rPr>
          <w:rFonts w:hint="eastAsia" w:hAnsi="宋体" w:cs="宋体"/>
          <w:color w:val="auto"/>
          <w:highlight w:val="none"/>
          <w:lang w:eastAsia="zh-CN"/>
        </w:rPr>
        <w:t>：</w:t>
      </w:r>
      <w:r>
        <w:rPr>
          <w:rFonts w:hint="eastAsia" w:hAnsi="宋体" w:cs="宋体"/>
          <w:color w:val="auto"/>
          <w:highlight w:val="none"/>
          <w:u w:val="single"/>
        </w:rPr>
        <w:t>承包人项目经理必须与承包人投标时所承诺的人员一致，并在（开工日期）前到任。在监理人向承包人颁发</w:t>
      </w:r>
      <w:r>
        <w:rPr>
          <w:color w:val="auto"/>
          <w:highlight w:val="none"/>
          <w:u w:val="single"/>
        </w:rPr>
        <w:t xml:space="preserve"> </w:t>
      </w:r>
      <w:r>
        <w:rPr>
          <w:rFonts w:hint="eastAsia" w:hAnsi="宋体" w:cs="宋体"/>
          <w:color w:val="auto"/>
          <w:highlight w:val="none"/>
          <w:u w:val="single"/>
        </w:rPr>
        <w:t>（竣工证明材料名称）</w:t>
      </w:r>
      <w:r>
        <w:rPr>
          <w:color w:val="auto"/>
          <w:highlight w:val="none"/>
          <w:u w:val="single"/>
        </w:rPr>
        <w:t xml:space="preserve"> </w:t>
      </w:r>
      <w:r>
        <w:rPr>
          <w:rFonts w:hint="eastAsia" w:hAnsi="宋体" w:cs="宋体"/>
          <w:color w:val="auto"/>
          <w:highlight w:val="none"/>
          <w:u w:val="single"/>
        </w:rPr>
        <w:t>前，项目经理不得同时兼任其他任何项目的项目经理</w:t>
      </w:r>
      <w:r>
        <w:rPr>
          <w:rFonts w:hint="eastAsia" w:hAnsi="宋体" w:cs="宋体"/>
          <w:color w:val="auto"/>
          <w:kern w:val="0"/>
          <w:highlight w:val="none"/>
          <w:u w:val="single"/>
        </w:rPr>
        <w:t>（符合桂建管</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w:t>
      </w:r>
      <w:r>
        <w:rPr>
          <w:color w:val="auto"/>
          <w:kern w:val="0"/>
          <w:highlight w:val="none"/>
          <w:u w:val="single"/>
        </w:rPr>
        <w:t>17</w:t>
      </w:r>
      <w:r>
        <w:rPr>
          <w:rFonts w:hint="eastAsia" w:hAnsi="宋体" w:cs="宋体"/>
          <w:color w:val="auto"/>
          <w:kern w:val="0"/>
          <w:highlight w:val="none"/>
          <w:u w:val="single"/>
        </w:rPr>
        <w:t>号和</w:t>
      </w:r>
      <w:r>
        <w:rPr>
          <w:rFonts w:hint="eastAsia" w:hAnsi="宋体" w:cs="宋体"/>
          <w:color w:val="auto"/>
          <w:highlight w:val="none"/>
          <w:u w:val="single"/>
        </w:rPr>
        <w:t>桂建管﹝</w:t>
      </w:r>
      <w:r>
        <w:rPr>
          <w:color w:val="auto"/>
          <w:highlight w:val="none"/>
          <w:u w:val="single"/>
        </w:rPr>
        <w:t>2014</w:t>
      </w:r>
      <w:r>
        <w:rPr>
          <w:rFonts w:hint="eastAsia" w:hAnsi="宋体" w:cs="宋体"/>
          <w:color w:val="auto"/>
          <w:highlight w:val="none"/>
          <w:u w:val="single"/>
        </w:rPr>
        <w:t>﹞</w:t>
      </w:r>
      <w:r>
        <w:rPr>
          <w:color w:val="auto"/>
          <w:highlight w:val="none"/>
          <w:u w:val="single"/>
        </w:rPr>
        <w:t>25</w:t>
      </w:r>
      <w:r>
        <w:rPr>
          <w:rFonts w:hint="eastAsia" w:hAnsi="宋体" w:cs="宋体"/>
          <w:color w:val="auto"/>
          <w:highlight w:val="none"/>
          <w:u w:val="single"/>
        </w:rPr>
        <w:t>号</w:t>
      </w:r>
      <w:r>
        <w:rPr>
          <w:rFonts w:hint="eastAsia" w:hAnsi="宋体" w:cs="宋体"/>
          <w:color w:val="auto"/>
          <w:kern w:val="0"/>
          <w:highlight w:val="none"/>
          <w:u w:val="single"/>
        </w:rPr>
        <w:t>文除外）</w:t>
      </w:r>
      <w:r>
        <w:rPr>
          <w:rFonts w:hint="eastAsia" w:hAnsi="宋体" w:cs="宋体"/>
          <w:color w:val="auto"/>
          <w:highlight w:val="none"/>
          <w:u w:val="single"/>
        </w:rPr>
        <w:t>。未经发包人书面同意，承包人擅自更换项目经理的视为违约，违约金处500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20F96EC5">
      <w:pPr>
        <w:spacing w:line="360" w:lineRule="auto"/>
        <w:ind w:firstLine="420" w:firstLineChars="200"/>
        <w:rPr>
          <w:color w:val="auto"/>
          <w:highlight w:val="none"/>
        </w:rPr>
      </w:pPr>
      <w:r>
        <w:rPr>
          <w:color w:val="auto"/>
          <w:highlight w:val="none"/>
        </w:rPr>
        <w:t xml:space="preserve">3.2.4 </w:t>
      </w:r>
      <w:r>
        <w:rPr>
          <w:rFonts w:hint="eastAsia" w:hAnsi="宋体" w:cs="宋体"/>
          <w:color w:val="auto"/>
          <w:highlight w:val="none"/>
        </w:rPr>
        <w:t>承包人无正当理由拒绝更换项目经理的违约责任</w:t>
      </w:r>
      <w:r>
        <w:rPr>
          <w:rFonts w:hint="eastAsia" w:hAnsi="宋体" w:cs="宋体"/>
          <w:color w:val="auto"/>
          <w:highlight w:val="none"/>
          <w:lang w:eastAsia="zh-CN"/>
        </w:rPr>
        <w:t>：</w:t>
      </w:r>
      <w:r>
        <w:rPr>
          <w:rFonts w:hint="eastAsia" w:hAnsi="宋体" w:cs="宋体"/>
          <w:color w:val="auto"/>
          <w:highlight w:val="none"/>
          <w:u w:val="single"/>
        </w:rPr>
        <w:t>因承包人项目经理不称职，发包人要求调换而未及时调换的，视为承包人违约，必须向发包人交纳处罚金500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4B440E48">
      <w:pPr>
        <w:pStyle w:val="4"/>
        <w:rPr>
          <w:color w:val="auto"/>
          <w:highlight w:val="none"/>
        </w:rPr>
      </w:pPr>
      <w:bookmarkStart w:id="293" w:name="_Toc389065275"/>
      <w:bookmarkStart w:id="294" w:name="_Toc373227709"/>
      <w:bookmarkStart w:id="295" w:name="_Toc407135211"/>
      <w:bookmarkStart w:id="296" w:name="_Toc15597"/>
      <w:bookmarkStart w:id="297" w:name="_Toc373478356"/>
      <w:r>
        <w:rPr>
          <w:color w:val="auto"/>
          <w:highlight w:val="none"/>
        </w:rPr>
        <w:t xml:space="preserve">3.3 </w:t>
      </w:r>
      <w:r>
        <w:rPr>
          <w:rFonts w:hint="eastAsia" w:hAnsi="宋体" w:cs="黑体"/>
          <w:color w:val="auto"/>
          <w:highlight w:val="none"/>
        </w:rPr>
        <w:t>承包人人员</w:t>
      </w:r>
      <w:bookmarkEnd w:id="293"/>
      <w:bookmarkEnd w:id="294"/>
      <w:bookmarkEnd w:id="295"/>
      <w:bookmarkEnd w:id="296"/>
      <w:bookmarkEnd w:id="297"/>
    </w:p>
    <w:p w14:paraId="70CBDE99">
      <w:pPr>
        <w:spacing w:line="360" w:lineRule="auto"/>
        <w:ind w:firstLine="420" w:firstLineChars="200"/>
        <w:rPr>
          <w:rFonts w:hAnsi="宋体"/>
          <w:color w:val="auto"/>
          <w:highlight w:val="none"/>
        </w:rPr>
      </w:pPr>
      <w:r>
        <w:rPr>
          <w:color w:val="auto"/>
          <w:highlight w:val="none"/>
        </w:rPr>
        <w:t xml:space="preserve">3.3.1 </w:t>
      </w:r>
      <w:r>
        <w:rPr>
          <w:rFonts w:hint="eastAsia" w:hAnsi="宋体" w:cs="宋体"/>
          <w:color w:val="auto"/>
          <w:highlight w:val="none"/>
        </w:rPr>
        <w:t>承包人提交项目管理机构及施工现场管理人员安排报告（格式见合同附件</w:t>
      </w:r>
      <w:r>
        <w:rPr>
          <w:rFonts w:hint="eastAsia" w:hAnsi="宋体"/>
          <w:color w:val="auto"/>
          <w:highlight w:val="none"/>
        </w:rPr>
        <w:t>5</w:t>
      </w:r>
      <w:r>
        <w:rPr>
          <w:rFonts w:hint="eastAsia" w:hAnsi="宋体" w:cs="宋体"/>
          <w:color w:val="auto"/>
          <w:highlight w:val="none"/>
        </w:rPr>
        <w:t>）的期限：</w:t>
      </w:r>
    </w:p>
    <w:p w14:paraId="2FB81266">
      <w:pPr>
        <w:spacing w:line="360" w:lineRule="auto"/>
        <w:rPr>
          <w:color w:val="auto"/>
          <w:highlight w:val="none"/>
        </w:rPr>
      </w:pPr>
      <w:r>
        <w:rPr>
          <w:color w:val="auto"/>
          <w:highlight w:val="none"/>
          <w:u w:val="single"/>
        </w:rPr>
        <w:t xml:space="preserve"> </w:t>
      </w:r>
      <w:r>
        <w:rPr>
          <w:rFonts w:hint="eastAsia"/>
          <w:color w:val="auto"/>
          <w:highlight w:val="none"/>
          <w:u w:val="single"/>
        </w:rPr>
        <w:t>接到开工通知之日起 7 天内</w:t>
      </w:r>
      <w:r>
        <w:rPr>
          <w:color w:val="auto"/>
          <w:highlight w:val="none"/>
          <w:u w:val="single"/>
        </w:rPr>
        <w:t xml:space="preserve"> </w:t>
      </w:r>
      <w:r>
        <w:rPr>
          <w:rFonts w:hint="eastAsia" w:hAnsi="宋体" w:cs="宋体"/>
          <w:color w:val="auto"/>
          <w:highlight w:val="none"/>
        </w:rPr>
        <w:t>。</w:t>
      </w:r>
    </w:p>
    <w:p w14:paraId="63AC2448">
      <w:pPr>
        <w:spacing w:line="360" w:lineRule="auto"/>
        <w:ind w:firstLine="420" w:firstLineChars="200"/>
        <w:rPr>
          <w:color w:val="auto"/>
          <w:highlight w:val="none"/>
        </w:rPr>
      </w:pPr>
      <w:r>
        <w:rPr>
          <w:color w:val="auto"/>
          <w:highlight w:val="none"/>
        </w:rPr>
        <w:t xml:space="preserve">3.3.3 </w:t>
      </w:r>
      <w:r>
        <w:rPr>
          <w:rFonts w:hint="eastAsia" w:hAnsi="宋体" w:cs="宋体"/>
          <w:color w:val="auto"/>
          <w:highlight w:val="none"/>
        </w:rPr>
        <w:t>承包人无正当理由拒绝撤换主要施工管理人员的违约责任：</w:t>
      </w:r>
      <w:r>
        <w:rPr>
          <w:rFonts w:hint="eastAsia" w:hAnsi="宋体" w:cs="宋体"/>
          <w:color w:val="auto"/>
          <w:highlight w:val="none"/>
          <w:u w:val="single"/>
        </w:rPr>
        <w:t>因承包人主要施工管理人员不称职，发包人要求调换而无正当理由拒绝撤换或未及时调换的，视为承包人违约，必须向发包人交纳处罚金，处罚标准：技术负责人300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；专业工程师</w:t>
      </w:r>
      <w:r>
        <w:rPr>
          <w:color w:val="auto"/>
          <w:highlight w:val="none"/>
          <w:u w:val="single"/>
        </w:rPr>
        <w:t xml:space="preserve"> </w:t>
      </w:r>
      <w:r>
        <w:rPr>
          <w:rFonts w:hint="eastAsia"/>
          <w:color w:val="auto"/>
          <w:highlight w:val="none"/>
          <w:u w:val="single"/>
        </w:rPr>
        <w:t>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4511C851">
      <w:pPr>
        <w:spacing w:line="360" w:lineRule="auto"/>
        <w:ind w:firstLine="420" w:firstLineChars="200"/>
        <w:rPr>
          <w:color w:val="auto"/>
          <w:highlight w:val="none"/>
          <w:u w:val="single"/>
        </w:rPr>
      </w:pPr>
      <w:r>
        <w:rPr>
          <w:color w:val="auto"/>
          <w:highlight w:val="none"/>
        </w:rPr>
        <w:t xml:space="preserve">3.3.4 </w:t>
      </w:r>
      <w:r>
        <w:rPr>
          <w:rFonts w:hint="eastAsia" w:hAnsi="宋体" w:cs="宋体"/>
          <w:color w:val="auto"/>
          <w:highlight w:val="none"/>
        </w:rPr>
        <w:t>承包人主要施工管理人员离开施工现场的批准要求：</w:t>
      </w:r>
      <w:r>
        <w:rPr>
          <w:color w:val="auto"/>
          <w:highlight w:val="none"/>
          <w:u w:val="single"/>
        </w:rPr>
        <w:t xml:space="preserve">  </w:t>
      </w:r>
      <w:r>
        <w:rPr>
          <w:rFonts w:hint="eastAsia"/>
          <w:color w:val="auto"/>
          <w:highlight w:val="none"/>
          <w:u w:val="single"/>
        </w:rPr>
        <w:t xml:space="preserve">承包人的主要施工管理人员离开施工现场每月累计不超过 5 天的，应报监理人同意；离开施工现场每月累计超过 5 天的，应通知监理人，并征得发包人书面同意。主要施工管理人员离开施工现场前应指定一名有经验的人员临时代行其职责，该人员应具备履行相应职责的资格和能力，且应征得监理人或发包人的同意 </w:t>
      </w:r>
      <w:r>
        <w:rPr>
          <w:rFonts w:hint="eastAsia" w:hAnsi="宋体" w:cs="宋体"/>
          <w:color w:val="auto"/>
          <w:highlight w:val="none"/>
        </w:rPr>
        <w:t>。</w:t>
      </w:r>
    </w:p>
    <w:p w14:paraId="644E2B0F">
      <w:pPr>
        <w:spacing w:line="360" w:lineRule="auto"/>
        <w:ind w:firstLine="420" w:firstLineChars="200"/>
        <w:rPr>
          <w:color w:val="auto"/>
          <w:highlight w:val="none"/>
        </w:rPr>
      </w:pPr>
      <w:r>
        <w:rPr>
          <w:color w:val="auto"/>
          <w:highlight w:val="none"/>
        </w:rPr>
        <w:t xml:space="preserve">3.3.5 </w:t>
      </w:r>
      <w:r>
        <w:rPr>
          <w:rFonts w:hint="eastAsia" w:hAnsi="宋体" w:cs="宋体"/>
          <w:color w:val="auto"/>
          <w:highlight w:val="none"/>
        </w:rPr>
        <w:t>承包人擅自更换主要施工管理人员的违约责任：</w:t>
      </w:r>
      <w:r>
        <w:rPr>
          <w:rFonts w:hint="eastAsia" w:hAnsi="宋体" w:cs="宋体"/>
          <w:color w:val="auto"/>
          <w:highlight w:val="none"/>
          <w:u w:val="single"/>
        </w:rPr>
        <w:t>项目技术负责人、专职安全员及其承诺的其它在场管理人员未经发包人书面同意不准擅自更换，擅自更换项目技术负责人处500元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违约金；擅自更换专职安全员处</w:t>
      </w:r>
      <w:r>
        <w:rPr>
          <w:color w:val="auto"/>
          <w:highlight w:val="none"/>
          <w:u w:val="single"/>
        </w:rPr>
        <w:t xml:space="preserve"> </w:t>
      </w:r>
      <w:r>
        <w:rPr>
          <w:rFonts w:hint="eastAsia"/>
          <w:color w:val="auto"/>
          <w:highlight w:val="none"/>
          <w:u w:val="single"/>
        </w:rPr>
        <w:t>300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违约金；擅自更换其它在场管理人员处200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w:t>
      </w:r>
      <w:r>
        <w:rPr>
          <w:rFonts w:hint="eastAsia" w:hAnsi="宋体" w:cs="宋体"/>
          <w:color w:val="auto"/>
          <w:highlight w:val="none"/>
        </w:rPr>
        <w:t>。</w:t>
      </w:r>
    </w:p>
    <w:p w14:paraId="456CCB5D">
      <w:pPr>
        <w:spacing w:line="360" w:lineRule="auto"/>
        <w:ind w:firstLine="420" w:firstLineChars="200"/>
        <w:rPr>
          <w:color w:val="auto"/>
          <w:highlight w:val="none"/>
        </w:rPr>
      </w:pPr>
      <w:r>
        <w:rPr>
          <w:rFonts w:hint="eastAsia" w:hAnsi="宋体" w:cs="宋体"/>
          <w:color w:val="auto"/>
          <w:highlight w:val="none"/>
        </w:rPr>
        <w:t>承包人主要施工管理人员擅自离开施工现场的违约责任：</w:t>
      </w:r>
      <w:r>
        <w:rPr>
          <w:rFonts w:hint="eastAsia" w:hAnsi="宋体" w:cs="宋体"/>
          <w:color w:val="auto"/>
          <w:highlight w:val="none"/>
          <w:u w:val="single"/>
        </w:rPr>
        <w:t>未经发包人同意，项目技术负责人擅自离岗的，视为承包人违约，发包人有权处违约金500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；未经发包人同意，专职安全员擅自离岗的，视为承包人违约，发包人有权处违约金200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；其它在场管理人员擅自离岗的，视为承包人违约，发包人有权处违约金200元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67EED69E">
      <w:pPr>
        <w:pStyle w:val="4"/>
        <w:rPr>
          <w:color w:val="auto"/>
          <w:highlight w:val="none"/>
        </w:rPr>
      </w:pPr>
      <w:bookmarkStart w:id="298" w:name="_Toc373478357"/>
      <w:bookmarkStart w:id="299" w:name="_Toc373227710"/>
      <w:bookmarkStart w:id="300" w:name="_Toc389065276"/>
      <w:bookmarkStart w:id="301" w:name="_Toc3683"/>
      <w:bookmarkStart w:id="302" w:name="_Toc407135212"/>
      <w:r>
        <w:rPr>
          <w:color w:val="auto"/>
          <w:highlight w:val="none"/>
        </w:rPr>
        <w:t>3</w:t>
      </w:r>
      <w:bookmarkStart w:id="303" w:name="_Toc296944498"/>
      <w:bookmarkStart w:id="304" w:name="_Toc292559869"/>
      <w:bookmarkStart w:id="305" w:name="_Toc304295523"/>
      <w:bookmarkStart w:id="306" w:name="_Toc296347158"/>
      <w:bookmarkStart w:id="307" w:name="_Toc303539102"/>
      <w:bookmarkStart w:id="308" w:name="_Toc292559364"/>
      <w:bookmarkStart w:id="309" w:name="_Toc296503159"/>
      <w:bookmarkStart w:id="310" w:name="_Toc312677988"/>
      <w:bookmarkStart w:id="311" w:name="_Toc297216151"/>
      <w:bookmarkStart w:id="312" w:name="_Toc297120459"/>
      <w:bookmarkStart w:id="313" w:name="_Toc297048345"/>
      <w:bookmarkStart w:id="314" w:name="_Toc300934945"/>
      <w:bookmarkStart w:id="315" w:name="_Toc296891199"/>
      <w:bookmarkStart w:id="316" w:name="_Toc297123492"/>
      <w:bookmarkStart w:id="317" w:name="_Toc296890987"/>
      <w:bookmarkStart w:id="318" w:name="_Toc296346660"/>
      <w:r>
        <w:rPr>
          <w:color w:val="auto"/>
          <w:highlight w:val="none"/>
        </w:rPr>
        <w:t xml:space="preserve">.5 </w:t>
      </w:r>
      <w:r>
        <w:rPr>
          <w:rFonts w:hint="eastAsia" w:hAnsi="宋体" w:cs="黑体"/>
          <w:color w:val="auto"/>
          <w:highlight w:val="none"/>
        </w:rPr>
        <w:t>分包</w:t>
      </w:r>
      <w:bookmarkEnd w:id="298"/>
      <w:bookmarkEnd w:id="299"/>
      <w:bookmarkEnd w:id="300"/>
      <w:bookmarkEnd w:id="301"/>
      <w:bookmarkEnd w:id="302"/>
    </w:p>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14:paraId="03BE5BF0">
      <w:pPr>
        <w:spacing w:line="360" w:lineRule="auto"/>
        <w:ind w:firstLine="420" w:firstLineChars="200"/>
        <w:rPr>
          <w:color w:val="auto"/>
          <w:highlight w:val="none"/>
        </w:rPr>
      </w:pPr>
      <w:r>
        <w:rPr>
          <w:color w:val="auto"/>
          <w:highlight w:val="none"/>
        </w:rPr>
        <w:t>3</w:t>
      </w:r>
      <w:bookmarkStart w:id="319" w:name="_Toc296944499"/>
      <w:bookmarkStart w:id="320" w:name="_Toc297120460"/>
      <w:bookmarkStart w:id="321" w:name="_Toc312677989"/>
      <w:bookmarkStart w:id="322" w:name="_Toc300934946"/>
      <w:bookmarkStart w:id="323" w:name="_Toc292559365"/>
      <w:bookmarkStart w:id="324" w:name="_Toc297123493"/>
      <w:bookmarkStart w:id="325" w:name="_Toc296503160"/>
      <w:bookmarkStart w:id="326" w:name="_Toc296890988"/>
      <w:bookmarkStart w:id="327" w:name="_Toc296347159"/>
      <w:bookmarkStart w:id="328" w:name="_Toc296346661"/>
      <w:bookmarkStart w:id="329" w:name="_Toc297048346"/>
      <w:bookmarkStart w:id="330" w:name="_Toc318581158"/>
      <w:bookmarkStart w:id="331" w:name="_Toc304295524"/>
      <w:bookmarkStart w:id="332" w:name="_Toc297216152"/>
      <w:bookmarkStart w:id="333" w:name="_Toc296891200"/>
      <w:bookmarkStart w:id="334" w:name="_Toc292559870"/>
      <w:bookmarkStart w:id="335" w:name="_Toc303539103"/>
      <w:r>
        <w:rPr>
          <w:color w:val="auto"/>
          <w:highlight w:val="none"/>
        </w:rPr>
        <w:t xml:space="preserve">.5.1 </w:t>
      </w:r>
      <w:r>
        <w:rPr>
          <w:rFonts w:hint="eastAsia" w:hAnsi="宋体" w:cs="宋体"/>
          <w:color w:val="auto"/>
          <w:highlight w:val="none"/>
        </w:rPr>
        <w:t>分包的一般约定</w:t>
      </w:r>
    </w:p>
    <w:p w14:paraId="71CC65CA">
      <w:pPr>
        <w:spacing w:line="360" w:lineRule="auto"/>
        <w:ind w:firstLine="420" w:firstLineChars="200"/>
        <w:jc w:val="left"/>
        <w:rPr>
          <w:color w:val="auto"/>
          <w:highlight w:val="none"/>
        </w:rPr>
      </w:pPr>
      <w:r>
        <w:rPr>
          <w:rFonts w:hint="eastAsia" w:hAnsi="宋体" w:cs="宋体"/>
          <w:color w:val="auto"/>
          <w:highlight w:val="none"/>
        </w:rPr>
        <w:t>禁止分包的工程包括：</w:t>
      </w:r>
      <w:r>
        <w:rPr>
          <w:color w:val="auto"/>
          <w:highlight w:val="none"/>
          <w:u w:val="single"/>
        </w:rPr>
        <w:t xml:space="preserve">   </w:t>
      </w:r>
      <w:r>
        <w:rPr>
          <w:rFonts w:hint="eastAsia"/>
          <w:color w:val="auto"/>
          <w:highlight w:val="none"/>
          <w:u w:val="single"/>
          <w:lang w:val="en-US" w:eastAsia="zh-CN"/>
        </w:rPr>
        <w:t>本工程不允许分包（除劳务分包以外）</w:t>
      </w:r>
      <w:r>
        <w:rPr>
          <w:color w:val="auto"/>
          <w:highlight w:val="none"/>
          <w:u w:val="single"/>
        </w:rPr>
        <w:t xml:space="preserve">     </w:t>
      </w:r>
      <w:r>
        <w:rPr>
          <w:rFonts w:hint="eastAsia" w:hAnsi="宋体" w:cs="宋体"/>
          <w:color w:val="auto"/>
          <w:highlight w:val="none"/>
        </w:rPr>
        <w:t>。</w:t>
      </w:r>
    </w:p>
    <w:p w14:paraId="71EA16C2">
      <w:pPr>
        <w:spacing w:line="360" w:lineRule="auto"/>
        <w:ind w:firstLine="420" w:firstLineChars="200"/>
        <w:jc w:val="left"/>
        <w:rPr>
          <w:rFonts w:hAnsi="宋体"/>
          <w:color w:val="auto"/>
          <w:highlight w:val="none"/>
        </w:rPr>
      </w:pPr>
      <w:r>
        <w:rPr>
          <w:rFonts w:hint="eastAsia" w:hAnsi="宋体" w:cs="宋体"/>
          <w:color w:val="auto"/>
          <w:highlight w:val="none"/>
        </w:rPr>
        <w:t>主体结构、关键性工作的范围：</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4145A276">
      <w:pPr>
        <w:spacing w:line="360" w:lineRule="auto"/>
        <w:ind w:firstLine="420" w:firstLineChars="200"/>
        <w:jc w:val="left"/>
        <w:rPr>
          <w:color w:val="auto"/>
          <w:highlight w:val="none"/>
        </w:rPr>
      </w:pPr>
      <w:r>
        <w:rPr>
          <w:color w:val="auto"/>
          <w:highlight w:val="none"/>
        </w:rPr>
        <w:t>3</w:t>
      </w:r>
      <w:bookmarkStart w:id="336" w:name="_Toc312677990"/>
      <w:bookmarkStart w:id="337" w:name="_Toc318581159"/>
      <w:r>
        <w:rPr>
          <w:color w:val="auto"/>
          <w:highlight w:val="none"/>
        </w:rPr>
        <w:t xml:space="preserve">.5.2 </w:t>
      </w:r>
      <w:r>
        <w:rPr>
          <w:rFonts w:hint="eastAsia" w:hAnsi="宋体" w:cs="宋体"/>
          <w:color w:val="auto"/>
          <w:highlight w:val="none"/>
        </w:rPr>
        <w:t>分包的确定</w:t>
      </w:r>
    </w:p>
    <w:p w14:paraId="32B03001">
      <w:pPr>
        <w:spacing w:line="360" w:lineRule="auto"/>
        <w:ind w:firstLine="420" w:firstLineChars="200"/>
        <w:rPr>
          <w:color w:val="auto"/>
          <w:highlight w:val="none"/>
          <w:u w:val="single"/>
        </w:rPr>
      </w:pPr>
      <w:r>
        <w:rPr>
          <w:rFonts w:hint="eastAsia" w:hAnsi="宋体" w:cs="宋体"/>
          <w:color w:val="auto"/>
          <w:highlight w:val="none"/>
        </w:rPr>
        <w:t>允许分包的专业工程包括：</w:t>
      </w:r>
      <w:r>
        <w:rPr>
          <w:color w:val="auto"/>
          <w:highlight w:val="none"/>
          <w:u w:val="single"/>
        </w:rPr>
        <w:t xml:space="preserve"> </w:t>
      </w:r>
      <w:r>
        <w:rPr>
          <w:rFonts w:hint="eastAsia"/>
          <w:color w:val="auto"/>
          <w:highlight w:val="none"/>
          <w:u w:val="single"/>
          <w:lang w:val="en-US" w:eastAsia="zh-CN"/>
        </w:rPr>
        <w:t>/</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6C692712">
      <w:pPr>
        <w:spacing w:line="360" w:lineRule="auto"/>
        <w:ind w:firstLine="420" w:firstLineChars="200"/>
        <w:rPr>
          <w:color w:val="auto"/>
          <w:highlight w:val="none"/>
        </w:rPr>
      </w:pPr>
      <w:r>
        <w:rPr>
          <w:rFonts w:hint="eastAsia" w:hAnsi="宋体" w:cs="宋体"/>
          <w:color w:val="auto"/>
          <w:highlight w:val="none"/>
        </w:rPr>
        <w:t>其他关于分包的约定：</w:t>
      </w:r>
    </w:p>
    <w:p w14:paraId="506D51A9">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highlight w:val="none"/>
        </w:rPr>
        <w:t>6</w:t>
      </w:r>
      <w:r>
        <w:rPr>
          <w:rFonts w:hint="eastAsia" w:hAnsi="宋体" w:cs="宋体"/>
          <w:color w:val="auto"/>
          <w:highlight w:val="none"/>
        </w:rPr>
        <w:t>。</w:t>
      </w:r>
    </w:p>
    <w:p w14:paraId="523786B4">
      <w:pPr>
        <w:spacing w:line="360" w:lineRule="auto"/>
        <w:ind w:firstLine="420" w:firstLineChars="200"/>
        <w:rPr>
          <w:color w:val="auto"/>
          <w:highlight w:val="none"/>
          <w:u w:val="singl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在相关分包合同签订并报送有关建设行政主管部门备案后</w:t>
      </w:r>
      <w:r>
        <w:rPr>
          <w:color w:val="auto"/>
          <w:highlight w:val="none"/>
        </w:rPr>
        <w:t>7</w:t>
      </w:r>
      <w:r>
        <w:rPr>
          <w:rFonts w:hint="eastAsia" w:hAnsi="宋体" w:cs="宋体"/>
          <w:color w:val="auto"/>
          <w:highlight w:val="none"/>
        </w:rPr>
        <w:t>天内，承包人应当将一份副本提交给监理人，承包人应保障分包工作不得再次分包。</w:t>
      </w:r>
    </w:p>
    <w:p w14:paraId="0119BF16">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未经承包人和监理人审批同意的分包工程和分包人，承包人有权拒绝验收分包工程和支付相应款项，由此引起的发包人费用增加和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延误的工期由发包人承担。</w:t>
      </w:r>
    </w:p>
    <w:p w14:paraId="0032F297">
      <w:pPr>
        <w:pStyle w:val="14"/>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4</w:t>
      </w:r>
      <w:r>
        <w:rPr>
          <w:rFonts w:hint="eastAsia" w:ascii="Times New Roman" w:hAnsi="Times New Roman"/>
          <w:color w:val="auto"/>
          <w:sz w:val="21"/>
          <w:szCs w:val="21"/>
          <w:highlight w:val="none"/>
        </w:rPr>
        <w:t>）</w:t>
      </w:r>
      <w:r>
        <w:rPr>
          <w:rFonts w:hint="eastAsia" w:ascii="Times New Roman" w:hAnsi="宋体"/>
          <w:color w:val="auto"/>
          <w:sz w:val="21"/>
          <w:szCs w:val="21"/>
          <w:highlight w:val="none"/>
        </w:rPr>
        <w:t>承包人有以下情况之一者，发包人有权解除合同，并视情况扣除其履约保证金：</w:t>
      </w:r>
    </w:p>
    <w:p w14:paraId="593CF8CE">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①个人承包工程，包括本人单位及外单位人员承包，发包人不承认其个人拥有任何资质等级及营业许可资格。没收全部履约保证金。</w:t>
      </w:r>
    </w:p>
    <w:p w14:paraId="288D2595">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②几个人联合承包工程，就地组织暗分包队伍，不具备完成本工程的技术、机械能力，被发包人判定为没有能力履行的承包人。没收全部履约保证金。</w:t>
      </w:r>
    </w:p>
    <w:p w14:paraId="3426501C">
      <w:pPr>
        <w:pStyle w:val="14"/>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③就地转包全部的工程，以谋取高额转让费、管理费的承包人。没收全部履约保证金。</w:t>
      </w:r>
    </w:p>
    <w:p w14:paraId="7BA7759C">
      <w:pPr>
        <w:spacing w:line="360" w:lineRule="auto"/>
        <w:ind w:firstLine="420" w:firstLineChars="200"/>
        <w:rPr>
          <w:color w:val="auto"/>
          <w:highlight w:val="none"/>
          <w:u w:val="single"/>
        </w:rPr>
      </w:pPr>
      <w:r>
        <w:rPr>
          <w:rFonts w:hint="eastAsia" w:hAnsi="宋体" w:cs="宋体"/>
          <w:color w:val="auto"/>
          <w:highlight w:val="none"/>
        </w:rPr>
        <w:t>④承包人有部分分包现象（其中包括冒充承包人下属单位的</w:t>
      </w:r>
      <w:r>
        <w:rPr>
          <w:rFonts w:hint="eastAsia" w:hAnsi="宋体" w:cs="宋体"/>
          <w:color w:val="auto"/>
          <w:highlight w:val="none"/>
          <w:lang w:eastAsia="zh-CN"/>
        </w:rPr>
        <w:t>挂钩</w:t>
      </w:r>
      <w:r>
        <w:rPr>
          <w:rFonts w:hint="eastAsia" w:hAnsi="宋体" w:cs="宋体"/>
          <w:color w:val="auto"/>
          <w:highlight w:val="none"/>
        </w:rPr>
        <w:t>单位，凭口头协议参与施工的分包人及其他暗分包个体户），一经发现核实，发包人将采取驱逐该暗分包人措施。没收全部履约保证金。</w:t>
      </w:r>
    </w:p>
    <w:p w14:paraId="44D542BD">
      <w:pPr>
        <w:spacing w:line="360" w:lineRule="auto"/>
        <w:ind w:firstLine="420" w:firstLineChars="200"/>
        <w:rPr>
          <w:color w:val="auto"/>
          <w:highlight w:val="none"/>
        </w:rPr>
      </w:pPr>
      <w:r>
        <w:rPr>
          <w:color w:val="auto"/>
          <w:highlight w:val="none"/>
        </w:rPr>
        <w:t>3.5.</w:t>
      </w:r>
      <w:r>
        <w:rPr>
          <w:rFonts w:hint="eastAsia"/>
          <w:color w:val="auto"/>
          <w:highlight w:val="none"/>
        </w:rPr>
        <w:t>3</w:t>
      </w:r>
      <w:r>
        <w:rPr>
          <w:rFonts w:hint="eastAsia" w:hAnsi="宋体" w:cs="宋体"/>
          <w:color w:val="auto"/>
          <w:highlight w:val="none"/>
        </w:rPr>
        <w:t>分包合同价款</w:t>
      </w:r>
    </w:p>
    <w:bookmarkEnd w:id="336"/>
    <w:bookmarkEnd w:id="337"/>
    <w:p w14:paraId="384BDE46">
      <w:pPr>
        <w:spacing w:line="360" w:lineRule="auto"/>
        <w:ind w:firstLine="420" w:firstLineChars="200"/>
        <w:rPr>
          <w:color w:val="auto"/>
          <w:highlight w:val="none"/>
        </w:rPr>
      </w:pPr>
      <w:bookmarkStart w:id="338" w:name="_Toc373227711"/>
      <w:bookmarkStart w:id="339" w:name="_Toc389065277"/>
      <w:bookmarkStart w:id="340" w:name="_Toc373478358"/>
      <w:bookmarkStart w:id="341" w:name="_Toc407135213"/>
      <w:r>
        <w:rPr>
          <w:rFonts w:hint="eastAsia" w:hAnsi="宋体" w:cs="宋体"/>
          <w:color w:val="auto"/>
          <w:highlight w:val="none"/>
        </w:rPr>
        <w:t>关于分包合同价款支付的约定：</w:t>
      </w:r>
      <w:r>
        <w:rPr>
          <w:rFonts w:hint="eastAsia" w:hAnsi="宋体" w:cs="宋体"/>
          <w:color w:val="auto"/>
          <w:highlight w:val="none"/>
          <w:u w:val="single"/>
        </w:rPr>
        <w:t>分包工程价款由承包人与分包人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结算。发包人未经承包人同意不得以任何形式向分包人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支付相关分包合同项下的任何工程款项。因发包人未经承包人同意直接向分包人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支付相关分包合同项下的任何工程款项而影响承包人工作的，所造成的承包人费用增加和</w:t>
      </w:r>
      <w:r>
        <w:rPr>
          <w:rFonts w:hint="eastAsia" w:cs="宋体"/>
          <w:color w:val="auto"/>
          <w:highlight w:val="none"/>
          <w:u w:val="single"/>
        </w:rPr>
        <w:t>（</w:t>
      </w:r>
      <w:r>
        <w:rPr>
          <w:rFonts w:hint="eastAsia" w:hAnsi="宋体" w:cs="宋体"/>
          <w:color w:val="auto"/>
          <w:highlight w:val="none"/>
          <w:u w:val="single"/>
        </w:rPr>
        <w:t>或</w:t>
      </w:r>
      <w:r>
        <w:rPr>
          <w:rFonts w:hint="eastAsia" w:cs="宋体"/>
          <w:color w:val="auto"/>
          <w:highlight w:val="none"/>
          <w:u w:val="single"/>
        </w:rPr>
        <w:t>）</w:t>
      </w:r>
      <w:r>
        <w:rPr>
          <w:rFonts w:hint="eastAsia" w:hAnsi="宋体" w:cs="宋体"/>
          <w:color w:val="auto"/>
          <w:highlight w:val="none"/>
          <w:u w:val="single"/>
        </w:rPr>
        <w:t>延误的工期由发包人承担。</w:t>
      </w:r>
    </w:p>
    <w:p w14:paraId="2BDC1CB7">
      <w:pPr>
        <w:pStyle w:val="4"/>
        <w:rPr>
          <w:color w:val="auto"/>
          <w:highlight w:val="none"/>
        </w:rPr>
      </w:pPr>
      <w:bookmarkStart w:id="342" w:name="_Toc16138"/>
      <w:r>
        <w:rPr>
          <w:color w:val="auto"/>
          <w:highlight w:val="none"/>
        </w:rPr>
        <w:t xml:space="preserve">3.6 </w:t>
      </w:r>
      <w:r>
        <w:rPr>
          <w:rFonts w:hint="eastAsia" w:cs="黑体"/>
          <w:color w:val="auto"/>
          <w:highlight w:val="none"/>
        </w:rPr>
        <w:t>工程照管与成品、半成品保护</w:t>
      </w:r>
      <w:bookmarkEnd w:id="338"/>
      <w:bookmarkEnd w:id="339"/>
      <w:bookmarkEnd w:id="340"/>
      <w:bookmarkEnd w:id="341"/>
      <w:bookmarkEnd w:id="342"/>
    </w:p>
    <w:p w14:paraId="423ABF40">
      <w:pPr>
        <w:spacing w:line="360" w:lineRule="auto"/>
        <w:ind w:firstLine="420" w:firstLineChars="200"/>
        <w:rPr>
          <w:color w:val="auto"/>
          <w:kern w:val="0"/>
          <w:highlight w:val="none"/>
          <w:u w:val="single"/>
        </w:rPr>
      </w:pPr>
      <w:r>
        <w:rPr>
          <w:rFonts w:hint="eastAsia" w:hAnsi="宋体" w:cs="宋体"/>
          <w:color w:val="auto"/>
          <w:kern w:val="0"/>
          <w:highlight w:val="none"/>
        </w:rPr>
        <w:t>承包人负责照管工程及工程相关的材料、工程设备的起始时间：</w:t>
      </w:r>
      <w:r>
        <w:rPr>
          <w:color w:val="auto"/>
          <w:kern w:val="0"/>
          <w:highlight w:val="none"/>
          <w:u w:val="single"/>
        </w:rPr>
        <w:t xml:space="preserve"> </w:t>
      </w:r>
      <w:r>
        <w:rPr>
          <w:rFonts w:hint="eastAsia"/>
          <w:color w:val="auto"/>
          <w:kern w:val="0"/>
          <w:highlight w:val="none"/>
          <w:u w:val="single"/>
        </w:rPr>
        <w:t>自发包人向承包人移交施工现场之日起，承包人应负责照管工程及工程相关的材料、工程设备，直到颁发工程接收证书之日止</w:t>
      </w:r>
      <w:r>
        <w:rPr>
          <w:color w:val="auto"/>
          <w:kern w:val="0"/>
          <w:highlight w:val="none"/>
          <w:u w:val="single"/>
        </w:rPr>
        <w:t xml:space="preserve">    </w:t>
      </w:r>
      <w:r>
        <w:rPr>
          <w:rFonts w:hint="eastAsia" w:hAnsi="宋体" w:cs="宋体"/>
          <w:color w:val="auto"/>
          <w:kern w:val="0"/>
          <w:highlight w:val="none"/>
        </w:rPr>
        <w:t>。</w:t>
      </w:r>
    </w:p>
    <w:p w14:paraId="3427BB4D">
      <w:pPr>
        <w:pStyle w:val="4"/>
        <w:rPr>
          <w:color w:val="auto"/>
          <w:highlight w:val="none"/>
        </w:rPr>
      </w:pPr>
      <w:bookmarkStart w:id="343" w:name="_Toc373227712"/>
      <w:bookmarkStart w:id="344" w:name="_Toc389065278"/>
      <w:bookmarkStart w:id="345" w:name="_Toc373478359"/>
      <w:bookmarkStart w:id="346" w:name="_Toc32106"/>
      <w:bookmarkStart w:id="347" w:name="_Toc407135214"/>
      <w:r>
        <w:rPr>
          <w:color w:val="auto"/>
          <w:highlight w:val="none"/>
        </w:rPr>
        <w:t xml:space="preserve">3.7 </w:t>
      </w:r>
      <w:r>
        <w:rPr>
          <w:rFonts w:hint="eastAsia" w:hAnsi="宋体" w:cs="黑体"/>
          <w:color w:val="auto"/>
          <w:highlight w:val="none"/>
        </w:rPr>
        <w:t>履约</w:t>
      </w:r>
      <w:bookmarkEnd w:id="343"/>
      <w:bookmarkEnd w:id="344"/>
      <w:bookmarkEnd w:id="345"/>
      <w:r>
        <w:rPr>
          <w:rFonts w:hint="eastAsia" w:hAnsi="宋体" w:cs="黑体"/>
          <w:color w:val="auto"/>
          <w:highlight w:val="none"/>
        </w:rPr>
        <w:t>保证金</w:t>
      </w:r>
      <w:bookmarkEnd w:id="346"/>
      <w:bookmarkEnd w:id="347"/>
    </w:p>
    <w:p w14:paraId="63CE9075">
      <w:pPr>
        <w:spacing w:line="360" w:lineRule="auto"/>
        <w:ind w:firstLine="420" w:firstLineChars="200"/>
        <w:rPr>
          <w:rFonts w:hint="eastAsia"/>
          <w:color w:val="auto"/>
          <w:highlight w:val="none"/>
          <w:u w:val="single"/>
        </w:rPr>
      </w:pPr>
      <w:bookmarkStart w:id="348" w:name="_Toc389065279"/>
      <w:bookmarkStart w:id="349" w:name="_Toc351203636"/>
      <w:bookmarkStart w:id="350" w:name="_Toc373227713"/>
      <w:bookmarkStart w:id="351" w:name="_Toc373478360"/>
      <w:r>
        <w:rPr>
          <w:rFonts w:hint="eastAsia" w:hAnsi="宋体" w:cs="宋体"/>
          <w:color w:val="auto"/>
          <w:highlight w:val="none"/>
        </w:rPr>
        <w:t>承包人提供履约担保的形式、金额及期限的：</w:t>
      </w:r>
      <w:r>
        <w:rPr>
          <w:rFonts w:hint="eastAsia" w:hAnsi="宋体" w:cs="宋体"/>
          <w:color w:val="auto"/>
          <w:highlight w:val="none"/>
          <w:u w:val="single"/>
        </w:rPr>
        <w:t>无</w:t>
      </w:r>
    </w:p>
    <w:p w14:paraId="21E31A9A">
      <w:pPr>
        <w:spacing w:line="360" w:lineRule="auto"/>
        <w:ind w:firstLine="420" w:firstLineChars="200"/>
        <w:rPr>
          <w:rFonts w:hAnsi="宋体"/>
          <w:color w:val="auto"/>
          <w:highlight w:val="none"/>
          <w:u w:val="single"/>
        </w:rPr>
      </w:pPr>
      <w:r>
        <w:rPr>
          <w:rFonts w:hint="eastAsia" w:hAnsi="宋体" w:cs="宋体"/>
          <w:color w:val="auto"/>
          <w:highlight w:val="none"/>
          <w:u w:val="single"/>
        </w:rPr>
        <w:t>承包人在中标后</w:t>
      </w:r>
      <w:r>
        <w:rPr>
          <w:color w:val="auto"/>
          <w:highlight w:val="none"/>
          <w:u w:val="single"/>
        </w:rPr>
        <w:t>7</w:t>
      </w:r>
      <w:r>
        <w:rPr>
          <w:rFonts w:hint="eastAsia" w:hAnsi="宋体" w:cs="宋体"/>
          <w:color w:val="auto"/>
          <w:highlight w:val="none"/>
          <w:u w:val="single"/>
        </w:rPr>
        <w:t>个工作日内，按</w:t>
      </w:r>
      <w:r>
        <w:rPr>
          <w:rFonts w:hint="eastAsia"/>
          <w:color w:val="auto"/>
          <w:highlight w:val="none"/>
          <w:u w:val="single"/>
        </w:rPr>
        <w:t>玉林市</w:t>
      </w:r>
      <w:r>
        <w:rPr>
          <w:rFonts w:hint="eastAsia"/>
          <w:color w:val="auto"/>
          <w:highlight w:val="none"/>
          <w:u w:val="single"/>
          <w:lang w:eastAsia="zh-CN"/>
        </w:rPr>
        <w:t>住</w:t>
      </w:r>
      <w:r>
        <w:rPr>
          <w:rFonts w:hint="eastAsia"/>
          <w:color w:val="auto"/>
          <w:highlight w:val="none"/>
          <w:u w:val="single"/>
        </w:rPr>
        <w:t>房城乡建设行政主管部门</w:t>
      </w:r>
      <w:r>
        <w:rPr>
          <w:color w:val="auto"/>
          <w:highlight w:val="none"/>
          <w:u w:val="single"/>
        </w:rPr>
        <w:t xml:space="preserve"> </w:t>
      </w:r>
      <w:r>
        <w:rPr>
          <w:rFonts w:hint="eastAsia" w:hAnsi="宋体" w:cs="宋体"/>
          <w:color w:val="auto"/>
          <w:highlight w:val="none"/>
          <w:u w:val="single"/>
        </w:rPr>
        <w:t>（各市住房城乡建设行政主管部门规定）规定将农民工工资保障金存入</w:t>
      </w:r>
      <w:r>
        <w:rPr>
          <w:rFonts w:hint="eastAsia" w:hAnsi="宋体" w:cs="宋体"/>
          <w:color w:val="auto"/>
          <w:highlight w:val="none"/>
          <w:u w:val="single"/>
          <w:lang w:eastAsia="zh-CN"/>
        </w:rPr>
        <w:t>账</w:t>
      </w:r>
      <w:r>
        <w:rPr>
          <w:rFonts w:hint="eastAsia" w:hAnsi="宋体" w:cs="宋体"/>
          <w:color w:val="auto"/>
          <w:highlight w:val="none"/>
          <w:u w:val="single"/>
        </w:rPr>
        <w:t>户。工程竣工验收结算经审定后，按照规定程序，将农民工工资保障金没有使用或剩余的金额退还给承包人。</w:t>
      </w:r>
    </w:p>
    <w:p w14:paraId="3666C6BC">
      <w:pPr>
        <w:pStyle w:val="3"/>
        <w:rPr>
          <w:color w:val="auto"/>
          <w:highlight w:val="none"/>
        </w:rPr>
      </w:pPr>
      <w:bookmarkStart w:id="352" w:name="_Toc21244"/>
      <w:bookmarkStart w:id="353" w:name="_Toc407135215"/>
      <w:r>
        <w:rPr>
          <w:color w:val="auto"/>
          <w:highlight w:val="none"/>
        </w:rPr>
        <w:t>4</w:t>
      </w:r>
      <w:bookmarkStart w:id="354" w:name="_Toc267251413"/>
      <w:bookmarkStart w:id="355" w:name="_Toc297048348"/>
      <w:bookmarkStart w:id="356" w:name="_Toc296346663"/>
      <w:bookmarkStart w:id="357" w:name="_Toc292559871"/>
      <w:bookmarkStart w:id="358" w:name="_Toc296890990"/>
      <w:bookmarkStart w:id="359" w:name="_Toc296891202"/>
      <w:bookmarkStart w:id="360" w:name="_Toc296944501"/>
      <w:bookmarkStart w:id="361" w:name="_Toc292559366"/>
      <w:bookmarkStart w:id="362" w:name="_Toc296347161"/>
      <w:bookmarkStart w:id="363" w:name="_Toc297120462"/>
      <w:bookmarkStart w:id="364" w:name="_Toc296503162"/>
      <w:r>
        <w:rPr>
          <w:color w:val="auto"/>
          <w:highlight w:val="none"/>
        </w:rPr>
        <w:t xml:space="preserve">. </w:t>
      </w:r>
      <w:r>
        <w:rPr>
          <w:rFonts w:hint="eastAsia" w:hAnsi="宋体" w:cs="黑体"/>
          <w:color w:val="auto"/>
          <w:highlight w:val="none"/>
        </w:rPr>
        <w:t>监</w:t>
      </w:r>
      <w:bookmarkEnd w:id="354"/>
      <w:bookmarkEnd w:id="355"/>
      <w:bookmarkEnd w:id="356"/>
      <w:bookmarkEnd w:id="357"/>
      <w:bookmarkEnd w:id="358"/>
      <w:bookmarkEnd w:id="359"/>
      <w:bookmarkEnd w:id="360"/>
      <w:bookmarkEnd w:id="361"/>
      <w:bookmarkEnd w:id="362"/>
      <w:bookmarkEnd w:id="363"/>
      <w:bookmarkEnd w:id="364"/>
      <w:r>
        <w:rPr>
          <w:rFonts w:hint="eastAsia" w:hAnsi="宋体" w:cs="黑体"/>
          <w:color w:val="auto"/>
          <w:highlight w:val="none"/>
        </w:rPr>
        <w:t>理人</w:t>
      </w:r>
      <w:bookmarkEnd w:id="348"/>
      <w:bookmarkEnd w:id="349"/>
      <w:bookmarkEnd w:id="350"/>
      <w:bookmarkEnd w:id="351"/>
      <w:bookmarkEnd w:id="352"/>
      <w:bookmarkEnd w:id="353"/>
    </w:p>
    <w:p w14:paraId="28AE50A7">
      <w:pPr>
        <w:pStyle w:val="4"/>
        <w:rPr>
          <w:color w:val="auto"/>
          <w:highlight w:val="none"/>
        </w:rPr>
      </w:pPr>
      <w:bookmarkStart w:id="365" w:name="_Toc373227714"/>
      <w:bookmarkStart w:id="366" w:name="_Toc407135216"/>
      <w:bookmarkStart w:id="367" w:name="_Toc23330"/>
      <w:bookmarkStart w:id="368" w:name="_Toc373478361"/>
      <w:bookmarkStart w:id="369" w:name="_Toc389065280"/>
      <w:r>
        <w:rPr>
          <w:color w:val="auto"/>
          <w:highlight w:val="none"/>
        </w:rPr>
        <w:t xml:space="preserve">4.1 </w:t>
      </w:r>
      <w:r>
        <w:rPr>
          <w:rFonts w:hint="eastAsia" w:cs="黑体"/>
          <w:color w:val="auto"/>
          <w:highlight w:val="none"/>
        </w:rPr>
        <w:t>监理人的一般规定</w:t>
      </w:r>
      <w:bookmarkEnd w:id="365"/>
      <w:bookmarkEnd w:id="366"/>
      <w:bookmarkEnd w:id="367"/>
      <w:bookmarkEnd w:id="368"/>
      <w:bookmarkEnd w:id="369"/>
    </w:p>
    <w:p w14:paraId="781954C1">
      <w:pPr>
        <w:spacing w:line="360" w:lineRule="auto"/>
        <w:ind w:firstLine="420" w:firstLineChars="200"/>
        <w:jc w:val="left"/>
        <w:rPr>
          <w:color w:val="auto"/>
          <w:highlight w:val="none"/>
        </w:rPr>
      </w:pPr>
      <w:r>
        <w:rPr>
          <w:rFonts w:hint="eastAsia" w:hAnsi="宋体" w:cs="宋体"/>
          <w:color w:val="auto"/>
          <w:highlight w:val="none"/>
        </w:rPr>
        <w:t>关于监理人的监理内容：</w:t>
      </w:r>
      <w:r>
        <w:rPr>
          <w:color w:val="auto"/>
          <w:highlight w:val="none"/>
          <w:u w:val="single"/>
        </w:rPr>
        <w:t xml:space="preserve">  </w:t>
      </w:r>
      <w:r>
        <w:rPr>
          <w:rFonts w:hint="eastAsia"/>
          <w:color w:val="auto"/>
          <w:highlight w:val="none"/>
          <w:u w:val="single"/>
        </w:rPr>
        <w:t>监督、管理、协调、服务，对施工质量、进度、安全、投资进行全面控制，具体详见监理合同</w:t>
      </w:r>
      <w:r>
        <w:rPr>
          <w:color w:val="auto"/>
          <w:highlight w:val="none"/>
          <w:u w:val="single"/>
        </w:rPr>
        <w:t xml:space="preserve">   </w:t>
      </w:r>
      <w:r>
        <w:rPr>
          <w:rFonts w:hint="eastAsia" w:hAnsi="宋体" w:cs="宋体"/>
          <w:color w:val="auto"/>
          <w:highlight w:val="none"/>
        </w:rPr>
        <w:t>。</w:t>
      </w:r>
    </w:p>
    <w:p w14:paraId="1F7A5CB2">
      <w:pPr>
        <w:spacing w:line="360" w:lineRule="auto"/>
        <w:ind w:firstLine="420" w:firstLineChars="200"/>
        <w:jc w:val="left"/>
        <w:rPr>
          <w:rFonts w:hint="eastAsia"/>
          <w:color w:val="auto"/>
          <w:highlight w:val="none"/>
          <w:u w:val="single"/>
        </w:rPr>
      </w:pPr>
      <w:r>
        <w:rPr>
          <w:rFonts w:hint="eastAsia" w:hAnsi="宋体" w:cs="宋体"/>
          <w:color w:val="auto"/>
          <w:highlight w:val="none"/>
        </w:rPr>
        <w:t>关于监理人的监理权限：</w:t>
      </w:r>
      <w:r>
        <w:rPr>
          <w:color w:val="auto"/>
          <w:highlight w:val="none"/>
          <w:u w:val="single"/>
        </w:rPr>
        <w:t xml:space="preserve"> </w:t>
      </w:r>
      <w:r>
        <w:rPr>
          <w:rFonts w:hint="eastAsia"/>
          <w:color w:val="auto"/>
          <w:highlight w:val="none"/>
          <w:u w:val="single"/>
        </w:rPr>
        <w:t>监理人应当根据发包人授权及法律规定，代表发包人对工程施工</w:t>
      </w:r>
    </w:p>
    <w:p w14:paraId="7FC9DDD6">
      <w:pPr>
        <w:spacing w:line="360" w:lineRule="auto"/>
        <w:ind w:firstLine="420" w:firstLineChars="200"/>
        <w:jc w:val="left"/>
        <w:rPr>
          <w:color w:val="auto"/>
          <w:highlight w:val="none"/>
        </w:rPr>
      </w:pPr>
      <w:r>
        <w:rPr>
          <w:rFonts w:hint="eastAsia"/>
          <w:color w:val="auto"/>
          <w:highlight w:val="none"/>
          <w:u w:val="single"/>
        </w:rPr>
        <w:t>相关事项进行检查、查验、审核、验收，并签发相关指示，但监理人无权修改合同，且无权减轻或免除合同约定的承包人的任何责任与义务</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7833B432">
      <w:pPr>
        <w:spacing w:line="360" w:lineRule="auto"/>
        <w:rPr>
          <w:color w:val="auto"/>
          <w:highlight w:val="none"/>
        </w:rPr>
      </w:pPr>
      <w:r>
        <w:rPr>
          <w:rFonts w:hint="eastAsia" w:hAnsi="宋体" w:cs="宋体"/>
          <w:color w:val="auto"/>
          <w:highlight w:val="none"/>
        </w:rPr>
        <w:t>关于监理人在施工现场的办公场所、生活场所的提供和费用承担的约定：</w:t>
      </w:r>
      <w:r>
        <w:rPr>
          <w:color w:val="auto"/>
          <w:highlight w:val="none"/>
          <w:u w:val="single"/>
        </w:rPr>
        <w:t xml:space="preserve">   </w:t>
      </w:r>
      <w:r>
        <w:rPr>
          <w:rFonts w:hint="eastAsia"/>
          <w:color w:val="auto"/>
          <w:highlight w:val="none"/>
          <w:u w:val="single"/>
        </w:rPr>
        <w:t>监理人在施工现场的办公场所、生活场所由承包人提供，所发生的费用由发包人承担</w:t>
      </w:r>
      <w:r>
        <w:rPr>
          <w:color w:val="auto"/>
          <w:highlight w:val="none"/>
          <w:u w:val="single"/>
        </w:rPr>
        <w:t xml:space="preserve">    </w:t>
      </w:r>
      <w:r>
        <w:rPr>
          <w:rFonts w:hint="eastAsia" w:hAnsi="宋体" w:cs="宋体"/>
          <w:color w:val="auto"/>
          <w:highlight w:val="none"/>
        </w:rPr>
        <w:t>。</w:t>
      </w:r>
    </w:p>
    <w:p w14:paraId="4364A11E">
      <w:pPr>
        <w:pStyle w:val="4"/>
        <w:rPr>
          <w:color w:val="auto"/>
          <w:highlight w:val="none"/>
        </w:rPr>
      </w:pPr>
      <w:bookmarkStart w:id="370" w:name="_Toc407135217"/>
      <w:bookmarkStart w:id="371" w:name="_Toc14162"/>
      <w:bookmarkStart w:id="372" w:name="_Toc389065281"/>
      <w:bookmarkStart w:id="373" w:name="_Toc373227715"/>
      <w:bookmarkStart w:id="374" w:name="_Toc373478362"/>
      <w:r>
        <w:rPr>
          <w:color w:val="auto"/>
          <w:highlight w:val="none"/>
        </w:rPr>
        <w:t xml:space="preserve">4.2 </w:t>
      </w:r>
      <w:r>
        <w:rPr>
          <w:rFonts w:hint="eastAsia" w:hAnsi="宋体" w:cs="黑体"/>
          <w:color w:val="auto"/>
          <w:highlight w:val="none"/>
        </w:rPr>
        <w:t>监理人员</w:t>
      </w:r>
      <w:bookmarkEnd w:id="370"/>
      <w:bookmarkEnd w:id="371"/>
      <w:bookmarkEnd w:id="372"/>
      <w:bookmarkEnd w:id="373"/>
      <w:bookmarkEnd w:id="374"/>
    </w:p>
    <w:p w14:paraId="7BE8A91D">
      <w:pPr>
        <w:spacing w:line="360" w:lineRule="auto"/>
        <w:ind w:firstLine="420" w:firstLineChars="200"/>
        <w:rPr>
          <w:color w:val="auto"/>
          <w:highlight w:val="none"/>
        </w:rPr>
      </w:pPr>
      <w:r>
        <w:rPr>
          <w:rFonts w:hint="eastAsia" w:hAnsi="宋体" w:cs="宋体"/>
          <w:color w:val="auto"/>
          <w:highlight w:val="none"/>
        </w:rPr>
        <w:t>总监理工程师：</w:t>
      </w:r>
    </w:p>
    <w:p w14:paraId="75A12958">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A084188">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EF90DCD">
      <w:pPr>
        <w:spacing w:line="360" w:lineRule="auto"/>
        <w:ind w:firstLine="420" w:firstLineChars="200"/>
        <w:rPr>
          <w:rFonts w:hAnsi="宋体"/>
          <w:color w:val="auto"/>
          <w:highlight w:val="none"/>
        </w:rPr>
      </w:pPr>
      <w:r>
        <w:rPr>
          <w:rFonts w:hAnsi="宋体"/>
          <w:color w:val="auto"/>
          <w:highlight w:val="none"/>
        </w:rPr>
        <w:t>监理工程师执业资格证书号：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4E65D1F">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293BEBD">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737B80F">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B8A2295">
      <w:pPr>
        <w:spacing w:line="360" w:lineRule="auto"/>
        <w:ind w:firstLine="420" w:firstLineChars="200"/>
        <w:rPr>
          <w:color w:val="auto"/>
          <w:highlight w:val="none"/>
        </w:rPr>
      </w:pPr>
      <w:r>
        <w:rPr>
          <w:rFonts w:hAnsi="宋体"/>
          <w:color w:val="auto"/>
          <w:highlight w:val="none"/>
        </w:rPr>
        <w:t>关于监理人的其他约定：</w:t>
      </w:r>
      <w:r>
        <w:rPr>
          <w:rFonts w:hAnsi="宋体"/>
          <w:color w:val="auto"/>
          <w:highlight w:val="none"/>
          <w:u w:val="single"/>
        </w:rPr>
        <w:t></w:t>
      </w:r>
      <w:r>
        <w:rPr>
          <w:rFonts w:hint="eastAsia"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E759C6E">
      <w:pPr>
        <w:pStyle w:val="4"/>
        <w:rPr>
          <w:color w:val="auto"/>
          <w:highlight w:val="none"/>
        </w:rPr>
      </w:pPr>
      <w:bookmarkStart w:id="375" w:name="_Toc22346"/>
      <w:bookmarkStart w:id="376" w:name="_Toc373227716"/>
      <w:bookmarkStart w:id="377" w:name="_Toc373478363"/>
      <w:bookmarkStart w:id="378" w:name="_Toc407135218"/>
      <w:bookmarkStart w:id="379" w:name="_Toc389065282"/>
      <w:r>
        <w:rPr>
          <w:color w:val="auto"/>
          <w:highlight w:val="none"/>
        </w:rPr>
        <w:t xml:space="preserve">4.4 </w:t>
      </w:r>
      <w:r>
        <w:rPr>
          <w:rFonts w:hint="eastAsia" w:hAnsi="宋体" w:cs="黑体"/>
          <w:color w:val="auto"/>
          <w:highlight w:val="none"/>
        </w:rPr>
        <w:t>商定或确定</w:t>
      </w:r>
      <w:bookmarkEnd w:id="375"/>
      <w:bookmarkEnd w:id="376"/>
      <w:bookmarkEnd w:id="377"/>
      <w:bookmarkEnd w:id="378"/>
      <w:bookmarkEnd w:id="379"/>
    </w:p>
    <w:p w14:paraId="1119FF96">
      <w:pPr>
        <w:spacing w:line="360" w:lineRule="auto"/>
        <w:ind w:firstLine="420" w:firstLineChars="200"/>
        <w:rPr>
          <w:color w:val="auto"/>
          <w:highlight w:val="none"/>
        </w:rPr>
      </w:pPr>
      <w:bookmarkStart w:id="380" w:name="_Toc267251418"/>
      <w:r>
        <w:rPr>
          <w:rFonts w:hint="eastAsia" w:hAnsi="宋体" w:cs="宋体"/>
          <w:color w:val="auto"/>
          <w:highlight w:val="none"/>
        </w:rPr>
        <w:t>在发包人和承包人不能通过协商达成一致意见时，发包人授权监理人对以下事项进行确定：</w:t>
      </w:r>
    </w:p>
    <w:p w14:paraId="6C309FF8">
      <w:pPr>
        <w:autoSpaceDE w:val="0"/>
        <w:autoSpaceDN w:val="0"/>
        <w:adjustRightInd w:val="0"/>
        <w:spacing w:line="360" w:lineRule="auto"/>
        <w:ind w:firstLine="420" w:firstLineChars="200"/>
        <w:jc w:val="left"/>
        <w:rPr>
          <w:rFonts w:hint="eastAsia"/>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w:t>
      </w:r>
      <w:r>
        <w:rPr>
          <w:color w:val="auto"/>
          <w:highlight w:val="none"/>
          <w:u w:val="single"/>
        </w:rPr>
        <w:t xml:space="preserve">    </w:t>
      </w:r>
      <w:r>
        <w:rPr>
          <w:rFonts w:hint="eastAsia"/>
          <w:color w:val="auto"/>
          <w:highlight w:val="none"/>
          <w:u w:val="single"/>
        </w:rPr>
        <w:t>按通用合同条款第4.4条执行</w:t>
      </w:r>
      <w:r>
        <w:rPr>
          <w:color w:val="auto"/>
          <w:highlight w:val="none"/>
          <w:u w:val="single"/>
        </w:rPr>
        <w:t xml:space="preserve">   </w:t>
      </w:r>
      <w:r>
        <w:rPr>
          <w:color w:val="auto"/>
          <w:highlight w:val="none"/>
        </w:rPr>
        <w:t xml:space="preserve"> </w:t>
      </w:r>
      <w:r>
        <w:rPr>
          <w:rFonts w:hint="eastAsia"/>
          <w:color w:val="auto"/>
          <w:highlight w:val="none"/>
        </w:rPr>
        <w:t>。</w:t>
      </w:r>
    </w:p>
    <w:p w14:paraId="47922EFA">
      <w:pPr>
        <w:pStyle w:val="3"/>
        <w:rPr>
          <w:color w:val="auto"/>
          <w:highlight w:val="none"/>
        </w:rPr>
      </w:pPr>
      <w:bookmarkStart w:id="381" w:name="_Toc351203637"/>
      <w:bookmarkStart w:id="382" w:name="_Toc407135219"/>
      <w:bookmarkStart w:id="383" w:name="_Toc389065283"/>
      <w:bookmarkStart w:id="384" w:name="_Toc373227717"/>
      <w:bookmarkStart w:id="385" w:name="_Toc25204"/>
      <w:bookmarkStart w:id="386" w:name="_Toc373478364"/>
      <w:r>
        <w:rPr>
          <w:color w:val="auto"/>
          <w:highlight w:val="none"/>
        </w:rPr>
        <w:t>5</w:t>
      </w:r>
      <w:bookmarkEnd w:id="380"/>
      <w:bookmarkStart w:id="387" w:name="_Toc296891203"/>
      <w:bookmarkStart w:id="388" w:name="_Toc297120463"/>
      <w:bookmarkStart w:id="389" w:name="_Toc296503163"/>
      <w:bookmarkStart w:id="390" w:name="_Toc292559367"/>
      <w:bookmarkStart w:id="391" w:name="_Toc292559872"/>
      <w:bookmarkStart w:id="392" w:name="_Toc296890991"/>
      <w:bookmarkStart w:id="393" w:name="_Toc297048349"/>
      <w:bookmarkStart w:id="394" w:name="_Toc296346664"/>
      <w:bookmarkStart w:id="395" w:name="_Toc296347162"/>
      <w:bookmarkStart w:id="396" w:name="_Toc296944502"/>
      <w:r>
        <w:rPr>
          <w:color w:val="auto"/>
          <w:highlight w:val="none"/>
        </w:rPr>
        <w:t xml:space="preserve">. </w:t>
      </w:r>
      <w:r>
        <w:rPr>
          <w:rFonts w:hint="eastAsia" w:hAnsi="宋体" w:cs="黑体"/>
          <w:color w:val="auto"/>
          <w:highlight w:val="none"/>
        </w:rPr>
        <w:t>工程质量</w:t>
      </w:r>
      <w:bookmarkEnd w:id="381"/>
      <w:bookmarkEnd w:id="382"/>
      <w:bookmarkEnd w:id="383"/>
      <w:bookmarkEnd w:id="384"/>
      <w:bookmarkEnd w:id="385"/>
      <w:bookmarkEnd w:id="386"/>
    </w:p>
    <w:p w14:paraId="5EE4CC5D">
      <w:pPr>
        <w:pStyle w:val="4"/>
        <w:rPr>
          <w:color w:val="auto"/>
          <w:highlight w:val="none"/>
        </w:rPr>
      </w:pPr>
      <w:bookmarkStart w:id="397" w:name="_Toc373227718"/>
      <w:bookmarkStart w:id="398" w:name="_Toc407135220"/>
      <w:bookmarkStart w:id="399" w:name="_Toc9653"/>
      <w:bookmarkStart w:id="400" w:name="_Toc373478365"/>
      <w:bookmarkStart w:id="401" w:name="_Toc389065284"/>
      <w:r>
        <w:rPr>
          <w:color w:val="auto"/>
          <w:highlight w:val="none"/>
        </w:rPr>
        <w:t xml:space="preserve">5.1 </w:t>
      </w:r>
      <w:r>
        <w:rPr>
          <w:rFonts w:hint="eastAsia" w:hAnsi="宋体" w:cs="黑体"/>
          <w:color w:val="auto"/>
          <w:highlight w:val="none"/>
        </w:rPr>
        <w:t>质量要求</w:t>
      </w:r>
      <w:bookmarkEnd w:id="397"/>
      <w:bookmarkEnd w:id="398"/>
      <w:bookmarkEnd w:id="399"/>
      <w:bookmarkEnd w:id="400"/>
      <w:bookmarkEnd w:id="401"/>
    </w:p>
    <w:p w14:paraId="7AE05821">
      <w:pPr>
        <w:spacing w:line="360" w:lineRule="auto"/>
        <w:ind w:firstLine="420" w:firstLineChars="200"/>
        <w:jc w:val="left"/>
        <w:rPr>
          <w:color w:val="auto"/>
          <w:highlight w:val="none"/>
          <w:u w:val="single"/>
        </w:rPr>
      </w:pPr>
      <w:r>
        <w:rPr>
          <w:color w:val="auto"/>
          <w:highlight w:val="none"/>
        </w:rPr>
        <w:t>5</w:t>
      </w:r>
      <w:bookmarkStart w:id="402" w:name="_Toc303539106"/>
      <w:bookmarkStart w:id="403" w:name="_Toc297216155"/>
      <w:bookmarkStart w:id="404" w:name="_Toc312677997"/>
      <w:bookmarkStart w:id="405" w:name="_Toc300934949"/>
      <w:bookmarkStart w:id="406" w:name="_Toc297123496"/>
      <w:bookmarkStart w:id="407" w:name="_Toc304295527"/>
      <w:bookmarkStart w:id="408" w:name="_Toc318581164"/>
      <w:r>
        <w:rPr>
          <w:color w:val="auto"/>
          <w:highlight w:val="none"/>
        </w:rPr>
        <w:t xml:space="preserve">.1.1 </w:t>
      </w:r>
      <w:r>
        <w:rPr>
          <w:rFonts w:hint="eastAsia" w:hAnsi="宋体" w:cs="宋体"/>
          <w:color w:val="auto"/>
          <w:highlight w:val="none"/>
        </w:rPr>
        <w:t>特殊质量标准和要求：</w:t>
      </w:r>
      <w:r>
        <w:rPr>
          <w:color w:val="auto"/>
          <w:highlight w:val="none"/>
          <w:u w:val="single"/>
        </w:rPr>
        <w:t xml:space="preserve">  </w:t>
      </w:r>
      <w:r>
        <w:rPr>
          <w:rFonts w:hint="eastAsia"/>
          <w:color w:val="auto"/>
          <w:highlight w:val="none"/>
          <w:u w:val="single"/>
          <w:lang w:val="en-US" w:eastAsia="zh-CN"/>
        </w:rPr>
        <w:t>达到国家施工验收规范合格标准</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702F52AE">
      <w:pPr>
        <w:spacing w:line="360" w:lineRule="auto"/>
        <w:ind w:firstLine="420" w:firstLineChars="200"/>
        <w:jc w:val="left"/>
        <w:rPr>
          <w:color w:val="auto"/>
          <w:highlight w:val="none"/>
        </w:rPr>
      </w:pPr>
      <w:r>
        <w:rPr>
          <w:rFonts w:hint="eastAsia" w:hAnsi="宋体" w:cs="宋体"/>
          <w:color w:val="auto"/>
          <w:highlight w:val="none"/>
        </w:rPr>
        <w:t>关于工程奖项的约定：</w:t>
      </w:r>
      <w:r>
        <w:rPr>
          <w:rFonts w:hint="eastAsia" w:hAnsi="宋体" w:cs="宋体"/>
          <w:color w:val="auto"/>
          <w:highlight w:val="none"/>
          <w:u w:val="single"/>
        </w:rPr>
        <w:t xml:space="preserve">  / </w:t>
      </w:r>
      <w:r>
        <w:rPr>
          <w:color w:val="auto"/>
          <w:highlight w:val="none"/>
          <w:u w:val="single"/>
        </w:rPr>
        <w:t xml:space="preserve"> </w:t>
      </w:r>
      <w:r>
        <w:rPr>
          <w:rFonts w:hint="eastAsia" w:hAnsi="宋体" w:cs="宋体"/>
          <w:color w:val="auto"/>
          <w:highlight w:val="none"/>
        </w:rPr>
        <w:t>。</w:t>
      </w:r>
    </w:p>
    <w:p w14:paraId="02F26E5F">
      <w:pPr>
        <w:spacing w:line="360" w:lineRule="auto"/>
        <w:ind w:firstLine="420" w:firstLineChars="200"/>
        <w:jc w:val="left"/>
        <w:rPr>
          <w:color w:val="auto"/>
          <w:highlight w:val="none"/>
        </w:rPr>
      </w:pPr>
      <w:r>
        <w:rPr>
          <w:color w:val="auto"/>
          <w:highlight w:val="none"/>
        </w:rPr>
        <w:t xml:space="preserve">5.3 </w:t>
      </w:r>
      <w:r>
        <w:rPr>
          <w:rFonts w:hint="eastAsia" w:hAnsi="宋体" w:cs="宋体"/>
          <w:color w:val="auto"/>
          <w:highlight w:val="none"/>
        </w:rPr>
        <w:t>隐蔽工程检查</w:t>
      </w:r>
    </w:p>
    <w:p w14:paraId="18FB1077">
      <w:pPr>
        <w:spacing w:line="360" w:lineRule="auto"/>
        <w:ind w:firstLine="420" w:firstLineChars="200"/>
        <w:jc w:val="left"/>
        <w:rPr>
          <w:color w:val="auto"/>
          <w:highlight w:val="none"/>
          <w:u w:val="single"/>
        </w:rPr>
      </w:pPr>
      <w:r>
        <w:rPr>
          <w:color w:val="auto"/>
          <w:highlight w:val="none"/>
        </w:rPr>
        <w:t>5.3.2</w:t>
      </w:r>
      <w:r>
        <w:rPr>
          <w:rFonts w:hint="eastAsia" w:hAnsi="宋体" w:cs="宋体"/>
          <w:color w:val="auto"/>
          <w:highlight w:val="none"/>
        </w:rPr>
        <w:t>承包人提前通知监理人隐蔽工程检查的期限的约定：工程隐蔽或中间验收前</w:t>
      </w:r>
      <w:r>
        <w:rPr>
          <w:color w:val="auto"/>
          <w:highlight w:val="none"/>
        </w:rPr>
        <w:t>12</w:t>
      </w:r>
      <w:r>
        <w:rPr>
          <w:rFonts w:hint="eastAsia" w:hAnsi="宋体" w:cs="宋体"/>
          <w:color w:val="auto"/>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6209F95A">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监理人不能按时进行检查时，应提前</w:t>
      </w:r>
      <w:r>
        <w:rPr>
          <w:color w:val="auto"/>
          <w:highlight w:val="none"/>
          <w:u w:val="single"/>
        </w:rPr>
        <w:t xml:space="preserve">   </w:t>
      </w:r>
      <w:r>
        <w:rPr>
          <w:rFonts w:hint="eastAsia"/>
          <w:color w:val="auto"/>
          <w:highlight w:val="none"/>
          <w:u w:val="single"/>
        </w:rPr>
        <w:t>24</w:t>
      </w:r>
      <w:r>
        <w:rPr>
          <w:color w:val="auto"/>
          <w:highlight w:val="none"/>
          <w:u w:val="single"/>
        </w:rPr>
        <w:t xml:space="preserve">    </w:t>
      </w:r>
      <w:r>
        <w:rPr>
          <w:rFonts w:hint="eastAsia" w:hAnsi="宋体" w:cs="宋体"/>
          <w:color w:val="auto"/>
          <w:highlight w:val="none"/>
        </w:rPr>
        <w:t>小时提交书面延期要求。</w:t>
      </w:r>
    </w:p>
    <w:p w14:paraId="4E824C63">
      <w:pPr>
        <w:spacing w:line="360" w:lineRule="auto"/>
        <w:ind w:firstLine="420" w:firstLineChars="200"/>
        <w:jc w:val="left"/>
        <w:rPr>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rPr>
        <w:t>48</w:t>
      </w:r>
      <w:r>
        <w:rPr>
          <w:color w:val="auto"/>
          <w:highlight w:val="none"/>
          <w:u w:val="single"/>
        </w:rPr>
        <w:t xml:space="preserve">     </w:t>
      </w:r>
      <w:r>
        <w:rPr>
          <w:rFonts w:hint="eastAsia" w:hAnsi="宋体" w:cs="宋体"/>
          <w:color w:val="auto"/>
          <w:highlight w:val="none"/>
        </w:rPr>
        <w:t>小时。</w:t>
      </w:r>
    </w:p>
    <w:p w14:paraId="7EE74482">
      <w:pPr>
        <w:pStyle w:val="3"/>
        <w:rPr>
          <w:color w:val="auto"/>
          <w:highlight w:val="none"/>
        </w:rPr>
      </w:pPr>
      <w:bookmarkStart w:id="409" w:name="_Toc389065285"/>
      <w:bookmarkStart w:id="410" w:name="_Toc373478366"/>
      <w:bookmarkStart w:id="411" w:name="_Toc351203638"/>
      <w:bookmarkStart w:id="412" w:name="_Toc31720"/>
      <w:bookmarkStart w:id="413" w:name="_Toc407135221"/>
      <w:bookmarkStart w:id="414" w:name="_Toc373227719"/>
      <w:r>
        <w:rPr>
          <w:color w:val="auto"/>
          <w:highlight w:val="none"/>
        </w:rPr>
        <w:t xml:space="preserve">6. </w:t>
      </w:r>
      <w:r>
        <w:rPr>
          <w:rFonts w:hint="eastAsia" w:cs="黑体"/>
          <w:color w:val="auto"/>
          <w:highlight w:val="none"/>
        </w:rPr>
        <w:t>安全文明施工与环境保护</w:t>
      </w:r>
      <w:bookmarkEnd w:id="409"/>
      <w:bookmarkEnd w:id="410"/>
      <w:bookmarkEnd w:id="411"/>
      <w:bookmarkEnd w:id="412"/>
      <w:bookmarkEnd w:id="413"/>
      <w:bookmarkEnd w:id="414"/>
    </w:p>
    <w:p w14:paraId="3D42AE4F">
      <w:pPr>
        <w:pStyle w:val="4"/>
        <w:rPr>
          <w:color w:val="auto"/>
          <w:highlight w:val="none"/>
        </w:rPr>
      </w:pPr>
      <w:bookmarkStart w:id="415" w:name="_Toc407135222"/>
      <w:bookmarkStart w:id="416" w:name="_Toc373227720"/>
      <w:bookmarkStart w:id="417" w:name="_Toc28377"/>
      <w:bookmarkStart w:id="418" w:name="_Toc389065286"/>
      <w:bookmarkStart w:id="419" w:name="_Toc373478367"/>
      <w:r>
        <w:rPr>
          <w:color w:val="auto"/>
          <w:highlight w:val="none"/>
        </w:rPr>
        <w:t xml:space="preserve">6.1 </w:t>
      </w:r>
      <w:r>
        <w:rPr>
          <w:rFonts w:hint="eastAsia" w:cs="黑体"/>
          <w:color w:val="auto"/>
          <w:highlight w:val="none"/>
        </w:rPr>
        <w:t>安全文明施工</w:t>
      </w:r>
      <w:bookmarkEnd w:id="415"/>
      <w:bookmarkEnd w:id="416"/>
      <w:bookmarkEnd w:id="417"/>
      <w:bookmarkEnd w:id="418"/>
      <w:bookmarkEnd w:id="419"/>
    </w:p>
    <w:p w14:paraId="3F14A4FF">
      <w:pPr>
        <w:spacing w:line="360" w:lineRule="auto"/>
        <w:ind w:firstLine="420" w:firstLineChars="200"/>
        <w:jc w:val="left"/>
        <w:rPr>
          <w:rFonts w:hAnsi="宋体"/>
          <w:color w:val="auto"/>
          <w:highlight w:val="none"/>
        </w:rPr>
      </w:pPr>
      <w:r>
        <w:rPr>
          <w:color w:val="auto"/>
          <w:highlight w:val="none"/>
        </w:rPr>
        <w:t xml:space="preserve">6.1.1 </w:t>
      </w:r>
      <w:r>
        <w:rPr>
          <w:rFonts w:hint="eastAsia" w:hAnsi="宋体" w:cs="宋体"/>
          <w:color w:val="auto"/>
          <w:highlight w:val="none"/>
        </w:rPr>
        <w:t>项目安全生产的达标目标及相应事项的约定：</w:t>
      </w:r>
      <w:r>
        <w:rPr>
          <w:color w:val="auto"/>
          <w:highlight w:val="none"/>
          <w:u w:val="single"/>
        </w:rPr>
        <w:t xml:space="preserve"> </w:t>
      </w:r>
      <w:r>
        <w:rPr>
          <w:rFonts w:hint="eastAsia"/>
          <w:color w:val="auto"/>
          <w:highlight w:val="none"/>
          <w:u w:val="single"/>
        </w:rPr>
        <w:t>承包人应按照法律规定进行施工，开工前做好安全技术交底工作，施工过程中做好各项安全防护措施</w:t>
      </w:r>
      <w:r>
        <w:rPr>
          <w:rFonts w:hint="eastAsia"/>
          <w:color w:val="auto"/>
          <w:highlight w:val="none"/>
          <w:u w:val="single"/>
          <w:lang w:eastAsia="zh-CN"/>
        </w:rPr>
        <w:t>，</w:t>
      </w:r>
      <w:r>
        <w:rPr>
          <w:rFonts w:hint="eastAsia"/>
          <w:color w:val="auto"/>
          <w:highlight w:val="none"/>
          <w:u w:val="single"/>
        </w:rPr>
        <w:t>尽量做到零事故</w:t>
      </w:r>
      <w:r>
        <w:rPr>
          <w:color w:val="auto"/>
          <w:highlight w:val="none"/>
          <w:u w:val="single"/>
        </w:rPr>
        <w:t xml:space="preserve">      </w:t>
      </w:r>
      <w:r>
        <w:rPr>
          <w:rFonts w:hint="eastAsia" w:hAnsi="宋体" w:cs="宋体"/>
          <w:color w:val="auto"/>
          <w:highlight w:val="none"/>
        </w:rPr>
        <w:t>。</w:t>
      </w:r>
    </w:p>
    <w:p w14:paraId="65FBA408">
      <w:pPr>
        <w:spacing w:line="360" w:lineRule="auto"/>
        <w:ind w:firstLine="420" w:firstLineChars="200"/>
        <w:jc w:val="left"/>
        <w:rPr>
          <w:color w:val="auto"/>
          <w:highlight w:val="none"/>
          <w:u w:val="single"/>
        </w:rPr>
      </w:pPr>
      <w:r>
        <w:rPr>
          <w:color w:val="auto"/>
          <w:highlight w:val="none"/>
        </w:rPr>
        <w:t xml:space="preserve">6.1.4 </w:t>
      </w:r>
      <w:r>
        <w:rPr>
          <w:rFonts w:hint="eastAsia" w:hAnsi="宋体" w:cs="宋体"/>
          <w:color w:val="auto"/>
          <w:highlight w:val="none"/>
        </w:rPr>
        <w:t>关于治安保卫的特别约定：</w:t>
      </w:r>
      <w:r>
        <w:rPr>
          <w:rFonts w:hint="eastAsia"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68E99DF8">
      <w:pPr>
        <w:spacing w:line="360" w:lineRule="auto"/>
        <w:ind w:firstLine="420" w:firstLineChars="200"/>
        <w:jc w:val="left"/>
        <w:rPr>
          <w:color w:val="auto"/>
          <w:highlight w:val="none"/>
        </w:rPr>
      </w:pPr>
      <w:r>
        <w:rPr>
          <w:rFonts w:hint="eastAsia" w:hAnsi="宋体" w:cs="宋体"/>
          <w:color w:val="auto"/>
          <w:highlight w:val="none"/>
        </w:rPr>
        <w:t>关于编制施工场地治安管理计划的约定：</w:t>
      </w:r>
      <w:r>
        <w:rPr>
          <w:color w:val="auto"/>
          <w:highlight w:val="none"/>
          <w:u w:val="single"/>
        </w:rPr>
        <w:t xml:space="preserve">   </w:t>
      </w:r>
      <w:r>
        <w:rPr>
          <w:rFonts w:hint="eastAsia"/>
          <w:color w:val="auto"/>
          <w:highlight w:val="none"/>
          <w:u w:val="single"/>
        </w:rPr>
        <w:t xml:space="preserve">发包人和承包人应在工程开工后 7 天内共同编制施工场地治安管理计划，并制定应对突发治安事件的紧急预案 </w:t>
      </w:r>
      <w:r>
        <w:rPr>
          <w:color w:val="auto"/>
          <w:highlight w:val="none"/>
          <w:u w:val="single"/>
        </w:rPr>
        <w:t xml:space="preserve"> </w:t>
      </w:r>
      <w:r>
        <w:rPr>
          <w:rFonts w:hint="eastAsia" w:hAnsi="宋体" w:cs="宋体"/>
          <w:color w:val="auto"/>
          <w:highlight w:val="none"/>
        </w:rPr>
        <w:t>。</w:t>
      </w:r>
    </w:p>
    <w:p w14:paraId="766151CB">
      <w:pPr>
        <w:spacing w:line="360" w:lineRule="auto"/>
        <w:ind w:firstLine="420" w:firstLineChars="200"/>
        <w:jc w:val="left"/>
        <w:rPr>
          <w:color w:val="auto"/>
          <w:highlight w:val="none"/>
        </w:rPr>
      </w:pPr>
      <w:r>
        <w:rPr>
          <w:color w:val="auto"/>
          <w:highlight w:val="none"/>
        </w:rPr>
        <w:t xml:space="preserve">6.1.5 </w:t>
      </w:r>
      <w:r>
        <w:rPr>
          <w:rFonts w:hint="eastAsia" w:hAnsi="宋体" w:cs="宋体"/>
          <w:color w:val="auto"/>
          <w:highlight w:val="none"/>
        </w:rPr>
        <w:t>文明施工</w:t>
      </w:r>
    </w:p>
    <w:p w14:paraId="0F95F521">
      <w:pPr>
        <w:spacing w:line="360" w:lineRule="auto"/>
        <w:jc w:val="left"/>
        <w:rPr>
          <w:color w:val="auto"/>
          <w:highlight w:val="none"/>
        </w:rPr>
      </w:pPr>
      <w:r>
        <w:rPr>
          <w:rFonts w:hint="eastAsia" w:hAnsi="宋体" w:cs="宋体"/>
          <w:color w:val="auto"/>
          <w:highlight w:val="none"/>
        </w:rPr>
        <w:t>合同当事人对文明施工的要求：</w:t>
      </w:r>
      <w:r>
        <w:rPr>
          <w:color w:val="auto"/>
          <w:highlight w:val="none"/>
          <w:u w:val="single"/>
        </w:rPr>
        <w:t xml:space="preserve">  </w:t>
      </w:r>
      <w:r>
        <w:rPr>
          <w:rFonts w:hint="eastAsia"/>
          <w:color w:val="auto"/>
          <w:highlight w:val="none"/>
          <w:u w:val="single"/>
        </w:rPr>
        <w:t>承包人在工程施工期间，应当采取措施保持施工现场平整，物料堆放整齐</w:t>
      </w:r>
      <w:r>
        <w:rPr>
          <w:color w:val="auto"/>
          <w:highlight w:val="none"/>
          <w:u w:val="single"/>
        </w:rPr>
        <w:t xml:space="preserve">   </w:t>
      </w:r>
      <w:r>
        <w:rPr>
          <w:rFonts w:hint="eastAsia" w:cs="宋体"/>
          <w:color w:val="auto"/>
          <w:highlight w:val="none"/>
        </w:rPr>
        <w:t>。</w:t>
      </w:r>
    </w:p>
    <w:p w14:paraId="59D28A6F">
      <w:pPr>
        <w:spacing w:line="360" w:lineRule="auto"/>
        <w:ind w:firstLine="420" w:firstLineChars="200"/>
        <w:jc w:val="left"/>
        <w:rPr>
          <w:rFonts w:hAnsi="宋体"/>
          <w:color w:val="auto"/>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w:t>
      </w:r>
      <w:r>
        <w:rPr>
          <w:rFonts w:hint="eastAsia" w:hAnsi="宋体" w:cs="宋体"/>
          <w:color w:val="auto"/>
          <w:kern w:val="0"/>
          <w:highlight w:val="none"/>
        </w:rPr>
        <w:t>总额、</w:t>
      </w:r>
      <w:r>
        <w:rPr>
          <w:rFonts w:hAnsi="宋体" w:cs="宋体"/>
          <w:color w:val="auto"/>
          <w:kern w:val="0"/>
          <w:highlight w:val="none"/>
        </w:rPr>
        <w:t>支付比例</w:t>
      </w:r>
      <w:r>
        <w:rPr>
          <w:rFonts w:hint="eastAsia" w:hAnsi="宋体" w:cs="宋体"/>
          <w:color w:val="auto"/>
          <w:kern w:val="0"/>
          <w:highlight w:val="none"/>
        </w:rPr>
        <w:t>、</w:t>
      </w:r>
      <w:r>
        <w:rPr>
          <w:rFonts w:hAnsi="宋体" w:cs="宋体"/>
          <w:color w:val="auto"/>
          <w:kern w:val="0"/>
          <w:highlight w:val="none"/>
        </w:rPr>
        <w:t>支付期限</w:t>
      </w:r>
      <w:r>
        <w:rPr>
          <w:rFonts w:hint="eastAsia" w:hAnsi="宋体" w:cs="宋体"/>
          <w:color w:val="auto"/>
          <w:kern w:val="0"/>
          <w:highlight w:val="none"/>
        </w:rPr>
        <w:t>、转入和结余收回</w:t>
      </w:r>
      <w:r>
        <w:rPr>
          <w:rFonts w:hAnsi="宋体" w:cs="宋体"/>
          <w:color w:val="auto"/>
          <w:kern w:val="0"/>
          <w:highlight w:val="none"/>
        </w:rPr>
        <w:t>的约定：</w:t>
      </w:r>
    </w:p>
    <w:p w14:paraId="6809FD96">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）本合同价款已包含安全文明施工费</w:t>
      </w:r>
      <w:r>
        <w:rPr>
          <w:rFonts w:hAnsi="宋体"/>
          <w:color w:val="auto"/>
          <w:kern w:val="0"/>
          <w:highlight w:val="none"/>
          <w:u w:val="single"/>
        </w:rPr>
        <w:t xml:space="preserve">           </w:t>
      </w:r>
      <w:r>
        <w:rPr>
          <w:rFonts w:hint="eastAsia" w:hAnsi="宋体" w:cs="宋体"/>
          <w:color w:val="auto"/>
          <w:kern w:val="0"/>
          <w:highlight w:val="none"/>
        </w:rPr>
        <w:t>元。</w:t>
      </w:r>
    </w:p>
    <w:p w14:paraId="6C696DD9">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Ansi="宋体"/>
          <w:color w:val="auto"/>
          <w:kern w:val="0"/>
          <w:highlight w:val="none"/>
          <w:u w:val="single"/>
        </w:rPr>
        <w:t xml:space="preserve"> </w:t>
      </w:r>
      <w:r>
        <w:rPr>
          <w:rFonts w:hint="eastAsia" w:hAnsi="宋体"/>
          <w:color w:val="auto"/>
          <w:kern w:val="0"/>
          <w:highlight w:val="none"/>
          <w:u w:val="single"/>
        </w:rPr>
        <w:t>玉林</w:t>
      </w:r>
      <w:r>
        <w:rPr>
          <w:rFonts w:hAnsi="宋体"/>
          <w:color w:val="auto"/>
          <w:kern w:val="0"/>
          <w:highlight w:val="none"/>
          <w:u w:val="single"/>
        </w:rPr>
        <w:t xml:space="preserve"> </w:t>
      </w:r>
      <w:r>
        <w:rPr>
          <w:rFonts w:hint="eastAsia" w:hAnsi="宋体" w:cs="宋体"/>
          <w:color w:val="auto"/>
          <w:kern w:val="0"/>
          <w:highlight w:val="none"/>
        </w:rPr>
        <w:t>市相关规定执行。</w:t>
      </w:r>
    </w:p>
    <w:p w14:paraId="62C4BBD7">
      <w:pPr>
        <w:autoSpaceDE w:val="0"/>
        <w:autoSpaceDN w:val="0"/>
        <w:adjustRightInd w:val="0"/>
        <w:spacing w:line="360" w:lineRule="auto"/>
        <w:ind w:firstLine="420" w:firstLineChars="200"/>
        <w:jc w:val="left"/>
        <w:rPr>
          <w:rFonts w:hint="eastAsia" w:ascii="Times New Roman" w:hAnsi="宋体" w:eastAsia="宋体" w:cs="宋体"/>
          <w:color w:val="auto"/>
          <w:kern w:val="0"/>
          <w:highlight w:val="none"/>
        </w:rPr>
      </w:pPr>
      <w:r>
        <w:rPr>
          <w:rFonts w:hint="eastAsia" w:hAnsi="宋体" w:cs="宋体"/>
          <w:color w:val="auto"/>
          <w:kern w:val="0"/>
          <w:highlight w:val="none"/>
        </w:rPr>
        <w:t>（</w:t>
      </w:r>
      <w:r>
        <w:rPr>
          <w:rFonts w:hAnsi="宋体"/>
          <w:color w:val="auto"/>
          <w:kern w:val="0"/>
          <w:highlight w:val="none"/>
        </w:rPr>
        <w:t>3</w:t>
      </w:r>
      <w:r>
        <w:rPr>
          <w:rFonts w:hint="eastAsia" w:hAnsi="宋体" w:cs="宋体"/>
          <w:color w:val="auto"/>
          <w:kern w:val="0"/>
          <w:highlight w:val="none"/>
        </w:rPr>
        <w:t>）支付约定</w:t>
      </w: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eastAsia="zh-CN"/>
        </w:rPr>
        <w:t>在合同、担保措施生效以及具备实施条件后10个工作日内支付合同</w:t>
      </w:r>
      <w:r>
        <w:rPr>
          <w:rFonts w:hint="eastAsia" w:ascii="Times New Roman" w:hAnsi="宋体" w:eastAsia="宋体" w:cs="宋体"/>
          <w:color w:val="auto"/>
          <w:kern w:val="0"/>
          <w:highlight w:val="none"/>
          <w:lang w:val="en-US" w:eastAsia="zh-CN"/>
        </w:rPr>
        <w:t>金</w:t>
      </w:r>
      <w:r>
        <w:rPr>
          <w:rFonts w:hint="eastAsia" w:ascii="Times New Roman" w:hAnsi="宋体" w:eastAsia="宋体" w:cs="宋体"/>
          <w:color w:val="auto"/>
          <w:kern w:val="0"/>
          <w:highlight w:val="none"/>
          <w:lang w:eastAsia="zh-CN"/>
        </w:rPr>
        <w:t>额的30%作为预付款</w:t>
      </w:r>
      <w:r>
        <w:rPr>
          <w:rFonts w:hint="eastAsia" w:ascii="Times New Roman" w:hAnsi="宋体" w:eastAsia="宋体" w:cs="宋体"/>
          <w:color w:val="auto"/>
          <w:kern w:val="0"/>
          <w:highlight w:val="none"/>
        </w:rPr>
        <w:t>，预付安全文明施工费总额的 （30-50 %），其余部分与进度款同期支付，安全文明施工费预付款在工程进度款累计金额超过合同价的   %时开始起扣，每月从支付给承包商的工程款内按安全文明预付款占合同总价的同一百分比扣回。</w:t>
      </w:r>
    </w:p>
    <w:p w14:paraId="4A3C945C">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（4）建设单位按规定将安全生产费用转入施工单位设立的安全生产费用专户。</w:t>
      </w:r>
    </w:p>
    <w:p w14:paraId="3E535219">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（5）工程施工完成后安全生产费用尚有结余的，结余部分由建设单位收回。</w:t>
      </w:r>
    </w:p>
    <w:p w14:paraId="3DB853DE">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（6）施工单位将安全生产费用使用情况定期报告建设单位和监理单位，并提供相应的材料接受建设行政主管部门对此事项监管。</w:t>
      </w:r>
    </w:p>
    <w:p w14:paraId="382DDA28">
      <w:pPr>
        <w:autoSpaceDE w:val="0"/>
        <w:autoSpaceDN w:val="0"/>
        <w:adjustRightInd w:val="0"/>
        <w:spacing w:line="360" w:lineRule="auto"/>
        <w:ind w:firstLine="420" w:firstLineChars="200"/>
        <w:jc w:val="left"/>
        <w:rPr>
          <w:rFonts w:hint="eastAsia" w:hAnsi="宋体"/>
          <w:color w:val="auto"/>
          <w:kern w:val="0"/>
          <w:highlight w:val="none"/>
        </w:rPr>
      </w:pPr>
      <w:r>
        <w:rPr>
          <w:rFonts w:hint="eastAsia" w:hAnsi="宋体" w:cs="宋体"/>
          <w:color w:val="auto"/>
          <w:kern w:val="0"/>
          <w:highlight w:val="none"/>
        </w:rPr>
        <w:t>（7）安全生产费用专户：</w:t>
      </w:r>
      <w:r>
        <w:rPr>
          <w:rFonts w:hAnsi="宋体" w:cs="宋体"/>
          <w:color w:val="auto"/>
          <w:kern w:val="0"/>
          <w:highlight w:val="none"/>
        </w:rPr>
        <w:t>××××</w:t>
      </w:r>
      <w:r>
        <w:rPr>
          <w:rFonts w:hint="eastAsia" w:hAnsi="宋体" w:cs="宋体"/>
          <w:color w:val="auto"/>
          <w:kern w:val="0"/>
          <w:highlight w:val="none"/>
        </w:rPr>
        <w:t>公司安全生产费用专户。账号：</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 xml:space="preserve"> 。</w:t>
      </w:r>
    </w:p>
    <w:p w14:paraId="62657568">
      <w:pPr>
        <w:pStyle w:val="4"/>
        <w:rPr>
          <w:color w:val="auto"/>
          <w:highlight w:val="none"/>
        </w:rPr>
      </w:pPr>
      <w:bookmarkStart w:id="420" w:name="_Toc29970"/>
      <w:bookmarkStart w:id="421" w:name="_Toc373227721"/>
      <w:bookmarkStart w:id="422" w:name="_Toc373478368"/>
      <w:bookmarkStart w:id="423" w:name="_Toc407135223"/>
      <w:bookmarkStart w:id="424" w:name="_Toc389065287"/>
      <w:r>
        <w:rPr>
          <w:color w:val="auto"/>
          <w:highlight w:val="none"/>
        </w:rPr>
        <w:t xml:space="preserve">6.3 </w:t>
      </w:r>
      <w:r>
        <w:rPr>
          <w:rFonts w:hint="eastAsia" w:hAnsi="宋体" w:cs="黑体"/>
          <w:color w:val="auto"/>
          <w:highlight w:val="none"/>
        </w:rPr>
        <w:t>环境保护</w:t>
      </w:r>
      <w:bookmarkEnd w:id="420"/>
      <w:bookmarkEnd w:id="421"/>
      <w:bookmarkEnd w:id="422"/>
      <w:bookmarkEnd w:id="423"/>
      <w:bookmarkEnd w:id="424"/>
    </w:p>
    <w:p w14:paraId="0F3AF61E">
      <w:pPr>
        <w:spacing w:line="360" w:lineRule="auto"/>
        <w:ind w:firstLine="420" w:firstLineChars="200"/>
        <w:jc w:val="left"/>
        <w:rPr>
          <w:color w:val="auto"/>
          <w:highlight w:val="none"/>
          <w:u w:val="single"/>
        </w:rPr>
      </w:pPr>
      <w:r>
        <w:rPr>
          <w:rFonts w:hint="eastAsia" w:hAnsi="宋体" w:cs="宋体"/>
          <w:color w:val="auto"/>
          <w:highlight w:val="none"/>
          <w:u w:val="single"/>
        </w:rPr>
        <w:t>因施工需要，经发包人批准，由承包人办理有关施工场地交通、环卫和施工噪音管理等手续，费用由承包人负责。</w:t>
      </w:r>
    </w:p>
    <w:p w14:paraId="2689822F">
      <w:pPr>
        <w:spacing w:line="360" w:lineRule="auto"/>
        <w:ind w:firstLine="420" w:firstLineChars="200"/>
        <w:jc w:val="left"/>
        <w:rPr>
          <w:color w:val="auto"/>
          <w:highlight w:val="none"/>
          <w:u w:val="single"/>
        </w:rPr>
      </w:pP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402"/>
    <w:bookmarkEnd w:id="403"/>
    <w:bookmarkEnd w:id="404"/>
    <w:bookmarkEnd w:id="405"/>
    <w:bookmarkEnd w:id="406"/>
    <w:bookmarkEnd w:id="407"/>
    <w:bookmarkEnd w:id="408"/>
    <w:p w14:paraId="70037D5D">
      <w:pPr>
        <w:pStyle w:val="3"/>
        <w:rPr>
          <w:color w:val="auto"/>
          <w:highlight w:val="none"/>
        </w:rPr>
      </w:pPr>
      <w:bookmarkStart w:id="425" w:name="_Toc373478369"/>
      <w:bookmarkStart w:id="426" w:name="_Toc389065288"/>
      <w:bookmarkStart w:id="427" w:name="_Toc17974"/>
      <w:bookmarkStart w:id="428" w:name="_Toc351203639"/>
      <w:bookmarkStart w:id="429" w:name="_Toc373227722"/>
      <w:bookmarkStart w:id="430" w:name="_Toc407135224"/>
      <w:r>
        <w:rPr>
          <w:color w:val="auto"/>
          <w:highlight w:val="none"/>
        </w:rPr>
        <w:t xml:space="preserve">7. </w:t>
      </w:r>
      <w:r>
        <w:rPr>
          <w:rFonts w:hint="eastAsia" w:cs="黑体"/>
          <w:color w:val="auto"/>
          <w:highlight w:val="none"/>
        </w:rPr>
        <w:t>工期和进度</w:t>
      </w:r>
      <w:bookmarkEnd w:id="425"/>
      <w:bookmarkEnd w:id="426"/>
      <w:bookmarkEnd w:id="427"/>
      <w:bookmarkEnd w:id="428"/>
      <w:bookmarkEnd w:id="429"/>
      <w:bookmarkEnd w:id="430"/>
    </w:p>
    <w:p w14:paraId="59CA28CD">
      <w:pPr>
        <w:pStyle w:val="4"/>
        <w:rPr>
          <w:color w:val="auto"/>
          <w:highlight w:val="none"/>
        </w:rPr>
      </w:pPr>
      <w:bookmarkStart w:id="431" w:name="_Toc389065289"/>
      <w:bookmarkStart w:id="432" w:name="_Toc407135225"/>
      <w:bookmarkStart w:id="433" w:name="_Toc25746"/>
      <w:bookmarkStart w:id="434" w:name="_Toc373478370"/>
      <w:bookmarkStart w:id="435" w:name="_Toc373227723"/>
      <w:r>
        <w:rPr>
          <w:color w:val="auto"/>
          <w:highlight w:val="none"/>
        </w:rPr>
        <w:t xml:space="preserve">7.1 </w:t>
      </w:r>
      <w:r>
        <w:rPr>
          <w:rFonts w:hint="eastAsia" w:cs="黑体"/>
          <w:color w:val="auto"/>
          <w:highlight w:val="none"/>
        </w:rPr>
        <w:t>施工组织设计</w:t>
      </w:r>
      <w:bookmarkEnd w:id="431"/>
      <w:bookmarkEnd w:id="432"/>
      <w:bookmarkEnd w:id="433"/>
      <w:bookmarkEnd w:id="434"/>
      <w:bookmarkEnd w:id="435"/>
    </w:p>
    <w:p w14:paraId="362E9A07">
      <w:pPr>
        <w:autoSpaceDE w:val="0"/>
        <w:autoSpaceDN w:val="0"/>
        <w:adjustRightInd w:val="0"/>
        <w:spacing w:line="360" w:lineRule="auto"/>
        <w:ind w:firstLine="420" w:firstLineChars="200"/>
        <w:jc w:val="left"/>
        <w:rPr>
          <w:rFonts w:hint="eastAsia"/>
          <w:color w:val="auto"/>
          <w:highlight w:val="none"/>
          <w:u w:val="single"/>
        </w:rPr>
      </w:pPr>
      <w:r>
        <w:rPr>
          <w:color w:val="auto"/>
          <w:highlight w:val="none"/>
        </w:rPr>
        <w:t xml:space="preserve">7.1.1 </w:t>
      </w:r>
      <w:r>
        <w:rPr>
          <w:rFonts w:hint="eastAsia" w:hAnsi="宋体" w:cs="宋体"/>
          <w:color w:val="auto"/>
          <w:highlight w:val="none"/>
        </w:rPr>
        <w:t>合</w:t>
      </w:r>
      <w:r>
        <w:rPr>
          <w:rFonts w:hint="eastAsia" w:hAnsi="宋体" w:cs="宋体"/>
          <w:color w:val="auto"/>
          <w:kern w:val="0"/>
          <w:highlight w:val="none"/>
        </w:rPr>
        <w:t>同当事人约定的施工组织设计应包括的其他内容：</w:t>
      </w:r>
      <w:r>
        <w:rPr>
          <w:color w:val="auto"/>
          <w:highlight w:val="none"/>
          <w:u w:val="single"/>
        </w:rPr>
        <w:t xml:space="preserve"> </w:t>
      </w:r>
      <w:r>
        <w:rPr>
          <w:rFonts w:hint="eastAsia"/>
          <w:color w:val="auto"/>
          <w:highlight w:val="none"/>
          <w:u w:val="single"/>
        </w:rPr>
        <w:t>1、施工方案；2、施工现场平</w:t>
      </w:r>
    </w:p>
    <w:p w14:paraId="41FDE5AA">
      <w:pPr>
        <w:autoSpaceDE w:val="0"/>
        <w:autoSpaceDN w:val="0"/>
        <w:adjustRightInd w:val="0"/>
        <w:spacing w:line="360" w:lineRule="auto"/>
        <w:ind w:firstLine="420" w:firstLineChars="200"/>
        <w:jc w:val="left"/>
        <w:rPr>
          <w:color w:val="auto"/>
          <w:highlight w:val="none"/>
          <w:u w:val="single"/>
        </w:rPr>
      </w:pPr>
      <w:r>
        <w:rPr>
          <w:rFonts w:hint="eastAsia"/>
          <w:color w:val="auto"/>
          <w:highlight w:val="none"/>
          <w:u w:val="single"/>
        </w:rPr>
        <w:t>面布置图；3、施工进度计划和保证措施；4、劳动力及材料供应计划；5、施工机械设备的选用；6、质量保证体系及措施；7、安全生产、文明施工措施；8、环境保护、成本控制措施；9、合同当事人约定的其他内容</w:t>
      </w:r>
      <w:r>
        <w:rPr>
          <w:color w:val="auto"/>
          <w:highlight w:val="none"/>
          <w:u w:val="single"/>
        </w:rPr>
        <w:t xml:space="preserve"> </w:t>
      </w:r>
      <w:r>
        <w:rPr>
          <w:rFonts w:hint="eastAsia" w:hAnsi="宋体" w:cs="宋体"/>
          <w:color w:val="auto"/>
          <w:highlight w:val="none"/>
        </w:rPr>
        <w:t>。</w:t>
      </w:r>
    </w:p>
    <w:p w14:paraId="329DC479">
      <w:pPr>
        <w:autoSpaceDE w:val="0"/>
        <w:autoSpaceDN w:val="0"/>
        <w:adjustRightInd w:val="0"/>
        <w:spacing w:line="360" w:lineRule="auto"/>
        <w:ind w:firstLine="420" w:firstLineChars="200"/>
        <w:jc w:val="left"/>
        <w:rPr>
          <w:color w:val="auto"/>
          <w:kern w:val="0"/>
          <w:highlight w:val="none"/>
        </w:rPr>
      </w:pPr>
      <w:r>
        <w:rPr>
          <w:color w:val="auto"/>
          <w:highlight w:val="none"/>
        </w:rPr>
        <w:t xml:space="preserve">7.1.2 </w:t>
      </w:r>
      <w:r>
        <w:rPr>
          <w:rFonts w:hint="eastAsia" w:hAnsi="宋体" w:cs="宋体"/>
          <w:color w:val="auto"/>
          <w:kern w:val="0"/>
          <w:highlight w:val="none"/>
        </w:rPr>
        <w:t>施工组织设计的提交和修改</w:t>
      </w:r>
    </w:p>
    <w:p w14:paraId="1D686A76">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承包人提交详细施工组织设计的期限的约定：</w:t>
      </w:r>
      <w:r>
        <w:rPr>
          <w:color w:val="auto"/>
          <w:highlight w:val="none"/>
          <w:u w:val="single"/>
        </w:rPr>
        <w:t xml:space="preserve"> </w:t>
      </w:r>
      <w:r>
        <w:rPr>
          <w:rFonts w:hint="eastAsia"/>
          <w:color w:val="auto"/>
          <w:highlight w:val="none"/>
          <w:u w:val="single"/>
        </w:rPr>
        <w:t>开工前7天内</w:t>
      </w:r>
      <w:r>
        <w:rPr>
          <w:color w:val="auto"/>
          <w:highlight w:val="none"/>
          <w:u w:val="single"/>
        </w:rPr>
        <w:t xml:space="preserve"> </w:t>
      </w:r>
      <w:r>
        <w:rPr>
          <w:rFonts w:hint="eastAsia" w:hAnsi="宋体" w:cs="宋体"/>
          <w:color w:val="auto"/>
          <w:highlight w:val="none"/>
        </w:rPr>
        <w:t>。</w:t>
      </w:r>
    </w:p>
    <w:p w14:paraId="1491251A">
      <w:pPr>
        <w:spacing w:line="360" w:lineRule="auto"/>
        <w:ind w:firstLine="420" w:firstLineChars="200"/>
        <w:jc w:val="left"/>
        <w:rPr>
          <w:color w:val="auto"/>
          <w:highlight w:val="none"/>
        </w:rPr>
      </w:pPr>
      <w:r>
        <w:rPr>
          <w:rFonts w:hint="eastAsia" w:hAnsi="宋体" w:cs="宋体"/>
          <w:color w:val="auto"/>
          <w:highlight w:val="none"/>
        </w:rPr>
        <w:t>发包人和监理人在收到详细的施工组织设计后确认或提出修改意见的期限：</w:t>
      </w:r>
      <w:r>
        <w:rPr>
          <w:color w:val="auto"/>
          <w:highlight w:val="none"/>
          <w:u w:val="single"/>
        </w:rPr>
        <w:t xml:space="preserve"> </w:t>
      </w:r>
      <w:r>
        <w:rPr>
          <w:rFonts w:hint="eastAsia"/>
          <w:color w:val="auto"/>
          <w:highlight w:val="none"/>
          <w:u w:val="single"/>
        </w:rPr>
        <w:t>在承包人提供施工组织设计后七天内审定完毕；若发包人对其施工组织设计提出修改意见的，发包人应在</w:t>
      </w:r>
      <w:r>
        <w:rPr>
          <w:rFonts w:hint="eastAsia"/>
          <w:color w:val="auto"/>
          <w:highlight w:val="none"/>
          <w:u w:val="single"/>
          <w:lang w:val="en-US" w:eastAsia="zh-CN"/>
        </w:rPr>
        <w:t>3</w:t>
      </w:r>
      <w:r>
        <w:rPr>
          <w:rFonts w:hint="eastAsia"/>
          <w:color w:val="auto"/>
          <w:highlight w:val="none"/>
          <w:u w:val="single"/>
        </w:rPr>
        <w:t>日内对承包人修正的施工组织设计进行最后审定，逾期视为确认</w:t>
      </w:r>
      <w:r>
        <w:rPr>
          <w:color w:val="auto"/>
          <w:highlight w:val="none"/>
          <w:u w:val="single"/>
        </w:rPr>
        <w:t xml:space="preserve"> </w:t>
      </w:r>
      <w:r>
        <w:rPr>
          <w:rFonts w:hint="eastAsia" w:hAnsi="宋体" w:cs="宋体"/>
          <w:color w:val="auto"/>
          <w:highlight w:val="none"/>
        </w:rPr>
        <w:t>。</w:t>
      </w:r>
    </w:p>
    <w:p w14:paraId="0FF5E816">
      <w:pPr>
        <w:pStyle w:val="4"/>
        <w:rPr>
          <w:color w:val="auto"/>
          <w:highlight w:val="none"/>
        </w:rPr>
      </w:pPr>
      <w:bookmarkStart w:id="436" w:name="_Toc389065290"/>
      <w:bookmarkStart w:id="437" w:name="_Toc407135226"/>
      <w:bookmarkStart w:id="438" w:name="_Toc23703"/>
      <w:bookmarkStart w:id="439" w:name="_Toc373478371"/>
      <w:bookmarkStart w:id="440" w:name="_Toc373227724"/>
      <w:r>
        <w:rPr>
          <w:color w:val="auto"/>
          <w:highlight w:val="none"/>
        </w:rPr>
        <w:t>7</w:t>
      </w:r>
      <w:bookmarkStart w:id="441" w:name="_Toc297216173"/>
      <w:bookmarkStart w:id="442" w:name="_Toc304295541"/>
      <w:bookmarkStart w:id="443" w:name="_Toc300934966"/>
      <w:bookmarkStart w:id="444" w:name="_Toc297123514"/>
      <w:bookmarkStart w:id="445" w:name="_Toc312677479"/>
      <w:bookmarkStart w:id="446" w:name="_Toc312678005"/>
      <w:bookmarkStart w:id="447" w:name="_Toc303539123"/>
      <w:r>
        <w:rPr>
          <w:color w:val="auto"/>
          <w:highlight w:val="none"/>
        </w:rPr>
        <w:t xml:space="preserve">.2 </w:t>
      </w:r>
      <w:r>
        <w:rPr>
          <w:rFonts w:hint="eastAsia" w:cs="黑体"/>
          <w:color w:val="auto"/>
          <w:highlight w:val="none"/>
        </w:rPr>
        <w:t>施工进度计划</w:t>
      </w:r>
      <w:bookmarkEnd w:id="436"/>
      <w:bookmarkEnd w:id="437"/>
      <w:bookmarkEnd w:id="438"/>
      <w:bookmarkEnd w:id="439"/>
      <w:bookmarkEnd w:id="440"/>
    </w:p>
    <w:p w14:paraId="008FCDC6">
      <w:pPr>
        <w:spacing w:line="360" w:lineRule="auto"/>
        <w:ind w:firstLine="420" w:firstLineChars="200"/>
        <w:jc w:val="left"/>
        <w:rPr>
          <w:color w:val="auto"/>
          <w:highlight w:val="none"/>
        </w:rPr>
      </w:pPr>
      <w:r>
        <w:rPr>
          <w:color w:val="auto"/>
          <w:highlight w:val="none"/>
        </w:rPr>
        <w:t xml:space="preserve">7.2.2 </w:t>
      </w:r>
      <w:r>
        <w:rPr>
          <w:rFonts w:hint="eastAsia" w:hAnsi="宋体" w:cs="宋体"/>
          <w:color w:val="auto"/>
          <w:highlight w:val="none"/>
        </w:rPr>
        <w:t>施工进度计划的修订</w:t>
      </w:r>
    </w:p>
    <w:p w14:paraId="0F7BC08F">
      <w:pPr>
        <w:spacing w:line="360" w:lineRule="auto"/>
        <w:ind w:firstLine="420" w:firstLineChars="200"/>
        <w:jc w:val="left"/>
        <w:rPr>
          <w:color w:val="auto"/>
          <w:highlight w:val="none"/>
        </w:rPr>
      </w:pPr>
      <w:r>
        <w:rPr>
          <w:rFonts w:hint="eastAsia" w:hAnsi="宋体" w:cs="宋体"/>
          <w:color w:val="auto"/>
          <w:highlight w:val="none"/>
        </w:rPr>
        <w:t>发包人和监理人在收到修订的施工进度计划后确认或提出修改意见的期限：</w:t>
      </w:r>
      <w:r>
        <w:rPr>
          <w:color w:val="auto"/>
          <w:highlight w:val="none"/>
          <w:u w:val="single"/>
        </w:rPr>
        <w:t xml:space="preserve"> </w:t>
      </w:r>
      <w:r>
        <w:rPr>
          <w:rFonts w:hint="eastAsia"/>
          <w:color w:val="auto"/>
          <w:highlight w:val="none"/>
          <w:u w:val="single"/>
        </w:rPr>
        <w:t xml:space="preserve">发包人和监理人应在收到修订的施工进度计划之日起 </w:t>
      </w:r>
      <w:r>
        <w:rPr>
          <w:rFonts w:hint="eastAsia"/>
          <w:color w:val="auto"/>
          <w:highlight w:val="none"/>
          <w:u w:val="single"/>
          <w:lang w:val="en-US" w:eastAsia="zh-CN"/>
        </w:rPr>
        <w:t>3</w:t>
      </w:r>
      <w:r>
        <w:rPr>
          <w:rFonts w:hint="eastAsia"/>
          <w:color w:val="auto"/>
          <w:highlight w:val="none"/>
          <w:u w:val="single"/>
        </w:rPr>
        <w:t>天内完成审核和批准或提出修改意见</w:t>
      </w:r>
      <w:r>
        <w:rPr>
          <w:color w:val="auto"/>
          <w:highlight w:val="none"/>
          <w:u w:val="single"/>
        </w:rPr>
        <w:t xml:space="preserve"> </w:t>
      </w:r>
      <w:r>
        <w:rPr>
          <w:rFonts w:hint="eastAsia" w:hAnsi="宋体" w:cs="宋体"/>
          <w:color w:val="auto"/>
          <w:highlight w:val="none"/>
        </w:rPr>
        <w:t>。</w:t>
      </w:r>
    </w:p>
    <w:p w14:paraId="64684387">
      <w:pPr>
        <w:pStyle w:val="4"/>
        <w:rPr>
          <w:color w:val="auto"/>
          <w:highlight w:val="none"/>
        </w:rPr>
      </w:pPr>
      <w:bookmarkStart w:id="448" w:name="_Toc8682"/>
      <w:bookmarkStart w:id="449" w:name="_Toc373227725"/>
      <w:bookmarkStart w:id="450" w:name="_Toc389065291"/>
      <w:bookmarkStart w:id="451" w:name="_Toc407135227"/>
      <w:bookmarkStart w:id="452" w:name="_Toc373478372"/>
      <w:r>
        <w:rPr>
          <w:color w:val="auto"/>
          <w:highlight w:val="none"/>
        </w:rPr>
        <w:t xml:space="preserve">7.3 </w:t>
      </w:r>
      <w:r>
        <w:rPr>
          <w:rFonts w:hint="eastAsia" w:cs="黑体"/>
          <w:color w:val="auto"/>
          <w:highlight w:val="none"/>
        </w:rPr>
        <w:t>开工</w:t>
      </w:r>
      <w:bookmarkEnd w:id="448"/>
      <w:bookmarkEnd w:id="449"/>
      <w:bookmarkEnd w:id="450"/>
      <w:bookmarkEnd w:id="451"/>
      <w:bookmarkEnd w:id="452"/>
    </w:p>
    <w:p w14:paraId="57486F4B">
      <w:pPr>
        <w:spacing w:line="360" w:lineRule="auto"/>
        <w:ind w:firstLine="420" w:firstLineChars="200"/>
        <w:jc w:val="left"/>
        <w:rPr>
          <w:color w:val="auto"/>
          <w:highlight w:val="none"/>
        </w:rPr>
      </w:pPr>
      <w:r>
        <w:rPr>
          <w:color w:val="auto"/>
          <w:highlight w:val="none"/>
        </w:rPr>
        <w:t xml:space="preserve">7.3.1 </w:t>
      </w:r>
      <w:r>
        <w:rPr>
          <w:rFonts w:hint="eastAsia" w:hAnsi="宋体" w:cs="宋体"/>
          <w:color w:val="auto"/>
          <w:highlight w:val="none"/>
        </w:rPr>
        <w:t>开工准备</w:t>
      </w:r>
    </w:p>
    <w:p w14:paraId="0E68753E">
      <w:pPr>
        <w:spacing w:line="360" w:lineRule="auto"/>
        <w:ind w:firstLine="426"/>
        <w:jc w:val="left"/>
        <w:rPr>
          <w:color w:val="auto"/>
          <w:highlight w:val="none"/>
          <w:u w:val="single"/>
        </w:rPr>
      </w:pPr>
      <w:r>
        <w:rPr>
          <w:rFonts w:hint="eastAsia" w:hAnsi="宋体" w:cs="宋体"/>
          <w:color w:val="auto"/>
          <w:highlight w:val="none"/>
        </w:rPr>
        <w:t>关于承包人提交</w:t>
      </w:r>
      <w:r>
        <w:rPr>
          <w:rFonts w:hint="eastAsia" w:hAnsi="宋体" w:cs="宋体"/>
          <w:color w:val="auto"/>
          <w:kern w:val="0"/>
          <w:highlight w:val="none"/>
        </w:rPr>
        <w:t>工程开工报审表的期限：</w:t>
      </w:r>
      <w:r>
        <w:rPr>
          <w:color w:val="auto"/>
          <w:highlight w:val="none"/>
          <w:u w:val="single"/>
        </w:rPr>
        <w:t xml:space="preserve">  </w:t>
      </w:r>
      <w:r>
        <w:rPr>
          <w:rFonts w:hint="eastAsia"/>
          <w:color w:val="auto"/>
          <w:highlight w:val="none"/>
          <w:u w:val="single"/>
        </w:rPr>
        <w:t>按照第 7.1 款〔施工组织设计〕约定的期限</w:t>
      </w:r>
      <w:r>
        <w:rPr>
          <w:color w:val="auto"/>
          <w:highlight w:val="none"/>
          <w:u w:val="single"/>
        </w:rPr>
        <w:t xml:space="preserve">  </w:t>
      </w:r>
      <w:r>
        <w:rPr>
          <w:rFonts w:hint="eastAsia" w:hAnsi="宋体" w:cs="宋体"/>
          <w:color w:val="auto"/>
          <w:highlight w:val="none"/>
        </w:rPr>
        <w:t>。</w:t>
      </w:r>
    </w:p>
    <w:p w14:paraId="0A284D5D">
      <w:pPr>
        <w:spacing w:line="360" w:lineRule="auto"/>
        <w:ind w:firstLine="426"/>
        <w:jc w:val="left"/>
        <w:rPr>
          <w:color w:val="auto"/>
          <w:highlight w:val="none"/>
          <w:u w:val="single"/>
        </w:rPr>
      </w:pPr>
      <w:r>
        <w:rPr>
          <w:rFonts w:hint="eastAsia" w:hAnsi="宋体" w:cs="宋体"/>
          <w:color w:val="auto"/>
          <w:highlight w:val="none"/>
        </w:rPr>
        <w:t>关于发包人应完成的其他开工准备工作及期限：</w:t>
      </w:r>
      <w:r>
        <w:rPr>
          <w:color w:val="auto"/>
          <w:highlight w:val="none"/>
          <w:u w:val="single"/>
        </w:rPr>
        <w:t xml:space="preserve">  </w:t>
      </w:r>
      <w:r>
        <w:rPr>
          <w:rFonts w:hint="eastAsia"/>
          <w:color w:val="auto"/>
          <w:highlight w:val="none"/>
          <w:u w:val="single"/>
        </w:rPr>
        <w:t>开工前能满足正常施工要求</w:t>
      </w:r>
      <w:r>
        <w:rPr>
          <w:color w:val="auto"/>
          <w:highlight w:val="none"/>
          <w:u w:val="single"/>
        </w:rPr>
        <w:t xml:space="preserve">         </w:t>
      </w:r>
      <w:r>
        <w:rPr>
          <w:rFonts w:hint="eastAsia" w:hAnsi="宋体" w:cs="宋体"/>
          <w:color w:val="auto"/>
          <w:highlight w:val="none"/>
        </w:rPr>
        <w:t>。</w:t>
      </w:r>
    </w:p>
    <w:p w14:paraId="564869DB">
      <w:pPr>
        <w:spacing w:line="360" w:lineRule="auto"/>
        <w:ind w:firstLine="420" w:firstLineChars="200"/>
        <w:jc w:val="left"/>
        <w:rPr>
          <w:color w:val="auto"/>
          <w:highlight w:val="none"/>
          <w:u w:val="single"/>
        </w:rPr>
      </w:pPr>
      <w:r>
        <w:rPr>
          <w:rFonts w:hint="eastAsia" w:hAnsi="宋体" w:cs="宋体"/>
          <w:color w:val="auto"/>
          <w:highlight w:val="none"/>
        </w:rPr>
        <w:t>关于承包人应完成的其他开工准备工作及期限：</w:t>
      </w:r>
      <w:r>
        <w:rPr>
          <w:color w:val="auto"/>
          <w:highlight w:val="none"/>
          <w:u w:val="single"/>
        </w:rPr>
        <w:t xml:space="preserve">   </w:t>
      </w:r>
      <w:r>
        <w:rPr>
          <w:rFonts w:hint="eastAsia"/>
          <w:color w:val="auto"/>
          <w:highlight w:val="none"/>
          <w:u w:val="single"/>
        </w:rPr>
        <w:t>按本合同通用条款第 7.3.1 项执行</w:t>
      </w:r>
      <w:r>
        <w:rPr>
          <w:color w:val="auto"/>
          <w:highlight w:val="none"/>
          <w:u w:val="single"/>
        </w:rPr>
        <w:t xml:space="preserve">  </w:t>
      </w:r>
      <w:r>
        <w:rPr>
          <w:rFonts w:hint="eastAsia" w:hAnsi="宋体" w:cs="宋体"/>
          <w:color w:val="auto"/>
          <w:highlight w:val="none"/>
        </w:rPr>
        <w:t>。</w:t>
      </w:r>
    </w:p>
    <w:p w14:paraId="0BABA595">
      <w:pPr>
        <w:spacing w:line="360" w:lineRule="auto"/>
        <w:ind w:firstLine="420" w:firstLineChars="200"/>
        <w:jc w:val="left"/>
        <w:rPr>
          <w:color w:val="auto"/>
          <w:highlight w:val="none"/>
        </w:rPr>
      </w:pPr>
      <w:r>
        <w:rPr>
          <w:color w:val="auto"/>
          <w:highlight w:val="none"/>
        </w:rPr>
        <w:t xml:space="preserve">7.3.2 </w:t>
      </w:r>
      <w:r>
        <w:rPr>
          <w:rFonts w:hint="eastAsia" w:hAnsi="宋体" w:cs="宋体"/>
          <w:color w:val="auto"/>
          <w:highlight w:val="none"/>
        </w:rPr>
        <w:t>开工通知</w:t>
      </w:r>
    </w:p>
    <w:p w14:paraId="09AE293A">
      <w:pPr>
        <w:spacing w:line="360" w:lineRule="auto"/>
        <w:ind w:firstLine="420" w:firstLineChars="200"/>
        <w:jc w:val="left"/>
        <w:rPr>
          <w:color w:val="auto"/>
          <w:highlight w:val="none"/>
        </w:rPr>
      </w:pPr>
      <w:r>
        <w:rPr>
          <w:rFonts w:hint="eastAsia" w:hAnsi="宋体" w:cs="宋体"/>
          <w:color w:val="auto"/>
          <w:highlight w:val="none"/>
        </w:rPr>
        <w:t>因发包人原因造成监理人未能在计划开工日期之日起</w:t>
      </w:r>
      <w:r>
        <w:rPr>
          <w:color w:val="auto"/>
          <w:highlight w:val="none"/>
          <w:u w:val="single"/>
        </w:rPr>
        <w:t xml:space="preserve">  </w:t>
      </w:r>
      <w:r>
        <w:rPr>
          <w:rFonts w:hint="eastAsia"/>
          <w:color w:val="auto"/>
          <w:highlight w:val="none"/>
          <w:u w:val="single"/>
          <w:lang w:val="en-US" w:eastAsia="zh-CN"/>
        </w:rPr>
        <w:t>60</w:t>
      </w:r>
      <w:r>
        <w:rPr>
          <w:color w:val="auto"/>
          <w:highlight w:val="none"/>
          <w:u w:val="single"/>
        </w:rPr>
        <w:t xml:space="preserve">  </w:t>
      </w:r>
      <w:r>
        <w:rPr>
          <w:rFonts w:hint="eastAsia" w:hAnsi="宋体" w:cs="宋体"/>
          <w:color w:val="auto"/>
          <w:highlight w:val="none"/>
        </w:rPr>
        <w:t>天内发出开工通知的，承包人有权提出价格调整要求，或者解除合同。</w:t>
      </w:r>
    </w:p>
    <w:bookmarkEnd w:id="441"/>
    <w:bookmarkEnd w:id="442"/>
    <w:bookmarkEnd w:id="443"/>
    <w:bookmarkEnd w:id="444"/>
    <w:bookmarkEnd w:id="445"/>
    <w:bookmarkEnd w:id="446"/>
    <w:bookmarkEnd w:id="447"/>
    <w:p w14:paraId="2959B1BA">
      <w:pPr>
        <w:pStyle w:val="4"/>
        <w:rPr>
          <w:color w:val="auto"/>
          <w:highlight w:val="none"/>
        </w:rPr>
      </w:pPr>
      <w:bookmarkStart w:id="453" w:name="_Toc389065292"/>
      <w:bookmarkStart w:id="454" w:name="_Toc373227726"/>
      <w:bookmarkStart w:id="455" w:name="_Toc407135228"/>
      <w:bookmarkStart w:id="456" w:name="_Toc5563"/>
      <w:bookmarkStart w:id="457" w:name="_Toc373478373"/>
      <w:r>
        <w:rPr>
          <w:color w:val="auto"/>
          <w:highlight w:val="none"/>
        </w:rPr>
        <w:t xml:space="preserve">7.4 </w:t>
      </w:r>
      <w:r>
        <w:rPr>
          <w:rFonts w:hint="eastAsia" w:hAnsi="宋体" w:cs="黑体"/>
          <w:color w:val="auto"/>
          <w:highlight w:val="none"/>
        </w:rPr>
        <w:t>测量放线</w:t>
      </w:r>
      <w:bookmarkEnd w:id="453"/>
      <w:bookmarkEnd w:id="454"/>
      <w:bookmarkEnd w:id="455"/>
      <w:bookmarkEnd w:id="456"/>
      <w:bookmarkEnd w:id="457"/>
    </w:p>
    <w:p w14:paraId="6F837006">
      <w:pPr>
        <w:spacing w:line="360" w:lineRule="auto"/>
        <w:ind w:firstLine="420" w:firstLineChars="200"/>
        <w:jc w:val="left"/>
        <w:rPr>
          <w:rFonts w:hAnsi="宋体"/>
          <w:color w:val="auto"/>
          <w:highlight w:val="none"/>
        </w:rPr>
      </w:pPr>
      <w:r>
        <w:rPr>
          <w:color w:val="auto"/>
          <w:highlight w:val="none"/>
        </w:rPr>
        <w:t>7.4.1</w:t>
      </w:r>
      <w:r>
        <w:rPr>
          <w:rFonts w:hint="eastAsia" w:hAnsi="宋体" w:cs="宋体"/>
          <w:color w:val="auto"/>
          <w:highlight w:val="none"/>
        </w:rPr>
        <w:t>发包人通过监理人向承包人提供测量基准点、基准线和水准点及其书面资料的期限：</w:t>
      </w:r>
    </w:p>
    <w:p w14:paraId="28D25D49">
      <w:pPr>
        <w:spacing w:line="360" w:lineRule="auto"/>
        <w:jc w:val="left"/>
        <w:rPr>
          <w:color w:val="auto"/>
          <w:highlight w:val="none"/>
          <w:u w:val="single"/>
        </w:rPr>
      </w:pPr>
      <w:r>
        <w:rPr>
          <w:color w:val="auto"/>
          <w:highlight w:val="none"/>
          <w:u w:val="single"/>
        </w:rPr>
        <w:t xml:space="preserve"> </w:t>
      </w:r>
      <w:r>
        <w:rPr>
          <w:rFonts w:hint="eastAsia"/>
          <w:color w:val="auto"/>
          <w:highlight w:val="none"/>
          <w:u w:val="single"/>
        </w:rPr>
        <w:t>开工日期前 7 天</w:t>
      </w:r>
      <w:r>
        <w:rPr>
          <w:color w:val="auto"/>
          <w:highlight w:val="none"/>
          <w:u w:val="single"/>
        </w:rPr>
        <w:t xml:space="preserve">  </w:t>
      </w:r>
      <w:r>
        <w:rPr>
          <w:rFonts w:hint="eastAsia" w:hAnsi="宋体" w:cs="宋体"/>
          <w:color w:val="auto"/>
          <w:highlight w:val="none"/>
        </w:rPr>
        <w:t>。</w:t>
      </w:r>
    </w:p>
    <w:p w14:paraId="4C8F338C">
      <w:pPr>
        <w:pStyle w:val="4"/>
        <w:rPr>
          <w:color w:val="auto"/>
          <w:highlight w:val="none"/>
        </w:rPr>
      </w:pPr>
      <w:bookmarkStart w:id="458" w:name="_Toc389065293"/>
      <w:bookmarkStart w:id="459" w:name="_Toc373478374"/>
      <w:bookmarkStart w:id="460" w:name="_Toc373227727"/>
      <w:bookmarkStart w:id="461" w:name="_Toc19229"/>
      <w:bookmarkStart w:id="462" w:name="_Toc407135229"/>
      <w:r>
        <w:rPr>
          <w:color w:val="auto"/>
          <w:highlight w:val="none"/>
        </w:rPr>
        <w:t>7</w:t>
      </w:r>
      <w:bookmarkStart w:id="463" w:name="_Toc300934968"/>
      <w:bookmarkStart w:id="464" w:name="_Toc312677484"/>
      <w:bookmarkStart w:id="465" w:name="_Toc312678010"/>
      <w:bookmarkStart w:id="466" w:name="_Toc297216175"/>
      <w:bookmarkStart w:id="467" w:name="_Toc303539125"/>
      <w:bookmarkStart w:id="468" w:name="_Toc304295546"/>
      <w:bookmarkStart w:id="469" w:name="_Toc297123516"/>
      <w:r>
        <w:rPr>
          <w:color w:val="auto"/>
          <w:highlight w:val="none"/>
        </w:rPr>
        <w:t xml:space="preserve">.5 </w:t>
      </w:r>
      <w:r>
        <w:rPr>
          <w:rFonts w:hint="eastAsia" w:hAnsi="宋体" w:cs="黑体"/>
          <w:color w:val="auto"/>
          <w:highlight w:val="none"/>
        </w:rPr>
        <w:t>工期延误</w:t>
      </w:r>
      <w:bookmarkEnd w:id="458"/>
      <w:bookmarkEnd w:id="459"/>
      <w:bookmarkEnd w:id="460"/>
      <w:bookmarkEnd w:id="461"/>
      <w:bookmarkEnd w:id="462"/>
    </w:p>
    <w:bookmarkEnd w:id="463"/>
    <w:bookmarkEnd w:id="464"/>
    <w:bookmarkEnd w:id="465"/>
    <w:bookmarkEnd w:id="466"/>
    <w:bookmarkEnd w:id="467"/>
    <w:bookmarkEnd w:id="468"/>
    <w:bookmarkEnd w:id="469"/>
    <w:p w14:paraId="1BA67C31">
      <w:pPr>
        <w:spacing w:line="360" w:lineRule="auto"/>
        <w:ind w:firstLine="420" w:firstLineChars="200"/>
        <w:jc w:val="left"/>
        <w:rPr>
          <w:color w:val="auto"/>
          <w:highlight w:val="none"/>
        </w:rPr>
      </w:pPr>
      <w:r>
        <w:rPr>
          <w:color w:val="auto"/>
          <w:highlight w:val="none"/>
        </w:rPr>
        <w:t xml:space="preserve">7.5.1 </w:t>
      </w:r>
      <w:r>
        <w:rPr>
          <w:rFonts w:hint="eastAsia" w:hAnsi="宋体" w:cs="宋体"/>
          <w:color w:val="auto"/>
          <w:highlight w:val="none"/>
        </w:rPr>
        <w:t>因发包人原因导致工期延误</w:t>
      </w:r>
    </w:p>
    <w:p w14:paraId="51BD1228">
      <w:pPr>
        <w:spacing w:line="360" w:lineRule="auto"/>
        <w:ind w:firstLine="420" w:firstLineChars="200"/>
        <w:jc w:val="left"/>
        <w:rPr>
          <w:rFonts w:hint="eastAsia" w:ascii="宋体" w:hAnsi="宋体" w:eastAsia="宋体" w:cs="宋体"/>
          <w:color w:val="auto"/>
          <w:highlight w:val="none"/>
          <w:u w:val="single"/>
        </w:rPr>
      </w:pPr>
      <w:r>
        <w:rPr>
          <w:rFonts w:hint="eastAsia" w:hAnsi="宋体" w:cs="宋体"/>
          <w:color w:val="auto"/>
          <w:highlight w:val="none"/>
        </w:rPr>
        <w:t>（</w:t>
      </w:r>
      <w:r>
        <w:rPr>
          <w:color w:val="auto"/>
          <w:highlight w:val="none"/>
        </w:rPr>
        <w:t>7</w:t>
      </w:r>
      <w:r>
        <w:rPr>
          <w:rFonts w:hint="eastAsia" w:hAnsi="宋体" w:cs="宋体"/>
          <w:color w:val="auto"/>
          <w:highlight w:val="none"/>
        </w:rPr>
        <w:t>）因发包人原因导致工期延误的其他情形：</w:t>
      </w:r>
      <w:r>
        <w:rPr>
          <w:rFonts w:hint="eastAsia" w:ascii="宋体" w:hAnsi="宋体" w:eastAsia="宋体" w:cs="宋体"/>
          <w:color w:val="auto"/>
          <w:highlight w:val="none"/>
          <w:u w:val="single"/>
        </w:rPr>
        <w:t>①重大图纸变更影响</w:t>
      </w:r>
      <w:r>
        <w:rPr>
          <w:rFonts w:hint="eastAsia" w:ascii="宋体" w:hAnsi="宋体" w:eastAsia="宋体" w:cs="宋体"/>
          <w:color w:val="auto"/>
          <w:highlight w:val="none"/>
          <w:u w:val="single"/>
          <w:lang w:eastAsia="zh-CN"/>
        </w:rPr>
        <w:t>关键</w:t>
      </w:r>
      <w:r>
        <w:rPr>
          <w:rFonts w:hint="eastAsia" w:ascii="宋体" w:hAnsi="宋体" w:eastAsia="宋体" w:cs="宋体"/>
          <w:color w:val="auto"/>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 。</w:t>
      </w:r>
    </w:p>
    <w:p w14:paraId="43CB9F07">
      <w:pPr>
        <w:spacing w:line="360" w:lineRule="auto"/>
        <w:ind w:firstLine="420" w:firstLineChars="200"/>
        <w:jc w:val="left"/>
        <w:rPr>
          <w:color w:val="auto"/>
          <w:highlight w:val="none"/>
        </w:rPr>
      </w:pPr>
      <w:r>
        <w:rPr>
          <w:color w:val="auto"/>
          <w:highlight w:val="none"/>
        </w:rPr>
        <w:t>7</w:t>
      </w:r>
      <w:bookmarkStart w:id="470" w:name="_Toc312677486"/>
      <w:bookmarkStart w:id="471" w:name="_Toc318581169"/>
      <w:bookmarkStart w:id="472" w:name="_Toc312678012"/>
      <w:bookmarkStart w:id="473" w:name="_Toc297123518"/>
      <w:bookmarkStart w:id="474" w:name="_Toc304295548"/>
      <w:bookmarkStart w:id="475" w:name="_Toc297216177"/>
      <w:bookmarkStart w:id="476" w:name="_Toc300934970"/>
      <w:bookmarkStart w:id="477" w:name="_Toc303539127"/>
      <w:r>
        <w:rPr>
          <w:color w:val="auto"/>
          <w:highlight w:val="none"/>
        </w:rPr>
        <w:t xml:space="preserve">.5.2 </w:t>
      </w:r>
      <w:r>
        <w:rPr>
          <w:rFonts w:hint="eastAsia" w:hAnsi="宋体" w:cs="宋体"/>
          <w:color w:val="auto"/>
          <w:highlight w:val="none"/>
        </w:rPr>
        <w:t>因承包人原因导致工期延误</w:t>
      </w:r>
    </w:p>
    <w:bookmarkEnd w:id="470"/>
    <w:bookmarkEnd w:id="471"/>
    <w:bookmarkEnd w:id="472"/>
    <w:p w14:paraId="731C9250">
      <w:pPr>
        <w:spacing w:line="360" w:lineRule="auto"/>
        <w:ind w:firstLine="420" w:firstLineChars="200"/>
        <w:jc w:val="left"/>
        <w:rPr>
          <w:color w:val="auto"/>
          <w:highlight w:val="none"/>
        </w:rPr>
      </w:pPr>
      <w:r>
        <w:rPr>
          <w:rFonts w:hint="eastAsia" w:hAnsi="宋体" w:cs="宋体"/>
          <w:color w:val="auto"/>
          <w:highlight w:val="none"/>
        </w:rPr>
        <w:t>双方约定经监理工程师确认，工期相应顺延的情况：</w:t>
      </w:r>
      <w:r>
        <w:rPr>
          <w:rFonts w:hint="eastAsia" w:ascii="宋体" w:hAnsi="宋体" w:eastAsia="宋体" w:cs="宋体"/>
          <w:color w:val="auto"/>
          <w:highlight w:val="none"/>
          <w:u w:val="single"/>
        </w:rPr>
        <w:t xml:space="preserve"> ①重大图纸变更影响</w:t>
      </w:r>
      <w:r>
        <w:rPr>
          <w:rFonts w:hint="eastAsia" w:ascii="宋体" w:hAnsi="宋体" w:eastAsia="宋体" w:cs="宋体"/>
          <w:color w:val="auto"/>
          <w:highlight w:val="none"/>
          <w:u w:val="single"/>
          <w:lang w:eastAsia="zh-CN"/>
        </w:rPr>
        <w:t>关键</w:t>
      </w:r>
      <w:r>
        <w:rPr>
          <w:rFonts w:hint="eastAsia" w:ascii="宋体" w:hAnsi="宋体" w:eastAsia="宋体" w:cs="宋体"/>
          <w:color w:val="auto"/>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 。</w:t>
      </w:r>
    </w:p>
    <w:p w14:paraId="4CD09235">
      <w:pPr>
        <w:spacing w:line="360" w:lineRule="auto"/>
        <w:ind w:firstLine="420" w:firstLineChars="200"/>
        <w:jc w:val="left"/>
        <w:rPr>
          <w:color w:val="auto"/>
          <w:highlight w:val="none"/>
        </w:rPr>
      </w:pPr>
      <w:r>
        <w:rPr>
          <w:rFonts w:hint="eastAsia" w:hAnsi="宋体" w:cs="宋体"/>
          <w:color w:val="auto"/>
          <w:highlight w:val="none"/>
        </w:rPr>
        <w:t>因</w:t>
      </w:r>
      <w:bookmarkStart w:id="478" w:name="_Toc312677487"/>
      <w:bookmarkStart w:id="479" w:name="_Toc318581170"/>
      <w:bookmarkStart w:id="480" w:name="_Toc312678013"/>
      <w:r>
        <w:rPr>
          <w:rFonts w:hint="eastAsia" w:hAnsi="宋体" w:cs="宋体"/>
          <w:color w:val="auto"/>
          <w:highlight w:val="none"/>
        </w:rPr>
        <w:t>承包人原因造成工期延误，逾期竣工违约金的计算方法为：</w:t>
      </w:r>
      <w:bookmarkEnd w:id="473"/>
      <w:bookmarkEnd w:id="474"/>
      <w:bookmarkEnd w:id="475"/>
      <w:bookmarkEnd w:id="476"/>
      <w:bookmarkEnd w:id="477"/>
      <w:bookmarkEnd w:id="478"/>
      <w:bookmarkEnd w:id="479"/>
      <w:bookmarkEnd w:id="480"/>
      <w:r>
        <w:rPr>
          <w:rFonts w:hint="eastAsia" w:ascii="宋体" w:hAnsi="宋体" w:cs="宋体"/>
          <w:color w:val="auto"/>
          <w:highlight w:val="none"/>
          <w:u w:val="single"/>
        </w:rPr>
        <w:t>非上述原因，承包人不能按合同约定的时间竣工，承包人应承担违约责任</w:t>
      </w:r>
      <w:bookmarkStart w:id="481" w:name="_Toc312678014"/>
      <w:bookmarkStart w:id="482" w:name="_Toc318581171"/>
      <w:r>
        <w:rPr>
          <w:rFonts w:hint="eastAsia" w:hAnsi="宋体" w:cs="宋体"/>
          <w:color w:val="auto"/>
          <w:highlight w:val="none"/>
        </w:rPr>
        <w:t>。</w:t>
      </w:r>
    </w:p>
    <w:bookmarkEnd w:id="481"/>
    <w:bookmarkEnd w:id="482"/>
    <w:p w14:paraId="687846B2">
      <w:pPr>
        <w:pStyle w:val="4"/>
        <w:rPr>
          <w:color w:val="auto"/>
          <w:highlight w:val="none"/>
        </w:rPr>
      </w:pPr>
      <w:bookmarkStart w:id="483" w:name="_Toc389065294"/>
      <w:bookmarkStart w:id="484" w:name="_Toc407135230"/>
      <w:bookmarkStart w:id="485" w:name="_Toc373227728"/>
      <w:bookmarkStart w:id="486" w:name="_Toc9193"/>
      <w:bookmarkStart w:id="487" w:name="_Toc373478375"/>
      <w:r>
        <w:rPr>
          <w:color w:val="auto"/>
          <w:highlight w:val="none"/>
        </w:rPr>
        <w:t>7</w:t>
      </w:r>
      <w:bookmarkStart w:id="488" w:name="_Toc297216178"/>
      <w:bookmarkStart w:id="489" w:name="_Toc312678015"/>
      <w:bookmarkStart w:id="490" w:name="_Toc303539128"/>
      <w:bookmarkStart w:id="491" w:name="_Toc300934971"/>
      <w:bookmarkStart w:id="492" w:name="_Toc304295549"/>
      <w:bookmarkStart w:id="493" w:name="_Toc297123519"/>
      <w:r>
        <w:rPr>
          <w:color w:val="auto"/>
          <w:highlight w:val="none"/>
        </w:rPr>
        <w:t xml:space="preserve">.6 </w:t>
      </w:r>
      <w:r>
        <w:rPr>
          <w:rFonts w:hint="eastAsia" w:cs="黑体"/>
          <w:color w:val="auto"/>
          <w:highlight w:val="none"/>
        </w:rPr>
        <w:t>不</w:t>
      </w:r>
      <w:bookmarkEnd w:id="488"/>
      <w:bookmarkEnd w:id="489"/>
      <w:bookmarkEnd w:id="490"/>
      <w:bookmarkEnd w:id="491"/>
      <w:bookmarkEnd w:id="492"/>
      <w:bookmarkEnd w:id="493"/>
      <w:r>
        <w:rPr>
          <w:rFonts w:hint="eastAsia" w:cs="黑体"/>
          <w:color w:val="auto"/>
          <w:highlight w:val="none"/>
        </w:rPr>
        <w:t>利物质条件</w:t>
      </w:r>
      <w:bookmarkEnd w:id="483"/>
      <w:bookmarkEnd w:id="484"/>
      <w:bookmarkEnd w:id="485"/>
      <w:bookmarkEnd w:id="486"/>
      <w:bookmarkEnd w:id="487"/>
    </w:p>
    <w:p w14:paraId="02D2FD9A">
      <w:pPr>
        <w:spacing w:line="360" w:lineRule="auto"/>
        <w:ind w:firstLine="420" w:firstLineChars="200"/>
        <w:jc w:val="left"/>
        <w:rPr>
          <w:color w:val="auto"/>
          <w:highlight w:val="none"/>
          <w:u w:val="single"/>
        </w:rPr>
      </w:pPr>
      <w:bookmarkStart w:id="494" w:name="_Toc303539129"/>
      <w:bookmarkStart w:id="495" w:name="_Toc318581172"/>
      <w:bookmarkStart w:id="496" w:name="_Toc297216179"/>
      <w:bookmarkStart w:id="497" w:name="_Toc304295550"/>
      <w:bookmarkStart w:id="498" w:name="_Toc312678016"/>
      <w:bookmarkStart w:id="499" w:name="_Toc297123520"/>
      <w:bookmarkStart w:id="500" w:name="_Toc300934972"/>
      <w:r>
        <w:rPr>
          <w:rFonts w:hint="eastAsia" w:hAnsi="宋体" w:cs="宋体"/>
          <w:color w:val="auto"/>
          <w:highlight w:val="none"/>
        </w:rPr>
        <w:t>不利物质条件的其他情形和有关约定：</w:t>
      </w:r>
      <w:r>
        <w:rPr>
          <w:color w:val="auto"/>
          <w:highlight w:val="none"/>
          <w:u w:val="single"/>
        </w:rPr>
        <w:t xml:space="preserve">  </w:t>
      </w:r>
      <w:r>
        <w:rPr>
          <w:rFonts w:hint="eastAsia"/>
          <w:color w:val="auto"/>
          <w:highlight w:val="none"/>
          <w:u w:val="single"/>
          <w:lang w:val="en-US" w:eastAsia="zh-CN"/>
        </w:rPr>
        <w:t xml:space="preserve">无   </w:t>
      </w:r>
      <w:r>
        <w:rPr>
          <w:rFonts w:hint="eastAsia" w:hAnsi="宋体" w:cs="宋体"/>
          <w:color w:val="auto"/>
          <w:highlight w:val="none"/>
        </w:rPr>
        <w:t>。</w:t>
      </w:r>
    </w:p>
    <w:bookmarkEnd w:id="494"/>
    <w:bookmarkEnd w:id="495"/>
    <w:bookmarkEnd w:id="496"/>
    <w:bookmarkEnd w:id="497"/>
    <w:bookmarkEnd w:id="498"/>
    <w:bookmarkEnd w:id="499"/>
    <w:bookmarkEnd w:id="500"/>
    <w:p w14:paraId="077DE7B1">
      <w:pPr>
        <w:pStyle w:val="4"/>
        <w:rPr>
          <w:color w:val="auto"/>
          <w:highlight w:val="none"/>
        </w:rPr>
      </w:pPr>
      <w:bookmarkStart w:id="501" w:name="_Toc373478376"/>
      <w:bookmarkStart w:id="502" w:name="_Toc389065295"/>
      <w:bookmarkStart w:id="503" w:name="_Toc373227729"/>
      <w:bookmarkStart w:id="504" w:name="_Toc27737"/>
      <w:bookmarkStart w:id="505" w:name="_Toc407135231"/>
      <w:r>
        <w:rPr>
          <w:color w:val="auto"/>
          <w:highlight w:val="none"/>
        </w:rPr>
        <w:t>7</w:t>
      </w:r>
      <w:bookmarkStart w:id="506" w:name="_Toc297216180"/>
      <w:bookmarkStart w:id="507" w:name="_Toc297123521"/>
      <w:bookmarkStart w:id="508" w:name="_Toc312678017"/>
      <w:bookmarkStart w:id="509" w:name="_Toc303539130"/>
      <w:bookmarkStart w:id="510" w:name="_Toc304295551"/>
      <w:bookmarkStart w:id="511" w:name="_Toc300934973"/>
      <w:r>
        <w:rPr>
          <w:color w:val="auto"/>
          <w:highlight w:val="none"/>
        </w:rPr>
        <w:t xml:space="preserve">.7 </w:t>
      </w:r>
      <w:r>
        <w:rPr>
          <w:rFonts w:hint="eastAsia" w:cs="黑体"/>
          <w:color w:val="auto"/>
          <w:highlight w:val="none"/>
        </w:rPr>
        <w:t>异常恶劣的气候条件</w:t>
      </w:r>
      <w:bookmarkEnd w:id="501"/>
      <w:bookmarkEnd w:id="502"/>
      <w:bookmarkEnd w:id="503"/>
      <w:bookmarkEnd w:id="504"/>
      <w:bookmarkEnd w:id="505"/>
    </w:p>
    <w:bookmarkEnd w:id="506"/>
    <w:bookmarkEnd w:id="507"/>
    <w:bookmarkEnd w:id="508"/>
    <w:bookmarkEnd w:id="509"/>
    <w:bookmarkEnd w:id="510"/>
    <w:bookmarkEnd w:id="511"/>
    <w:p w14:paraId="7CF735B4">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发包人和承包人同意以下情形视为异常恶劣的气候条件：</w:t>
      </w:r>
      <w:bookmarkStart w:id="512" w:name="_Toc373478377"/>
      <w:bookmarkStart w:id="513" w:name="_Toc407135232"/>
      <w:bookmarkStart w:id="514" w:name="_Toc389065296"/>
      <w:bookmarkStart w:id="515" w:name="_Toc373227730"/>
    </w:p>
    <w:p w14:paraId="65E10BF6">
      <w:pPr>
        <w:numPr>
          <w:ilvl w:val="0"/>
          <w:numId w:val="9"/>
        </w:num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（6）级以上的地震；</w:t>
      </w:r>
    </w:p>
    <w:p w14:paraId="27EAC5B9">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（2）（10）级以上的持续（3）天的大风；</w:t>
      </w:r>
    </w:p>
    <w:p w14:paraId="2A0AE6D2">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（3） 日降雨量大于50mm的雨日超过1天；</w:t>
      </w:r>
    </w:p>
    <w:p w14:paraId="369CD8A4">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（4）（50）年以上未发生过，持续（3）天的高温天气；</w:t>
      </w:r>
    </w:p>
    <w:p w14:paraId="2717A964">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（5）（50）年以上未发生过，持续（3）天的严寒天气；</w:t>
      </w:r>
    </w:p>
    <w:p w14:paraId="5116E68C">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（6）（50）年以上未发生过的洪水；</w:t>
      </w:r>
    </w:p>
    <w:p w14:paraId="72FFC417">
      <w:pPr>
        <w:pStyle w:val="4"/>
        <w:rPr>
          <w:rFonts w:hint="eastAsia" w:ascii="宋体" w:hAnsi="宋体" w:eastAsia="宋体" w:cs="宋体"/>
          <w:b w:val="0"/>
          <w:bCs w:val="0"/>
          <w:color w:val="auto"/>
          <w:sz w:val="21"/>
          <w:szCs w:val="21"/>
          <w:highlight w:val="none"/>
          <w:lang w:val="en-US"/>
        </w:rPr>
      </w:pPr>
      <w:bookmarkStart w:id="516" w:name="_Toc8571"/>
      <w:r>
        <w:rPr>
          <w:rFonts w:hint="eastAsia" w:ascii="宋体" w:hAnsi="宋体" w:eastAsia="宋体" w:cs="宋体"/>
          <w:b w:val="0"/>
          <w:bCs w:val="0"/>
          <w:color w:val="auto"/>
          <w:sz w:val="21"/>
          <w:szCs w:val="21"/>
          <w:highlight w:val="none"/>
          <w:lang w:val="en-US"/>
        </w:rPr>
        <w:t xml:space="preserve">7.9 </w:t>
      </w:r>
      <w:r>
        <w:rPr>
          <w:rFonts w:hint="eastAsia" w:ascii="宋体" w:hAnsi="宋体" w:eastAsia="宋体" w:cs="宋体"/>
          <w:b w:val="0"/>
          <w:bCs w:val="0"/>
          <w:color w:val="auto"/>
          <w:sz w:val="21"/>
          <w:szCs w:val="21"/>
          <w:highlight w:val="none"/>
        </w:rPr>
        <w:t>提前竣工</w:t>
      </w:r>
      <w:bookmarkEnd w:id="512"/>
      <w:bookmarkEnd w:id="513"/>
      <w:bookmarkEnd w:id="514"/>
      <w:bookmarkEnd w:id="515"/>
      <w:bookmarkEnd w:id="516"/>
    </w:p>
    <w:p w14:paraId="681C3930">
      <w:pPr>
        <w:spacing w:line="360" w:lineRule="auto"/>
        <w:ind w:firstLine="420" w:firstLineChars="200"/>
        <w:jc w:val="left"/>
        <w:rPr>
          <w:rFonts w:hAnsi="宋体"/>
          <w:color w:val="auto"/>
          <w:highlight w:val="none"/>
        </w:rPr>
      </w:pPr>
      <w:r>
        <w:rPr>
          <w:color w:val="auto"/>
          <w:highlight w:val="none"/>
        </w:rPr>
        <w:t>7.9.2</w:t>
      </w:r>
      <w:r>
        <w:rPr>
          <w:rFonts w:hint="eastAsia" w:hAnsi="宋体" w:cs="宋体"/>
          <w:color w:val="auto"/>
          <w:highlight w:val="none"/>
        </w:rPr>
        <w:t>提前竣工（赶工）增加费的计算方法：</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D02DB35">
      <w:pPr>
        <w:pStyle w:val="3"/>
        <w:rPr>
          <w:color w:val="auto"/>
          <w:highlight w:val="none"/>
        </w:rPr>
      </w:pPr>
      <w:bookmarkStart w:id="517" w:name="_Toc500"/>
      <w:bookmarkStart w:id="518" w:name="_Toc373478378"/>
      <w:bookmarkStart w:id="519" w:name="_Toc373227731"/>
      <w:bookmarkStart w:id="520" w:name="_Toc389065297"/>
      <w:bookmarkStart w:id="521" w:name="_Toc407135233"/>
      <w:bookmarkStart w:id="522" w:name="_Toc351203640"/>
      <w:r>
        <w:rPr>
          <w:color w:val="auto"/>
          <w:highlight w:val="none"/>
        </w:rPr>
        <w:t xml:space="preserve">8. </w:t>
      </w:r>
      <w:r>
        <w:rPr>
          <w:rFonts w:hint="eastAsia" w:cs="黑体"/>
          <w:color w:val="auto"/>
          <w:highlight w:val="none"/>
        </w:rPr>
        <w:t>材料与设备</w:t>
      </w:r>
      <w:bookmarkEnd w:id="517"/>
      <w:bookmarkEnd w:id="518"/>
      <w:bookmarkEnd w:id="519"/>
      <w:bookmarkEnd w:id="520"/>
      <w:bookmarkEnd w:id="521"/>
      <w:bookmarkEnd w:id="522"/>
    </w:p>
    <w:bookmarkEnd w:id="387"/>
    <w:bookmarkEnd w:id="388"/>
    <w:bookmarkEnd w:id="389"/>
    <w:bookmarkEnd w:id="390"/>
    <w:bookmarkEnd w:id="391"/>
    <w:bookmarkEnd w:id="392"/>
    <w:bookmarkEnd w:id="393"/>
    <w:bookmarkEnd w:id="394"/>
    <w:bookmarkEnd w:id="395"/>
    <w:bookmarkEnd w:id="396"/>
    <w:p w14:paraId="593D4C89">
      <w:pPr>
        <w:pStyle w:val="4"/>
        <w:rPr>
          <w:color w:val="auto"/>
          <w:highlight w:val="none"/>
        </w:rPr>
      </w:pPr>
      <w:bookmarkStart w:id="523" w:name="_Toc373227732"/>
      <w:bookmarkStart w:id="524" w:name="_Toc8034"/>
      <w:bookmarkStart w:id="525" w:name="_Toc407135234"/>
      <w:bookmarkStart w:id="526" w:name="_Toc389065298"/>
      <w:bookmarkStart w:id="527" w:name="_Toc373478379"/>
      <w:r>
        <w:rPr>
          <w:color w:val="auto"/>
          <w:highlight w:val="none"/>
        </w:rPr>
        <w:t xml:space="preserve">8.2 </w:t>
      </w:r>
      <w:r>
        <w:rPr>
          <w:rFonts w:hint="eastAsia" w:cs="黑体"/>
          <w:color w:val="auto"/>
          <w:highlight w:val="none"/>
        </w:rPr>
        <w:t>承包人采购材料与工程设备</w:t>
      </w:r>
      <w:bookmarkEnd w:id="523"/>
      <w:bookmarkEnd w:id="524"/>
      <w:bookmarkEnd w:id="525"/>
      <w:bookmarkEnd w:id="526"/>
      <w:bookmarkEnd w:id="527"/>
    </w:p>
    <w:p w14:paraId="5714B255">
      <w:pPr>
        <w:autoSpaceDE w:val="0"/>
        <w:autoSpaceDN w:val="0"/>
        <w:adjustRightInd w:val="0"/>
        <w:spacing w:line="360" w:lineRule="auto"/>
        <w:ind w:firstLine="420" w:firstLineChars="200"/>
        <w:jc w:val="left"/>
        <w:rPr>
          <w:color w:val="auto"/>
          <w:kern w:val="0"/>
          <w:highlight w:val="none"/>
        </w:rPr>
      </w:pPr>
      <w:r>
        <w:rPr>
          <w:rFonts w:hint="eastAsia" w:cs="宋体"/>
          <w:color w:val="auto"/>
          <w:kern w:val="0"/>
          <w:highlight w:val="none"/>
        </w:rPr>
        <w:t>除已标价工程量清单《发包人提供主要材料和工程设备一览表》（表</w:t>
      </w:r>
      <w:r>
        <w:rPr>
          <w:color w:val="auto"/>
          <w:kern w:val="0"/>
          <w:highlight w:val="none"/>
        </w:rPr>
        <w:t>-21</w:t>
      </w:r>
      <w:r>
        <w:rPr>
          <w:rFonts w:hint="eastAsia" w:cs="宋体"/>
          <w:color w:val="auto"/>
          <w:kern w:val="0"/>
          <w:highlight w:val="none"/>
        </w:rPr>
        <w:t>）中明确的材料、工程设备外，由承包人负责材料和工程设备的采购、运输和保管。《</w:t>
      </w:r>
      <w:r>
        <w:rPr>
          <w:rFonts w:hint="eastAsia" w:cs="宋体"/>
          <w:color w:val="auto"/>
          <w:highlight w:val="none"/>
        </w:rPr>
        <w:t>承包人提供主要材料和工程设备一览表》</w:t>
      </w:r>
      <w:r>
        <w:rPr>
          <w:rFonts w:hint="eastAsia" w:cs="宋体"/>
          <w:color w:val="auto"/>
          <w:kern w:val="0"/>
          <w:highlight w:val="none"/>
        </w:rPr>
        <w:t>（表</w:t>
      </w:r>
      <w:r>
        <w:rPr>
          <w:color w:val="auto"/>
          <w:kern w:val="0"/>
          <w:highlight w:val="none"/>
        </w:rPr>
        <w:t>-22</w:t>
      </w:r>
      <w:r>
        <w:rPr>
          <w:rFonts w:hint="eastAsia" w:cs="宋体"/>
          <w:color w:val="auto"/>
          <w:kern w:val="0"/>
          <w:highlight w:val="none"/>
        </w:rPr>
        <w:t>）见已标价工程量清单。</w:t>
      </w:r>
    </w:p>
    <w:p w14:paraId="0ABC3B34">
      <w:pPr>
        <w:pStyle w:val="4"/>
        <w:rPr>
          <w:color w:val="auto"/>
          <w:highlight w:val="none"/>
        </w:rPr>
      </w:pPr>
      <w:bookmarkStart w:id="528" w:name="_Toc389065299"/>
      <w:bookmarkStart w:id="529" w:name="_Toc373478380"/>
      <w:bookmarkStart w:id="530" w:name="_Toc3900"/>
      <w:bookmarkStart w:id="531" w:name="_Toc373227733"/>
      <w:bookmarkStart w:id="532" w:name="_Toc407135235"/>
      <w:r>
        <w:rPr>
          <w:color w:val="auto"/>
          <w:highlight w:val="none"/>
        </w:rPr>
        <w:t>8</w:t>
      </w:r>
      <w:bookmarkStart w:id="533" w:name="_Toc296347166"/>
      <w:bookmarkStart w:id="534" w:name="_Toc296503167"/>
      <w:bookmarkStart w:id="535" w:name="_Toc280868654"/>
      <w:bookmarkStart w:id="536" w:name="_Toc296890995"/>
      <w:bookmarkStart w:id="537" w:name="_Toc297123527"/>
      <w:bookmarkStart w:id="538" w:name="_Toc312678019"/>
      <w:bookmarkStart w:id="539" w:name="_Toc297120467"/>
      <w:bookmarkStart w:id="540" w:name="_Toc296346668"/>
      <w:bookmarkStart w:id="541" w:name="_Toc312677493"/>
      <w:bookmarkStart w:id="542" w:name="_Toc304295556"/>
      <w:bookmarkStart w:id="543" w:name="_Toc303539136"/>
      <w:bookmarkStart w:id="544" w:name="_Toc292559877"/>
      <w:bookmarkStart w:id="545" w:name="_Toc300934979"/>
      <w:bookmarkStart w:id="546" w:name="_Toc297216186"/>
      <w:bookmarkStart w:id="547" w:name="_Toc292559372"/>
      <w:bookmarkStart w:id="548" w:name="_Toc296891207"/>
      <w:bookmarkStart w:id="549" w:name="_Toc296944506"/>
      <w:bookmarkStart w:id="550" w:name="_Toc297048353"/>
      <w:bookmarkStart w:id="551" w:name="_Toc280868655"/>
      <w:bookmarkStart w:id="552" w:name="_Toc267251424"/>
      <w:bookmarkStart w:id="553" w:name="_Toc280868656"/>
      <w:r>
        <w:rPr>
          <w:color w:val="auto"/>
          <w:highlight w:val="none"/>
        </w:rPr>
        <w:t xml:space="preserve">.4 </w:t>
      </w:r>
      <w:r>
        <w:rPr>
          <w:rFonts w:hint="eastAsia" w:cs="黑体"/>
          <w:color w:val="auto"/>
          <w:highlight w:val="none"/>
        </w:rPr>
        <w:t>材料与工程设备的保管与使用</w:t>
      </w:r>
      <w:bookmarkEnd w:id="528"/>
      <w:bookmarkEnd w:id="529"/>
      <w:bookmarkEnd w:id="530"/>
      <w:bookmarkEnd w:id="531"/>
      <w:bookmarkEnd w:id="532"/>
    </w:p>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14:paraId="7DB70EEF">
      <w:pPr>
        <w:spacing w:line="360" w:lineRule="auto"/>
        <w:ind w:firstLine="420" w:firstLineChars="200"/>
        <w:jc w:val="left"/>
        <w:rPr>
          <w:color w:val="auto"/>
          <w:highlight w:val="none"/>
          <w:u w:val="single"/>
        </w:rPr>
      </w:pPr>
      <w:r>
        <w:rPr>
          <w:color w:val="auto"/>
          <w:highlight w:val="none"/>
        </w:rPr>
        <w:t>8</w:t>
      </w:r>
      <w:bookmarkStart w:id="554" w:name="_Toc292559878"/>
      <w:bookmarkStart w:id="555" w:name="_Toc292559373"/>
      <w:bookmarkStart w:id="556" w:name="_Toc297123528"/>
      <w:bookmarkStart w:id="557" w:name="_Toc304295557"/>
      <w:bookmarkStart w:id="558" w:name="_Toc297120468"/>
      <w:bookmarkStart w:id="559" w:name="_Toc296891208"/>
      <w:bookmarkStart w:id="560" w:name="_Toc297216187"/>
      <w:bookmarkStart w:id="561" w:name="_Toc296944507"/>
      <w:bookmarkStart w:id="562" w:name="_Toc297048354"/>
      <w:bookmarkStart w:id="563" w:name="_Toc300934980"/>
      <w:bookmarkStart w:id="564" w:name="_Toc312677494"/>
      <w:bookmarkStart w:id="565" w:name="_Toc296503168"/>
      <w:bookmarkStart w:id="566" w:name="_Toc312678020"/>
      <w:bookmarkStart w:id="567" w:name="_Toc318581173"/>
      <w:bookmarkStart w:id="568" w:name="_Toc296346669"/>
      <w:bookmarkStart w:id="569" w:name="_Toc296890996"/>
      <w:bookmarkStart w:id="570" w:name="_Toc303539137"/>
      <w:bookmarkStart w:id="571" w:name="_Toc296347167"/>
      <w:r>
        <w:rPr>
          <w:color w:val="auto"/>
          <w:highlight w:val="none"/>
        </w:rPr>
        <w:t>.4.1</w:t>
      </w:r>
      <w:r>
        <w:rPr>
          <w:rFonts w:hint="eastAsia" w:hAnsi="宋体" w:cs="宋体"/>
          <w:color w:val="auto"/>
          <w:highlight w:val="none"/>
        </w:rPr>
        <w:t>发包人供应的材料设备的保管费用的承担：</w:t>
      </w:r>
      <w:r>
        <w:rPr>
          <w:color w:val="auto"/>
          <w:highlight w:val="none"/>
          <w:u w:val="single"/>
        </w:rPr>
        <w:t xml:space="preserve"> </w:t>
      </w:r>
      <w:r>
        <w:rPr>
          <w:rFonts w:hint="eastAsia"/>
          <w:color w:val="auto"/>
          <w:highlight w:val="none"/>
          <w:u w:val="single"/>
        </w:rPr>
        <w:t>发包人供应的材料和工程设备，承包人清点后由承包人妥善保管，保管费用由发包人承担</w:t>
      </w:r>
      <w:r>
        <w:rPr>
          <w:color w:val="auto"/>
          <w:highlight w:val="none"/>
          <w:u w:val="single"/>
        </w:rPr>
        <w:t xml:space="preserve"> </w:t>
      </w:r>
      <w:r>
        <w:rPr>
          <w:rFonts w:hint="eastAsia" w:hAnsi="宋体" w:cs="宋体"/>
          <w:color w:val="auto"/>
          <w:highlight w:val="none"/>
        </w:rPr>
        <w:t>。</w:t>
      </w:r>
    </w:p>
    <w:bookmarkEnd w:id="554"/>
    <w:bookmarkEnd w:id="555"/>
    <w:p w14:paraId="4A472523">
      <w:pPr>
        <w:pStyle w:val="4"/>
        <w:rPr>
          <w:color w:val="auto"/>
          <w:highlight w:val="none"/>
        </w:rPr>
      </w:pPr>
      <w:bookmarkStart w:id="572" w:name="_Toc373478381"/>
      <w:bookmarkStart w:id="573" w:name="_Toc6450"/>
      <w:bookmarkStart w:id="574" w:name="_Toc389065300"/>
      <w:bookmarkStart w:id="575" w:name="_Toc373227734"/>
      <w:bookmarkStart w:id="576" w:name="_Toc407135236"/>
      <w:r>
        <w:rPr>
          <w:color w:val="auto"/>
          <w:highlight w:val="none"/>
        </w:rPr>
        <w:t xml:space="preserve">8.6 </w:t>
      </w:r>
      <w:r>
        <w:rPr>
          <w:rFonts w:hint="eastAsia" w:hAnsi="宋体" w:cs="黑体"/>
          <w:color w:val="auto"/>
          <w:highlight w:val="none"/>
        </w:rPr>
        <w:t>样品</w:t>
      </w:r>
      <w:bookmarkEnd w:id="572"/>
      <w:bookmarkEnd w:id="573"/>
      <w:bookmarkEnd w:id="574"/>
      <w:bookmarkEnd w:id="575"/>
      <w:bookmarkEnd w:id="576"/>
    </w:p>
    <w:p w14:paraId="07CE82C7">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8.6.1 </w:t>
      </w:r>
      <w:r>
        <w:rPr>
          <w:rFonts w:hint="eastAsia" w:hAnsi="宋体" w:cs="宋体"/>
          <w:color w:val="auto"/>
          <w:kern w:val="0"/>
          <w:highlight w:val="none"/>
        </w:rPr>
        <w:t>样品的报送与封存</w:t>
      </w:r>
    </w:p>
    <w:p w14:paraId="3080010F">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14:paraId="03FEB288">
      <w:pPr>
        <w:pStyle w:val="4"/>
        <w:rPr>
          <w:color w:val="auto"/>
          <w:highlight w:val="none"/>
        </w:rPr>
      </w:pPr>
      <w:bookmarkStart w:id="577" w:name="_Toc373227735"/>
      <w:bookmarkStart w:id="578" w:name="_Toc407135237"/>
      <w:bookmarkStart w:id="579" w:name="_Toc373478382"/>
      <w:bookmarkStart w:id="580" w:name="_Toc6385"/>
      <w:bookmarkStart w:id="581" w:name="_Toc389065301"/>
      <w:r>
        <w:rPr>
          <w:color w:val="auto"/>
          <w:highlight w:val="none"/>
        </w:rPr>
        <w:t xml:space="preserve">8.8 </w:t>
      </w:r>
      <w:r>
        <w:rPr>
          <w:rFonts w:hint="eastAsia" w:cs="黑体"/>
          <w:color w:val="auto"/>
          <w:highlight w:val="none"/>
        </w:rPr>
        <w:t>施工设备和临时设施</w:t>
      </w:r>
      <w:bookmarkEnd w:id="577"/>
      <w:bookmarkEnd w:id="578"/>
      <w:bookmarkEnd w:id="579"/>
      <w:bookmarkEnd w:id="580"/>
      <w:bookmarkEnd w:id="581"/>
    </w:p>
    <w:p w14:paraId="5B98ABB9">
      <w:pPr>
        <w:autoSpaceDE w:val="0"/>
        <w:autoSpaceDN w:val="0"/>
        <w:adjustRightInd w:val="0"/>
        <w:spacing w:line="360" w:lineRule="auto"/>
        <w:ind w:firstLine="420" w:firstLineChars="200"/>
        <w:jc w:val="left"/>
        <w:rPr>
          <w:color w:val="auto"/>
          <w:highlight w:val="none"/>
        </w:rPr>
      </w:pPr>
      <w:r>
        <w:rPr>
          <w:color w:val="auto"/>
          <w:highlight w:val="none"/>
        </w:rPr>
        <w:t xml:space="preserve">8.8.1 </w:t>
      </w:r>
      <w:r>
        <w:rPr>
          <w:rFonts w:hint="eastAsia" w:hAnsi="宋体" w:cs="宋体"/>
          <w:color w:val="auto"/>
          <w:highlight w:val="none"/>
        </w:rPr>
        <w:t>承包人提供的施工设备和临时设施</w:t>
      </w:r>
    </w:p>
    <w:p w14:paraId="1C440BFA">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highlight w:val="none"/>
        </w:rPr>
        <w:t>承包人用于本工程的主要机械设备清单见合同附件4。</w:t>
      </w:r>
    </w:p>
    <w:p w14:paraId="113B1161">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关于修建临时设施费用承担的约定：</w:t>
      </w:r>
    </w:p>
    <w:p w14:paraId="68E40C35">
      <w:pPr>
        <w:autoSpaceDE w:val="0"/>
        <w:autoSpaceDN w:val="0"/>
        <w:adjustRightInd w:val="0"/>
        <w:spacing w:line="360" w:lineRule="auto"/>
        <w:ind w:firstLine="420" w:firstLineChars="200"/>
        <w:jc w:val="left"/>
        <w:rPr>
          <w:rFonts w:hAnsi="宋体"/>
          <w:color w:val="auto"/>
          <w:highlight w:val="none"/>
          <w:u w:val="single"/>
        </w:rPr>
      </w:pPr>
      <w:r>
        <w:rPr>
          <w:rFonts w:hAnsi="宋体"/>
          <w:color w:val="auto"/>
          <w:highlight w:val="none"/>
          <w:u w:val="single"/>
        </w:rPr>
        <w:t xml:space="preserve"> </w:t>
      </w:r>
      <w:r>
        <w:rPr>
          <w:rFonts w:hint="eastAsia" w:hAnsi="宋体"/>
          <w:color w:val="auto"/>
          <w:highlight w:val="none"/>
          <w:u w:val="single"/>
        </w:rPr>
        <w:t>发包人供应的材料和工程设备，承包人清点后由承包人妥善保管，保管费用由发包人承担</w:t>
      </w:r>
      <w:r>
        <w:rPr>
          <w:rFonts w:hAnsi="宋体"/>
          <w:color w:val="auto"/>
          <w:highlight w:val="none"/>
          <w:u w:val="single"/>
        </w:rPr>
        <w:t xml:space="preserve"> </w:t>
      </w:r>
    </w:p>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14:paraId="2D52B57D">
      <w:pPr>
        <w:pStyle w:val="3"/>
        <w:rPr>
          <w:color w:val="auto"/>
          <w:highlight w:val="none"/>
        </w:rPr>
      </w:pPr>
      <w:bookmarkStart w:id="582" w:name="_Toc373478383"/>
      <w:bookmarkStart w:id="583" w:name="_Toc576"/>
      <w:bookmarkStart w:id="584" w:name="_Toc351203641"/>
      <w:bookmarkStart w:id="585" w:name="_Toc407135238"/>
      <w:bookmarkStart w:id="586" w:name="_Toc389065302"/>
      <w:bookmarkStart w:id="587" w:name="_Toc373227736"/>
      <w:r>
        <w:rPr>
          <w:color w:val="auto"/>
          <w:highlight w:val="none"/>
        </w:rPr>
        <w:t>9</w:t>
      </w:r>
      <w:bookmarkEnd w:id="551"/>
      <w:bookmarkEnd w:id="552"/>
      <w:bookmarkEnd w:id="553"/>
      <w:bookmarkStart w:id="588" w:name="_Toc300934982"/>
      <w:bookmarkStart w:id="589" w:name="_Toc297216192"/>
      <w:bookmarkStart w:id="590" w:name="_Toc312678021"/>
      <w:bookmarkStart w:id="591" w:name="_Toc297123533"/>
      <w:bookmarkStart w:id="592" w:name="_Toc312677495"/>
      <w:bookmarkStart w:id="593" w:name="_Toc304295559"/>
      <w:bookmarkStart w:id="594" w:name="_Toc303539139"/>
      <w:bookmarkStart w:id="595" w:name="_Toc296503173"/>
      <w:bookmarkStart w:id="596" w:name="_Toc296891213"/>
      <w:bookmarkStart w:id="597" w:name="_Toc296346674"/>
      <w:bookmarkStart w:id="598" w:name="_Toc296347172"/>
      <w:bookmarkStart w:id="599" w:name="_Toc297048359"/>
      <w:bookmarkStart w:id="600" w:name="_Toc292559883"/>
      <w:bookmarkStart w:id="601" w:name="_Toc296891001"/>
      <w:bookmarkStart w:id="602" w:name="_Toc297120473"/>
      <w:bookmarkStart w:id="603" w:name="_Toc292559378"/>
      <w:bookmarkStart w:id="604" w:name="_Toc296944512"/>
      <w:bookmarkStart w:id="605" w:name="_Toc267251427"/>
      <w:bookmarkStart w:id="606" w:name="_Toc267251428"/>
      <w:r>
        <w:rPr>
          <w:color w:val="auto"/>
          <w:highlight w:val="none"/>
        </w:rPr>
        <w:t xml:space="preserve">. </w:t>
      </w:r>
      <w:r>
        <w:rPr>
          <w:rFonts w:hint="eastAsia" w:cs="黑体"/>
          <w:color w:val="auto"/>
          <w:highlight w:val="none"/>
        </w:rPr>
        <w:t>试验与检验</w:t>
      </w:r>
      <w:bookmarkEnd w:id="582"/>
      <w:bookmarkEnd w:id="583"/>
      <w:bookmarkEnd w:id="584"/>
      <w:bookmarkEnd w:id="585"/>
      <w:bookmarkEnd w:id="586"/>
      <w:bookmarkEnd w:id="587"/>
    </w:p>
    <w:bookmarkEnd w:id="588"/>
    <w:bookmarkEnd w:id="589"/>
    <w:bookmarkEnd w:id="590"/>
    <w:bookmarkEnd w:id="591"/>
    <w:bookmarkEnd w:id="592"/>
    <w:bookmarkEnd w:id="593"/>
    <w:bookmarkEnd w:id="594"/>
    <w:p w14:paraId="30CB09ED">
      <w:pPr>
        <w:pStyle w:val="4"/>
        <w:rPr>
          <w:color w:val="auto"/>
          <w:highlight w:val="none"/>
        </w:rPr>
      </w:pPr>
      <w:bookmarkStart w:id="607" w:name="_Toc373478384"/>
      <w:bookmarkStart w:id="608" w:name="_Toc407135239"/>
      <w:bookmarkStart w:id="609" w:name="_Toc2143"/>
      <w:bookmarkStart w:id="610" w:name="_Toc389065303"/>
      <w:bookmarkStart w:id="611" w:name="_Toc373227737"/>
      <w:r>
        <w:rPr>
          <w:color w:val="auto"/>
          <w:highlight w:val="none"/>
        </w:rPr>
        <w:t>9</w:t>
      </w:r>
      <w:bookmarkStart w:id="612" w:name="_Toc300934983"/>
      <w:bookmarkStart w:id="613" w:name="_Toc312678022"/>
      <w:bookmarkStart w:id="614" w:name="_Toc303539140"/>
      <w:bookmarkStart w:id="615" w:name="_Toc297216193"/>
      <w:bookmarkStart w:id="616" w:name="_Toc297123534"/>
      <w:bookmarkStart w:id="617" w:name="_Toc312677496"/>
      <w:bookmarkStart w:id="618" w:name="_Toc304295560"/>
      <w:r>
        <w:rPr>
          <w:color w:val="auto"/>
          <w:highlight w:val="none"/>
        </w:rPr>
        <w:t xml:space="preserve">.1 </w:t>
      </w:r>
      <w:r>
        <w:rPr>
          <w:rFonts w:hint="eastAsia" w:cs="黑体"/>
          <w:color w:val="auto"/>
          <w:highlight w:val="none"/>
        </w:rPr>
        <w:t>试验设备与试验人员</w:t>
      </w:r>
      <w:bookmarkEnd w:id="607"/>
      <w:bookmarkEnd w:id="608"/>
      <w:bookmarkEnd w:id="609"/>
      <w:bookmarkEnd w:id="610"/>
      <w:bookmarkEnd w:id="611"/>
    </w:p>
    <w:bookmarkEnd w:id="612"/>
    <w:bookmarkEnd w:id="613"/>
    <w:bookmarkEnd w:id="614"/>
    <w:bookmarkEnd w:id="615"/>
    <w:bookmarkEnd w:id="616"/>
    <w:bookmarkEnd w:id="617"/>
    <w:bookmarkEnd w:id="618"/>
    <w:p w14:paraId="67F2B35F">
      <w:pPr>
        <w:spacing w:line="360" w:lineRule="auto"/>
        <w:ind w:firstLine="420" w:firstLineChars="200"/>
        <w:jc w:val="left"/>
        <w:rPr>
          <w:color w:val="auto"/>
          <w:highlight w:val="none"/>
        </w:rPr>
      </w:pPr>
      <w:r>
        <w:rPr>
          <w:color w:val="auto"/>
          <w:highlight w:val="none"/>
        </w:rPr>
        <w:t>9</w:t>
      </w:r>
      <w:bookmarkStart w:id="619" w:name="_Toc312678023"/>
      <w:bookmarkStart w:id="620" w:name="_Toc297216194"/>
      <w:bookmarkStart w:id="621" w:name="_Toc300934984"/>
      <w:bookmarkStart w:id="622" w:name="_Toc304295561"/>
      <w:bookmarkStart w:id="623" w:name="_Toc312677497"/>
      <w:bookmarkStart w:id="624" w:name="_Toc297123535"/>
      <w:bookmarkStart w:id="625" w:name="_Toc303539141"/>
      <w:bookmarkStart w:id="626" w:name="_Toc318581174"/>
      <w:r>
        <w:rPr>
          <w:color w:val="auto"/>
          <w:highlight w:val="none"/>
        </w:rPr>
        <w:t xml:space="preserve">.1.2 </w:t>
      </w:r>
      <w:r>
        <w:rPr>
          <w:rFonts w:hint="eastAsia" w:hAnsi="宋体" w:cs="宋体"/>
          <w:color w:val="auto"/>
          <w:highlight w:val="none"/>
        </w:rPr>
        <w:t>试验设备</w:t>
      </w:r>
    </w:p>
    <w:p w14:paraId="1E560B86">
      <w:pPr>
        <w:spacing w:line="360" w:lineRule="auto"/>
        <w:ind w:firstLine="420" w:firstLineChars="200"/>
        <w:jc w:val="left"/>
        <w:rPr>
          <w:color w:val="auto"/>
          <w:highlight w:val="none"/>
          <w:u w:val="single"/>
        </w:rPr>
      </w:pPr>
      <w:r>
        <w:rPr>
          <w:rFonts w:hint="eastAsia" w:hAnsi="宋体" w:cs="宋体"/>
          <w:color w:val="auto"/>
          <w:highlight w:val="none"/>
        </w:rPr>
        <w:t>施工现场需要配置的试验场所：</w:t>
      </w:r>
      <w:bookmarkEnd w:id="619"/>
      <w:bookmarkEnd w:id="620"/>
      <w:bookmarkEnd w:id="621"/>
      <w:bookmarkEnd w:id="622"/>
      <w:bookmarkEnd w:id="623"/>
      <w:bookmarkEnd w:id="624"/>
      <w:bookmarkEnd w:id="625"/>
      <w:bookmarkStart w:id="627" w:name="_Toc300934985"/>
      <w:bookmarkStart w:id="628" w:name="_Toc304295562"/>
      <w:bookmarkStart w:id="629" w:name="_Toc297216195"/>
      <w:bookmarkStart w:id="630" w:name="_Toc303539142"/>
      <w:bookmarkStart w:id="631" w:name="_Toc297123536"/>
      <w:bookmarkStart w:id="632" w:name="_Toc312677498"/>
      <w:bookmarkStart w:id="633" w:name="_Toc312678024"/>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4FEA4B6">
      <w:pPr>
        <w:spacing w:line="360" w:lineRule="auto"/>
        <w:ind w:firstLine="420" w:firstLineChars="200"/>
        <w:jc w:val="left"/>
        <w:rPr>
          <w:color w:val="auto"/>
          <w:highlight w:val="none"/>
          <w:u w:val="single"/>
        </w:rPr>
      </w:pPr>
      <w:r>
        <w:rPr>
          <w:rFonts w:hint="eastAsia" w:hAnsi="宋体" w:cs="宋体"/>
          <w:color w:val="auto"/>
          <w:highlight w:val="none"/>
        </w:rPr>
        <w:t>施工现场需要配备的试验设备：</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15CBC91A">
      <w:pPr>
        <w:spacing w:line="360" w:lineRule="auto"/>
        <w:ind w:firstLine="420" w:firstLineChars="200"/>
        <w:jc w:val="left"/>
        <w:rPr>
          <w:color w:val="auto"/>
          <w:highlight w:val="none"/>
          <w:u w:val="single"/>
        </w:rPr>
      </w:pPr>
      <w:r>
        <w:rPr>
          <w:rFonts w:hint="eastAsia" w:hAnsi="宋体" w:cs="宋体"/>
          <w:color w:val="auto"/>
          <w:highlight w:val="none"/>
        </w:rPr>
        <w:t>施工现场需要具备的其他试验条件：</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AAA3F4E">
      <w:pPr>
        <w:pStyle w:val="4"/>
        <w:rPr>
          <w:color w:val="auto"/>
          <w:highlight w:val="none"/>
        </w:rPr>
      </w:pPr>
      <w:bookmarkStart w:id="634" w:name="_Toc373227738"/>
      <w:bookmarkStart w:id="635" w:name="_Toc373478385"/>
      <w:bookmarkStart w:id="636" w:name="_Toc389065304"/>
      <w:bookmarkStart w:id="637" w:name="_Toc31943"/>
      <w:bookmarkStart w:id="638" w:name="_Toc407135240"/>
      <w:r>
        <w:rPr>
          <w:color w:val="auto"/>
          <w:highlight w:val="none"/>
        </w:rPr>
        <w:t xml:space="preserve">9.4 </w:t>
      </w:r>
      <w:r>
        <w:rPr>
          <w:rFonts w:hint="eastAsia" w:hAnsi="宋体" w:cs="黑体"/>
          <w:color w:val="auto"/>
          <w:highlight w:val="none"/>
        </w:rPr>
        <w:t>现场工艺试验</w:t>
      </w:r>
      <w:bookmarkEnd w:id="634"/>
      <w:bookmarkEnd w:id="635"/>
      <w:bookmarkEnd w:id="636"/>
      <w:bookmarkEnd w:id="637"/>
      <w:bookmarkEnd w:id="638"/>
      <w:r>
        <w:rPr>
          <w:color w:val="auto"/>
          <w:highlight w:val="none"/>
        </w:rPr>
        <w:t xml:space="preserve"> </w:t>
      </w:r>
    </w:p>
    <w:p w14:paraId="0AA0E0A1">
      <w:pPr>
        <w:spacing w:line="360" w:lineRule="auto"/>
        <w:ind w:firstLine="420" w:firstLineChars="200"/>
        <w:jc w:val="left"/>
        <w:rPr>
          <w:color w:val="auto"/>
          <w:highlight w:val="none"/>
        </w:rPr>
      </w:pPr>
      <w:r>
        <w:rPr>
          <w:rFonts w:hint="eastAsia" w:hAnsi="宋体" w:cs="宋体"/>
          <w:color w:val="auto"/>
          <w:highlight w:val="none"/>
        </w:rPr>
        <w:t>现场工艺试验的有关约定：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0BBB7545">
      <w:pPr>
        <w:pStyle w:val="4"/>
        <w:rPr>
          <w:color w:val="auto"/>
          <w:highlight w:val="none"/>
        </w:rPr>
      </w:pPr>
      <w:bookmarkStart w:id="639" w:name="_Toc25714"/>
      <w:bookmarkStart w:id="640" w:name="_Toc407135241"/>
      <w:bookmarkStart w:id="641" w:name="OLE_LINK1"/>
      <w:r>
        <w:rPr>
          <w:color w:val="auto"/>
          <w:highlight w:val="none"/>
        </w:rPr>
        <w:t xml:space="preserve">9.5 </w:t>
      </w:r>
      <w:r>
        <w:rPr>
          <w:rFonts w:hint="eastAsia" w:hAnsi="宋体" w:cs="黑体"/>
          <w:color w:val="auto"/>
          <w:highlight w:val="none"/>
        </w:rPr>
        <w:t>检验费用</w:t>
      </w:r>
      <w:bookmarkEnd w:id="639"/>
      <w:bookmarkEnd w:id="640"/>
    </w:p>
    <w:p w14:paraId="4598B0FB">
      <w:pPr>
        <w:spacing w:line="360" w:lineRule="auto"/>
        <w:ind w:firstLine="411" w:firstLineChars="196"/>
        <w:rPr>
          <w:color w:val="auto"/>
          <w:highlight w:val="none"/>
        </w:rPr>
      </w:pPr>
      <w:r>
        <w:rPr>
          <w:rFonts w:hint="eastAsia" w:hAnsi="宋体" w:cs="宋体"/>
          <w:color w:val="auto"/>
          <w:highlight w:val="none"/>
        </w:rPr>
        <w:t>根据《建设工程质量检测管理办法》（建设部令第</w:t>
      </w:r>
      <w:r>
        <w:rPr>
          <w:color w:val="auto"/>
          <w:highlight w:val="none"/>
        </w:rPr>
        <w:t>141</w:t>
      </w:r>
      <w:r>
        <w:rPr>
          <w:rFonts w:hint="eastAsia" w:hAnsi="宋体" w:cs="宋体"/>
          <w:color w:val="auto"/>
          <w:highlight w:val="none"/>
        </w:rPr>
        <w:t>号）以及《广西壮族自治区建设工程质量检测管理规定》</w:t>
      </w:r>
      <w:r>
        <w:rPr>
          <w:rFonts w:hint="eastAsia" w:cs="宋体"/>
          <w:color w:val="auto"/>
          <w:highlight w:val="none"/>
        </w:rPr>
        <w:t>（</w:t>
      </w:r>
      <w:r>
        <w:rPr>
          <w:rFonts w:hint="eastAsia" w:hAnsi="宋体" w:cs="宋体"/>
          <w:color w:val="auto"/>
          <w:highlight w:val="none"/>
        </w:rPr>
        <w:t>桂建管</w:t>
      </w:r>
      <w:r>
        <w:rPr>
          <w:rFonts w:hint="eastAsia" w:cs="宋体"/>
          <w:color w:val="auto"/>
          <w:highlight w:val="none"/>
        </w:rPr>
        <w:t>〔</w:t>
      </w:r>
      <w:r>
        <w:rPr>
          <w:color w:val="auto"/>
          <w:highlight w:val="none"/>
        </w:rPr>
        <w:t>2013</w:t>
      </w:r>
      <w:r>
        <w:rPr>
          <w:rFonts w:hint="eastAsia" w:cs="宋体"/>
          <w:color w:val="auto"/>
          <w:highlight w:val="none"/>
        </w:rPr>
        <w:t>〕</w:t>
      </w:r>
      <w:r>
        <w:rPr>
          <w:color w:val="auto"/>
          <w:highlight w:val="none"/>
        </w:rPr>
        <w:t>11</w:t>
      </w:r>
      <w:r>
        <w:rPr>
          <w:rFonts w:hint="eastAsia" w:hAnsi="宋体" w:cs="宋体"/>
          <w:color w:val="auto"/>
          <w:highlight w:val="none"/>
        </w:rPr>
        <w:t>号</w:t>
      </w:r>
      <w:r>
        <w:rPr>
          <w:rFonts w:hint="eastAsia" w:cs="宋体"/>
          <w:color w:val="auto"/>
          <w:highlight w:val="none"/>
        </w:rPr>
        <w:t>）</w:t>
      </w:r>
      <w:r>
        <w:rPr>
          <w:rFonts w:hint="eastAsia" w:hAnsi="宋体" w:cs="宋体"/>
          <w:color w:val="auto"/>
          <w:highlight w:val="none"/>
        </w:rPr>
        <w:t>规定，工程质量检测业务由发包人委托有相应资质的检测机构检测。费用从发包人的项目建设经费中支出并直接支付给检测机构，不计入合同价款内。</w:t>
      </w:r>
    </w:p>
    <w:bookmarkEnd w:id="626"/>
    <w:bookmarkEnd w:id="627"/>
    <w:bookmarkEnd w:id="628"/>
    <w:bookmarkEnd w:id="629"/>
    <w:bookmarkEnd w:id="630"/>
    <w:bookmarkEnd w:id="631"/>
    <w:bookmarkEnd w:id="632"/>
    <w:bookmarkEnd w:id="633"/>
    <w:bookmarkEnd w:id="641"/>
    <w:p w14:paraId="21460842">
      <w:pPr>
        <w:pStyle w:val="3"/>
        <w:rPr>
          <w:color w:val="auto"/>
          <w:highlight w:val="none"/>
        </w:rPr>
      </w:pPr>
      <w:bookmarkStart w:id="642" w:name="_Toc4922"/>
      <w:bookmarkStart w:id="643" w:name="_Toc389065305"/>
      <w:bookmarkStart w:id="644" w:name="_Toc407135242"/>
      <w:bookmarkStart w:id="645" w:name="_Toc373227739"/>
      <w:bookmarkStart w:id="646" w:name="_Toc373478386"/>
      <w:bookmarkStart w:id="647" w:name="_Toc351203642"/>
      <w:r>
        <w:rPr>
          <w:color w:val="auto"/>
          <w:highlight w:val="none"/>
        </w:rPr>
        <w:t>1</w:t>
      </w:r>
      <w:bookmarkEnd w:id="595"/>
      <w:bookmarkEnd w:id="596"/>
      <w:bookmarkEnd w:id="597"/>
      <w:bookmarkEnd w:id="598"/>
      <w:bookmarkEnd w:id="599"/>
      <w:bookmarkEnd w:id="600"/>
      <w:bookmarkEnd w:id="601"/>
      <w:bookmarkEnd w:id="602"/>
      <w:bookmarkEnd w:id="603"/>
      <w:bookmarkEnd w:id="604"/>
      <w:bookmarkEnd w:id="605"/>
      <w:bookmarkEnd w:id="606"/>
      <w:bookmarkStart w:id="648" w:name="_Toc296891021"/>
      <w:bookmarkStart w:id="649" w:name="_Toc296347192"/>
      <w:bookmarkStart w:id="650" w:name="_Toc292559903"/>
      <w:bookmarkStart w:id="651" w:name="_Toc296503193"/>
      <w:bookmarkStart w:id="652" w:name="_Toc304295566"/>
      <w:bookmarkStart w:id="653" w:name="_Toc297123540"/>
      <w:bookmarkStart w:id="654" w:name="_Toc292559398"/>
      <w:bookmarkStart w:id="655" w:name="_Toc300934989"/>
      <w:bookmarkStart w:id="656" w:name="_Toc296891233"/>
      <w:bookmarkStart w:id="657" w:name="_Toc303539146"/>
      <w:bookmarkStart w:id="658" w:name="_Toc297048379"/>
      <w:bookmarkStart w:id="659" w:name="_Toc296346694"/>
      <w:bookmarkStart w:id="660" w:name="_Toc297120493"/>
      <w:bookmarkStart w:id="661" w:name="_Toc296944532"/>
      <w:bookmarkStart w:id="662" w:name="_Toc297216199"/>
      <w:bookmarkStart w:id="663" w:name="_Toc312677499"/>
      <w:bookmarkStart w:id="664" w:name="_Toc312678025"/>
      <w:bookmarkStart w:id="665" w:name="_Toc267251441"/>
      <w:bookmarkStart w:id="666" w:name="_Toc267251435"/>
      <w:bookmarkStart w:id="667" w:name="_Toc267251440"/>
      <w:bookmarkStart w:id="668" w:name="_Toc267251433"/>
      <w:bookmarkStart w:id="669" w:name="_Toc267251437"/>
      <w:bookmarkStart w:id="670" w:name="_Toc267251439"/>
      <w:bookmarkStart w:id="671" w:name="_Toc267251442"/>
      <w:r>
        <w:rPr>
          <w:color w:val="auto"/>
          <w:highlight w:val="none"/>
        </w:rPr>
        <w:t xml:space="preserve">0. </w:t>
      </w:r>
      <w:r>
        <w:rPr>
          <w:rFonts w:hint="eastAsia" w:hAnsi="宋体" w:cs="黑体"/>
          <w:color w:val="auto"/>
          <w:highlight w:val="none"/>
        </w:rPr>
        <w:t>变更</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bookmarkEnd w:id="663"/>
    <w:bookmarkEnd w:id="664"/>
    <w:p w14:paraId="7D850E29">
      <w:pPr>
        <w:pStyle w:val="4"/>
        <w:rPr>
          <w:color w:val="auto"/>
          <w:highlight w:val="none"/>
        </w:rPr>
      </w:pPr>
      <w:bookmarkStart w:id="672" w:name="_Toc373227740"/>
      <w:bookmarkStart w:id="673" w:name="_Toc30777"/>
      <w:bookmarkStart w:id="674" w:name="_Toc389065306"/>
      <w:bookmarkStart w:id="675" w:name="_Toc373478387"/>
      <w:bookmarkStart w:id="676" w:name="_Toc407135243"/>
      <w:r>
        <w:rPr>
          <w:color w:val="auto"/>
          <w:highlight w:val="none"/>
        </w:rPr>
        <w:t>1</w:t>
      </w:r>
      <w:bookmarkStart w:id="677" w:name="_Toc297120494"/>
      <w:bookmarkStart w:id="678" w:name="_Toc297216200"/>
      <w:bookmarkStart w:id="679" w:name="_Toc304295567"/>
      <w:bookmarkStart w:id="680" w:name="_Toc296891234"/>
      <w:bookmarkStart w:id="681" w:name="_Toc296503194"/>
      <w:bookmarkStart w:id="682" w:name="_Toc292559399"/>
      <w:bookmarkStart w:id="683" w:name="_Toc297048380"/>
      <w:bookmarkStart w:id="684" w:name="_Toc296891022"/>
      <w:bookmarkStart w:id="685" w:name="_Toc292559904"/>
      <w:bookmarkStart w:id="686" w:name="_Toc300934990"/>
      <w:bookmarkStart w:id="687" w:name="_Toc312678026"/>
      <w:bookmarkStart w:id="688" w:name="_Toc296944533"/>
      <w:bookmarkStart w:id="689" w:name="_Toc312677500"/>
      <w:bookmarkStart w:id="690" w:name="_Toc303539147"/>
      <w:bookmarkStart w:id="691" w:name="_Toc297123541"/>
      <w:bookmarkStart w:id="692" w:name="_Toc296347193"/>
      <w:bookmarkStart w:id="693" w:name="_Toc296346695"/>
      <w:r>
        <w:rPr>
          <w:color w:val="auto"/>
          <w:highlight w:val="none"/>
        </w:rPr>
        <w:t xml:space="preserve">0.1 </w:t>
      </w:r>
      <w:r>
        <w:rPr>
          <w:rFonts w:hint="eastAsia" w:hAnsi="宋体" w:cs="黑体"/>
          <w:color w:val="auto"/>
          <w:highlight w:val="none"/>
        </w:rPr>
        <w:t>变更的范围</w:t>
      </w:r>
      <w:bookmarkEnd w:id="672"/>
      <w:bookmarkEnd w:id="673"/>
      <w:bookmarkEnd w:id="674"/>
      <w:bookmarkEnd w:id="675"/>
      <w:bookmarkEnd w:id="676"/>
    </w:p>
    <w:p w14:paraId="0354343C">
      <w:pPr>
        <w:spacing w:line="360" w:lineRule="auto"/>
        <w:ind w:firstLine="426"/>
        <w:jc w:val="left"/>
        <w:rPr>
          <w:color w:val="auto"/>
          <w:highlight w:val="none"/>
        </w:rPr>
      </w:pPr>
      <w:r>
        <w:rPr>
          <w:rFonts w:hint="eastAsia" w:hAnsi="宋体" w:cs="宋体"/>
          <w:color w:val="auto"/>
          <w:highlight w:val="none"/>
        </w:rPr>
        <w:t>关于变更的范围的约定：</w:t>
      </w:r>
      <w:r>
        <w:rPr>
          <w:color w:val="auto"/>
          <w:highlight w:val="none"/>
          <w:u w:val="single"/>
        </w:rPr>
        <w:t xml:space="preserve">  </w:t>
      </w:r>
      <w:r>
        <w:rPr>
          <w:rFonts w:hint="eastAsia"/>
          <w:color w:val="auto"/>
          <w:highlight w:val="none"/>
          <w:u w:val="single"/>
        </w:rPr>
        <w:t>按本合同通用条款第 10.1 条执行</w:t>
      </w:r>
      <w:r>
        <w:rPr>
          <w:color w:val="auto"/>
          <w:highlight w:val="none"/>
          <w:u w:val="single"/>
        </w:rPr>
        <w:t xml:space="preserve">  </w:t>
      </w:r>
      <w:r>
        <w:rPr>
          <w:rFonts w:hint="eastAsia" w:hAnsi="宋体" w:cs="宋体"/>
          <w:color w:val="auto"/>
          <w:highlight w:val="none"/>
        </w:rPr>
        <w:t>。</w:t>
      </w:r>
    </w:p>
    <w:p w14:paraId="071C52FD">
      <w:pPr>
        <w:pStyle w:val="4"/>
        <w:rPr>
          <w:color w:val="auto"/>
          <w:highlight w:val="none"/>
        </w:rPr>
      </w:pPr>
      <w:bookmarkStart w:id="694" w:name="_Toc373478388"/>
      <w:bookmarkStart w:id="695" w:name="_Toc407135244"/>
      <w:bookmarkStart w:id="696" w:name="_Toc19756"/>
      <w:bookmarkStart w:id="697" w:name="_Toc389065307"/>
      <w:bookmarkStart w:id="698" w:name="_Toc373227741"/>
      <w:r>
        <w:rPr>
          <w:color w:val="auto"/>
          <w:highlight w:val="none"/>
        </w:rPr>
        <w:t xml:space="preserve">10.3 </w:t>
      </w:r>
      <w:r>
        <w:rPr>
          <w:rFonts w:hint="eastAsia" w:hAnsi="宋体" w:cs="黑体"/>
          <w:color w:val="auto"/>
          <w:highlight w:val="none"/>
        </w:rPr>
        <w:t>变更程序</w:t>
      </w:r>
      <w:bookmarkEnd w:id="694"/>
      <w:bookmarkEnd w:id="695"/>
      <w:bookmarkEnd w:id="696"/>
      <w:bookmarkEnd w:id="697"/>
      <w:bookmarkEnd w:id="698"/>
    </w:p>
    <w:p w14:paraId="13A78B0F">
      <w:pPr>
        <w:pStyle w:val="14"/>
        <w:spacing w:line="360" w:lineRule="auto"/>
        <w:ind w:firstLine="441" w:firstLineChars="210"/>
        <w:rPr>
          <w:rFonts w:ascii="Times New Roman" w:hAnsi="Times New Roman"/>
          <w:color w:val="auto"/>
          <w:sz w:val="21"/>
          <w:szCs w:val="21"/>
          <w:highlight w:val="none"/>
        </w:rPr>
      </w:pPr>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国有投资项目：</w:t>
      </w:r>
    </w:p>
    <w:p w14:paraId="65F64AF1">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⑴设计变更和工程签证，按各市政府或相关部门的规定办理。属不可抗力（自然灾害、突发事件等）造成变更的，按特事特办原则予以办理。</w:t>
      </w:r>
    </w:p>
    <w:p w14:paraId="6EB2FC51">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⑵建设单位在实施项目过程中，若发生单价变动，由发包人、承包人、监理或造价咨询等单位共同商定并签字确认。</w:t>
      </w:r>
    </w:p>
    <w:p w14:paraId="2796E5C2">
      <w:pPr>
        <w:pStyle w:val="1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⑶</w:t>
      </w:r>
      <w:r>
        <w:rPr>
          <w:rFonts w:ascii="Times New Roman" w:hAnsi="宋体"/>
          <w:bCs/>
          <w:color w:val="auto"/>
          <w:sz w:val="21"/>
          <w:szCs w:val="21"/>
          <w:highlight w:val="none"/>
        </w:rPr>
        <w:t xml:space="preserve"> </w:t>
      </w:r>
      <w:r>
        <w:rPr>
          <w:rFonts w:hint="eastAsia" w:ascii="Times New Roman" w:hAnsi="宋体"/>
          <w:bCs/>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08BECE83">
      <w:pPr>
        <w:spacing w:line="360" w:lineRule="auto"/>
        <w:ind w:firstLine="420" w:firstLineChars="200"/>
        <w:jc w:val="left"/>
        <w:rPr>
          <w:color w:val="auto"/>
          <w:highlight w:val="none"/>
        </w:rPr>
      </w:pPr>
      <w:r>
        <w:rPr>
          <w:color w:val="auto"/>
          <w:highlight w:val="none"/>
        </w:rPr>
        <w:t xml:space="preserve">10.3.2 </w:t>
      </w:r>
      <w:r>
        <w:rPr>
          <w:rFonts w:hint="eastAsia" w:cs="宋体"/>
          <w:color w:val="auto"/>
          <w:highlight w:val="none"/>
        </w:rPr>
        <w:t>非国有投资项目：</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7A5EF16F">
      <w:pPr>
        <w:pStyle w:val="4"/>
        <w:rPr>
          <w:color w:val="auto"/>
          <w:highlight w:val="none"/>
        </w:rPr>
      </w:pPr>
      <w:bookmarkStart w:id="699" w:name="_Toc389065308"/>
      <w:bookmarkStart w:id="700" w:name="_Toc407135245"/>
      <w:bookmarkStart w:id="701" w:name="_Toc31408"/>
      <w:bookmarkStart w:id="702" w:name="_Toc373478389"/>
      <w:bookmarkStart w:id="703" w:name="_Toc373227742"/>
      <w:r>
        <w:rPr>
          <w:color w:val="auto"/>
          <w:highlight w:val="none"/>
        </w:rPr>
        <w:t xml:space="preserve">10.4 </w:t>
      </w:r>
      <w:r>
        <w:rPr>
          <w:rFonts w:hint="eastAsia" w:hAnsi="宋体" w:cs="黑体"/>
          <w:color w:val="auto"/>
          <w:highlight w:val="none"/>
        </w:rPr>
        <w:t>变更估价</w:t>
      </w:r>
      <w:bookmarkEnd w:id="699"/>
      <w:bookmarkEnd w:id="700"/>
      <w:bookmarkEnd w:id="701"/>
      <w:bookmarkEnd w:id="702"/>
      <w:bookmarkEnd w:id="703"/>
    </w:p>
    <w:p w14:paraId="1CD7D794">
      <w:pPr>
        <w:spacing w:line="360" w:lineRule="auto"/>
        <w:ind w:firstLine="420" w:firstLineChars="200"/>
        <w:jc w:val="left"/>
        <w:rPr>
          <w:color w:val="auto"/>
          <w:highlight w:val="none"/>
        </w:rPr>
      </w:pPr>
      <w:r>
        <w:rPr>
          <w:color w:val="auto"/>
          <w:highlight w:val="none"/>
        </w:rPr>
        <w:t xml:space="preserve">10.4.1 </w:t>
      </w:r>
      <w:r>
        <w:rPr>
          <w:rFonts w:hint="eastAsia" w:hAnsi="宋体" w:cs="宋体"/>
          <w:color w:val="auto"/>
          <w:highlight w:val="none"/>
        </w:rPr>
        <w:t>变更估价原则</w:t>
      </w:r>
    </w:p>
    <w:p w14:paraId="4EB0E4FC">
      <w:pPr>
        <w:spacing w:line="360" w:lineRule="auto"/>
        <w:ind w:firstLine="420" w:firstLineChars="200"/>
        <w:jc w:val="left"/>
        <w:rPr>
          <w:rFonts w:hAnsi="宋体"/>
          <w:color w:val="auto"/>
          <w:highlight w:val="none"/>
        </w:rPr>
      </w:pPr>
      <w:r>
        <w:rPr>
          <w:rFonts w:hint="eastAsia" w:hAnsi="宋体" w:cs="宋体"/>
          <w:color w:val="auto"/>
          <w:highlight w:val="none"/>
        </w:rPr>
        <w:t>关于变更估价的约定</w:t>
      </w:r>
      <w:r>
        <w:rPr>
          <w:rFonts w:hint="eastAsia" w:hAnsi="宋体" w:cs="宋体"/>
          <w:color w:val="auto"/>
          <w:highlight w:val="none"/>
          <w:lang w:eastAsia="zh-CN"/>
        </w:rPr>
        <w:t>：</w:t>
      </w:r>
      <w:r>
        <w:rPr>
          <w:color w:val="auto"/>
          <w:highlight w:val="none"/>
        </w:rPr>
        <w:t xml:space="preserve"> </w:t>
      </w:r>
      <w:bookmarkStart w:id="704" w:name="_Toc251051742"/>
      <w:r>
        <w:rPr>
          <w:rFonts w:hint="eastAsia" w:hAnsi="宋体" w:cs="宋体"/>
          <w:color w:val="auto"/>
          <w:highlight w:val="none"/>
          <w:u w:val="single"/>
        </w:rPr>
        <w:t>工程变更合同价款按下列方法进行：</w:t>
      </w:r>
      <w:r>
        <w:rPr>
          <w:rFonts w:hint="eastAsia" w:ascii="Times New Roman" w:hAnsi="宋体" w:eastAsia="宋体" w:cs="宋体"/>
          <w:color w:val="auto"/>
          <w:highlight w:val="none"/>
          <w:u w:val="single"/>
        </w:rPr>
        <w:t>（1）合同中已有相同清单项目的，按合同该清单项目价格进行计算；（2）合同中只有类似清单项目的，参照该类似清单项目价格进行计算；（3）合同中没有适用或类似清单项目的价格计算方法：有定额的套定额，其中：材料设备价格按施工期间的《玉林建设工程造价信息》相应信息价计算，《玉林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704"/>
      <w:r>
        <w:rPr>
          <w:rFonts w:hint="eastAsia" w:ascii="Times New Roman" w:hAnsi="宋体" w:eastAsia="宋体" w:cs="宋体"/>
          <w:color w:val="auto"/>
          <w:highlight w:val="none"/>
          <w:u w:val="single"/>
        </w:rPr>
        <w:t>。</w:t>
      </w:r>
      <w:r>
        <w:rPr>
          <w:rFonts w:hint="eastAsia" w:hAnsi="宋体" w:cs="宋体"/>
          <w:color w:val="auto"/>
          <w:highlight w:val="none"/>
        </w:rPr>
        <w:t>以上约定同时适用于招标工程量清单缺项以及工程量清单项目特征与图纸不符时的价款确定。</w:t>
      </w:r>
    </w:p>
    <w:p w14:paraId="496CCC90">
      <w:pPr>
        <w:spacing w:line="360" w:lineRule="auto"/>
        <w:ind w:firstLine="420" w:firstLineChars="200"/>
        <w:jc w:val="left"/>
        <w:rPr>
          <w:rFonts w:hint="eastAsia" w:cs="宋体"/>
          <w:color w:val="auto"/>
          <w:highlight w:val="none"/>
          <w:u w:val="single"/>
        </w:rPr>
      </w:pP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1.13</w:t>
      </w:r>
      <w:r>
        <w:rPr>
          <w:rFonts w:hint="eastAsia" w:cs="宋体"/>
          <w:color w:val="auto"/>
          <w:highlight w:val="none"/>
          <w:u w:val="single"/>
        </w:rPr>
        <w:t>工程量清单错误的修正”执行。</w:t>
      </w:r>
    </w:p>
    <w:p w14:paraId="1887E20F">
      <w:pPr>
        <w:pStyle w:val="4"/>
        <w:rPr>
          <w:color w:val="auto"/>
          <w:highlight w:val="none"/>
        </w:rPr>
      </w:pPr>
      <w:bookmarkStart w:id="705" w:name="_Toc373227743"/>
      <w:bookmarkStart w:id="706" w:name="_Toc373478390"/>
      <w:bookmarkStart w:id="707" w:name="_Toc407135246"/>
      <w:bookmarkStart w:id="708" w:name="_Toc1145"/>
      <w:bookmarkStart w:id="709" w:name="_Toc389065309"/>
      <w:r>
        <w:rPr>
          <w:color w:val="auto"/>
          <w:highlight w:val="none"/>
        </w:rPr>
        <w:t>1</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Start w:id="710" w:name="_Toc297048383"/>
      <w:bookmarkStart w:id="711" w:name="_Toc303539150"/>
      <w:bookmarkStart w:id="712" w:name="_Toc296891237"/>
      <w:bookmarkStart w:id="713" w:name="_Toc297216203"/>
      <w:bookmarkStart w:id="714" w:name="_Toc292559907"/>
      <w:bookmarkStart w:id="715" w:name="_Toc300934993"/>
      <w:bookmarkStart w:id="716" w:name="_Toc296503197"/>
      <w:bookmarkStart w:id="717" w:name="_Toc296944536"/>
      <w:bookmarkStart w:id="718" w:name="_Toc292559402"/>
      <w:bookmarkStart w:id="719" w:name="_Toc296346698"/>
      <w:bookmarkStart w:id="720" w:name="_Toc296891025"/>
      <w:bookmarkStart w:id="721" w:name="_Toc297120497"/>
      <w:bookmarkStart w:id="722" w:name="_Toc297123544"/>
      <w:bookmarkStart w:id="723" w:name="_Toc296347196"/>
      <w:bookmarkStart w:id="724" w:name="_Toc312677503"/>
      <w:bookmarkStart w:id="725" w:name="_Toc312678029"/>
      <w:bookmarkStart w:id="726" w:name="_Toc304295570"/>
      <w:r>
        <w:rPr>
          <w:color w:val="auto"/>
          <w:highlight w:val="none"/>
        </w:rPr>
        <w:t xml:space="preserve">0.5 </w:t>
      </w:r>
      <w:r>
        <w:rPr>
          <w:rFonts w:hint="eastAsia" w:cs="黑体"/>
          <w:color w:val="auto"/>
          <w:highlight w:val="none"/>
        </w:rPr>
        <w:t>承</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Start w:id="727" w:name="_Toc297123545"/>
      <w:bookmarkStart w:id="728" w:name="_Toc297048389"/>
      <w:bookmarkStart w:id="729" w:name="_Toc296944542"/>
      <w:bookmarkStart w:id="730" w:name="_Toc292559408"/>
      <w:bookmarkStart w:id="731" w:name="_Toc297120503"/>
      <w:bookmarkStart w:id="732" w:name="_Toc296347202"/>
      <w:bookmarkStart w:id="733" w:name="_Toc292559913"/>
      <w:bookmarkStart w:id="734" w:name="_Toc303539151"/>
      <w:bookmarkStart w:id="735" w:name="_Toc296891031"/>
      <w:bookmarkStart w:id="736" w:name="_Toc296346704"/>
      <w:bookmarkStart w:id="737" w:name="_Toc297216204"/>
      <w:bookmarkStart w:id="738" w:name="_Toc296503203"/>
      <w:bookmarkStart w:id="739" w:name="_Toc300934994"/>
      <w:bookmarkStart w:id="740" w:name="_Toc296891243"/>
      <w:r>
        <w:rPr>
          <w:rFonts w:hint="eastAsia" w:cs="黑体"/>
          <w:color w:val="auto"/>
          <w:highlight w:val="none"/>
        </w:rPr>
        <w:t>包人的合理化建议</w:t>
      </w:r>
      <w:bookmarkEnd w:id="705"/>
      <w:bookmarkEnd w:id="706"/>
      <w:bookmarkEnd w:id="707"/>
      <w:bookmarkEnd w:id="708"/>
      <w:bookmarkEnd w:id="709"/>
    </w:p>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14:paraId="4AC58748">
      <w:pPr>
        <w:spacing w:line="360" w:lineRule="auto"/>
        <w:ind w:firstLine="420" w:firstLineChars="200"/>
        <w:jc w:val="left"/>
        <w:rPr>
          <w:color w:val="auto"/>
          <w:highlight w:val="none"/>
        </w:rPr>
      </w:pPr>
      <w:r>
        <w:rPr>
          <w:rFonts w:hint="eastAsia" w:hAnsi="宋体" w:cs="宋体"/>
          <w:color w:val="auto"/>
          <w:highlight w:val="none"/>
        </w:rPr>
        <w:t>监理人审查承包人合理化建议的期限：</w:t>
      </w:r>
      <w:r>
        <w:rPr>
          <w:color w:val="auto"/>
          <w:highlight w:val="none"/>
          <w:u w:val="single"/>
        </w:rPr>
        <w:t xml:space="preserve"> </w:t>
      </w:r>
      <w:r>
        <w:rPr>
          <w:rFonts w:hint="eastAsia"/>
          <w:color w:val="auto"/>
          <w:highlight w:val="none"/>
          <w:u w:val="single"/>
        </w:rPr>
        <w:t>监理人应在收到承包人提交的合理化建议之日起</w:t>
      </w:r>
      <w:r>
        <w:rPr>
          <w:rFonts w:hint="eastAsia"/>
          <w:color w:val="auto"/>
          <w:highlight w:val="none"/>
          <w:u w:val="single"/>
          <w:lang w:val="en-US" w:eastAsia="zh-CN"/>
        </w:rPr>
        <w:t>3</w:t>
      </w:r>
      <w:r>
        <w:rPr>
          <w:rFonts w:hint="eastAsia"/>
          <w:color w:val="auto"/>
          <w:highlight w:val="none"/>
          <w:u w:val="single"/>
        </w:rPr>
        <w:t>天内审查完毕并报送发包人</w:t>
      </w:r>
      <w:r>
        <w:rPr>
          <w:color w:val="auto"/>
          <w:highlight w:val="none"/>
          <w:u w:val="single"/>
        </w:rPr>
        <w:t xml:space="preserve">   </w:t>
      </w:r>
      <w:r>
        <w:rPr>
          <w:rFonts w:hint="eastAsia" w:hAnsi="宋体" w:cs="宋体"/>
          <w:color w:val="auto"/>
          <w:highlight w:val="none"/>
        </w:rPr>
        <w:t>。</w:t>
      </w:r>
    </w:p>
    <w:p w14:paraId="52BA18E5">
      <w:pPr>
        <w:spacing w:line="360" w:lineRule="auto"/>
        <w:ind w:firstLine="420" w:firstLineChars="200"/>
        <w:jc w:val="left"/>
        <w:rPr>
          <w:color w:val="auto"/>
          <w:highlight w:val="none"/>
        </w:rPr>
      </w:pPr>
      <w:r>
        <w:rPr>
          <w:rFonts w:hint="eastAsia" w:hAnsi="宋体" w:cs="宋体"/>
          <w:color w:val="auto"/>
          <w:highlight w:val="none"/>
        </w:rPr>
        <w:t>发包人审批承包人合理化建议的期限：</w:t>
      </w:r>
      <w:r>
        <w:rPr>
          <w:rFonts w:hint="eastAsia"/>
          <w:color w:val="auto"/>
          <w:highlight w:val="none"/>
          <w:u w:val="single"/>
        </w:rPr>
        <w:t>发包人应在收到监理人报送的合理化建议之日起</w:t>
      </w:r>
      <w:r>
        <w:rPr>
          <w:rFonts w:hint="eastAsia"/>
          <w:color w:val="auto"/>
          <w:highlight w:val="none"/>
          <w:u w:val="single"/>
          <w:lang w:val="en-US" w:eastAsia="zh-CN"/>
        </w:rPr>
        <w:t>3</w:t>
      </w:r>
      <w:r>
        <w:rPr>
          <w:rFonts w:hint="eastAsia"/>
          <w:color w:val="auto"/>
          <w:highlight w:val="none"/>
          <w:u w:val="single"/>
        </w:rPr>
        <w:t xml:space="preserve">天内审批完毕 </w:t>
      </w:r>
      <w:r>
        <w:rPr>
          <w:color w:val="auto"/>
          <w:highlight w:val="none"/>
          <w:u w:val="single"/>
        </w:rPr>
        <w:t xml:space="preserve">     </w:t>
      </w:r>
      <w:r>
        <w:rPr>
          <w:rFonts w:hint="eastAsia" w:hAnsi="宋体" w:cs="宋体"/>
          <w:color w:val="auto"/>
          <w:highlight w:val="none"/>
        </w:rPr>
        <w:t>。</w:t>
      </w:r>
    </w:p>
    <w:p w14:paraId="3BF0C3F2">
      <w:pPr>
        <w:spacing w:line="360" w:lineRule="auto"/>
        <w:ind w:firstLine="420" w:firstLineChars="200"/>
        <w:jc w:val="left"/>
        <w:rPr>
          <w:color w:val="auto"/>
          <w:highlight w:val="none"/>
          <w:u w:val="single"/>
        </w:rPr>
      </w:pPr>
      <w:r>
        <w:rPr>
          <w:rFonts w:hint="eastAsia" w:hAnsi="宋体" w:cs="宋体"/>
          <w:color w:val="auto"/>
          <w:highlight w:val="none"/>
        </w:rPr>
        <w:t>承</w:t>
      </w:r>
      <w:bookmarkStart w:id="741" w:name="_Toc304295571"/>
      <w:bookmarkStart w:id="742" w:name="_Toc296346705"/>
      <w:bookmarkStart w:id="743" w:name="_Toc312678030"/>
      <w:bookmarkStart w:id="744" w:name="_Toc296503204"/>
      <w:bookmarkStart w:id="745" w:name="_Toc297216205"/>
      <w:bookmarkStart w:id="746" w:name="_Toc296347203"/>
      <w:bookmarkStart w:id="747" w:name="_Toc292559409"/>
      <w:bookmarkStart w:id="748" w:name="_Toc297123546"/>
      <w:bookmarkStart w:id="749" w:name="_Toc312677504"/>
      <w:bookmarkStart w:id="750" w:name="_Toc292559914"/>
      <w:bookmarkStart w:id="751" w:name="_Toc296944543"/>
      <w:bookmarkStart w:id="752" w:name="_Toc296891032"/>
      <w:bookmarkStart w:id="753" w:name="_Toc300934995"/>
      <w:bookmarkStart w:id="754" w:name="_Toc296891244"/>
      <w:bookmarkStart w:id="755" w:name="_Toc318581175"/>
      <w:bookmarkStart w:id="756" w:name="_Toc297120504"/>
      <w:bookmarkStart w:id="757" w:name="_Toc303539152"/>
      <w:bookmarkStart w:id="758" w:name="_Toc297048390"/>
      <w:r>
        <w:rPr>
          <w:rFonts w:hint="eastAsia" w:hAnsi="宋体" w:cs="宋体"/>
          <w:color w:val="auto"/>
          <w:highlight w:val="none"/>
        </w:rPr>
        <w:t>包人提出的合理化建议降低了合同价格或者提高了工程经济效益的奖励的方法和金额为：</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14:paraId="08FFE455">
      <w:pPr>
        <w:pStyle w:val="4"/>
        <w:rPr>
          <w:color w:val="auto"/>
          <w:highlight w:val="none"/>
        </w:rPr>
      </w:pPr>
      <w:bookmarkStart w:id="759" w:name="_Toc10710"/>
      <w:bookmarkStart w:id="760" w:name="_Toc373478391"/>
      <w:bookmarkStart w:id="761" w:name="_Toc373227744"/>
      <w:bookmarkStart w:id="762" w:name="_Toc389065310"/>
      <w:bookmarkStart w:id="763" w:name="_Toc407135247"/>
      <w:r>
        <w:rPr>
          <w:color w:val="auto"/>
          <w:highlight w:val="none"/>
        </w:rPr>
        <w:t>1</w:t>
      </w:r>
      <w:bookmarkStart w:id="764" w:name="_Toc297120499"/>
      <w:bookmarkStart w:id="765" w:name="_Toc296503199"/>
      <w:bookmarkStart w:id="766" w:name="_Toc304295574"/>
      <w:bookmarkStart w:id="767" w:name="_Toc296346700"/>
      <w:bookmarkStart w:id="768" w:name="_Toc292559404"/>
      <w:bookmarkStart w:id="769" w:name="_Toc296944538"/>
      <w:bookmarkStart w:id="770" w:name="_Toc292559909"/>
      <w:bookmarkStart w:id="771" w:name="_Toc300934997"/>
      <w:bookmarkStart w:id="772" w:name="_Toc297048385"/>
      <w:bookmarkStart w:id="773" w:name="_Toc303539154"/>
      <w:bookmarkStart w:id="774" w:name="_Toc296891027"/>
      <w:bookmarkStart w:id="775" w:name="_Toc296891239"/>
      <w:bookmarkStart w:id="776" w:name="_Toc296347198"/>
      <w:bookmarkStart w:id="777" w:name="_Toc297123548"/>
      <w:bookmarkStart w:id="778" w:name="_Toc312678033"/>
      <w:bookmarkStart w:id="779" w:name="_Toc312677507"/>
      <w:bookmarkStart w:id="780" w:name="_Toc297216207"/>
      <w:r>
        <w:rPr>
          <w:color w:val="auto"/>
          <w:highlight w:val="none"/>
        </w:rPr>
        <w:t xml:space="preserve">0.7 </w:t>
      </w:r>
      <w:r>
        <w:rPr>
          <w:rFonts w:hint="eastAsia" w:hAnsi="宋体" w:cs="黑体"/>
          <w:color w:val="auto"/>
          <w:highlight w:val="none"/>
        </w:rPr>
        <w:t>暂估价</w:t>
      </w:r>
      <w:bookmarkEnd w:id="759"/>
      <w:bookmarkEnd w:id="760"/>
      <w:bookmarkEnd w:id="761"/>
      <w:bookmarkEnd w:id="762"/>
      <w:bookmarkEnd w:id="763"/>
    </w:p>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14:paraId="10D369B7">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暂</w:t>
      </w:r>
      <w:bookmarkStart w:id="781" w:name="_Toc312678034"/>
      <w:bookmarkStart w:id="782" w:name="_Toc318581176"/>
      <w:bookmarkStart w:id="783" w:name="_Toc312677508"/>
      <w:r>
        <w:rPr>
          <w:rFonts w:hint="eastAsia" w:ascii="Times New Roman" w:hAnsi="宋体" w:eastAsia="宋体" w:cs="宋体"/>
          <w:color w:val="auto"/>
          <w:highlight w:val="none"/>
        </w:rPr>
        <w:t>估价材料和工程设备的明细详见已标价工程量清单《材料（工程设备）暂估价格及调整表》（表12-2）和《专业工程暂估价表》（表12-3）。</w:t>
      </w:r>
    </w:p>
    <w:bookmarkEnd w:id="781"/>
    <w:bookmarkEnd w:id="782"/>
    <w:bookmarkEnd w:id="783"/>
    <w:p w14:paraId="2C8C7D7F">
      <w:pPr>
        <w:spacing w:line="360" w:lineRule="auto"/>
        <w:ind w:firstLine="420" w:firstLineChars="200"/>
        <w:jc w:val="left"/>
        <w:rPr>
          <w:color w:val="auto"/>
          <w:highlight w:val="none"/>
        </w:rPr>
      </w:pPr>
      <w:r>
        <w:rPr>
          <w:color w:val="auto"/>
          <w:highlight w:val="none"/>
        </w:rPr>
        <w:t>1</w:t>
      </w:r>
      <w:bookmarkStart w:id="784" w:name="_Toc318581177"/>
      <w:bookmarkStart w:id="785" w:name="_Toc312677509"/>
      <w:bookmarkStart w:id="786" w:name="_Toc312678035"/>
      <w:r>
        <w:rPr>
          <w:color w:val="auto"/>
          <w:highlight w:val="none"/>
        </w:rPr>
        <w:t xml:space="preserve">0.7.1 </w:t>
      </w:r>
      <w:r>
        <w:rPr>
          <w:rFonts w:hint="eastAsia" w:hAnsi="宋体" w:cs="宋体"/>
          <w:color w:val="auto"/>
          <w:highlight w:val="none"/>
        </w:rPr>
        <w:t>依法必须招标的暂估价项目</w:t>
      </w:r>
    </w:p>
    <w:bookmarkEnd w:id="784"/>
    <w:bookmarkEnd w:id="785"/>
    <w:bookmarkEnd w:id="786"/>
    <w:p w14:paraId="77A90498">
      <w:pPr>
        <w:spacing w:line="360" w:lineRule="auto"/>
        <w:ind w:firstLine="420" w:firstLineChars="200"/>
        <w:jc w:val="left"/>
        <w:rPr>
          <w:color w:val="auto"/>
          <w:highlight w:val="none"/>
        </w:rPr>
      </w:pPr>
      <w:r>
        <w:rPr>
          <w:rFonts w:hint="eastAsia" w:hAnsi="宋体" w:cs="宋体"/>
          <w:color w:val="auto"/>
          <w:highlight w:val="none"/>
        </w:rPr>
        <w:t>对于依法必须招标的暂估价项目的确认和批准采取第</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种方式确定。</w:t>
      </w:r>
    </w:p>
    <w:p w14:paraId="6A7B9A83">
      <w:pPr>
        <w:spacing w:line="360" w:lineRule="auto"/>
        <w:ind w:firstLine="420" w:firstLineChars="200"/>
        <w:jc w:val="left"/>
        <w:rPr>
          <w:color w:val="auto"/>
          <w:highlight w:val="none"/>
        </w:rPr>
      </w:pPr>
      <w:r>
        <w:rPr>
          <w:color w:val="auto"/>
          <w:highlight w:val="none"/>
        </w:rPr>
        <w:t xml:space="preserve">10.7.2 </w:t>
      </w:r>
      <w:r>
        <w:rPr>
          <w:rFonts w:hint="eastAsia" w:hAnsi="宋体" w:cs="宋体"/>
          <w:color w:val="auto"/>
          <w:highlight w:val="none"/>
        </w:rPr>
        <w:t>不属于依法必须招标的暂估价项目</w:t>
      </w:r>
    </w:p>
    <w:p w14:paraId="345E6308">
      <w:pPr>
        <w:spacing w:line="360" w:lineRule="auto"/>
        <w:ind w:firstLine="420" w:firstLineChars="200"/>
        <w:jc w:val="left"/>
        <w:rPr>
          <w:color w:val="auto"/>
          <w:highlight w:val="none"/>
        </w:rPr>
      </w:pPr>
      <w:r>
        <w:rPr>
          <w:rFonts w:hint="eastAsia" w:hAnsi="宋体" w:cs="宋体"/>
          <w:color w:val="auto"/>
          <w:highlight w:val="none"/>
        </w:rPr>
        <w:t>对于不属于依法必须招标的暂估价项目的确认和批准采取第</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color w:val="auto"/>
          <w:highlight w:val="none"/>
        </w:rPr>
        <w:t xml:space="preserve"> </w:t>
      </w:r>
      <w:r>
        <w:rPr>
          <w:rFonts w:hint="eastAsia" w:hAnsi="宋体" w:cs="宋体"/>
          <w:color w:val="auto"/>
          <w:highlight w:val="none"/>
        </w:rPr>
        <w:t>种方式确定。</w:t>
      </w:r>
    </w:p>
    <w:p w14:paraId="0F1D2C0B">
      <w:pPr>
        <w:spacing w:line="360" w:lineRule="auto"/>
        <w:ind w:firstLine="420" w:firstLineChars="200"/>
        <w:jc w:val="left"/>
        <w:rPr>
          <w:color w:val="auto"/>
          <w:kern w:val="0"/>
          <w:highlight w:val="none"/>
        </w:rPr>
      </w:pPr>
      <w:r>
        <w:rPr>
          <w:rFonts w:hint="eastAsia" w:hAnsi="宋体" w:cs="宋体"/>
          <w:color w:val="auto"/>
          <w:highlight w:val="none"/>
        </w:rPr>
        <w:t>第</w:t>
      </w:r>
      <w:r>
        <w:rPr>
          <w:color w:val="auto"/>
          <w:highlight w:val="none"/>
        </w:rPr>
        <w:t>3</w:t>
      </w:r>
      <w:r>
        <w:rPr>
          <w:rFonts w:hint="eastAsia" w:hAnsi="宋体" w:cs="宋体"/>
          <w:color w:val="auto"/>
          <w:highlight w:val="none"/>
        </w:rPr>
        <w:t>种方式：</w:t>
      </w:r>
      <w:r>
        <w:rPr>
          <w:rFonts w:hint="eastAsia" w:hAnsi="宋体" w:cs="宋体"/>
          <w:color w:val="auto"/>
          <w:kern w:val="0"/>
          <w:highlight w:val="none"/>
        </w:rPr>
        <w:t>承包人直接实施的暂估价项目</w:t>
      </w:r>
    </w:p>
    <w:p w14:paraId="0F11752E">
      <w:pPr>
        <w:spacing w:line="360" w:lineRule="auto"/>
        <w:ind w:firstLine="420" w:firstLineChars="200"/>
        <w:jc w:val="left"/>
        <w:rPr>
          <w:color w:val="auto"/>
          <w:highlight w:val="none"/>
        </w:rPr>
      </w:pPr>
      <w:r>
        <w:rPr>
          <w:rFonts w:hint="eastAsia" w:hAnsi="宋体" w:cs="宋体"/>
          <w:color w:val="auto"/>
          <w:highlight w:val="none"/>
        </w:rPr>
        <w:t>承包人直接实施的暂估价项目的约定：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7C9C080">
      <w:pPr>
        <w:pStyle w:val="4"/>
        <w:rPr>
          <w:color w:val="auto"/>
          <w:highlight w:val="none"/>
        </w:rPr>
      </w:pPr>
      <w:bookmarkStart w:id="787" w:name="_Toc373227745"/>
      <w:bookmarkStart w:id="788" w:name="_Toc389065311"/>
      <w:bookmarkStart w:id="789" w:name="_Toc373478392"/>
      <w:bookmarkStart w:id="790" w:name="_Toc407135248"/>
      <w:bookmarkStart w:id="791" w:name="_Toc17543"/>
      <w:r>
        <w:rPr>
          <w:color w:val="auto"/>
          <w:highlight w:val="none"/>
        </w:rPr>
        <w:t xml:space="preserve">10.8 </w:t>
      </w:r>
      <w:r>
        <w:rPr>
          <w:rFonts w:hint="eastAsia" w:hAnsi="宋体" w:cs="黑体"/>
          <w:color w:val="auto"/>
          <w:highlight w:val="none"/>
        </w:rPr>
        <w:t>暂列金额</w:t>
      </w:r>
      <w:bookmarkEnd w:id="787"/>
      <w:bookmarkEnd w:id="788"/>
      <w:bookmarkEnd w:id="789"/>
      <w:bookmarkEnd w:id="790"/>
      <w:bookmarkEnd w:id="791"/>
    </w:p>
    <w:p w14:paraId="20F0D4B2">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w:t>
      </w:r>
    </w:p>
    <w:p w14:paraId="6C9D245F">
      <w:pPr>
        <w:pStyle w:val="3"/>
        <w:numPr>
          <w:ilvl w:val="0"/>
          <w:numId w:val="10"/>
        </w:numPr>
        <w:rPr>
          <w:color w:val="auto"/>
          <w:highlight w:val="none"/>
        </w:rPr>
      </w:pPr>
      <w:bookmarkStart w:id="792" w:name="_Toc407135249"/>
      <w:bookmarkStart w:id="793" w:name="_Toc351203643"/>
      <w:bookmarkStart w:id="794" w:name="_Toc373227746"/>
      <w:bookmarkStart w:id="795" w:name="_Toc389065312"/>
      <w:bookmarkStart w:id="796" w:name="_Toc6988"/>
      <w:bookmarkStart w:id="797" w:name="_Toc373478393"/>
      <w:r>
        <w:rPr>
          <w:rFonts w:hint="eastAsia" w:hAnsi="宋体" w:cs="黑体"/>
          <w:color w:val="auto"/>
          <w:highlight w:val="none"/>
        </w:rPr>
        <w:t>价格调整</w:t>
      </w:r>
      <w:bookmarkEnd w:id="792"/>
      <w:bookmarkEnd w:id="793"/>
      <w:bookmarkEnd w:id="794"/>
      <w:bookmarkEnd w:id="795"/>
      <w:bookmarkEnd w:id="796"/>
      <w:bookmarkEnd w:id="797"/>
    </w:p>
    <w:p w14:paraId="586F7558">
      <w:pPr>
        <w:pStyle w:val="4"/>
        <w:rPr>
          <w:color w:val="auto"/>
          <w:highlight w:val="none"/>
        </w:rPr>
      </w:pPr>
      <w:bookmarkStart w:id="798" w:name="_Toc389065313"/>
      <w:bookmarkStart w:id="799" w:name="_Toc3300"/>
      <w:bookmarkStart w:id="800" w:name="_Toc407135250"/>
      <w:bookmarkStart w:id="801" w:name="_Toc373227747"/>
      <w:bookmarkStart w:id="802" w:name="_Toc373478394"/>
      <w:bookmarkStart w:id="803" w:name="_Toc312678039"/>
      <w:bookmarkStart w:id="804" w:name="_Toc296347200"/>
      <w:bookmarkStart w:id="805" w:name="_Toc296891029"/>
      <w:bookmarkStart w:id="806" w:name="_Toc296503201"/>
      <w:bookmarkStart w:id="807" w:name="_Toc297120501"/>
      <w:bookmarkStart w:id="808" w:name="_Toc292559911"/>
      <w:bookmarkStart w:id="809" w:name="_Toc296891241"/>
      <w:bookmarkStart w:id="810" w:name="_Toc297048387"/>
      <w:bookmarkStart w:id="811" w:name="_Toc304295577"/>
      <w:bookmarkStart w:id="812" w:name="_Toc297216209"/>
      <w:bookmarkStart w:id="813" w:name="_Toc300935000"/>
      <w:bookmarkStart w:id="814" w:name="_Toc297123550"/>
      <w:bookmarkStart w:id="815" w:name="_Toc303539157"/>
      <w:bookmarkStart w:id="816" w:name="_Toc292559406"/>
      <w:bookmarkStart w:id="817" w:name="_Toc296944540"/>
      <w:bookmarkStart w:id="818" w:name="_Toc296346702"/>
      <w:r>
        <w:rPr>
          <w:color w:val="auto"/>
          <w:highlight w:val="none"/>
        </w:rPr>
        <w:t xml:space="preserve">11.1 </w:t>
      </w:r>
      <w:r>
        <w:rPr>
          <w:rFonts w:hint="eastAsia" w:cs="黑体"/>
          <w:color w:val="auto"/>
          <w:highlight w:val="none"/>
        </w:rPr>
        <w:t>市场价格波动引起的调整</w:t>
      </w:r>
      <w:bookmarkEnd w:id="798"/>
      <w:bookmarkEnd w:id="799"/>
      <w:bookmarkEnd w:id="800"/>
      <w:bookmarkEnd w:id="801"/>
      <w:bookmarkEnd w:id="802"/>
    </w:p>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14:paraId="6E54052B">
      <w:pPr>
        <w:spacing w:line="360" w:lineRule="auto"/>
        <w:ind w:firstLine="420" w:firstLineChars="200"/>
        <w:jc w:val="left"/>
        <w:rPr>
          <w:color w:val="auto"/>
          <w:highlight w:val="none"/>
        </w:rPr>
      </w:pPr>
      <w:r>
        <w:rPr>
          <w:rFonts w:hint="eastAsia" w:hAnsi="宋体" w:cs="宋体"/>
          <w:color w:val="auto"/>
          <w:kern w:val="0"/>
          <w:highlight w:val="none"/>
        </w:rPr>
        <w:t>市场价格波动是否调整合同价格的约定：</w:t>
      </w:r>
      <w:r>
        <w:rPr>
          <w:color w:val="auto"/>
          <w:highlight w:val="none"/>
          <w:u w:val="single"/>
        </w:rPr>
        <w:t xml:space="preserve">  </w:t>
      </w:r>
      <w:r>
        <w:rPr>
          <w:rFonts w:hint="eastAsia"/>
          <w:color w:val="auto"/>
          <w:highlight w:val="none"/>
          <w:u w:val="single"/>
        </w:rPr>
        <w:t>是</w:t>
      </w:r>
      <w:r>
        <w:rPr>
          <w:color w:val="auto"/>
          <w:highlight w:val="none"/>
          <w:u w:val="single"/>
        </w:rPr>
        <w:t xml:space="preserve">   </w:t>
      </w:r>
      <w:r>
        <w:rPr>
          <w:rFonts w:hint="eastAsia" w:hAnsi="宋体" w:cs="宋体"/>
          <w:color w:val="auto"/>
          <w:highlight w:val="none"/>
        </w:rPr>
        <w:t>。</w:t>
      </w:r>
    </w:p>
    <w:p w14:paraId="2957A81A">
      <w:pPr>
        <w:spacing w:line="360" w:lineRule="auto"/>
        <w:ind w:firstLine="420" w:firstLineChars="200"/>
        <w:jc w:val="left"/>
        <w:rPr>
          <w:color w:val="auto"/>
          <w:highlight w:val="none"/>
        </w:rPr>
      </w:pPr>
      <w:r>
        <w:rPr>
          <w:rFonts w:hint="eastAsia" w:hAnsi="宋体" w:cs="宋体"/>
          <w:color w:val="auto"/>
          <w:highlight w:val="none"/>
        </w:rPr>
        <w:t>因市场价格波动调整合同价格，采用以下第</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种方式对合同价格进行调整：</w:t>
      </w:r>
    </w:p>
    <w:p w14:paraId="7F0E4307">
      <w:pPr>
        <w:spacing w:line="360" w:lineRule="auto"/>
        <w:ind w:firstLine="420" w:firstLineChars="200"/>
        <w:jc w:val="left"/>
        <w:rPr>
          <w:color w:val="auto"/>
          <w:highlight w:val="none"/>
        </w:rPr>
      </w:pPr>
      <w:r>
        <w:rPr>
          <w:rFonts w:hint="eastAsia" w:hAnsi="宋体" w:cs="宋体"/>
          <w:color w:val="auto"/>
          <w:highlight w:val="none"/>
        </w:rPr>
        <w:t>第</w:t>
      </w:r>
      <w:r>
        <w:rPr>
          <w:color w:val="auto"/>
          <w:highlight w:val="none"/>
        </w:rPr>
        <w:t>1</w:t>
      </w:r>
      <w:r>
        <w:rPr>
          <w:rFonts w:hint="eastAsia" w:hAnsi="宋体" w:cs="宋体"/>
          <w:color w:val="auto"/>
          <w:highlight w:val="none"/>
        </w:rPr>
        <w:t>种方式：采用价格指数进行价格调整。</w:t>
      </w:r>
    </w:p>
    <w:p w14:paraId="121AB571">
      <w:pPr>
        <w:spacing w:line="360" w:lineRule="auto"/>
        <w:ind w:firstLine="420" w:firstLineChars="200"/>
        <w:jc w:val="left"/>
        <w:rPr>
          <w:color w:val="auto"/>
          <w:highlight w:val="none"/>
          <w:u w:val="single"/>
        </w:rPr>
      </w:pPr>
      <w:r>
        <w:rPr>
          <w:rFonts w:hint="eastAsia" w:hAnsi="宋体" w:cs="宋体"/>
          <w:color w:val="auto"/>
          <w:highlight w:val="none"/>
        </w:rPr>
        <w:t>关于各可调因子、定值和变值权重，以及基本价格指数及其来源的约定：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4A37279A">
      <w:pPr>
        <w:spacing w:line="360" w:lineRule="auto"/>
        <w:ind w:firstLine="420" w:firstLineChars="200"/>
        <w:jc w:val="left"/>
        <w:rPr>
          <w:rFonts w:hAnsi="宋体"/>
          <w:color w:val="auto"/>
          <w:highlight w:val="none"/>
        </w:rPr>
      </w:pPr>
      <w:r>
        <w:rPr>
          <w:rFonts w:hint="eastAsia" w:hAnsi="宋体" w:cs="宋体"/>
          <w:color w:val="auto"/>
          <w:highlight w:val="none"/>
        </w:rPr>
        <w:t>第</w:t>
      </w:r>
      <w:r>
        <w:rPr>
          <w:color w:val="auto"/>
          <w:highlight w:val="none"/>
        </w:rPr>
        <w:t>2</w:t>
      </w:r>
      <w:r>
        <w:rPr>
          <w:rFonts w:hint="eastAsia" w:hAnsi="宋体" w:cs="宋体"/>
          <w:color w:val="auto"/>
          <w:highlight w:val="none"/>
        </w:rPr>
        <w:t>种方式：采用造价信息进行价格调整。</w:t>
      </w:r>
    </w:p>
    <w:p w14:paraId="00D1C3C2">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w:t>
      </w:r>
      <w:r>
        <w:rPr>
          <w:rFonts w:hint="eastAsia" w:ascii="Times New Roman" w:hAnsi="宋体" w:eastAsia="宋体" w:cs="宋体"/>
          <w:color w:val="auto"/>
          <w:highlight w:val="none"/>
        </w:rPr>
        <w:t>允许调整的主要材料和设备、基期价格、风险系数、投标报价详见《承包人提供主要材料和设备一览表》（表-22）</w:t>
      </w:r>
      <w:r>
        <w:rPr>
          <w:rFonts w:hint="eastAsia" w:ascii="Times New Roman" w:hAnsi="宋体" w:eastAsia="宋体" w:cs="宋体"/>
          <w:color w:val="auto"/>
          <w:highlight w:val="none"/>
          <w:lang w:eastAsia="zh-CN"/>
        </w:rPr>
        <w:t>，</w:t>
      </w:r>
      <w:r>
        <w:rPr>
          <w:rFonts w:hint="eastAsia" w:ascii="Times New Roman" w:hAnsi="宋体" w:eastAsia="宋体" w:cs="宋体"/>
          <w:color w:val="auto"/>
          <w:highlight w:val="none"/>
        </w:rPr>
        <w:t>价差调整部分仅计算税金，除此表列明的材料、设备外，其余材料设备价差原则上不予调整。</w:t>
      </w:r>
    </w:p>
    <w:p w14:paraId="3C38CFD1">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）主要材料和设备确认价：</w:t>
      </w:r>
    </w:p>
    <w:p w14:paraId="5DF6E0F7">
      <w:pPr>
        <w:spacing w:line="360" w:lineRule="auto"/>
        <w:ind w:firstLine="420" w:firstLineChars="200"/>
        <w:jc w:val="left"/>
        <w:rPr>
          <w:color w:val="auto"/>
          <w:highlight w:val="none"/>
        </w:rPr>
      </w:pPr>
      <w:r>
        <w:rPr>
          <w:rFonts w:hint="eastAsia" w:hAnsi="宋体" w:cs="宋体"/>
          <w:color w:val="auto"/>
          <w:highlight w:val="none"/>
        </w:rPr>
        <w:t>按施工期间</w:t>
      </w:r>
      <w:r>
        <w:rPr>
          <w:rFonts w:hint="eastAsia" w:ascii="Times New Roman" w:hAnsi="宋体" w:eastAsia="宋体" w:cs="宋体"/>
          <w:color w:val="auto"/>
          <w:highlight w:val="none"/>
        </w:rPr>
        <w:t xml:space="preserve">《 </w:t>
      </w:r>
      <w:r>
        <w:rPr>
          <w:rFonts w:hint="eastAsia" w:ascii="Times New Roman" w:hAnsi="宋体" w:eastAsia="宋体" w:cs="宋体"/>
          <w:color w:val="auto"/>
          <w:highlight w:val="none"/>
          <w:u w:val="single"/>
          <w:lang w:val="en-US" w:eastAsia="zh-CN"/>
        </w:rPr>
        <w:t>陆川县</w:t>
      </w:r>
      <w:r>
        <w:rPr>
          <w:rFonts w:hint="eastAsia" w:ascii="Times New Roman" w:hAnsi="宋体" w:eastAsia="宋体" w:cs="宋体"/>
          <w:color w:val="auto"/>
          <w:highlight w:val="none"/>
          <w:u w:val="single"/>
        </w:rPr>
        <w:t xml:space="preserve"> </w:t>
      </w:r>
      <w:r>
        <w:rPr>
          <w:rFonts w:hint="eastAsia" w:ascii="Times New Roman" w:hAnsi="宋体" w:eastAsia="宋体" w:cs="宋体"/>
          <w:color w:val="auto"/>
          <w:highlight w:val="none"/>
        </w:rPr>
        <w:t>建设工程造价信息》材</w:t>
      </w:r>
      <w:r>
        <w:rPr>
          <w:rFonts w:hint="eastAsia" w:hAnsi="宋体" w:cs="宋体"/>
          <w:color w:val="auto"/>
          <w:highlight w:val="none"/>
        </w:rPr>
        <w:t>料信息价的加权平均价计算，信息价没有的按通用条款规定确定。</w:t>
      </w:r>
    </w:p>
    <w:p w14:paraId="6BF3F5C0">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）价差计算方法：</w:t>
      </w:r>
    </w:p>
    <w:p w14:paraId="06111E99">
      <w:pPr>
        <w:spacing w:line="360" w:lineRule="auto"/>
        <w:ind w:firstLine="420" w:firstLineChars="200"/>
        <w:jc w:val="left"/>
        <w:rPr>
          <w:rFonts w:hAnsi="宋体"/>
          <w:color w:val="auto"/>
          <w:highlight w:val="none"/>
        </w:rPr>
      </w:pPr>
      <w:r>
        <w:rPr>
          <w:rFonts w:hint="eastAsia" w:hAnsi="宋体" w:cs="宋体"/>
          <w:color w:val="auto"/>
          <w:highlight w:val="none"/>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28244A6C">
      <w:pPr>
        <w:spacing w:line="360" w:lineRule="auto"/>
        <w:ind w:firstLine="420" w:firstLineChars="200"/>
        <w:jc w:val="left"/>
        <w:rPr>
          <w:rFonts w:hAnsi="宋体"/>
          <w:color w:val="auto"/>
          <w:highlight w:val="none"/>
        </w:rPr>
      </w:pPr>
      <w:r>
        <w:rPr>
          <w:rFonts w:hint="eastAsia" w:hAnsi="宋体" w:cs="宋体"/>
          <w:color w:val="auto"/>
          <w:highlight w:val="none"/>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2C6EA627">
      <w:pPr>
        <w:spacing w:line="360" w:lineRule="auto"/>
        <w:ind w:firstLine="420" w:firstLineChars="200"/>
        <w:jc w:val="left"/>
        <w:rPr>
          <w:color w:val="auto"/>
          <w:highlight w:val="none"/>
        </w:rPr>
      </w:pPr>
      <w:r>
        <w:rPr>
          <w:rFonts w:hint="eastAsia" w:hAnsi="宋体" w:cs="宋体"/>
          <w:color w:val="auto"/>
          <w:highlight w:val="none"/>
        </w:rPr>
        <w:t>③承包人在《承包人提供主要材料和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620F0565">
      <w:pPr>
        <w:spacing w:line="360" w:lineRule="auto"/>
        <w:ind w:firstLine="645"/>
        <w:jc w:val="left"/>
        <w:rPr>
          <w:color w:val="auto"/>
          <w:highlight w:val="none"/>
        </w:rPr>
      </w:pPr>
      <w:r>
        <w:rPr>
          <w:rFonts w:hint="eastAsia" w:hAnsi="宋体" w:cs="宋体"/>
          <w:color w:val="auto"/>
          <w:highlight w:val="none"/>
        </w:rPr>
        <w:t>第</w:t>
      </w:r>
      <w:r>
        <w:rPr>
          <w:rFonts w:hAnsi="宋体"/>
          <w:color w:val="auto"/>
          <w:highlight w:val="none"/>
        </w:rPr>
        <w:t>3</w:t>
      </w:r>
      <w:r>
        <w:rPr>
          <w:rFonts w:hint="eastAsia" w:hAnsi="宋体" w:cs="宋体"/>
          <w:color w:val="auto"/>
          <w:highlight w:val="none"/>
        </w:rPr>
        <w:t>种方式：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cs="宋体"/>
          <w:color w:val="auto"/>
          <w:highlight w:val="none"/>
        </w:rPr>
        <w:t>。</w:t>
      </w:r>
    </w:p>
    <w:bookmarkEnd w:id="665"/>
    <w:bookmarkEnd w:id="666"/>
    <w:bookmarkEnd w:id="667"/>
    <w:bookmarkEnd w:id="668"/>
    <w:bookmarkEnd w:id="669"/>
    <w:bookmarkEnd w:id="670"/>
    <w:p w14:paraId="1CC8936F">
      <w:pPr>
        <w:pStyle w:val="3"/>
        <w:rPr>
          <w:color w:val="auto"/>
          <w:highlight w:val="none"/>
        </w:rPr>
      </w:pPr>
      <w:bookmarkStart w:id="819" w:name="_Toc296891033"/>
      <w:bookmarkStart w:id="820" w:name="_Toc296891245"/>
      <w:bookmarkStart w:id="821" w:name="_Toc296944544"/>
      <w:bookmarkStart w:id="822" w:name="_Toc296347204"/>
      <w:bookmarkStart w:id="823" w:name="_Toc296346706"/>
      <w:bookmarkStart w:id="824" w:name="_Toc297048391"/>
      <w:bookmarkStart w:id="825" w:name="_Toc296503205"/>
      <w:bookmarkStart w:id="826" w:name="_Toc292559915"/>
      <w:bookmarkStart w:id="827" w:name="_Toc297120505"/>
      <w:bookmarkStart w:id="828" w:name="_Toc292559410"/>
      <w:bookmarkStart w:id="829" w:name="_Toc351203644"/>
      <w:bookmarkStart w:id="830" w:name="_Toc373227748"/>
      <w:bookmarkStart w:id="831" w:name="_Toc407135251"/>
      <w:bookmarkStart w:id="832" w:name="_Toc373478395"/>
      <w:bookmarkStart w:id="833" w:name="_Toc22292"/>
      <w:bookmarkStart w:id="834" w:name="_Toc303539159"/>
      <w:bookmarkStart w:id="835" w:name="_Toc297216211"/>
      <w:bookmarkStart w:id="836" w:name="_Toc300935002"/>
      <w:bookmarkStart w:id="837" w:name="_Toc297123552"/>
      <w:bookmarkStart w:id="838" w:name="_Toc312678040"/>
      <w:bookmarkStart w:id="839" w:name="_Toc304295579"/>
      <w:r>
        <w:rPr>
          <w:color w:val="auto"/>
          <w:highlight w:val="none"/>
        </w:rPr>
        <w:t xml:space="preserve">12. </w:t>
      </w:r>
      <w:bookmarkEnd w:id="819"/>
      <w:bookmarkEnd w:id="820"/>
      <w:bookmarkEnd w:id="821"/>
      <w:bookmarkEnd w:id="822"/>
      <w:bookmarkEnd w:id="823"/>
      <w:bookmarkEnd w:id="824"/>
      <w:bookmarkEnd w:id="825"/>
      <w:bookmarkEnd w:id="826"/>
      <w:bookmarkEnd w:id="827"/>
      <w:bookmarkEnd w:id="828"/>
      <w:r>
        <w:rPr>
          <w:rFonts w:hint="eastAsia" w:cs="黑体"/>
          <w:color w:val="auto"/>
          <w:highlight w:val="none"/>
        </w:rPr>
        <w:t>合同价格、计量与支付</w:t>
      </w:r>
      <w:bookmarkEnd w:id="829"/>
      <w:bookmarkEnd w:id="830"/>
      <w:bookmarkEnd w:id="831"/>
      <w:bookmarkEnd w:id="832"/>
      <w:bookmarkEnd w:id="833"/>
    </w:p>
    <w:bookmarkEnd w:id="834"/>
    <w:bookmarkEnd w:id="835"/>
    <w:bookmarkEnd w:id="836"/>
    <w:bookmarkEnd w:id="837"/>
    <w:bookmarkEnd w:id="838"/>
    <w:bookmarkEnd w:id="839"/>
    <w:p w14:paraId="50E712E0">
      <w:pPr>
        <w:pStyle w:val="4"/>
        <w:rPr>
          <w:color w:val="auto"/>
          <w:highlight w:val="none"/>
        </w:rPr>
      </w:pPr>
      <w:bookmarkStart w:id="840" w:name="_Toc292559411"/>
      <w:bookmarkStart w:id="841" w:name="_Toc292559916"/>
      <w:bookmarkStart w:id="842" w:name="_Toc267251461"/>
      <w:bookmarkStart w:id="843" w:name="_Toc296891246"/>
      <w:bookmarkStart w:id="844" w:name="_Toc297048392"/>
      <w:bookmarkStart w:id="845" w:name="_Toc297120506"/>
      <w:bookmarkStart w:id="846" w:name="_Toc296944545"/>
      <w:bookmarkStart w:id="847" w:name="_Toc296347205"/>
      <w:bookmarkStart w:id="848" w:name="_Toc296503206"/>
      <w:bookmarkStart w:id="849" w:name="_Toc296346707"/>
      <w:bookmarkStart w:id="850" w:name="_Toc296891034"/>
      <w:bookmarkStart w:id="851" w:name="_Toc407135252"/>
      <w:bookmarkStart w:id="852" w:name="_Toc22927"/>
      <w:bookmarkStart w:id="853" w:name="_Toc373478396"/>
      <w:bookmarkStart w:id="854" w:name="_Toc389065314"/>
      <w:bookmarkStart w:id="855" w:name="_Toc373227749"/>
      <w:bookmarkStart w:id="856" w:name="_Toc312678041"/>
      <w:bookmarkStart w:id="857" w:name="_Toc304295580"/>
      <w:bookmarkStart w:id="858" w:name="_Toc300935003"/>
      <w:bookmarkStart w:id="859" w:name="_Toc297216212"/>
      <w:bookmarkStart w:id="860" w:name="_Toc297123553"/>
      <w:bookmarkStart w:id="861" w:name="_Toc303539160"/>
      <w:r>
        <w:rPr>
          <w:color w:val="auto"/>
          <w:highlight w:val="none"/>
        </w:rPr>
        <w:t xml:space="preserve">12.1 </w:t>
      </w:r>
      <w:r>
        <w:rPr>
          <w:rFonts w:hint="eastAsia" w:hAnsi="宋体" w:cs="黑体"/>
          <w:color w:val="auto"/>
          <w:highlight w:val="none"/>
        </w:rPr>
        <w:t>合</w:t>
      </w:r>
      <w:bookmarkEnd w:id="840"/>
      <w:bookmarkEnd w:id="841"/>
      <w:bookmarkEnd w:id="842"/>
      <w:r>
        <w:rPr>
          <w:rFonts w:hint="eastAsia" w:hAnsi="宋体" w:cs="黑体"/>
          <w:color w:val="auto"/>
          <w:highlight w:val="none"/>
        </w:rPr>
        <w:t>同价</w:t>
      </w:r>
      <w:bookmarkEnd w:id="843"/>
      <w:bookmarkEnd w:id="844"/>
      <w:bookmarkEnd w:id="845"/>
      <w:bookmarkEnd w:id="846"/>
      <w:bookmarkEnd w:id="847"/>
      <w:bookmarkEnd w:id="848"/>
      <w:bookmarkEnd w:id="849"/>
      <w:bookmarkEnd w:id="850"/>
      <w:r>
        <w:rPr>
          <w:rFonts w:hint="eastAsia" w:hAnsi="宋体" w:cs="黑体"/>
          <w:color w:val="auto"/>
          <w:highlight w:val="none"/>
        </w:rPr>
        <w:t>格形式</w:t>
      </w:r>
      <w:bookmarkEnd w:id="851"/>
      <w:bookmarkEnd w:id="852"/>
      <w:bookmarkEnd w:id="853"/>
      <w:bookmarkEnd w:id="854"/>
      <w:bookmarkEnd w:id="855"/>
    </w:p>
    <w:bookmarkEnd w:id="856"/>
    <w:bookmarkEnd w:id="857"/>
    <w:bookmarkEnd w:id="858"/>
    <w:bookmarkEnd w:id="859"/>
    <w:bookmarkEnd w:id="860"/>
    <w:bookmarkEnd w:id="861"/>
    <w:p w14:paraId="0DA1C60F">
      <w:pPr>
        <w:spacing w:line="360" w:lineRule="auto"/>
        <w:ind w:firstLine="420" w:firstLineChars="200"/>
        <w:jc w:val="left"/>
        <w:rPr>
          <w:rFonts w:hAnsi="宋体"/>
          <w:color w:val="auto"/>
          <w:highlight w:val="none"/>
        </w:rPr>
      </w:pPr>
      <w:bookmarkStart w:id="862" w:name="_Toc389065315"/>
      <w:bookmarkStart w:id="863" w:name="_Toc373478397"/>
      <w:bookmarkStart w:id="864" w:name="_Toc373227750"/>
      <w:bookmarkStart w:id="865" w:name="_Toc304295581"/>
      <w:bookmarkStart w:id="866" w:name="_Toc297216213"/>
      <w:bookmarkStart w:id="867" w:name="_Toc297123554"/>
      <w:bookmarkStart w:id="868" w:name="_Toc303539161"/>
      <w:bookmarkStart w:id="869" w:name="_Toc312678042"/>
      <w:bookmarkStart w:id="870" w:name="_Toc300935004"/>
      <w:bookmarkStart w:id="871" w:name="_Toc296346708"/>
      <w:bookmarkStart w:id="872" w:name="_Toc292559917"/>
      <w:bookmarkStart w:id="873" w:name="_Toc296503207"/>
      <w:bookmarkStart w:id="874" w:name="_Toc296944546"/>
      <w:bookmarkStart w:id="875" w:name="_Toc292559412"/>
      <w:bookmarkStart w:id="876" w:name="_Toc297120507"/>
      <w:bookmarkStart w:id="877" w:name="_Toc296891247"/>
      <w:bookmarkStart w:id="878" w:name="_Toc296347206"/>
      <w:bookmarkStart w:id="879" w:name="_Toc296891035"/>
      <w:bookmarkStart w:id="880" w:name="_Toc297048393"/>
      <w:r>
        <w:rPr>
          <w:rFonts w:hint="eastAsia" w:hAnsi="宋体" w:cs="宋体"/>
          <w:color w:val="auto"/>
          <w:highlight w:val="none"/>
        </w:rPr>
        <w:t>本工程采用</w:t>
      </w:r>
      <w:r>
        <w:rPr>
          <w:rFonts w:hAnsi="宋体"/>
          <w:color w:val="auto"/>
          <w:highlight w:val="none"/>
          <w:u w:val="single"/>
        </w:rPr>
        <w:t xml:space="preserve">   </w:t>
      </w:r>
      <w:r>
        <w:rPr>
          <w:rFonts w:hint="eastAsia" w:hAnsi="宋体"/>
          <w:color w:val="auto"/>
          <w:highlight w:val="none"/>
          <w:u w:val="single"/>
        </w:rPr>
        <w:t>固定综合单价</w:t>
      </w:r>
      <w:r>
        <w:rPr>
          <w:rFonts w:hAnsi="宋体"/>
          <w:color w:val="auto"/>
          <w:highlight w:val="none"/>
          <w:u w:val="single"/>
        </w:rPr>
        <w:t xml:space="preserve">  </w:t>
      </w:r>
      <w:r>
        <w:rPr>
          <w:rFonts w:hint="eastAsia" w:hAnsi="宋体" w:cs="宋体"/>
          <w:color w:val="auto"/>
          <w:highlight w:val="none"/>
        </w:rPr>
        <w:t>合同价格形式，合同价格包含增值税，本工程计价时采用的增值税计税方法为：</w:t>
      </w:r>
      <w:r>
        <w:rPr>
          <w:rFonts w:hint="eastAsia" w:ascii="宋体" w:hAnsi="宋体" w:cs="宋体"/>
          <w:color w:val="auto"/>
          <w:highlight w:val="none"/>
        </w:rPr>
        <w:t>☑</w:t>
      </w:r>
      <w:r>
        <w:rPr>
          <w:rFonts w:hint="eastAsia" w:hAnsi="宋体" w:cs="宋体"/>
          <w:color w:val="auto"/>
          <w:highlight w:val="none"/>
        </w:rPr>
        <w:t xml:space="preserve">一般计税法   </w:t>
      </w:r>
      <w:r>
        <w:rPr>
          <w:rFonts w:hint="eastAsia" w:ascii="宋体" w:hAnsi="宋体" w:cs="宋体"/>
          <w:color w:val="auto"/>
          <w:highlight w:val="none"/>
        </w:rPr>
        <w:t>□</w:t>
      </w:r>
      <w:r>
        <w:rPr>
          <w:rFonts w:hint="eastAsia" w:hAnsi="宋体" w:cs="宋体"/>
          <w:color w:val="auto"/>
          <w:highlight w:val="none"/>
        </w:rPr>
        <w:t>简易计税法。</w:t>
      </w:r>
    </w:p>
    <w:p w14:paraId="3C600851">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）单价合同。</w:t>
      </w:r>
    </w:p>
    <w:p w14:paraId="01094CDD">
      <w:pPr>
        <w:spacing w:line="360" w:lineRule="auto"/>
        <w:ind w:firstLine="420" w:firstLineChars="200"/>
        <w:jc w:val="left"/>
        <w:rPr>
          <w:rFonts w:hAnsi="宋体"/>
          <w:color w:val="auto"/>
          <w:highlight w:val="none"/>
        </w:rPr>
      </w:pPr>
      <w:r>
        <w:rPr>
          <w:rFonts w:hint="eastAsia" w:hAnsi="宋体" w:cs="宋体"/>
          <w:color w:val="auto"/>
          <w:highlight w:val="none"/>
        </w:rPr>
        <w:t>采用综合单价合同方式时，工程量按建设单位、监理单位、施工单位三方确认的竣工图结算。</w:t>
      </w:r>
    </w:p>
    <w:p w14:paraId="4C51941B">
      <w:pPr>
        <w:spacing w:line="360" w:lineRule="auto"/>
        <w:ind w:firstLine="420" w:firstLineChars="200"/>
        <w:jc w:val="left"/>
        <w:rPr>
          <w:rFonts w:hAnsi="宋体"/>
          <w:color w:val="auto"/>
          <w:highlight w:val="none"/>
        </w:rPr>
      </w:pPr>
      <w:r>
        <w:rPr>
          <w:rFonts w:hint="eastAsia" w:hAnsi="宋体" w:cs="宋体"/>
          <w:color w:val="auto"/>
          <w:highlight w:val="none"/>
        </w:rPr>
        <w:t>综合单价包含的风险范围：</w:t>
      </w:r>
      <w:r>
        <w:rPr>
          <w:rFonts w:hint="eastAsia" w:hAnsi="宋体" w:cs="宋体"/>
          <w:color w:val="auto"/>
          <w:highlight w:val="none"/>
          <w:u w:val="single"/>
        </w:rPr>
        <w:t>除工程变更、项目特征不符、工程量清单缺项、工程量偏差、政策性调整、本工程《承包人提供主要材料和设备一览表》中约定的材料和设备价格变动风险以外的其他风险因素。</w:t>
      </w:r>
    </w:p>
    <w:p w14:paraId="2B86C480">
      <w:pPr>
        <w:spacing w:line="360" w:lineRule="auto"/>
        <w:ind w:firstLine="420" w:firstLineChars="200"/>
        <w:jc w:val="left"/>
        <w:rPr>
          <w:rFonts w:hAnsi="宋体" w:cs="宋体"/>
          <w:color w:val="auto"/>
          <w:highlight w:val="none"/>
        </w:rPr>
      </w:pPr>
      <w:r>
        <w:rPr>
          <w:rFonts w:hint="eastAsia" w:hAnsi="宋体" w:cs="宋体"/>
          <w:color w:val="auto"/>
          <w:highlight w:val="none"/>
        </w:rPr>
        <w:t>风险范围以外合同价格的调整方法：</w:t>
      </w:r>
    </w:p>
    <w:p w14:paraId="47E53ABB">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①工程变更</w:t>
      </w:r>
      <w:r>
        <w:rPr>
          <w:rFonts w:hint="eastAsia" w:ascii="Calibri" w:hAnsi="宋体" w:cs="宋体"/>
          <w:color w:val="auto"/>
          <w:highlight w:val="none"/>
        </w:rPr>
        <w:t>、项目特征不符、工程量清单缺项</w:t>
      </w:r>
      <w:r>
        <w:rPr>
          <w:rFonts w:hint="eastAsia" w:hAnsi="宋体" w:cs="宋体"/>
          <w:color w:val="auto"/>
          <w:highlight w:val="none"/>
        </w:rPr>
        <w:t>：按</w:t>
      </w:r>
      <w:r>
        <w:rPr>
          <w:rFonts w:hAnsi="宋体" w:cs="宋体"/>
          <w:color w:val="auto"/>
          <w:highlight w:val="none"/>
        </w:rPr>
        <w:t>10.4.1</w:t>
      </w:r>
      <w:r>
        <w:rPr>
          <w:rFonts w:hint="eastAsia" w:hAnsi="宋体" w:cs="宋体"/>
          <w:color w:val="auto"/>
          <w:highlight w:val="none"/>
        </w:rPr>
        <w:t>变更估价原则的约定调整。</w:t>
      </w:r>
    </w:p>
    <w:p w14:paraId="38FA6AA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②</w:t>
      </w:r>
      <w:r>
        <w:rPr>
          <w:rFonts w:hint="eastAsia" w:ascii="Calibri" w:hAnsi="宋体" w:cs="宋体"/>
          <w:color w:val="auto"/>
          <w:highlight w:val="none"/>
        </w:rPr>
        <w:t>工程量偏差：按1.13工程量清单错误修正的约定调整。</w:t>
      </w:r>
    </w:p>
    <w:p w14:paraId="12ED1D4B">
      <w:pPr>
        <w:spacing w:line="360" w:lineRule="auto"/>
        <w:ind w:firstLine="420" w:firstLineChars="200"/>
        <w:jc w:val="left"/>
        <w:rPr>
          <w:rFonts w:hAnsi="宋体" w:cs="宋体"/>
          <w:color w:val="auto"/>
          <w:highlight w:val="none"/>
        </w:rPr>
      </w:pPr>
      <w:r>
        <w:rPr>
          <w:rFonts w:hint="eastAsia" w:hAnsi="宋体" w:cs="宋体"/>
          <w:color w:val="auto"/>
          <w:highlight w:val="none"/>
        </w:rPr>
        <w:t>③政策性调整：</w:t>
      </w:r>
      <w:r>
        <w:rPr>
          <w:rFonts w:hint="eastAsia" w:ascii="仿宋_GB2312" w:hAnsi="宋体"/>
          <w:color w:val="auto"/>
          <w:highlight w:val="none"/>
        </w:rPr>
        <w:t>按自治区</w:t>
      </w:r>
      <w:r>
        <w:rPr>
          <w:rFonts w:hint="eastAsia" w:ascii="仿宋_GB2312" w:hAnsi="宋体"/>
          <w:color w:val="auto"/>
          <w:highlight w:val="none"/>
          <w:lang w:eastAsia="zh-CN"/>
        </w:rPr>
        <w:t>住房和城乡建设厅</w:t>
      </w:r>
      <w:r>
        <w:rPr>
          <w:rFonts w:hint="eastAsia" w:ascii="仿宋_GB2312" w:hAnsi="宋体"/>
          <w:color w:val="auto"/>
          <w:highlight w:val="none"/>
        </w:rPr>
        <w:t>或工程所在地住房城乡建设主管部门颁布的文件执行</w:t>
      </w:r>
      <w:r>
        <w:rPr>
          <w:rFonts w:hint="eastAsia" w:hAnsi="宋体" w:cs="宋体"/>
          <w:color w:val="auto"/>
          <w:highlight w:val="none"/>
        </w:rPr>
        <w:t>。</w:t>
      </w:r>
    </w:p>
    <w:p w14:paraId="04E49DD4">
      <w:pPr>
        <w:spacing w:line="360" w:lineRule="auto"/>
        <w:ind w:firstLine="420" w:firstLineChars="200"/>
        <w:jc w:val="left"/>
        <w:rPr>
          <w:rFonts w:hAnsi="宋体" w:cs="宋体"/>
          <w:color w:val="auto"/>
          <w:highlight w:val="none"/>
        </w:rPr>
      </w:pPr>
      <w:r>
        <w:rPr>
          <w:rFonts w:hint="eastAsia" w:hAnsi="宋体" w:cs="宋体"/>
          <w:color w:val="auto"/>
          <w:highlight w:val="none"/>
        </w:rPr>
        <w:t>④材料价格风险：按</w:t>
      </w:r>
      <w:r>
        <w:rPr>
          <w:rFonts w:hAnsi="宋体" w:cs="宋体"/>
          <w:color w:val="auto"/>
          <w:highlight w:val="none"/>
        </w:rPr>
        <w:t>11.1</w:t>
      </w:r>
      <w:r>
        <w:rPr>
          <w:rFonts w:hint="eastAsia" w:hAnsi="宋体" w:cs="宋体"/>
          <w:color w:val="auto"/>
          <w:highlight w:val="none"/>
        </w:rPr>
        <w:t>的约定调整。</w:t>
      </w:r>
    </w:p>
    <w:p w14:paraId="6CF803C6">
      <w:pPr>
        <w:spacing w:line="360" w:lineRule="auto"/>
        <w:ind w:firstLine="420" w:firstLineChars="200"/>
        <w:jc w:val="left"/>
        <w:rPr>
          <w:rFonts w:hAnsi="宋体"/>
          <w:color w:val="auto"/>
          <w:highlight w:val="none"/>
        </w:rPr>
      </w:pPr>
      <w:r>
        <w:rPr>
          <w:rFonts w:hint="eastAsia" w:hAnsi="宋体" w:cs="宋体"/>
          <w:color w:val="auto"/>
          <w:highlight w:val="none"/>
        </w:rPr>
        <w:t>⑤其它：</w:t>
      </w:r>
      <w:r>
        <w:rPr>
          <w:rFonts w:hAnsi="宋体"/>
          <w:color w:val="auto"/>
          <w:highlight w:val="none"/>
          <w:u w:val="single"/>
        </w:rPr>
        <w:t xml:space="preserve">                                                  </w:t>
      </w:r>
      <w:r>
        <w:rPr>
          <w:rFonts w:hint="eastAsia" w:hAnsi="宋体" w:cs="宋体"/>
          <w:color w:val="auto"/>
          <w:highlight w:val="none"/>
        </w:rPr>
        <w:t>。</w:t>
      </w:r>
    </w:p>
    <w:p w14:paraId="7E1CE05E">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）总价合同。</w:t>
      </w:r>
    </w:p>
    <w:p w14:paraId="04F59F15">
      <w:pPr>
        <w:spacing w:line="360" w:lineRule="auto"/>
        <w:ind w:firstLine="420" w:firstLineChars="200"/>
        <w:jc w:val="left"/>
        <w:rPr>
          <w:rFonts w:hAnsi="宋体"/>
          <w:color w:val="auto"/>
          <w:highlight w:val="none"/>
        </w:rPr>
      </w:pPr>
      <w:r>
        <w:rPr>
          <w:rFonts w:hint="eastAsia" w:hAnsi="宋体" w:cs="宋体"/>
          <w:color w:val="auto"/>
          <w:highlight w:val="none"/>
        </w:rPr>
        <w:t>总价包含的风险范围：包含除工程变更、政策性调整、</w:t>
      </w:r>
      <w:r>
        <w:rPr>
          <w:rFonts w:hint="eastAsia" w:hAnsi="宋体" w:cs="宋体"/>
          <w:color w:val="auto"/>
          <w:highlight w:val="none"/>
          <w:u w:val="single"/>
        </w:rPr>
        <w:t>本工程《承包人提供主要材料和设备一览表》中约定的材料和设备价格变动风险以外的其他风险。除工程变更外，结算时不再对招标施工图对应的工程量重新计量</w:t>
      </w:r>
      <w:r>
        <w:rPr>
          <w:rFonts w:hAnsi="宋体"/>
          <w:color w:val="auto"/>
          <w:highlight w:val="none"/>
          <w:u w:val="single"/>
        </w:rPr>
        <w:t xml:space="preserve">    </w:t>
      </w:r>
      <w:r>
        <w:rPr>
          <w:rFonts w:hint="eastAsia" w:hAnsi="宋体" w:cs="宋体"/>
          <w:color w:val="auto"/>
          <w:highlight w:val="none"/>
        </w:rPr>
        <w:t>。</w:t>
      </w:r>
    </w:p>
    <w:p w14:paraId="46ED0AB8">
      <w:pPr>
        <w:spacing w:line="360" w:lineRule="auto"/>
        <w:ind w:firstLine="420" w:firstLineChars="200"/>
        <w:jc w:val="left"/>
        <w:rPr>
          <w:rFonts w:hint="eastAsia" w:cs="宋体"/>
          <w:color w:val="auto"/>
          <w:highlight w:val="none"/>
        </w:rPr>
      </w:pPr>
      <w:r>
        <w:rPr>
          <w:rFonts w:hint="eastAsia" w:cs="宋体"/>
          <w:color w:val="auto"/>
          <w:highlight w:val="none"/>
        </w:rPr>
        <w:t>风险范围以外合同价格的调整方法：</w:t>
      </w:r>
    </w:p>
    <w:p w14:paraId="63C1262B">
      <w:pPr>
        <w:spacing w:line="360" w:lineRule="auto"/>
        <w:ind w:firstLine="420" w:firstLineChars="200"/>
        <w:jc w:val="left"/>
        <w:rPr>
          <w:rFonts w:hint="eastAsia" w:hAnsi="宋体" w:cs="宋体"/>
          <w:color w:val="auto"/>
          <w:highlight w:val="none"/>
        </w:rPr>
      </w:pPr>
      <w:r>
        <w:rPr>
          <w:color w:val="auto"/>
          <w:highlight w:val="none"/>
        </w:rPr>
        <w:t xml:space="preserve"> </w:t>
      </w:r>
      <w:r>
        <w:rPr>
          <w:rFonts w:hint="eastAsia" w:hAnsi="宋体" w:cs="宋体"/>
          <w:color w:val="auto"/>
          <w:highlight w:val="none"/>
        </w:rPr>
        <w:t>①工程变更：按</w:t>
      </w:r>
      <w:r>
        <w:rPr>
          <w:rFonts w:hAnsi="宋体" w:cs="宋体"/>
          <w:color w:val="auto"/>
          <w:highlight w:val="none"/>
        </w:rPr>
        <w:t>10.4.1</w:t>
      </w:r>
      <w:r>
        <w:rPr>
          <w:rFonts w:hint="eastAsia" w:hAnsi="宋体" w:cs="宋体"/>
          <w:color w:val="auto"/>
          <w:highlight w:val="none"/>
        </w:rPr>
        <w:t>变更估价原则的约定调整。</w:t>
      </w:r>
    </w:p>
    <w:p w14:paraId="4D9C23FC">
      <w:pPr>
        <w:spacing w:line="360" w:lineRule="auto"/>
        <w:ind w:firstLine="420" w:firstLineChars="200"/>
        <w:jc w:val="left"/>
        <w:rPr>
          <w:rFonts w:hAnsi="宋体" w:cs="宋体"/>
          <w:color w:val="auto"/>
          <w:highlight w:val="none"/>
        </w:rPr>
      </w:pPr>
      <w:r>
        <w:rPr>
          <w:rFonts w:hint="eastAsia" w:hAnsi="宋体" w:cs="宋体"/>
          <w:color w:val="auto"/>
          <w:highlight w:val="none"/>
        </w:rPr>
        <w:t>②政策性调整：</w:t>
      </w:r>
      <w:r>
        <w:rPr>
          <w:rFonts w:hint="eastAsia" w:ascii="仿宋_GB2312" w:hAnsi="宋体"/>
          <w:color w:val="auto"/>
          <w:highlight w:val="none"/>
        </w:rPr>
        <w:t>按自治区</w:t>
      </w:r>
      <w:r>
        <w:rPr>
          <w:rFonts w:hint="eastAsia" w:ascii="仿宋_GB2312" w:hAnsi="宋体"/>
          <w:color w:val="auto"/>
          <w:highlight w:val="none"/>
          <w:lang w:eastAsia="zh-CN"/>
        </w:rPr>
        <w:t>住房和城乡建设厅</w:t>
      </w:r>
      <w:r>
        <w:rPr>
          <w:rFonts w:hint="eastAsia" w:ascii="仿宋_GB2312" w:hAnsi="宋体"/>
          <w:color w:val="auto"/>
          <w:highlight w:val="none"/>
        </w:rPr>
        <w:t>或工程所在地住房城乡建设主管部门颁布的文件执行</w:t>
      </w:r>
      <w:r>
        <w:rPr>
          <w:rFonts w:hint="eastAsia" w:hAnsi="宋体" w:cs="宋体"/>
          <w:color w:val="auto"/>
          <w:highlight w:val="none"/>
        </w:rPr>
        <w:t>。</w:t>
      </w:r>
    </w:p>
    <w:p w14:paraId="3AAB7A35">
      <w:pPr>
        <w:spacing w:line="360" w:lineRule="auto"/>
        <w:ind w:firstLine="420" w:firstLineChars="200"/>
        <w:jc w:val="left"/>
        <w:rPr>
          <w:rFonts w:hAnsi="宋体" w:cs="宋体"/>
          <w:color w:val="auto"/>
          <w:highlight w:val="none"/>
        </w:rPr>
      </w:pPr>
      <w:r>
        <w:rPr>
          <w:rFonts w:hint="eastAsia" w:hAnsi="宋体" w:cs="宋体"/>
          <w:color w:val="auto"/>
          <w:highlight w:val="none"/>
        </w:rPr>
        <w:t>③材料价格风险：按</w:t>
      </w:r>
      <w:r>
        <w:rPr>
          <w:rFonts w:hAnsi="宋体" w:cs="宋体"/>
          <w:color w:val="auto"/>
          <w:highlight w:val="none"/>
        </w:rPr>
        <w:t>11.1</w:t>
      </w:r>
      <w:r>
        <w:rPr>
          <w:rFonts w:hint="eastAsia" w:hAnsi="宋体" w:cs="宋体"/>
          <w:color w:val="auto"/>
          <w:highlight w:val="none"/>
        </w:rPr>
        <w:t>的约定调整。</w:t>
      </w:r>
    </w:p>
    <w:p w14:paraId="4A34A874">
      <w:pPr>
        <w:spacing w:line="360" w:lineRule="auto"/>
        <w:ind w:firstLine="420" w:firstLineChars="200"/>
        <w:jc w:val="left"/>
        <w:rPr>
          <w:rFonts w:hAnsi="宋体"/>
          <w:color w:val="auto"/>
          <w:highlight w:val="non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4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④</w:t>
      </w:r>
      <w:r>
        <w:rPr>
          <w:rFonts w:hAnsi="宋体" w:cs="宋体"/>
          <w:color w:val="auto"/>
          <w:highlight w:val="none"/>
        </w:rPr>
        <w:fldChar w:fldCharType="end"/>
      </w:r>
      <w:r>
        <w:rPr>
          <w:rFonts w:hint="eastAsia" w:hAnsi="宋体" w:cs="宋体"/>
          <w:color w:val="auto"/>
          <w:highlight w:val="none"/>
        </w:rPr>
        <w:t>其它：</w:t>
      </w:r>
      <w:r>
        <w:rPr>
          <w:rFonts w:hAnsi="宋体"/>
          <w:color w:val="auto"/>
          <w:highlight w:val="none"/>
          <w:u w:val="single"/>
        </w:rPr>
        <w:t xml:space="preserve">                                                  </w:t>
      </w:r>
      <w:r>
        <w:rPr>
          <w:rFonts w:hint="eastAsia" w:hAnsi="宋体" w:cs="宋体"/>
          <w:color w:val="auto"/>
          <w:highlight w:val="none"/>
        </w:rPr>
        <w:t>。</w:t>
      </w:r>
    </w:p>
    <w:p w14:paraId="5A0652EB">
      <w:pPr>
        <w:spacing w:line="360" w:lineRule="auto"/>
        <w:ind w:firstLine="420" w:firstLineChars="200"/>
        <w:jc w:val="left"/>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）其他价格方式：</w:t>
      </w:r>
      <w:r>
        <w:rPr>
          <w:color w:val="auto"/>
          <w:highlight w:val="none"/>
          <w:u w:val="single"/>
        </w:rPr>
        <w:t xml:space="preserve">                                       </w:t>
      </w:r>
      <w:r>
        <w:rPr>
          <w:rFonts w:hint="eastAsia" w:cs="宋体"/>
          <w:color w:val="auto"/>
          <w:highlight w:val="none"/>
        </w:rPr>
        <w:t>。</w:t>
      </w:r>
    </w:p>
    <w:p w14:paraId="4288C925">
      <w:pPr>
        <w:pStyle w:val="4"/>
        <w:rPr>
          <w:color w:val="auto"/>
          <w:highlight w:val="none"/>
        </w:rPr>
      </w:pPr>
      <w:bookmarkStart w:id="881" w:name="_Toc407135253"/>
      <w:bookmarkStart w:id="882" w:name="_Toc13611"/>
      <w:r>
        <w:rPr>
          <w:color w:val="auto"/>
          <w:highlight w:val="none"/>
        </w:rPr>
        <w:t xml:space="preserve">12.2 </w:t>
      </w:r>
      <w:r>
        <w:rPr>
          <w:rFonts w:hint="eastAsia" w:hAnsi="宋体" w:cs="黑体"/>
          <w:color w:val="auto"/>
          <w:highlight w:val="none"/>
        </w:rPr>
        <w:t>预付款</w:t>
      </w:r>
      <w:bookmarkEnd w:id="862"/>
      <w:bookmarkEnd w:id="863"/>
      <w:bookmarkEnd w:id="864"/>
      <w:bookmarkEnd w:id="881"/>
      <w:bookmarkEnd w:id="882"/>
    </w:p>
    <w:bookmarkEnd w:id="865"/>
    <w:bookmarkEnd w:id="866"/>
    <w:bookmarkEnd w:id="867"/>
    <w:bookmarkEnd w:id="868"/>
    <w:bookmarkEnd w:id="869"/>
    <w:bookmarkEnd w:id="870"/>
    <w:p w14:paraId="7A167679">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14:paraId="52C899BF">
      <w:pPr>
        <w:spacing w:line="360" w:lineRule="auto"/>
        <w:ind w:firstLine="420" w:firstLineChars="200"/>
        <w:jc w:val="left"/>
        <w:rPr>
          <w:color w:val="auto"/>
          <w:highlight w:val="none"/>
        </w:rPr>
      </w:pPr>
      <w:r>
        <w:rPr>
          <w:rFonts w:hint="eastAsia" w:hAnsi="宋体" w:cs="宋体"/>
          <w:color w:val="auto"/>
          <w:highlight w:val="none"/>
        </w:rPr>
        <w:t>预付款支付比例</w:t>
      </w:r>
      <w:r>
        <w:rPr>
          <w:rFonts w:hint="eastAsia" w:hAnsi="宋体" w:cs="宋体"/>
          <w:color w:val="auto"/>
          <w:highlight w:val="none"/>
          <w:lang w:val="en-US" w:eastAsia="zh-CN"/>
        </w:rPr>
        <w:t>：</w:t>
      </w:r>
      <w:r>
        <w:rPr>
          <w:color w:val="auto"/>
          <w:highlight w:val="none"/>
          <w:u w:val="single"/>
        </w:rPr>
        <w:t xml:space="preserve"> </w:t>
      </w:r>
      <w:r>
        <w:rPr>
          <w:rFonts w:hint="eastAsia"/>
          <w:color w:val="auto"/>
          <w:highlight w:val="none"/>
          <w:u w:val="single"/>
          <w:lang w:val="en-US" w:eastAsia="zh-CN"/>
        </w:rPr>
        <w:t xml:space="preserve">                   </w:t>
      </w:r>
      <w:r>
        <w:rPr>
          <w:rFonts w:hint="eastAsia" w:hAnsi="宋体" w:cs="宋体"/>
          <w:color w:val="auto"/>
          <w:highlight w:val="none"/>
        </w:rPr>
        <w:t>。</w:t>
      </w:r>
    </w:p>
    <w:p w14:paraId="13C7E85A">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ascii="新宋体" w:hAnsi="新宋体" w:eastAsia="新宋体" w:cs="新宋体"/>
          <w:i w:val="0"/>
          <w:iCs w:val="0"/>
          <w:caps w:val="0"/>
          <w:color w:val="auto"/>
          <w:spacing w:val="0"/>
          <w:sz w:val="21"/>
          <w:szCs w:val="21"/>
          <w:highlight w:val="none"/>
          <w:u w:val="single"/>
          <w:shd w:val="clear" w:color="auto" w:fill="FFFFFF"/>
          <w:lang w:val="en-US" w:eastAsia="zh-CN"/>
        </w:rPr>
        <w:t xml:space="preserve">                           </w:t>
      </w:r>
      <w:r>
        <w:rPr>
          <w:rFonts w:hint="eastAsia" w:hAnsi="宋体" w:cs="宋体"/>
          <w:color w:val="auto"/>
          <w:highlight w:val="none"/>
        </w:rPr>
        <w:t>。</w:t>
      </w:r>
    </w:p>
    <w:p w14:paraId="0566E1AF">
      <w:pPr>
        <w:spacing w:line="360" w:lineRule="auto"/>
        <w:ind w:firstLine="420" w:firstLineChars="200"/>
        <w:jc w:val="left"/>
        <w:rPr>
          <w:color w:val="auto"/>
          <w:highlight w:val="none"/>
        </w:rPr>
      </w:pPr>
      <w:r>
        <w:rPr>
          <w:rFonts w:hint="eastAsia" w:hAnsi="宋体" w:cs="宋体"/>
          <w:color w:val="auto"/>
          <w:highlight w:val="none"/>
        </w:rPr>
        <w:t>预付款扣回的方式：</w:t>
      </w:r>
      <w:r>
        <w:rPr>
          <w:rFonts w:hint="eastAsia" w:hAnsi="宋体" w:cs="宋体"/>
          <w:color w:val="auto"/>
          <w:highlight w:val="none"/>
          <w:u w:val="single"/>
          <w:lang w:val="en-US" w:eastAsia="zh-CN"/>
        </w:rPr>
        <w:t xml:space="preserve">                          </w:t>
      </w:r>
      <w:r>
        <w:rPr>
          <w:rStyle w:val="27"/>
          <w:rFonts w:hint="eastAsia" w:ascii="宋体" w:hAnsi="宋体" w:cs="宋体"/>
          <w:color w:val="auto"/>
          <w:kern w:val="0"/>
          <w:szCs w:val="21"/>
          <w:highlight w:val="none"/>
          <w:u w:val="single"/>
          <w:lang w:val="en-US" w:eastAsia="zh-CN"/>
        </w:rPr>
        <w:t xml:space="preserve"> </w:t>
      </w:r>
      <w:r>
        <w:rPr>
          <w:rFonts w:hint="eastAsia" w:hAnsi="宋体" w:cs="宋体"/>
          <w:color w:val="auto"/>
          <w:highlight w:val="none"/>
        </w:rPr>
        <w:t>。</w:t>
      </w:r>
    </w:p>
    <w:p w14:paraId="24E59C60">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14:paraId="410BD705">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965BB81">
      <w:pPr>
        <w:spacing w:line="360" w:lineRule="auto"/>
        <w:ind w:firstLine="420" w:firstLineChars="200"/>
        <w:jc w:val="left"/>
        <w:rPr>
          <w:rFonts w:hAnsi="宋体"/>
          <w:color w:val="auto"/>
          <w:highlight w:val="none"/>
        </w:rPr>
      </w:pPr>
      <w:r>
        <w:rPr>
          <w:rFonts w:hint="eastAsia" w:hAnsi="宋体" w:cs="宋体"/>
          <w:color w:val="auto"/>
          <w:highlight w:val="none"/>
        </w:rPr>
        <w:t>预付款担保的形式为：</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bookmarkEnd w:id="871"/>
    <w:bookmarkEnd w:id="872"/>
    <w:bookmarkEnd w:id="873"/>
    <w:bookmarkEnd w:id="874"/>
    <w:bookmarkEnd w:id="875"/>
    <w:bookmarkEnd w:id="876"/>
    <w:bookmarkEnd w:id="877"/>
    <w:bookmarkEnd w:id="878"/>
    <w:bookmarkEnd w:id="879"/>
    <w:bookmarkEnd w:id="880"/>
    <w:p w14:paraId="70957269">
      <w:pPr>
        <w:pStyle w:val="4"/>
        <w:rPr>
          <w:color w:val="auto"/>
          <w:highlight w:val="none"/>
        </w:rPr>
      </w:pPr>
      <w:bookmarkStart w:id="883" w:name="_Toc389065316"/>
      <w:bookmarkStart w:id="884" w:name="_Toc407135254"/>
      <w:bookmarkStart w:id="885" w:name="_Toc373478398"/>
      <w:bookmarkStart w:id="886" w:name="_Toc373227751"/>
      <w:bookmarkStart w:id="887" w:name="_Toc9888"/>
      <w:r>
        <w:rPr>
          <w:color w:val="auto"/>
          <w:highlight w:val="none"/>
        </w:rPr>
        <w:t xml:space="preserve">12.3 </w:t>
      </w:r>
      <w:r>
        <w:rPr>
          <w:rFonts w:hint="eastAsia" w:hAnsi="宋体" w:cs="黑体"/>
          <w:color w:val="auto"/>
          <w:highlight w:val="none"/>
        </w:rPr>
        <w:t>计量</w:t>
      </w:r>
      <w:bookmarkEnd w:id="883"/>
      <w:bookmarkEnd w:id="884"/>
      <w:bookmarkEnd w:id="885"/>
      <w:bookmarkEnd w:id="886"/>
      <w:bookmarkEnd w:id="887"/>
    </w:p>
    <w:p w14:paraId="56747B74">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14:paraId="5425AC07">
      <w:pPr>
        <w:spacing w:line="360" w:lineRule="auto"/>
        <w:ind w:firstLine="420" w:firstLineChars="200"/>
        <w:jc w:val="left"/>
        <w:rPr>
          <w:rFonts w:ascii="Times New Roman" w:hAnsi="Times New Roman" w:eastAsia="宋体" w:cs="Times New Roman"/>
          <w:color w:val="auto"/>
          <w:highlight w:val="none"/>
          <w:u w:val="single"/>
        </w:rPr>
      </w:pPr>
      <w:r>
        <w:rPr>
          <w:rFonts w:hint="eastAsia" w:hAnsi="宋体" w:cs="宋体"/>
          <w:color w:val="auto"/>
          <w:highlight w:val="none"/>
        </w:rPr>
        <w:t>工程量计算规则：</w:t>
      </w:r>
      <w:r>
        <w:rPr>
          <w:rFonts w:hint="eastAsia" w:ascii="Times New Roman" w:hAnsi="Times New Roman" w:eastAsia="宋体" w:cs="Times New Roman"/>
          <w:color w:val="auto"/>
          <w:highlight w:val="none"/>
          <w:u w:val="single"/>
        </w:rPr>
        <w:t>工程的计量均以《建设工程工程量清单计价规范》（</w:t>
      </w:r>
      <w:r>
        <w:rPr>
          <w:rFonts w:ascii="Times New Roman" w:hAnsi="Times New Roman" w:eastAsia="宋体" w:cs="Times New Roman"/>
          <w:color w:val="auto"/>
          <w:highlight w:val="none"/>
          <w:u w:val="single"/>
        </w:rPr>
        <w:t>GB50500</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2013</w:t>
      </w:r>
      <w:r>
        <w:rPr>
          <w:rFonts w:hint="eastAsia" w:ascii="Times New Roman" w:hAnsi="Times New Roman" w:eastAsia="宋体" w:cs="Times New Roman"/>
          <w:color w:val="auto"/>
          <w:highlight w:val="none"/>
          <w:u w:val="single"/>
        </w:rPr>
        <w:t>）和及其广西壮族自治区实施细则、《建设工程工程量清单计算规范》（</w:t>
      </w:r>
      <w:r>
        <w:rPr>
          <w:rFonts w:ascii="Times New Roman" w:hAnsi="Times New Roman" w:eastAsia="宋体" w:cs="Times New Roman"/>
          <w:color w:val="auto"/>
          <w:highlight w:val="none"/>
          <w:u w:val="single"/>
        </w:rPr>
        <w:t>GB50854~50862</w:t>
      </w:r>
      <w:r>
        <w:rPr>
          <w:rFonts w:hint="eastAsia" w:ascii="Times New Roman" w:hAnsi="Times New Roman" w:eastAsia="宋体" w:cs="Times New Roman"/>
          <w:color w:val="auto"/>
          <w:highlight w:val="none"/>
          <w:u w:val="single"/>
        </w:rPr>
        <w:t>－</w:t>
      </w:r>
      <w:r>
        <w:rPr>
          <w:rFonts w:ascii="Times New Roman" w:hAnsi="Times New Roman" w:eastAsia="宋体" w:cs="Times New Roman"/>
          <w:color w:val="auto"/>
          <w:highlight w:val="none"/>
          <w:u w:val="single"/>
        </w:rPr>
        <w:t>2013</w:t>
      </w:r>
      <w:r>
        <w:rPr>
          <w:rFonts w:hint="eastAsia" w:ascii="Times New Roman" w:hAnsi="Times New Roman" w:eastAsia="宋体" w:cs="Times New Roman"/>
          <w:color w:val="auto"/>
          <w:highlight w:val="none"/>
          <w:u w:val="single"/>
        </w:rPr>
        <w:t>）及其广西实施细则、本工程补充项目清单为准。</w:t>
      </w:r>
    </w:p>
    <w:p w14:paraId="4CC3DD73">
      <w:pPr>
        <w:spacing w:line="360" w:lineRule="auto"/>
        <w:ind w:firstLine="420" w:firstLineChars="200"/>
        <w:jc w:val="left"/>
        <w:rPr>
          <w:color w:val="auto"/>
          <w:highlight w:val="none"/>
        </w:rPr>
      </w:pPr>
      <w:r>
        <w:rPr>
          <w:color w:val="auto"/>
          <w:highlight w:val="none"/>
        </w:rPr>
        <w:t xml:space="preserve">12.3.2 </w:t>
      </w:r>
      <w:r>
        <w:rPr>
          <w:rFonts w:hint="eastAsia" w:hAnsi="宋体" w:cs="宋体"/>
          <w:color w:val="auto"/>
          <w:highlight w:val="none"/>
        </w:rPr>
        <w:t>计量周期</w:t>
      </w:r>
    </w:p>
    <w:p w14:paraId="440B703B">
      <w:pPr>
        <w:spacing w:line="360" w:lineRule="auto"/>
        <w:ind w:firstLine="420" w:firstLineChars="200"/>
        <w:jc w:val="left"/>
        <w:rPr>
          <w:color w:val="auto"/>
          <w:highlight w:val="none"/>
        </w:rPr>
      </w:pPr>
      <w:r>
        <w:rPr>
          <w:rFonts w:hint="eastAsia" w:hAnsi="宋体" w:cs="宋体"/>
          <w:color w:val="auto"/>
          <w:highlight w:val="none"/>
        </w:rPr>
        <w:t>关于计量周期的约定：</w:t>
      </w:r>
      <w:r>
        <w:rPr>
          <w:rFonts w:hint="eastAsia" w:hAnsi="宋体" w:cs="宋体"/>
          <w:color w:val="auto"/>
          <w:highlight w:val="none"/>
          <w:u w:val="single"/>
        </w:rPr>
        <w:t>每月</w:t>
      </w:r>
      <w:r>
        <w:rPr>
          <w:color w:val="auto"/>
          <w:highlight w:val="none"/>
          <w:u w:val="single"/>
        </w:rPr>
        <w:t>25</w:t>
      </w:r>
      <w:r>
        <w:rPr>
          <w:rFonts w:hint="eastAsia" w:hAnsi="宋体" w:cs="宋体"/>
          <w:color w:val="auto"/>
          <w:highlight w:val="none"/>
          <w:u w:val="single"/>
        </w:rPr>
        <w:t>日前</w:t>
      </w:r>
      <w:r>
        <w:rPr>
          <w:rFonts w:hint="eastAsia" w:hAnsi="宋体" w:cs="宋体"/>
          <w:color w:val="auto"/>
          <w:highlight w:val="none"/>
        </w:rPr>
        <w:t>。</w:t>
      </w:r>
    </w:p>
    <w:p w14:paraId="6A2C9A76">
      <w:pPr>
        <w:spacing w:line="360" w:lineRule="auto"/>
        <w:ind w:firstLine="420" w:firstLineChars="200"/>
        <w:jc w:val="left"/>
        <w:outlineLvl w:val="0"/>
        <w:rPr>
          <w:color w:val="auto"/>
          <w:highlight w:val="none"/>
        </w:rPr>
      </w:pPr>
      <w:r>
        <w:rPr>
          <w:color w:val="auto"/>
          <w:highlight w:val="none"/>
        </w:rPr>
        <w:t xml:space="preserve">12.3.3 </w:t>
      </w:r>
      <w:r>
        <w:rPr>
          <w:rFonts w:hint="eastAsia" w:hAnsi="宋体" w:cs="宋体"/>
          <w:color w:val="auto"/>
          <w:highlight w:val="none"/>
        </w:rPr>
        <w:t>单价合同的计量</w:t>
      </w:r>
    </w:p>
    <w:p w14:paraId="751D5E85">
      <w:pPr>
        <w:spacing w:line="360" w:lineRule="auto"/>
        <w:ind w:firstLine="420" w:firstLineChars="200"/>
        <w:jc w:val="left"/>
        <w:rPr>
          <w:color w:val="auto"/>
          <w:highlight w:val="none"/>
        </w:rPr>
      </w:pPr>
      <w:r>
        <w:rPr>
          <w:rFonts w:hint="eastAsia" w:hAnsi="宋体" w:cs="宋体"/>
          <w:color w:val="auto"/>
          <w:highlight w:val="none"/>
        </w:rPr>
        <w:t>关于单价合同计量的约定：</w:t>
      </w:r>
    </w:p>
    <w:p w14:paraId="1B9979E1">
      <w:pPr>
        <w:spacing w:line="360" w:lineRule="auto"/>
        <w:ind w:firstLine="441" w:firstLineChars="210"/>
        <w:rPr>
          <w:color w:val="auto"/>
          <w:highlight w:val="none"/>
        </w:rPr>
      </w:pPr>
      <w:r>
        <w:rPr>
          <w:rFonts w:hint="eastAsia"/>
          <w:color w:val="auto"/>
          <w:highlight w:val="none"/>
          <w:lang w:eastAsia="zh-CN"/>
        </w:rPr>
        <w:t>（1）</w:t>
      </w:r>
      <w:r>
        <w:rPr>
          <w:color w:val="auto"/>
          <w:highlight w:val="none"/>
        </w:rPr>
        <w:t xml:space="preserve"> </w:t>
      </w:r>
      <w:r>
        <w:rPr>
          <w:rFonts w:hint="eastAsia" w:hAnsi="宋体" w:cs="宋体"/>
          <w:color w:val="auto"/>
          <w:highlight w:val="none"/>
        </w:rPr>
        <w:t>工程量清单所列的工程量，不能作为承包人按合同履行其责任依据，实际施工中发生的工程量增加或减少并不影响承包人履行合同的责任，工程结算以完成的实际工程量为准。</w:t>
      </w:r>
    </w:p>
    <w:p w14:paraId="746B6D9F">
      <w:pPr>
        <w:spacing w:line="360" w:lineRule="auto"/>
        <w:ind w:firstLine="441" w:firstLineChars="210"/>
        <w:rPr>
          <w:color w:val="auto"/>
          <w:highlight w:val="none"/>
        </w:rPr>
      </w:pPr>
      <w:r>
        <w:rPr>
          <w:rFonts w:hint="eastAsia"/>
          <w:color w:val="auto"/>
          <w:highlight w:val="none"/>
          <w:lang w:eastAsia="zh-CN"/>
        </w:rPr>
        <w:t>（2）</w:t>
      </w:r>
      <w:r>
        <w:rPr>
          <w:color w:val="auto"/>
          <w:highlight w:val="none"/>
        </w:rPr>
        <w:t xml:space="preserve"> </w:t>
      </w:r>
      <w:r>
        <w:rPr>
          <w:rFonts w:hint="eastAsia" w:hAnsi="宋体" w:cs="宋体"/>
          <w:color w:val="auto"/>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4E5DBAF1">
      <w:pPr>
        <w:spacing w:line="360" w:lineRule="auto"/>
        <w:ind w:firstLine="420" w:firstLineChars="200"/>
        <w:jc w:val="left"/>
        <w:rPr>
          <w:color w:val="auto"/>
          <w:highlight w:val="none"/>
        </w:rPr>
      </w:pPr>
      <w:r>
        <w:rPr>
          <w:color w:val="auto"/>
          <w:highlight w:val="none"/>
        </w:rPr>
        <w:t xml:space="preserve">12.3.4 </w:t>
      </w:r>
      <w:r>
        <w:rPr>
          <w:rFonts w:hint="eastAsia" w:hAnsi="宋体" w:cs="宋体"/>
          <w:color w:val="auto"/>
          <w:highlight w:val="none"/>
        </w:rPr>
        <w:t>总价合同的计量</w:t>
      </w:r>
    </w:p>
    <w:p w14:paraId="6FDCB373">
      <w:pPr>
        <w:spacing w:line="360" w:lineRule="auto"/>
        <w:ind w:firstLine="420" w:firstLineChars="200"/>
        <w:jc w:val="left"/>
        <w:rPr>
          <w:rFonts w:cs="宋体"/>
          <w:color w:val="auto"/>
          <w:highlight w:val="none"/>
        </w:rPr>
      </w:pPr>
      <w:r>
        <w:rPr>
          <w:rFonts w:hint="eastAsia" w:ascii="Calibri" w:hAnsi="宋体" w:cs="宋体"/>
          <w:color w:val="auto"/>
          <w:highlight w:val="none"/>
        </w:rPr>
        <w:t>（1）总价合同计量约定：</w:t>
      </w:r>
      <w:r>
        <w:rPr>
          <w:rFonts w:hint="eastAsia" w:hAnsi="宋体" w:cs="宋体"/>
          <w:color w:val="auto"/>
          <w:highlight w:val="none"/>
        </w:rPr>
        <w:t>进度款按支付分解表支付</w:t>
      </w:r>
      <w:r>
        <w:rPr>
          <w:rFonts w:hint="eastAsia" w:ascii="宋体" w:hAnsi="宋体" w:cs="宋体"/>
          <w:color w:val="auto"/>
          <w:kern w:val="0"/>
          <w:highlight w:val="none"/>
        </w:rPr>
        <w:t>，</w:t>
      </w:r>
      <w:r>
        <w:rPr>
          <w:rFonts w:hint="eastAsia" w:cs="宋体"/>
          <w:color w:val="auto"/>
          <w:highlight w:val="none"/>
        </w:rPr>
        <w:t>支付分解表在招标完成后签合同之前制定，具体详见本专用合同条款12.4.6。</w:t>
      </w:r>
    </w:p>
    <w:p w14:paraId="046F7203">
      <w:pPr>
        <w:spacing w:line="360" w:lineRule="auto"/>
        <w:ind w:firstLine="420" w:firstLineChars="200"/>
        <w:jc w:val="left"/>
        <w:rPr>
          <w:color w:val="auto"/>
          <w:highlight w:val="none"/>
        </w:rPr>
      </w:pPr>
      <w:r>
        <w:rPr>
          <w:color w:val="auto"/>
          <w:highlight w:val="none"/>
        </w:rPr>
        <w:t xml:space="preserve">12.3.6 </w:t>
      </w:r>
      <w:r>
        <w:rPr>
          <w:rFonts w:hint="eastAsia" w:hAnsi="宋体" w:cs="宋体"/>
          <w:color w:val="auto"/>
          <w:highlight w:val="none"/>
        </w:rPr>
        <w:t>其他价格形式合同的计量</w:t>
      </w:r>
    </w:p>
    <w:p w14:paraId="19715373">
      <w:pPr>
        <w:pStyle w:val="34"/>
        <w:ind w:firstLine="420" w:firstLineChars="200"/>
        <w:rPr>
          <w:rFonts w:hint="eastAsia" w:ascii="Calibri" w:hAnsi="宋体" w:eastAsia="宋体" w:cs="宋体"/>
          <w:bCs w:val="0"/>
          <w:color w:val="auto"/>
          <w:spacing w:val="0"/>
          <w:kern w:val="2"/>
          <w:sz w:val="21"/>
          <w:szCs w:val="24"/>
          <w:highlight w:val="none"/>
          <w:lang w:val="en-US" w:eastAsia="zh-CN" w:bidi="ar-SA"/>
        </w:rPr>
      </w:pPr>
      <w:r>
        <w:rPr>
          <w:rFonts w:hint="eastAsia" w:ascii="Calibri" w:hAnsi="宋体" w:eastAsia="宋体" w:cs="宋体"/>
          <w:bCs w:val="0"/>
          <w:color w:val="auto"/>
          <w:spacing w:val="0"/>
          <w:kern w:val="2"/>
          <w:sz w:val="21"/>
          <w:szCs w:val="24"/>
          <w:highlight w:val="none"/>
          <w:lang w:val="en-US" w:eastAsia="zh-CN" w:bidi="ar-SA"/>
        </w:rPr>
        <w:t xml:space="preserve">其他价格形式的计量方式和程序： </w:t>
      </w:r>
      <w:r>
        <w:rPr>
          <w:rFonts w:hint="eastAsia" w:ascii="Calibri" w:hAnsi="宋体" w:eastAsia="宋体" w:cs="宋体"/>
          <w:bCs w:val="0"/>
          <w:color w:val="auto"/>
          <w:spacing w:val="0"/>
          <w:kern w:val="2"/>
          <w:sz w:val="21"/>
          <w:szCs w:val="24"/>
          <w:highlight w:val="none"/>
          <w:u w:val="single"/>
          <w:lang w:val="en-US" w:eastAsia="zh-CN" w:bidi="ar-SA"/>
        </w:rPr>
        <w:t xml:space="preserve">   /    </w:t>
      </w:r>
      <w:r>
        <w:rPr>
          <w:rFonts w:hint="eastAsia" w:ascii="Calibri" w:hAnsi="宋体" w:eastAsia="宋体" w:cs="宋体"/>
          <w:bCs w:val="0"/>
          <w:color w:val="auto"/>
          <w:spacing w:val="0"/>
          <w:kern w:val="2"/>
          <w:sz w:val="21"/>
          <w:szCs w:val="24"/>
          <w:highlight w:val="none"/>
          <w:lang w:val="en-US" w:eastAsia="zh-CN" w:bidi="ar-SA"/>
        </w:rPr>
        <w:t xml:space="preserve">  。</w:t>
      </w:r>
    </w:p>
    <w:p w14:paraId="28CA6FA8">
      <w:pPr>
        <w:spacing w:line="360" w:lineRule="auto"/>
        <w:ind w:firstLine="420" w:firstLineChars="200"/>
        <w:jc w:val="left"/>
        <w:rPr>
          <w:color w:val="auto"/>
          <w:highlight w:val="none"/>
          <w:u w:val="single"/>
        </w:rPr>
      </w:pPr>
    </w:p>
    <w:p w14:paraId="6C402BF8">
      <w:pPr>
        <w:pStyle w:val="4"/>
        <w:rPr>
          <w:color w:val="auto"/>
          <w:highlight w:val="none"/>
        </w:rPr>
      </w:pPr>
      <w:bookmarkStart w:id="888" w:name="_Toc32018"/>
      <w:bookmarkStart w:id="889" w:name="_Toc389065317"/>
      <w:bookmarkStart w:id="890" w:name="_Toc373227752"/>
      <w:bookmarkStart w:id="891" w:name="_Toc407135255"/>
      <w:bookmarkStart w:id="892" w:name="_Toc373478399"/>
      <w:r>
        <w:rPr>
          <w:color w:val="auto"/>
          <w:highlight w:val="none"/>
        </w:rPr>
        <w:t xml:space="preserve">12.4 </w:t>
      </w:r>
      <w:r>
        <w:rPr>
          <w:rFonts w:hint="eastAsia" w:cs="黑体"/>
          <w:color w:val="auto"/>
          <w:highlight w:val="none"/>
        </w:rPr>
        <w:t>工程进度款支付</w:t>
      </w:r>
      <w:bookmarkEnd w:id="888"/>
      <w:bookmarkEnd w:id="889"/>
      <w:bookmarkEnd w:id="890"/>
      <w:bookmarkEnd w:id="891"/>
      <w:bookmarkEnd w:id="892"/>
    </w:p>
    <w:p w14:paraId="2681A38A">
      <w:pPr>
        <w:spacing w:line="360" w:lineRule="auto"/>
        <w:ind w:firstLine="420" w:firstLineChars="200"/>
        <w:jc w:val="left"/>
        <w:rPr>
          <w:color w:val="auto"/>
          <w:highlight w:val="none"/>
        </w:rPr>
      </w:pPr>
      <w:bookmarkStart w:id="893" w:name="_Toc296503211"/>
      <w:bookmarkStart w:id="894" w:name="_Toc297120511"/>
      <w:bookmarkStart w:id="895" w:name="_Toc297123556"/>
      <w:bookmarkStart w:id="896" w:name="_Toc297048397"/>
      <w:bookmarkStart w:id="897" w:name="_Toc292559921"/>
      <w:bookmarkStart w:id="898" w:name="_Toc292559416"/>
      <w:bookmarkStart w:id="899" w:name="_Toc296347210"/>
      <w:bookmarkStart w:id="900" w:name="_Toc296891039"/>
      <w:bookmarkStart w:id="901" w:name="_Toc303539163"/>
      <w:bookmarkStart w:id="902" w:name="_Toc297216215"/>
      <w:bookmarkStart w:id="903" w:name="_Toc296891251"/>
      <w:bookmarkStart w:id="904" w:name="_Toc300935006"/>
      <w:bookmarkStart w:id="905" w:name="_Toc296944550"/>
      <w:bookmarkStart w:id="906" w:name="_Toc296346712"/>
      <w:r>
        <w:rPr>
          <w:color w:val="auto"/>
          <w:highlight w:val="none"/>
        </w:rPr>
        <w:t xml:space="preserve">12.4.1 </w:t>
      </w:r>
      <w:r>
        <w:rPr>
          <w:rFonts w:hint="eastAsia" w:hAnsi="宋体" w:cs="宋体"/>
          <w:color w:val="auto"/>
          <w:highlight w:val="none"/>
        </w:rPr>
        <w:t>付款周期</w:t>
      </w:r>
    </w:p>
    <w:p w14:paraId="3A508967">
      <w:pPr>
        <w:spacing w:line="360" w:lineRule="auto"/>
        <w:ind w:firstLine="420" w:firstLineChars="200"/>
        <w:jc w:val="left"/>
        <w:rPr>
          <w:rFonts w:hint="eastAsia"/>
          <w:color w:val="auto"/>
          <w:highlight w:val="none"/>
          <w:lang w:val="en-US" w:eastAsia="zh-CN"/>
        </w:rPr>
      </w:pPr>
      <w:r>
        <w:rPr>
          <w:rFonts w:hint="eastAsia"/>
          <w:color w:val="auto"/>
          <w:highlight w:val="none"/>
          <w:lang w:val="en-US" w:eastAsia="zh-CN"/>
        </w:rPr>
        <w:t>关于付款周期的约定：</w:t>
      </w:r>
    </w:p>
    <w:p w14:paraId="73AB21ED">
      <w:pPr>
        <w:spacing w:line="360" w:lineRule="auto"/>
        <w:ind w:firstLine="420" w:firstLineChars="200"/>
        <w:jc w:val="left"/>
        <w:rPr>
          <w:rFonts w:hint="eastAsia"/>
          <w:color w:val="auto"/>
          <w:highlight w:val="none"/>
          <w:u w:val="single"/>
          <w:lang w:val="en-US" w:eastAsia="zh-CN"/>
        </w:rPr>
      </w:pPr>
      <w:r>
        <w:rPr>
          <w:rFonts w:hint="eastAsia"/>
          <w:color w:val="auto"/>
          <w:highlight w:val="none"/>
          <w:u w:val="single"/>
          <w:lang w:val="en-US" w:eastAsia="zh-CN"/>
        </w:rPr>
        <w:t>（1）签订合同开工后15天内支付合同总额的30%；</w:t>
      </w:r>
    </w:p>
    <w:p w14:paraId="4C5D1E2C">
      <w:pPr>
        <w:spacing w:line="360" w:lineRule="auto"/>
        <w:ind w:firstLine="420" w:firstLineChars="200"/>
        <w:jc w:val="left"/>
        <w:rPr>
          <w:color w:val="auto"/>
          <w:highlight w:val="none"/>
          <w:u w:val="single"/>
        </w:rPr>
      </w:pPr>
      <w:r>
        <w:rPr>
          <w:rFonts w:hint="eastAsia" w:hAnsi="宋体" w:cs="宋体"/>
          <w:color w:val="auto"/>
          <w:highlight w:val="none"/>
          <w:u w:val="single"/>
          <w:lang w:eastAsia="zh-CN"/>
        </w:rPr>
        <w:t>（</w:t>
      </w:r>
      <w:r>
        <w:rPr>
          <w:rFonts w:hint="eastAsia" w:hAnsi="宋体" w:cs="宋体"/>
          <w:color w:val="auto"/>
          <w:highlight w:val="none"/>
          <w:u w:val="single"/>
          <w:lang w:val="en-US" w:eastAsia="zh-CN"/>
        </w:rPr>
        <w:t>2</w:t>
      </w:r>
      <w:r>
        <w:rPr>
          <w:rFonts w:hint="eastAsia" w:hAnsi="宋体" w:cs="宋体"/>
          <w:color w:val="auto"/>
          <w:highlight w:val="none"/>
          <w:u w:val="single"/>
          <w:lang w:eastAsia="zh-CN"/>
        </w:rPr>
        <w:t>）</w:t>
      </w:r>
      <w:r>
        <w:rPr>
          <w:rFonts w:hint="eastAsia" w:hAnsi="宋体" w:cs="宋体"/>
          <w:color w:val="auto"/>
          <w:highlight w:val="none"/>
          <w:u w:val="single"/>
        </w:rPr>
        <w:t>工程款原则上按工程进度支付，合同内进度款支付限额为已完成工程量的 8</w:t>
      </w:r>
      <w:r>
        <w:rPr>
          <w:rFonts w:hint="eastAsia" w:hAnsi="宋体" w:cs="宋体"/>
          <w:color w:val="auto"/>
          <w:highlight w:val="none"/>
          <w:u w:val="single"/>
          <w:lang w:val="en-US" w:eastAsia="zh-CN"/>
        </w:rPr>
        <w:t>5</w:t>
      </w:r>
      <w:r>
        <w:rPr>
          <w:rFonts w:hint="eastAsia" w:hAnsi="宋体" w:cs="宋体"/>
          <w:color w:val="auto"/>
          <w:highlight w:val="none"/>
          <w:u w:val="single"/>
        </w:rPr>
        <w:t>%，工程变更部分进度款支付限额为已完成工程量的</w:t>
      </w:r>
      <w:r>
        <w:rPr>
          <w:rFonts w:hint="eastAsia" w:hAnsi="宋体" w:cs="宋体"/>
          <w:color w:val="auto"/>
          <w:highlight w:val="none"/>
          <w:u w:val="single"/>
          <w:lang w:val="en-US" w:eastAsia="zh-CN"/>
        </w:rPr>
        <w:t>60</w:t>
      </w:r>
      <w:r>
        <w:rPr>
          <w:rFonts w:hint="eastAsia" w:hAnsi="宋体" w:cs="宋体"/>
          <w:color w:val="auto"/>
          <w:highlight w:val="none"/>
          <w:u w:val="single"/>
        </w:rPr>
        <w:t>%；工程完工验收达到质量要求，</w:t>
      </w:r>
      <w:r>
        <w:rPr>
          <w:rFonts w:hint="eastAsia" w:hAnsi="宋体" w:cs="宋体"/>
          <w:color w:val="auto"/>
          <w:highlight w:val="none"/>
          <w:u w:val="single"/>
          <w:lang w:val="en-US" w:eastAsia="zh-CN"/>
        </w:rPr>
        <w:t>结算经业主及合同约定的财政或审计部门（如有）审定后</w:t>
      </w:r>
      <w:r>
        <w:rPr>
          <w:rFonts w:hint="eastAsia" w:hAnsi="宋体" w:cs="宋体"/>
          <w:color w:val="auto"/>
          <w:highlight w:val="none"/>
          <w:u w:val="single"/>
        </w:rPr>
        <w:t>，工程款支付至结算总价的 97%；发包人按工程价款结算总额的 3%预留工程质量保修金，待工程质量保修期满后返还（无息）；质量保修金的返还，并不能免除承包人按照合同约定应承担的质量保修责任和应履行的质量保修义务。</w:t>
      </w:r>
    </w:p>
    <w:p w14:paraId="233D3DA5">
      <w:pPr>
        <w:spacing w:line="360" w:lineRule="auto"/>
        <w:ind w:firstLine="420" w:firstLineChars="200"/>
        <w:jc w:val="left"/>
        <w:rPr>
          <w:color w:val="auto"/>
          <w:highlight w:val="none"/>
        </w:rPr>
      </w:pPr>
      <w:r>
        <w:rPr>
          <w:color w:val="auto"/>
          <w:highlight w:val="none"/>
        </w:rPr>
        <w:t xml:space="preserve">12.4.2 </w:t>
      </w:r>
      <w:r>
        <w:rPr>
          <w:rFonts w:hint="eastAsia" w:hAnsi="宋体" w:cs="宋体"/>
          <w:color w:val="auto"/>
          <w:highlight w:val="none"/>
        </w:rPr>
        <w:t>进度付款申请单的编制</w:t>
      </w:r>
    </w:p>
    <w:p w14:paraId="27A6E400">
      <w:pPr>
        <w:spacing w:line="360" w:lineRule="auto"/>
        <w:ind w:firstLine="420" w:firstLineChars="200"/>
        <w:jc w:val="left"/>
        <w:rPr>
          <w:color w:val="auto"/>
          <w:highlight w:val="none"/>
          <w:u w:val="single"/>
        </w:rPr>
      </w:pPr>
      <w:r>
        <w:rPr>
          <w:rFonts w:hint="eastAsia" w:hAnsi="宋体" w:cs="宋体"/>
          <w:color w:val="auto"/>
          <w:highlight w:val="none"/>
        </w:rPr>
        <w:t>关于进度付款申请单编制的约定：</w:t>
      </w:r>
      <w:r>
        <w:rPr>
          <w:color w:val="auto"/>
          <w:highlight w:val="none"/>
          <w:u w:val="single"/>
        </w:rPr>
        <w:t xml:space="preserve">  </w:t>
      </w:r>
      <w:r>
        <w:rPr>
          <w:rFonts w:hint="eastAsia"/>
          <w:color w:val="auto"/>
          <w:highlight w:val="none"/>
          <w:u w:val="single"/>
        </w:rPr>
        <w:t>按照本合同通用条款第 12.4.2 条执行</w:t>
      </w:r>
      <w:r>
        <w:rPr>
          <w:color w:val="auto"/>
          <w:highlight w:val="none"/>
          <w:u w:val="single"/>
        </w:rPr>
        <w:t xml:space="preserve">   </w:t>
      </w:r>
      <w:r>
        <w:rPr>
          <w:rFonts w:hint="eastAsia" w:hAnsi="宋体" w:cs="宋体"/>
          <w:color w:val="auto"/>
          <w:highlight w:val="none"/>
        </w:rPr>
        <w:t>。</w:t>
      </w:r>
    </w:p>
    <w:p w14:paraId="413AB127">
      <w:pPr>
        <w:spacing w:line="360" w:lineRule="auto"/>
        <w:ind w:firstLine="420" w:firstLineChars="200"/>
        <w:jc w:val="left"/>
        <w:rPr>
          <w:color w:val="auto"/>
          <w:highlight w:val="none"/>
        </w:rPr>
      </w:pPr>
      <w:r>
        <w:rPr>
          <w:color w:val="auto"/>
          <w:highlight w:val="none"/>
        </w:rPr>
        <w:t>1</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Pr>
          <w:color w:val="auto"/>
          <w:highlight w:val="none"/>
        </w:rPr>
        <w:t xml:space="preserve">2.4.3 </w:t>
      </w:r>
      <w:r>
        <w:rPr>
          <w:rFonts w:hint="eastAsia" w:hAnsi="宋体" w:cs="宋体"/>
          <w:color w:val="auto"/>
          <w:highlight w:val="none"/>
        </w:rPr>
        <w:t>进度付款申请单的提交</w:t>
      </w:r>
    </w:p>
    <w:p w14:paraId="06DD04BB">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2D92535A">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611E243D">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）其他价格形式合同进度付款申请单提交的约定：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A1AAC95">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14:paraId="5B9D223E">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color w:val="auto"/>
          <w:highlight w:val="none"/>
          <w:u w:val="single"/>
        </w:rPr>
        <w:t xml:space="preserve"> </w:t>
      </w:r>
      <w:r>
        <w:rPr>
          <w:rFonts w:hint="eastAsia"/>
          <w:color w:val="auto"/>
          <w:highlight w:val="none"/>
          <w:u w:val="single"/>
        </w:rPr>
        <w:t>监理人应在收到承包人进度付款申请单以及相关资料之日起 7 天内完成审查并报送发包人</w:t>
      </w:r>
      <w:r>
        <w:rPr>
          <w:color w:val="auto"/>
          <w:highlight w:val="none"/>
          <w:u w:val="single"/>
        </w:rPr>
        <w:t xml:space="preserve"> </w:t>
      </w:r>
      <w:r>
        <w:rPr>
          <w:rFonts w:hint="eastAsia" w:hAnsi="宋体" w:cs="宋体"/>
          <w:color w:val="auto"/>
          <w:highlight w:val="none"/>
        </w:rPr>
        <w:t>。</w:t>
      </w:r>
    </w:p>
    <w:p w14:paraId="007D5076">
      <w:pPr>
        <w:spacing w:line="360" w:lineRule="auto"/>
        <w:ind w:firstLine="420" w:firstLineChars="200"/>
        <w:jc w:val="left"/>
        <w:rPr>
          <w:color w:val="auto"/>
          <w:highlight w:val="none"/>
          <w:u w:val="single"/>
        </w:rPr>
      </w:pPr>
      <w:r>
        <w:rPr>
          <w:rFonts w:hint="eastAsia" w:hAnsi="宋体" w:cs="宋体"/>
          <w:color w:val="auto"/>
          <w:highlight w:val="none"/>
        </w:rPr>
        <w:t>发包人完成审批并签发进度款支付证书的期限：</w:t>
      </w:r>
      <w:r>
        <w:rPr>
          <w:color w:val="auto"/>
          <w:highlight w:val="none"/>
          <w:u w:val="single"/>
        </w:rPr>
        <w:t xml:space="preserve"> </w:t>
      </w:r>
      <w:r>
        <w:rPr>
          <w:rFonts w:hint="eastAsia"/>
          <w:color w:val="auto"/>
          <w:highlight w:val="none"/>
          <w:u w:val="single"/>
        </w:rPr>
        <w:t>发包人应在收到监理人审查通过的承包人进度付款申请单以及相关资料后及时按要求完成审批并签发进度款审批表报</w:t>
      </w:r>
      <w:r>
        <w:rPr>
          <w:rFonts w:hint="eastAsia"/>
          <w:color w:val="auto"/>
          <w:highlight w:val="none"/>
          <w:u w:val="single"/>
          <w:lang w:val="en-US" w:eastAsia="zh-CN"/>
        </w:rPr>
        <w:t>市</w:t>
      </w:r>
      <w:r>
        <w:rPr>
          <w:rFonts w:hint="eastAsia"/>
          <w:color w:val="auto"/>
          <w:highlight w:val="none"/>
          <w:u w:val="single"/>
        </w:rPr>
        <w:t xml:space="preserve">财政局审批 </w:t>
      </w:r>
      <w:r>
        <w:rPr>
          <w:rFonts w:hint="eastAsia" w:hAnsi="宋体" w:cs="宋体"/>
          <w:color w:val="auto"/>
          <w:highlight w:val="none"/>
        </w:rPr>
        <w:t>。</w:t>
      </w:r>
    </w:p>
    <w:p w14:paraId="3638B9FF">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color w:val="auto"/>
          <w:highlight w:val="none"/>
          <w:u w:val="single"/>
        </w:rPr>
        <w:t xml:space="preserve"> </w:t>
      </w:r>
      <w:r>
        <w:rPr>
          <w:rFonts w:hint="eastAsia"/>
          <w:color w:val="auto"/>
          <w:highlight w:val="none"/>
          <w:u w:val="single"/>
        </w:rPr>
        <w:t>发包人应在进度款支付证书或临时进度款支付证书签发后及时报</w:t>
      </w:r>
      <w:r>
        <w:rPr>
          <w:rFonts w:hint="eastAsia"/>
          <w:color w:val="auto"/>
          <w:highlight w:val="none"/>
          <w:u w:val="single"/>
          <w:lang w:val="en-US" w:eastAsia="zh-CN"/>
        </w:rPr>
        <w:t>市</w:t>
      </w:r>
      <w:r>
        <w:rPr>
          <w:rFonts w:hint="eastAsia"/>
          <w:color w:val="auto"/>
          <w:highlight w:val="none"/>
          <w:u w:val="single"/>
        </w:rPr>
        <w:t>财政局审批完成支付</w:t>
      </w:r>
      <w:r>
        <w:rPr>
          <w:rFonts w:hint="eastAsia" w:hAnsi="宋体" w:cs="宋体"/>
          <w:color w:val="auto"/>
          <w:highlight w:val="none"/>
        </w:rPr>
        <w:t>。</w:t>
      </w:r>
    </w:p>
    <w:p w14:paraId="04BB5EEE">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color w:val="auto"/>
          <w:highlight w:val="none"/>
          <w:u w:val="single"/>
        </w:rPr>
        <w:t xml:space="preserve">      </w:t>
      </w:r>
      <w:r>
        <w:rPr>
          <w:rFonts w:hint="eastAsia"/>
          <w:color w:val="auto"/>
          <w:highlight w:val="none"/>
          <w:u w:val="single"/>
        </w:rPr>
        <w:t>无</w:t>
      </w:r>
      <w:r>
        <w:rPr>
          <w:color w:val="auto"/>
          <w:highlight w:val="none"/>
          <w:u w:val="single"/>
        </w:rPr>
        <w:t xml:space="preserve">     </w:t>
      </w:r>
      <w:r>
        <w:rPr>
          <w:rFonts w:hint="eastAsia" w:hAnsi="宋体" w:cs="宋体"/>
          <w:color w:val="auto"/>
          <w:highlight w:val="none"/>
        </w:rPr>
        <w:t>。</w:t>
      </w:r>
    </w:p>
    <w:p w14:paraId="16530E9F">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14:paraId="24D5D86E">
      <w:pPr>
        <w:spacing w:line="360" w:lineRule="auto"/>
        <w:ind w:firstLine="525" w:firstLineChars="250"/>
        <w:jc w:val="left"/>
        <w:rPr>
          <w:rFonts w:hint="eastAsia" w:hAnsi="宋体"/>
          <w:color w:val="auto"/>
          <w:highlight w:val="none"/>
        </w:rPr>
      </w:pPr>
      <w:r>
        <w:rPr>
          <w:rFonts w:hint="eastAsia" w:hAnsi="宋体"/>
          <w:color w:val="auto"/>
          <w:highlight w:val="none"/>
        </w:rPr>
        <w:t>（3） 农民工工资支付</w:t>
      </w:r>
    </w:p>
    <w:p w14:paraId="5EE643D2">
      <w:pPr>
        <w:autoSpaceDE w:val="0"/>
        <w:autoSpaceDN w:val="0"/>
        <w:adjustRightInd w:val="0"/>
        <w:spacing w:line="360" w:lineRule="auto"/>
        <w:ind w:firstLine="420" w:firstLineChars="200"/>
        <w:jc w:val="left"/>
        <w:rPr>
          <w:rFonts w:hint="eastAsia" w:hAnsi="宋体"/>
          <w:color w:val="auto"/>
          <w:highlight w:val="none"/>
        </w:rPr>
      </w:pPr>
      <w:r>
        <w:rPr>
          <w:rFonts w:hint="eastAsia" w:hAnsi="宋体" w:cs="宋体"/>
          <w:color w:val="auto"/>
          <w:kern w:val="0"/>
          <w:highlight w:val="none"/>
        </w:rPr>
        <w:t>1）农民工工资应与其它工程进度款分</w:t>
      </w:r>
      <w:r>
        <w:rPr>
          <w:rFonts w:hint="eastAsia" w:hAnsi="宋体" w:cs="宋体"/>
          <w:color w:val="auto"/>
          <w:kern w:val="0"/>
          <w:highlight w:val="none"/>
          <w:lang w:eastAsia="zh-CN"/>
        </w:rPr>
        <w:t>账</w:t>
      </w:r>
      <w:r>
        <w:rPr>
          <w:rFonts w:hint="eastAsia" w:hAnsi="宋体" w:cs="宋体"/>
          <w:color w:val="auto"/>
          <w:kern w:val="0"/>
          <w:highlight w:val="none"/>
        </w:rPr>
        <w:t>管理。承包人向发包人申请工程进度款时必须把工人工资部分单独列明，如果未单独列明，监理单位不得签支付证书等支付工程款的手续，发包人单位不得审批和支付工程款。发包人必须把工程款分</w:t>
      </w:r>
      <w:r>
        <w:rPr>
          <w:rFonts w:hint="eastAsia" w:hAnsi="宋体" w:cs="宋体"/>
          <w:color w:val="auto"/>
          <w:kern w:val="0"/>
          <w:highlight w:val="none"/>
          <w:lang w:eastAsia="zh-CN"/>
        </w:rPr>
        <w:t>账</w:t>
      </w:r>
      <w:r>
        <w:rPr>
          <w:rFonts w:hint="eastAsia" w:hAnsi="宋体" w:cs="宋体"/>
          <w:color w:val="auto"/>
          <w:kern w:val="0"/>
          <w:highlight w:val="none"/>
        </w:rPr>
        <w:t>出来的农民工工资转入承包人工人工资支付专用账户专户，转入专户环节必须有银行流水凭证。</w:t>
      </w:r>
    </w:p>
    <w:p w14:paraId="3214E780">
      <w:pPr>
        <w:spacing w:line="360" w:lineRule="auto"/>
        <w:ind w:firstLine="525" w:firstLineChars="250"/>
        <w:jc w:val="left"/>
        <w:rPr>
          <w:rFonts w:hint="eastAsia" w:hAnsi="宋体"/>
          <w:color w:val="auto"/>
          <w:highlight w:val="none"/>
        </w:rPr>
      </w:pPr>
      <w:r>
        <w:rPr>
          <w:rFonts w:hint="eastAsia" w:hAnsi="宋体"/>
          <w:color w:val="auto"/>
          <w:highlight w:val="none"/>
        </w:rPr>
        <w:t>2）发包人依据工程进度，按与承包人约定的农民工支付比例，将工程人工费分账支付到承包人的农民工工资专户，工程完工时发包人向承包人农民工工资专户支付的完工工程量的人工费支付比例不低于10%，其余工程进度款项由发包人支付到承包人的单位基本户。</w:t>
      </w:r>
    </w:p>
    <w:p w14:paraId="700607D1">
      <w:pPr>
        <w:spacing w:line="360" w:lineRule="auto"/>
        <w:ind w:firstLine="525" w:firstLineChars="250"/>
        <w:jc w:val="left"/>
        <w:rPr>
          <w:rFonts w:hint="eastAsia" w:hAnsi="宋体"/>
          <w:color w:val="auto"/>
          <w:highlight w:val="none"/>
        </w:rPr>
      </w:pPr>
      <w:r>
        <w:rPr>
          <w:rFonts w:hint="eastAsia" w:hAnsi="宋体"/>
          <w:color w:val="auto"/>
          <w:highlight w:val="none"/>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10%。其余分包工程进度款项由承包人支付到分包人的单位基本户。</w:t>
      </w:r>
    </w:p>
    <w:p w14:paraId="2F98999F">
      <w:pPr>
        <w:spacing w:line="360" w:lineRule="auto"/>
        <w:ind w:firstLine="525" w:firstLineChars="250"/>
        <w:jc w:val="left"/>
        <w:rPr>
          <w:rFonts w:hint="eastAsia" w:hAnsi="宋体"/>
          <w:color w:val="auto"/>
          <w:highlight w:val="none"/>
        </w:rPr>
      </w:pPr>
      <w:r>
        <w:rPr>
          <w:rFonts w:hint="eastAsia" w:hAnsi="宋体"/>
          <w:color w:val="auto"/>
          <w:highlight w:val="none"/>
        </w:rPr>
        <w:t>4）凡未向付款单位提供农民工工资专户的，或者请款单位在申请工程进度款时未将人工费单列的，付款单位有权拒绝支付工程进度款。</w:t>
      </w:r>
    </w:p>
    <w:p w14:paraId="726E3EE9">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5）农民工工资使用要求：专款专用，除发放工人工资外，不得用于其他用途。</w:t>
      </w:r>
    </w:p>
    <w:p w14:paraId="7E6872C3">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6）承包人将农民工工资</w:t>
      </w:r>
      <w:r>
        <w:rPr>
          <w:rFonts w:hAnsi="宋体" w:cs="宋体"/>
          <w:color w:val="auto"/>
          <w:kern w:val="0"/>
          <w:highlight w:val="none"/>
        </w:rPr>
        <w:t>支付</w:t>
      </w:r>
      <w:r>
        <w:rPr>
          <w:rFonts w:hint="eastAsia" w:hAnsi="宋体" w:cs="宋体"/>
          <w:color w:val="auto"/>
          <w:kern w:val="0"/>
          <w:highlight w:val="none"/>
        </w:rPr>
        <w:t>情况定期报告发包人和监理单位，并提供相应的材料接受建设行政主管部门和劳动保障行政主管部门对此事项监管。</w:t>
      </w:r>
    </w:p>
    <w:p w14:paraId="635E881D">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（4）农民工工资支付专用账户：</w:t>
      </w:r>
      <w:r>
        <w:rPr>
          <w:rFonts w:hAnsi="宋体" w:cs="宋体"/>
          <w:color w:val="auto"/>
          <w:kern w:val="0"/>
          <w:highlight w:val="none"/>
        </w:rPr>
        <w:t>××××</w:t>
      </w:r>
      <w:r>
        <w:rPr>
          <w:rFonts w:hint="eastAsia" w:hAnsi="宋体" w:cs="宋体"/>
          <w:color w:val="auto"/>
          <w:kern w:val="0"/>
          <w:highlight w:val="none"/>
        </w:rPr>
        <w:t>公司农民工工资支付专用账户</w:t>
      </w:r>
      <w:r>
        <w:rPr>
          <w:rFonts w:hAnsi="宋体" w:cs="宋体"/>
          <w:color w:val="auto"/>
          <w:kern w:val="0"/>
          <w:highlight w:val="none"/>
        </w:rPr>
        <w:t xml:space="preserve"> </w:t>
      </w:r>
      <w:r>
        <w:rPr>
          <w:rFonts w:hint="eastAsia" w:hAnsi="宋体" w:cs="宋体"/>
          <w:color w:val="auto"/>
          <w:kern w:val="0"/>
          <w:highlight w:val="none"/>
        </w:rPr>
        <w:t>。账号：</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rPr>
        <w:t>。</w:t>
      </w:r>
    </w:p>
    <w:p w14:paraId="7B62C28A">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65767419">
      <w:pPr>
        <w:spacing w:line="360" w:lineRule="auto"/>
        <w:ind w:firstLine="525" w:firstLineChars="250"/>
        <w:jc w:val="left"/>
        <w:rPr>
          <w:rFonts w:hint="eastAsia" w:ascii="Times New Roman" w:hAnsi="宋体" w:eastAsia="宋体" w:cs="宋体"/>
          <w:color w:val="auto"/>
          <w:highlight w:val="none"/>
        </w:rPr>
      </w:pPr>
      <w:r>
        <w:rPr>
          <w:rFonts w:hint="eastAsia"/>
          <w:color w:val="auto"/>
          <w:highlight w:val="none"/>
        </w:rPr>
        <w:t>（</w:t>
      </w:r>
      <w:r>
        <w:rPr>
          <w:color w:val="auto"/>
          <w:highlight w:val="none"/>
        </w:rPr>
        <w:t>1</w:t>
      </w:r>
      <w:r>
        <w:rPr>
          <w:rFonts w:hint="eastAsia"/>
          <w:color w:val="auto"/>
          <w:highlight w:val="none"/>
        </w:rPr>
        <w:t>）</w:t>
      </w:r>
      <w:r>
        <w:rPr>
          <w:rFonts w:hAnsi="宋体"/>
          <w:color w:val="auto"/>
          <w:highlight w:val="none"/>
        </w:rPr>
        <w:t xml:space="preserve"> </w:t>
      </w:r>
      <w:r>
        <w:rPr>
          <w:rFonts w:hint="eastAsia" w:hAnsi="宋体" w:cs="宋体"/>
          <w:color w:val="auto"/>
          <w:highlight w:val="none"/>
        </w:rPr>
        <w:t>总价合同支付分解表的编制与审批：</w:t>
      </w:r>
      <w:r>
        <w:rPr>
          <w:color w:val="auto"/>
          <w:highlight w:val="none"/>
          <w:u w:val="single"/>
        </w:rPr>
        <w:t xml:space="preserve"> </w:t>
      </w:r>
      <w:r>
        <w:rPr>
          <w:rFonts w:hint="eastAsia" w:ascii="Times New Roman" w:hAnsi="宋体" w:eastAsia="宋体" w:cs="宋体"/>
          <w:color w:val="auto"/>
          <w:highlight w:val="none"/>
          <w:u w:val="single"/>
        </w:rPr>
        <w:t xml:space="preserve"> 总价合同支付分分解表在招标完成后由发包人和承包人共同编制，发包人审批，并作为本合同内容。</w:t>
      </w:r>
    </w:p>
    <w:p w14:paraId="340F05A1">
      <w:pPr>
        <w:spacing w:line="360" w:lineRule="auto"/>
        <w:ind w:firstLine="525" w:firstLineChars="250"/>
        <w:jc w:val="left"/>
        <w:rPr>
          <w:rFonts w:hint="eastAsia" w:ascii="Times New Roman" w:hAnsi="宋体" w:eastAsia="宋体" w:cs="宋体"/>
          <w:color w:val="auto"/>
          <w:highlight w:val="none"/>
        </w:rPr>
      </w:pPr>
      <w:r>
        <w:rPr>
          <w:rFonts w:hint="eastAsia"/>
          <w:color w:val="auto"/>
          <w:highlight w:val="none"/>
        </w:rPr>
        <w:t>（2）</w:t>
      </w:r>
      <w:r>
        <w:rPr>
          <w:rFonts w:hint="eastAsia" w:hAnsi="宋体" w:cs="宋体"/>
          <w:color w:val="auto"/>
          <w:highlight w:val="none"/>
        </w:rPr>
        <w:t>单价合同的总价项目支付分解表的编制与审批：</w:t>
      </w:r>
      <w:r>
        <w:rPr>
          <w:rFonts w:hint="eastAsia" w:ascii="Times New Roman" w:hAnsi="宋体" w:eastAsia="宋体" w:cs="宋体"/>
          <w:color w:val="auto"/>
          <w:highlight w:val="none"/>
        </w:rPr>
        <w:t>总价项目不采用支付分解表的方式计算，而按《建设工程工程量清单计价规范（GB50500-2013）广西壮族自治区实施细则》的规定执行。</w:t>
      </w:r>
    </w:p>
    <w:bookmarkEnd w:id="671"/>
    <w:p w14:paraId="0A8B64D1">
      <w:pPr>
        <w:pStyle w:val="3"/>
        <w:rPr>
          <w:color w:val="auto"/>
          <w:highlight w:val="none"/>
        </w:rPr>
      </w:pPr>
      <w:bookmarkStart w:id="907" w:name="_Toc4664"/>
      <w:bookmarkStart w:id="908" w:name="_Toc407135256"/>
      <w:bookmarkStart w:id="909" w:name="_Toc351203645"/>
      <w:bookmarkStart w:id="910" w:name="_Toc373478400"/>
      <w:bookmarkStart w:id="911" w:name="_Toc373227753"/>
      <w:bookmarkStart w:id="912" w:name="_Toc389065318"/>
      <w:bookmarkStart w:id="913" w:name="_Toc292559929"/>
      <w:bookmarkStart w:id="914" w:name="_Toc296891047"/>
      <w:bookmarkStart w:id="915" w:name="_Toc296503219"/>
      <w:bookmarkStart w:id="916" w:name="_Toc303539172"/>
      <w:bookmarkStart w:id="917" w:name="_Toc296347218"/>
      <w:bookmarkStart w:id="918" w:name="_Toc297216223"/>
      <w:bookmarkStart w:id="919" w:name="_Toc296346720"/>
      <w:bookmarkStart w:id="920" w:name="_Toc297120519"/>
      <w:bookmarkStart w:id="921" w:name="_Toc304295593"/>
      <w:bookmarkStart w:id="922" w:name="_Toc297123564"/>
      <w:bookmarkStart w:id="923" w:name="_Toc292559424"/>
      <w:bookmarkStart w:id="924" w:name="_Toc312678053"/>
      <w:bookmarkStart w:id="925" w:name="_Toc296944558"/>
      <w:bookmarkStart w:id="926" w:name="_Toc296891259"/>
      <w:bookmarkStart w:id="927" w:name="_Toc300935015"/>
      <w:bookmarkStart w:id="928" w:name="_Toc297048405"/>
      <w:r>
        <w:rPr>
          <w:color w:val="auto"/>
          <w:highlight w:val="none"/>
        </w:rPr>
        <w:t xml:space="preserve">13. </w:t>
      </w:r>
      <w:r>
        <w:rPr>
          <w:rFonts w:hint="eastAsia" w:cs="黑体"/>
          <w:color w:val="auto"/>
          <w:highlight w:val="none"/>
        </w:rPr>
        <w:t>验收和工程试车</w:t>
      </w:r>
      <w:bookmarkEnd w:id="907"/>
      <w:bookmarkEnd w:id="908"/>
      <w:bookmarkEnd w:id="909"/>
      <w:bookmarkEnd w:id="910"/>
      <w:bookmarkEnd w:id="911"/>
      <w:bookmarkEnd w:id="912"/>
    </w:p>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14:paraId="58E82530">
      <w:pPr>
        <w:pStyle w:val="4"/>
        <w:rPr>
          <w:color w:val="auto"/>
          <w:highlight w:val="none"/>
        </w:rPr>
      </w:pPr>
      <w:bookmarkStart w:id="929" w:name="_Toc32388"/>
      <w:bookmarkStart w:id="930" w:name="_Toc389065319"/>
      <w:bookmarkStart w:id="931" w:name="_Toc407135257"/>
      <w:bookmarkStart w:id="932" w:name="_Toc373478401"/>
      <w:bookmarkStart w:id="933" w:name="_Toc373227754"/>
      <w:r>
        <w:rPr>
          <w:color w:val="auto"/>
          <w:highlight w:val="none"/>
        </w:rPr>
        <w:t xml:space="preserve">13.1 </w:t>
      </w:r>
      <w:r>
        <w:rPr>
          <w:rFonts w:hint="eastAsia" w:cs="黑体"/>
          <w:color w:val="auto"/>
          <w:highlight w:val="none"/>
        </w:rPr>
        <w:t>分部分项工程验收</w:t>
      </w:r>
      <w:bookmarkEnd w:id="929"/>
      <w:bookmarkEnd w:id="930"/>
      <w:bookmarkEnd w:id="931"/>
      <w:bookmarkEnd w:id="932"/>
      <w:bookmarkEnd w:id="933"/>
    </w:p>
    <w:p w14:paraId="05417967">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color w:val="auto"/>
          <w:highlight w:val="none"/>
          <w:u w:val="single"/>
        </w:rPr>
        <w:t xml:space="preserve">  </w:t>
      </w:r>
      <w:r>
        <w:rPr>
          <w:rFonts w:hint="eastAsia"/>
          <w:color w:val="auto"/>
          <w:highlight w:val="none"/>
          <w:u w:val="single"/>
        </w:rPr>
        <w:t>24</w:t>
      </w:r>
      <w:r>
        <w:rPr>
          <w:color w:val="auto"/>
          <w:highlight w:val="none"/>
          <w:u w:val="single"/>
        </w:rPr>
        <w:t xml:space="preserve">  </w:t>
      </w:r>
      <w:r>
        <w:rPr>
          <w:rFonts w:hint="eastAsia" w:hAnsi="宋体" w:cs="宋体"/>
          <w:color w:val="auto"/>
          <w:highlight w:val="none"/>
        </w:rPr>
        <w:t>小时提交书面延期要求。</w:t>
      </w:r>
    </w:p>
    <w:p w14:paraId="1BDC6845">
      <w:pPr>
        <w:spacing w:line="360" w:lineRule="auto"/>
        <w:ind w:firstLine="420" w:firstLineChars="200"/>
        <w:jc w:val="left"/>
        <w:rPr>
          <w:b/>
          <w:bCs/>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rPr>
        <w:t>48</w:t>
      </w:r>
      <w:r>
        <w:rPr>
          <w:color w:val="auto"/>
          <w:highlight w:val="none"/>
          <w:u w:val="single"/>
        </w:rPr>
        <w:t xml:space="preserve"> </w:t>
      </w:r>
      <w:r>
        <w:rPr>
          <w:rFonts w:hint="eastAsia" w:hAnsi="宋体" w:cs="宋体"/>
          <w:color w:val="auto"/>
          <w:highlight w:val="none"/>
        </w:rPr>
        <w:t>小时。</w:t>
      </w:r>
    </w:p>
    <w:p w14:paraId="5C2C5873">
      <w:pPr>
        <w:pStyle w:val="4"/>
        <w:rPr>
          <w:color w:val="auto"/>
          <w:highlight w:val="none"/>
        </w:rPr>
      </w:pPr>
      <w:bookmarkStart w:id="934" w:name="_Toc373478402"/>
      <w:bookmarkStart w:id="935" w:name="_Toc389065320"/>
      <w:bookmarkStart w:id="936" w:name="_Toc373227755"/>
      <w:bookmarkStart w:id="937" w:name="_Toc5847"/>
      <w:bookmarkStart w:id="938" w:name="_Toc407135258"/>
      <w:bookmarkStart w:id="939" w:name="_Toc297123565"/>
      <w:bookmarkStart w:id="940" w:name="_Toc304295596"/>
      <w:bookmarkStart w:id="941" w:name="_Toc297120523"/>
      <w:bookmarkStart w:id="942" w:name="_Toc296503223"/>
      <w:bookmarkStart w:id="943" w:name="_Toc303539173"/>
      <w:bookmarkStart w:id="944" w:name="_Toc296944562"/>
      <w:bookmarkStart w:id="945" w:name="_Toc296347222"/>
      <w:bookmarkStart w:id="946" w:name="_Toc296346724"/>
      <w:bookmarkStart w:id="947" w:name="_Toc300935016"/>
      <w:bookmarkStart w:id="948" w:name="_Toc297216224"/>
      <w:bookmarkStart w:id="949" w:name="_Toc296891263"/>
      <w:bookmarkStart w:id="950" w:name="_Toc292559933"/>
      <w:bookmarkStart w:id="951" w:name="_Toc312678056"/>
      <w:bookmarkStart w:id="952" w:name="_Toc296891051"/>
      <w:bookmarkStart w:id="953" w:name="_Toc297048409"/>
      <w:bookmarkStart w:id="954" w:name="_Toc292559428"/>
      <w:bookmarkStart w:id="955" w:name="_Toc267251473"/>
      <w:bookmarkStart w:id="956" w:name="_Toc267251471"/>
      <w:bookmarkStart w:id="957" w:name="_Toc267251476"/>
      <w:bookmarkStart w:id="958" w:name="_Toc267251474"/>
      <w:bookmarkStart w:id="959" w:name="_Toc267251472"/>
      <w:bookmarkStart w:id="960" w:name="_Toc267251470"/>
      <w:bookmarkStart w:id="961" w:name="_Toc267251475"/>
      <w:r>
        <w:rPr>
          <w:color w:val="auto"/>
          <w:highlight w:val="none"/>
        </w:rPr>
        <w:t xml:space="preserve">13.2 </w:t>
      </w:r>
      <w:r>
        <w:rPr>
          <w:rFonts w:hint="eastAsia" w:hAnsi="宋体" w:cs="黑体"/>
          <w:color w:val="auto"/>
          <w:highlight w:val="none"/>
        </w:rPr>
        <w:t>竣工验收</w:t>
      </w:r>
      <w:bookmarkEnd w:id="934"/>
      <w:bookmarkEnd w:id="935"/>
      <w:bookmarkEnd w:id="936"/>
      <w:bookmarkEnd w:id="937"/>
      <w:bookmarkEnd w:id="938"/>
    </w:p>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14:paraId="3942DA62">
      <w:pPr>
        <w:spacing w:line="360" w:lineRule="auto"/>
        <w:ind w:firstLine="420" w:firstLineChars="200"/>
        <w:jc w:val="left"/>
        <w:rPr>
          <w:color w:val="auto"/>
          <w:highlight w:val="none"/>
        </w:rPr>
      </w:pPr>
      <w:bookmarkStart w:id="962" w:name="_Toc280868704"/>
      <w:bookmarkStart w:id="963" w:name="_Toc280868705"/>
      <w:bookmarkStart w:id="964" w:name="_Toc280868706"/>
      <w:bookmarkStart w:id="965" w:name="_Toc280868707"/>
      <w:bookmarkStart w:id="966" w:name="_Toc280868708"/>
      <w:bookmarkStart w:id="967" w:name="_Toc280868709"/>
      <w:r>
        <w:rPr>
          <w:color w:val="auto"/>
          <w:highlight w:val="none"/>
        </w:rPr>
        <w:t>13.2.1</w:t>
      </w:r>
      <w:r>
        <w:rPr>
          <w:rFonts w:hint="eastAsia" w:hAnsi="宋体" w:cs="宋体"/>
          <w:color w:val="auto"/>
          <w:highlight w:val="none"/>
        </w:rPr>
        <w:t>竣工验收条件</w:t>
      </w:r>
    </w:p>
    <w:p w14:paraId="3314346C">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承包人负责整理和提交的竣工验收资料应当符合工程所在地建设行政主管部门和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城市建设档案管理机构有关施工资料的要求，具体内容包括：</w:t>
      </w:r>
      <w:r>
        <w:rPr>
          <w:color w:val="auto"/>
          <w:highlight w:val="none"/>
          <w:u w:val="single"/>
        </w:rPr>
        <w:t xml:space="preserve"> </w:t>
      </w:r>
      <w:r>
        <w:rPr>
          <w:rFonts w:hint="eastAsia"/>
          <w:color w:val="auto"/>
          <w:highlight w:val="none"/>
          <w:u w:val="single"/>
        </w:rPr>
        <w:t>承包人负责整理和提交的竣工验收资料应当符合工程所在地建设行政主管部门和</w:t>
      </w:r>
      <w:r>
        <w:rPr>
          <w:rFonts w:hint="eastAsia"/>
          <w:color w:val="auto"/>
          <w:highlight w:val="none"/>
          <w:u w:val="single"/>
          <w:lang w:eastAsia="zh-CN"/>
        </w:rPr>
        <w:t>（</w:t>
      </w:r>
      <w:r>
        <w:rPr>
          <w:rFonts w:hint="eastAsia"/>
          <w:color w:val="auto"/>
          <w:highlight w:val="none"/>
          <w:u w:val="single"/>
        </w:rPr>
        <w:t>或</w:t>
      </w:r>
      <w:r>
        <w:rPr>
          <w:rFonts w:hint="eastAsia"/>
          <w:color w:val="auto"/>
          <w:highlight w:val="none"/>
          <w:u w:val="single"/>
          <w:lang w:eastAsia="zh-CN"/>
        </w:rPr>
        <w:t>）</w:t>
      </w:r>
      <w:r>
        <w:rPr>
          <w:rFonts w:hint="eastAsia"/>
          <w:color w:val="auto"/>
          <w:highlight w:val="none"/>
          <w:u w:val="single"/>
        </w:rPr>
        <w:t xml:space="preserve">城市建设档案管理机构有关施工资料的要求，具体内容包括：按建设行政主管部门和（或）城市建设档案管理机构的要求 </w:t>
      </w:r>
      <w:r>
        <w:rPr>
          <w:rFonts w:hint="eastAsia" w:hAnsi="宋体" w:cs="宋体"/>
          <w:color w:val="auto"/>
          <w:highlight w:val="none"/>
        </w:rPr>
        <w:t>。</w:t>
      </w:r>
    </w:p>
    <w:p w14:paraId="0639F9A2">
      <w:pPr>
        <w:spacing w:line="360" w:lineRule="auto"/>
        <w:ind w:firstLine="420" w:firstLineChars="200"/>
        <w:rPr>
          <w:color w:val="auto"/>
          <w:highlight w:val="none"/>
        </w:rPr>
      </w:pPr>
      <w:r>
        <w:rPr>
          <w:rFonts w:hint="eastAsia" w:hAnsi="宋体" w:cs="宋体"/>
          <w:color w:val="auto"/>
          <w:highlight w:val="none"/>
        </w:rPr>
        <w:t>竣工验收资料的份数：</w:t>
      </w:r>
      <w:r>
        <w:rPr>
          <w:color w:val="auto"/>
          <w:highlight w:val="none"/>
          <w:u w:val="single"/>
        </w:rPr>
        <w:t xml:space="preserve">   </w:t>
      </w:r>
      <w:r>
        <w:rPr>
          <w:rStyle w:val="27"/>
          <w:rFonts w:hint="eastAsia" w:ascii="宋体" w:hAnsi="宋体" w:cs="宋体"/>
          <w:color w:val="auto"/>
          <w:szCs w:val="21"/>
          <w:highlight w:val="none"/>
          <w:u w:val="single"/>
        </w:rPr>
        <w:t>按</w:t>
      </w:r>
      <w:r>
        <w:rPr>
          <w:rStyle w:val="27"/>
          <w:rFonts w:hint="eastAsia" w:ascii="宋体" w:hAnsi="宋体" w:cs="宋体"/>
          <w:color w:val="auto"/>
          <w:szCs w:val="21"/>
          <w:highlight w:val="none"/>
          <w:u w:val="single"/>
          <w:lang w:val="en-US" w:eastAsia="zh-CN"/>
        </w:rPr>
        <w:t>发包人要求执行</w:t>
      </w:r>
      <w:r>
        <w:rPr>
          <w:color w:val="auto"/>
          <w:highlight w:val="none"/>
          <w:u w:val="single"/>
        </w:rPr>
        <w:t xml:space="preserve">   </w:t>
      </w:r>
      <w:r>
        <w:rPr>
          <w:rFonts w:hint="eastAsia" w:hAnsi="宋体" w:cs="宋体"/>
          <w:color w:val="auto"/>
          <w:highlight w:val="none"/>
        </w:rPr>
        <w:t>。</w:t>
      </w:r>
    </w:p>
    <w:p w14:paraId="2AE00446">
      <w:pPr>
        <w:spacing w:line="360" w:lineRule="auto"/>
        <w:ind w:firstLine="420" w:firstLineChars="200"/>
        <w:jc w:val="left"/>
        <w:rPr>
          <w:color w:val="auto"/>
          <w:highlight w:val="none"/>
        </w:rPr>
      </w:pPr>
      <w:r>
        <w:rPr>
          <w:rFonts w:hint="eastAsia" w:hAnsi="宋体" w:cs="宋体"/>
          <w:color w:val="auto"/>
          <w:highlight w:val="none"/>
        </w:rPr>
        <w:t>承包人提供竣工图的约定：</w:t>
      </w:r>
      <w:r>
        <w:rPr>
          <w:rFonts w:hint="eastAsia" w:hAnsi="宋体" w:cs="宋体"/>
          <w:color w:val="auto"/>
          <w:highlight w:val="none"/>
          <w:u w:val="single"/>
        </w:rPr>
        <w:t>竣工验收正式通过后 15 天，提供竣工图 6 套。</w:t>
      </w:r>
    </w:p>
    <w:p w14:paraId="180C9843">
      <w:pPr>
        <w:spacing w:line="360" w:lineRule="auto"/>
        <w:ind w:firstLine="420" w:firstLineChars="200"/>
        <w:jc w:val="left"/>
        <w:rPr>
          <w:color w:val="auto"/>
          <w:highlight w:val="none"/>
        </w:rPr>
      </w:pPr>
      <w:r>
        <w:rPr>
          <w:color w:val="auto"/>
          <w:highlight w:val="none"/>
        </w:rPr>
        <w:t>13.2.2</w:t>
      </w:r>
      <w:r>
        <w:rPr>
          <w:rFonts w:hint="eastAsia" w:hAnsi="宋体" w:cs="宋体"/>
          <w:color w:val="auto"/>
          <w:highlight w:val="none"/>
        </w:rPr>
        <w:t>竣工验收程序</w:t>
      </w:r>
    </w:p>
    <w:bookmarkEnd w:id="962"/>
    <w:p w14:paraId="77606AD8">
      <w:pPr>
        <w:spacing w:line="360" w:lineRule="auto"/>
        <w:ind w:firstLine="420" w:firstLineChars="200"/>
        <w:jc w:val="left"/>
        <w:rPr>
          <w:color w:val="auto"/>
          <w:highlight w:val="none"/>
          <w:u w:val="single"/>
        </w:rPr>
      </w:pPr>
      <w:r>
        <w:rPr>
          <w:rFonts w:hint="eastAsia" w:hAnsi="宋体" w:cs="宋体"/>
          <w:color w:val="auto"/>
          <w:kern w:val="0"/>
          <w:highlight w:val="none"/>
        </w:rPr>
        <w:t>关于竣工验收程序的约定：</w:t>
      </w:r>
      <w:r>
        <w:rPr>
          <w:color w:val="auto"/>
          <w:highlight w:val="none"/>
          <w:u w:val="single"/>
        </w:rPr>
        <w:t xml:space="preserve">  </w:t>
      </w:r>
      <w:r>
        <w:rPr>
          <w:rFonts w:hint="eastAsia"/>
          <w:color w:val="auto"/>
          <w:highlight w:val="none"/>
          <w:u w:val="single"/>
        </w:rPr>
        <w:t>按照本合同通用条款第 13.2.2 条执行</w:t>
      </w:r>
      <w:r>
        <w:rPr>
          <w:color w:val="auto"/>
          <w:highlight w:val="none"/>
          <w:u w:val="single"/>
        </w:rPr>
        <w:t xml:space="preserve">    </w:t>
      </w:r>
      <w:r>
        <w:rPr>
          <w:rFonts w:hint="eastAsia" w:hAnsi="宋体" w:cs="宋体"/>
          <w:color w:val="auto"/>
          <w:highlight w:val="none"/>
        </w:rPr>
        <w:t>。</w:t>
      </w:r>
    </w:p>
    <w:p w14:paraId="71174178">
      <w:pPr>
        <w:spacing w:line="360" w:lineRule="auto"/>
        <w:ind w:firstLine="420" w:firstLineChars="200"/>
        <w:jc w:val="left"/>
        <w:rPr>
          <w:color w:val="auto"/>
          <w:highlight w:val="none"/>
        </w:rPr>
      </w:pPr>
      <w:r>
        <w:rPr>
          <w:rFonts w:hint="eastAsia" w:hAnsi="宋体" w:cs="宋体"/>
          <w:color w:val="auto"/>
          <w:kern w:val="0"/>
          <w:highlight w:val="none"/>
        </w:rPr>
        <w:t>发包人不按照本项约定组织竣工验收、颁发工程接收证书的违约金的计算方法：</w:t>
      </w:r>
      <w:r>
        <w:rPr>
          <w:color w:val="auto"/>
          <w:highlight w:val="none"/>
          <w:u w:val="single"/>
        </w:rPr>
        <w:t xml:space="preserve"> </w:t>
      </w:r>
      <w:r>
        <w:rPr>
          <w:rFonts w:hint="eastAsia"/>
          <w:color w:val="auto"/>
          <w:highlight w:val="none"/>
          <w:u w:val="single"/>
        </w:rPr>
        <w:t xml:space="preserve">发包人不按本合同通用条款第 13.2.2 条约定组织竣工验收、颁发工程接收证书的，每逾期一天，按签约合同价的万分之三向承包人支付违约金。此项违约金总额不超过签约合同价的百分之二 </w:t>
      </w:r>
      <w:r>
        <w:rPr>
          <w:rFonts w:hint="eastAsia" w:hAnsi="宋体" w:cs="宋体"/>
          <w:color w:val="auto"/>
          <w:highlight w:val="none"/>
        </w:rPr>
        <w:t>。</w:t>
      </w:r>
    </w:p>
    <w:bookmarkEnd w:id="963"/>
    <w:p w14:paraId="1ED70AF9">
      <w:pPr>
        <w:spacing w:line="360" w:lineRule="auto"/>
        <w:ind w:firstLine="420" w:firstLineChars="200"/>
        <w:jc w:val="left"/>
        <w:rPr>
          <w:color w:val="auto"/>
          <w:highlight w:val="none"/>
        </w:rPr>
      </w:pPr>
      <w:r>
        <w:rPr>
          <w:color w:val="auto"/>
          <w:highlight w:val="none"/>
        </w:rPr>
        <w:t>13.2.5</w:t>
      </w:r>
      <w:r>
        <w:rPr>
          <w:rFonts w:hint="eastAsia" w:hAnsi="宋体" w:cs="宋体"/>
          <w:color w:val="auto"/>
          <w:highlight w:val="none"/>
        </w:rPr>
        <w:t>移交、接收全部与部分工程</w:t>
      </w:r>
    </w:p>
    <w:bookmarkEnd w:id="964"/>
    <w:p w14:paraId="674D13C7">
      <w:pPr>
        <w:spacing w:line="360" w:lineRule="auto"/>
        <w:ind w:firstLine="420" w:firstLineChars="200"/>
        <w:jc w:val="left"/>
        <w:rPr>
          <w:color w:val="auto"/>
          <w:kern w:val="0"/>
          <w:highlight w:val="none"/>
        </w:rPr>
      </w:pPr>
      <w:r>
        <w:rPr>
          <w:rFonts w:hint="eastAsia" w:hAnsi="宋体" w:cs="宋体"/>
          <w:color w:val="auto"/>
          <w:kern w:val="0"/>
          <w:highlight w:val="none"/>
        </w:rPr>
        <w:t>承包人向发包人移交工程的期限：</w:t>
      </w:r>
      <w:r>
        <w:rPr>
          <w:rFonts w:hint="eastAsia"/>
          <w:color w:val="auto"/>
          <w:highlight w:val="none"/>
          <w:u w:val="single"/>
        </w:rPr>
        <w:t xml:space="preserve">在颁发工程接收证书后 7 天内完成工程的移交 </w:t>
      </w:r>
      <w:r>
        <w:rPr>
          <w:rFonts w:hint="eastAsia" w:hAnsi="宋体" w:cs="宋体"/>
          <w:color w:val="auto"/>
          <w:highlight w:val="none"/>
        </w:rPr>
        <w:t>。</w:t>
      </w:r>
    </w:p>
    <w:p w14:paraId="271836F8">
      <w:pPr>
        <w:spacing w:line="360" w:lineRule="auto"/>
        <w:ind w:firstLine="420" w:firstLineChars="200"/>
        <w:jc w:val="left"/>
        <w:rPr>
          <w:color w:val="auto"/>
          <w:highlight w:val="none"/>
          <w:u w:val="single"/>
        </w:rPr>
      </w:pPr>
      <w:r>
        <w:rPr>
          <w:rFonts w:hint="eastAsia" w:hAnsi="宋体" w:cs="宋体"/>
          <w:color w:val="auto"/>
          <w:kern w:val="0"/>
          <w:highlight w:val="none"/>
        </w:rPr>
        <w:t>发包人未按本合同约定接收全部或部分工程的，违约金的计算方法为：</w:t>
      </w:r>
      <w:r>
        <w:rPr>
          <w:color w:val="auto"/>
          <w:highlight w:val="none"/>
          <w:u w:val="single"/>
        </w:rPr>
        <w:t xml:space="preserve">   </w:t>
      </w:r>
      <w:r>
        <w:rPr>
          <w:rFonts w:hint="eastAsia"/>
          <w:color w:val="auto"/>
          <w:highlight w:val="none"/>
          <w:u w:val="single"/>
        </w:rPr>
        <w:t xml:space="preserve">发包人无正当理由不接收工程的，发包人自应当接收工程之日起，承担工程照管、成品保护、保管等与工程有关的各项费用，并每逾期一天接收，按签约合同价的万分之三向承包人支付违约金。此项违约金总额不超过签约合同价的百分之二 </w:t>
      </w:r>
      <w:r>
        <w:rPr>
          <w:color w:val="auto"/>
          <w:highlight w:val="none"/>
          <w:u w:val="single"/>
        </w:rPr>
        <w:t xml:space="preserve">  </w:t>
      </w:r>
      <w:r>
        <w:rPr>
          <w:rFonts w:hint="eastAsia" w:hAnsi="宋体" w:cs="宋体"/>
          <w:color w:val="auto"/>
          <w:highlight w:val="none"/>
        </w:rPr>
        <w:t>。</w:t>
      </w:r>
    </w:p>
    <w:bookmarkEnd w:id="965"/>
    <w:p w14:paraId="1FF2F0A2">
      <w:pPr>
        <w:spacing w:line="360" w:lineRule="auto"/>
        <w:ind w:firstLine="420" w:firstLineChars="200"/>
        <w:jc w:val="left"/>
        <w:rPr>
          <w:color w:val="auto"/>
          <w:highlight w:val="none"/>
          <w:u w:val="single"/>
        </w:rPr>
      </w:pPr>
      <w:r>
        <w:rPr>
          <w:rFonts w:hint="eastAsia" w:hAnsi="宋体" w:cs="宋体"/>
          <w:color w:val="auto"/>
          <w:highlight w:val="none"/>
        </w:rPr>
        <w:t>承包人未按时移交工程的，违约金的计算方法为：</w:t>
      </w:r>
      <w:r>
        <w:rPr>
          <w:color w:val="auto"/>
          <w:highlight w:val="none"/>
          <w:u w:val="single"/>
        </w:rPr>
        <w:t xml:space="preserve"> </w:t>
      </w:r>
      <w:r>
        <w:rPr>
          <w:rFonts w:hint="eastAsia"/>
          <w:color w:val="auto"/>
          <w:highlight w:val="none"/>
          <w:u w:val="single"/>
        </w:rPr>
        <w:t xml:space="preserve">承包人无正当理由不移交工程的，承包人应承担工程照管、成品保护、保管等与工程有关的各项费用，并每逾期一天移交，按签约合同价的万分之三向发包人支付违约金。此项违约金总额不超过签约合同价的百分之二 </w:t>
      </w:r>
      <w:r>
        <w:rPr>
          <w:rFonts w:hint="eastAsia" w:hAnsi="宋体" w:cs="宋体"/>
          <w:color w:val="auto"/>
          <w:highlight w:val="none"/>
        </w:rPr>
        <w:t>。</w:t>
      </w:r>
    </w:p>
    <w:p w14:paraId="521F9929">
      <w:pPr>
        <w:pStyle w:val="4"/>
        <w:rPr>
          <w:color w:val="auto"/>
          <w:highlight w:val="none"/>
        </w:rPr>
      </w:pPr>
      <w:bookmarkStart w:id="968" w:name="_Toc373227756"/>
      <w:bookmarkStart w:id="969" w:name="_Toc373478403"/>
      <w:bookmarkStart w:id="970" w:name="_Toc389065321"/>
      <w:bookmarkStart w:id="971" w:name="_Toc407135259"/>
      <w:bookmarkStart w:id="972" w:name="_Toc21734"/>
      <w:r>
        <w:rPr>
          <w:color w:val="auto"/>
          <w:highlight w:val="none"/>
        </w:rPr>
        <w:t xml:space="preserve">13.3 </w:t>
      </w:r>
      <w:r>
        <w:rPr>
          <w:rFonts w:hint="eastAsia" w:hAnsi="宋体" w:cs="黑体"/>
          <w:color w:val="auto"/>
          <w:highlight w:val="none"/>
        </w:rPr>
        <w:t>工程试车</w:t>
      </w:r>
      <w:bookmarkEnd w:id="968"/>
      <w:bookmarkEnd w:id="969"/>
      <w:bookmarkEnd w:id="970"/>
      <w:bookmarkEnd w:id="971"/>
      <w:bookmarkEnd w:id="972"/>
    </w:p>
    <w:bookmarkEnd w:id="966"/>
    <w:p w14:paraId="32492436">
      <w:pPr>
        <w:spacing w:line="360" w:lineRule="auto"/>
        <w:ind w:firstLine="420" w:firstLineChars="200"/>
        <w:jc w:val="left"/>
        <w:rPr>
          <w:color w:val="auto"/>
          <w:kern w:val="0"/>
          <w:highlight w:val="none"/>
        </w:rPr>
      </w:pPr>
      <w:r>
        <w:rPr>
          <w:color w:val="auto"/>
          <w:kern w:val="0"/>
          <w:highlight w:val="none"/>
        </w:rPr>
        <w:t xml:space="preserve">13.3.1 </w:t>
      </w:r>
      <w:r>
        <w:rPr>
          <w:rFonts w:hint="eastAsia" w:hAnsi="宋体" w:cs="宋体"/>
          <w:color w:val="auto"/>
          <w:kern w:val="0"/>
          <w:highlight w:val="none"/>
        </w:rPr>
        <w:t>试车程序</w:t>
      </w:r>
    </w:p>
    <w:p w14:paraId="34CA5211">
      <w:pPr>
        <w:spacing w:line="360" w:lineRule="auto"/>
        <w:ind w:firstLine="420" w:firstLineChars="200"/>
        <w:jc w:val="left"/>
        <w:rPr>
          <w:color w:val="auto"/>
          <w:highlight w:val="none"/>
          <w:u w:val="single"/>
        </w:rPr>
      </w:pPr>
      <w:r>
        <w:rPr>
          <w:rFonts w:hint="eastAsia" w:hAnsi="宋体" w:cs="宋体"/>
          <w:color w:val="auto"/>
          <w:kern w:val="0"/>
          <w:highlight w:val="none"/>
        </w:rPr>
        <w:t>工程试车内容：</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A723592">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）单机无负荷试车费用由</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承担；</w:t>
      </w:r>
    </w:p>
    <w:p w14:paraId="303AE11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）无负荷联动试车费用由</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kern w:val="0"/>
          <w:highlight w:val="none"/>
        </w:rPr>
        <w:t>承担。</w:t>
      </w:r>
    </w:p>
    <w:p w14:paraId="06E67D24">
      <w:pPr>
        <w:spacing w:line="360" w:lineRule="auto"/>
        <w:ind w:firstLine="420" w:firstLineChars="200"/>
        <w:jc w:val="left"/>
        <w:rPr>
          <w:color w:val="auto"/>
          <w:kern w:val="0"/>
          <w:highlight w:val="none"/>
        </w:rPr>
      </w:pPr>
      <w:r>
        <w:rPr>
          <w:color w:val="auto"/>
          <w:kern w:val="0"/>
          <w:highlight w:val="none"/>
        </w:rPr>
        <w:t xml:space="preserve">13.3.3 </w:t>
      </w:r>
      <w:r>
        <w:rPr>
          <w:rFonts w:hint="eastAsia" w:hAnsi="宋体" w:cs="宋体"/>
          <w:color w:val="auto"/>
          <w:kern w:val="0"/>
          <w:highlight w:val="none"/>
        </w:rPr>
        <w:t>投料试车</w:t>
      </w:r>
    </w:p>
    <w:p w14:paraId="73DE9482">
      <w:pPr>
        <w:spacing w:line="360" w:lineRule="auto"/>
        <w:ind w:firstLine="420" w:firstLineChars="200"/>
        <w:jc w:val="left"/>
        <w:rPr>
          <w:color w:val="auto"/>
          <w:highlight w:val="none"/>
          <w:u w:val="single"/>
        </w:rPr>
      </w:pPr>
      <w:r>
        <w:rPr>
          <w:rFonts w:hint="eastAsia" w:hAnsi="宋体" w:cs="宋体"/>
          <w:color w:val="auto"/>
          <w:kern w:val="0"/>
          <w:highlight w:val="none"/>
        </w:rPr>
        <w:t>关于投料试车相关事项的约定：</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571650EB">
      <w:pPr>
        <w:pStyle w:val="4"/>
        <w:rPr>
          <w:color w:val="auto"/>
          <w:highlight w:val="none"/>
        </w:rPr>
      </w:pPr>
      <w:bookmarkStart w:id="973" w:name="_Toc389065322"/>
      <w:bookmarkStart w:id="974" w:name="_Toc27026"/>
      <w:bookmarkStart w:id="975" w:name="_Toc373227757"/>
      <w:bookmarkStart w:id="976" w:name="_Toc373478404"/>
      <w:bookmarkStart w:id="977" w:name="_Toc407135260"/>
      <w:r>
        <w:rPr>
          <w:color w:val="auto"/>
          <w:highlight w:val="none"/>
        </w:rPr>
        <w:t xml:space="preserve">13.6 </w:t>
      </w:r>
      <w:r>
        <w:rPr>
          <w:rFonts w:hint="eastAsia" w:hAnsi="宋体" w:cs="黑体"/>
          <w:color w:val="auto"/>
          <w:highlight w:val="none"/>
        </w:rPr>
        <w:t>竣工退场</w:t>
      </w:r>
      <w:bookmarkEnd w:id="973"/>
      <w:bookmarkEnd w:id="974"/>
      <w:bookmarkEnd w:id="975"/>
      <w:bookmarkEnd w:id="976"/>
      <w:bookmarkEnd w:id="977"/>
    </w:p>
    <w:p w14:paraId="300B6CD8">
      <w:pPr>
        <w:spacing w:line="360" w:lineRule="auto"/>
        <w:ind w:firstLine="420" w:firstLineChars="200"/>
        <w:jc w:val="left"/>
        <w:outlineLvl w:val="0"/>
        <w:rPr>
          <w:color w:val="auto"/>
          <w:kern w:val="0"/>
          <w:highlight w:val="none"/>
        </w:rPr>
      </w:pPr>
      <w:r>
        <w:rPr>
          <w:color w:val="auto"/>
          <w:kern w:val="0"/>
          <w:highlight w:val="none"/>
        </w:rPr>
        <w:t xml:space="preserve">13.6.1 </w:t>
      </w:r>
      <w:r>
        <w:rPr>
          <w:rFonts w:hint="eastAsia" w:hAnsi="宋体" w:cs="宋体"/>
          <w:color w:val="auto"/>
          <w:kern w:val="0"/>
          <w:highlight w:val="none"/>
        </w:rPr>
        <w:t>竣工退场</w:t>
      </w:r>
    </w:p>
    <w:p w14:paraId="5FEC03D1">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color w:val="auto"/>
          <w:highlight w:val="none"/>
          <w:u w:val="single"/>
        </w:rPr>
        <w:t xml:space="preserve"> </w:t>
      </w:r>
      <w:r>
        <w:rPr>
          <w:rFonts w:hint="eastAsia"/>
          <w:color w:val="auto"/>
          <w:highlight w:val="none"/>
          <w:u w:val="single"/>
        </w:rPr>
        <w:t>按《通用条款》第 13.6.1 款执行</w:t>
      </w:r>
      <w:r>
        <w:rPr>
          <w:color w:val="auto"/>
          <w:highlight w:val="none"/>
          <w:u w:val="single"/>
        </w:rPr>
        <w:t xml:space="preserve">    </w:t>
      </w:r>
      <w:r>
        <w:rPr>
          <w:rFonts w:hint="eastAsia" w:hAnsi="宋体" w:cs="宋体"/>
          <w:color w:val="auto"/>
          <w:kern w:val="0"/>
          <w:highlight w:val="none"/>
        </w:rPr>
        <w:t>。</w:t>
      </w:r>
    </w:p>
    <w:p w14:paraId="72ED7300">
      <w:pPr>
        <w:pStyle w:val="3"/>
        <w:rPr>
          <w:color w:val="auto"/>
          <w:highlight w:val="none"/>
        </w:rPr>
      </w:pPr>
      <w:bookmarkStart w:id="978" w:name="_Toc407135261"/>
      <w:bookmarkStart w:id="979" w:name="_Toc373478405"/>
      <w:bookmarkStart w:id="980" w:name="_Toc389065323"/>
      <w:bookmarkStart w:id="981" w:name="_Toc351203646"/>
      <w:bookmarkStart w:id="982" w:name="_Toc21303"/>
      <w:bookmarkStart w:id="983" w:name="_Toc373227758"/>
      <w:r>
        <w:rPr>
          <w:color w:val="auto"/>
          <w:highlight w:val="none"/>
        </w:rPr>
        <w:t xml:space="preserve">14. </w:t>
      </w:r>
      <w:r>
        <w:rPr>
          <w:rFonts w:hint="eastAsia" w:hAnsi="宋体" w:cs="黑体"/>
          <w:color w:val="auto"/>
          <w:highlight w:val="none"/>
        </w:rPr>
        <w:t>竣工结算</w:t>
      </w:r>
      <w:bookmarkEnd w:id="978"/>
      <w:bookmarkEnd w:id="979"/>
      <w:bookmarkEnd w:id="980"/>
      <w:bookmarkEnd w:id="981"/>
      <w:bookmarkEnd w:id="982"/>
      <w:bookmarkEnd w:id="983"/>
    </w:p>
    <w:p w14:paraId="58FEA14D">
      <w:pPr>
        <w:pStyle w:val="4"/>
        <w:rPr>
          <w:color w:val="auto"/>
          <w:highlight w:val="none"/>
        </w:rPr>
      </w:pPr>
      <w:bookmarkStart w:id="984" w:name="_Toc407135262"/>
      <w:bookmarkStart w:id="985" w:name="_Toc8889"/>
      <w:bookmarkStart w:id="986" w:name="_Toc373227759"/>
      <w:bookmarkStart w:id="987" w:name="_Toc373478406"/>
      <w:bookmarkStart w:id="988" w:name="_Toc389065324"/>
      <w:r>
        <w:rPr>
          <w:color w:val="auto"/>
          <w:highlight w:val="none"/>
        </w:rPr>
        <w:t xml:space="preserve">14.1 </w:t>
      </w:r>
      <w:r>
        <w:rPr>
          <w:rFonts w:hint="eastAsia" w:hAnsi="宋体" w:cs="黑体"/>
          <w:color w:val="auto"/>
          <w:highlight w:val="none"/>
        </w:rPr>
        <w:t>竣工付款申请</w:t>
      </w:r>
      <w:bookmarkEnd w:id="984"/>
      <w:bookmarkEnd w:id="985"/>
      <w:bookmarkEnd w:id="986"/>
      <w:bookmarkEnd w:id="987"/>
      <w:bookmarkEnd w:id="988"/>
    </w:p>
    <w:p w14:paraId="223C08C8">
      <w:pPr>
        <w:spacing w:line="360" w:lineRule="auto"/>
        <w:ind w:firstLine="420" w:firstLineChars="200"/>
        <w:jc w:val="left"/>
        <w:rPr>
          <w:color w:val="auto"/>
          <w:highlight w:val="none"/>
        </w:rPr>
      </w:pPr>
      <w:r>
        <w:rPr>
          <w:rFonts w:hint="eastAsia" w:hAnsi="宋体" w:cs="宋体"/>
          <w:color w:val="auto"/>
          <w:highlight w:val="none"/>
        </w:rPr>
        <w:t>承包人提交竣工付款申请单的期限：</w:t>
      </w:r>
      <w:r>
        <w:rPr>
          <w:color w:val="auto"/>
          <w:highlight w:val="none"/>
          <w:u w:val="single"/>
        </w:rPr>
        <w:t xml:space="preserve"> </w:t>
      </w:r>
      <w:r>
        <w:rPr>
          <w:rFonts w:hint="eastAsia"/>
          <w:color w:val="auto"/>
          <w:highlight w:val="none"/>
          <w:u w:val="single"/>
        </w:rPr>
        <w:t>承包人应在工程竣工验收合格之日起 28 天内向发包人和监理人提交竣工结算申请单</w:t>
      </w:r>
      <w:r>
        <w:rPr>
          <w:color w:val="auto"/>
          <w:highlight w:val="none"/>
          <w:u w:val="single"/>
        </w:rPr>
        <w:t xml:space="preserve">  </w:t>
      </w:r>
      <w:r>
        <w:rPr>
          <w:rFonts w:hint="eastAsia" w:hAnsi="宋体" w:cs="宋体"/>
          <w:color w:val="auto"/>
          <w:highlight w:val="none"/>
        </w:rPr>
        <w:t>。</w:t>
      </w:r>
    </w:p>
    <w:p w14:paraId="26CA6DF2">
      <w:pPr>
        <w:spacing w:line="360" w:lineRule="auto"/>
        <w:ind w:firstLine="420" w:firstLineChars="200"/>
        <w:jc w:val="left"/>
        <w:rPr>
          <w:color w:val="auto"/>
          <w:highlight w:val="none"/>
          <w:u w:val="single"/>
        </w:rPr>
      </w:pPr>
      <w:r>
        <w:rPr>
          <w:rFonts w:hint="eastAsia" w:hAnsi="宋体" w:cs="宋体"/>
          <w:color w:val="auto"/>
          <w:highlight w:val="none"/>
        </w:rPr>
        <w:t>竣工付款申请单应包括的内容：</w:t>
      </w:r>
      <w:r>
        <w:rPr>
          <w:rFonts w:hint="eastAsia"/>
          <w:color w:val="auto"/>
          <w:highlight w:val="none"/>
          <w:u w:val="single"/>
        </w:rPr>
        <w:t xml:space="preserve">（1）竣工结算合同价格；（2）发包人已支付承包人的款项；（3）应扣留的质量保证金；（4）发包人应支付承包人的合同价款 </w:t>
      </w:r>
      <w:r>
        <w:rPr>
          <w:rFonts w:hint="eastAsia" w:hAnsi="宋体" w:cs="宋体"/>
          <w:color w:val="auto"/>
          <w:highlight w:val="none"/>
        </w:rPr>
        <w:t>。竣工结算款支付申请（核准）表见合同附件12。</w:t>
      </w:r>
    </w:p>
    <w:p w14:paraId="57B57E0F">
      <w:pPr>
        <w:pStyle w:val="4"/>
        <w:rPr>
          <w:color w:val="auto"/>
          <w:highlight w:val="none"/>
        </w:rPr>
      </w:pPr>
      <w:bookmarkStart w:id="989" w:name="_Toc17550"/>
      <w:bookmarkStart w:id="990" w:name="_Toc373227760"/>
      <w:bookmarkStart w:id="991" w:name="_Toc373478407"/>
      <w:bookmarkStart w:id="992" w:name="_Toc407135263"/>
      <w:bookmarkStart w:id="993" w:name="_Toc389065325"/>
      <w:r>
        <w:rPr>
          <w:color w:val="auto"/>
          <w:highlight w:val="none"/>
        </w:rPr>
        <w:t xml:space="preserve">14.2 </w:t>
      </w:r>
      <w:r>
        <w:rPr>
          <w:rFonts w:hint="eastAsia" w:hAnsi="宋体" w:cs="黑体"/>
          <w:color w:val="auto"/>
          <w:highlight w:val="none"/>
        </w:rPr>
        <w:t>竣工结算审核</w:t>
      </w:r>
      <w:bookmarkEnd w:id="989"/>
      <w:bookmarkEnd w:id="990"/>
      <w:bookmarkEnd w:id="991"/>
      <w:bookmarkEnd w:id="992"/>
      <w:bookmarkEnd w:id="993"/>
    </w:p>
    <w:p w14:paraId="3104B2BF">
      <w:pPr>
        <w:spacing w:line="360" w:lineRule="auto"/>
        <w:ind w:firstLine="420" w:firstLineChars="200"/>
        <w:jc w:val="left"/>
        <w:rPr>
          <w:color w:val="auto"/>
          <w:highlight w:val="none"/>
        </w:rPr>
      </w:pPr>
      <w:r>
        <w:rPr>
          <w:rFonts w:hint="eastAsia" w:hAnsi="宋体" w:cs="宋体"/>
          <w:color w:val="auto"/>
          <w:highlight w:val="none"/>
        </w:rPr>
        <w:t>发包人审批竣工付款申请单的期限：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3008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A640A0F">
            <w:pPr>
              <w:spacing w:line="360" w:lineRule="auto"/>
              <w:rPr>
                <w:color w:val="auto"/>
                <w:highlight w:val="none"/>
              </w:rPr>
            </w:pPr>
          </w:p>
        </w:tc>
        <w:tc>
          <w:tcPr>
            <w:tcW w:w="2466" w:type="dxa"/>
            <w:noWrap w:val="0"/>
            <w:vAlign w:val="center"/>
          </w:tcPr>
          <w:p w14:paraId="2F809E71">
            <w:pPr>
              <w:spacing w:line="360" w:lineRule="auto"/>
              <w:ind w:firstLine="27" w:firstLineChars="13"/>
              <w:jc w:val="center"/>
              <w:rPr>
                <w:color w:val="auto"/>
                <w:highlight w:val="none"/>
              </w:rPr>
            </w:pPr>
            <w:r>
              <w:rPr>
                <w:rFonts w:hint="eastAsia" w:hAnsi="宋体" w:cs="宋体"/>
                <w:color w:val="auto"/>
                <w:highlight w:val="none"/>
              </w:rPr>
              <w:t>工程竣工结算报告金额</w:t>
            </w:r>
          </w:p>
        </w:tc>
        <w:tc>
          <w:tcPr>
            <w:tcW w:w="5967" w:type="dxa"/>
            <w:noWrap w:val="0"/>
            <w:vAlign w:val="center"/>
          </w:tcPr>
          <w:p w14:paraId="1790A87D">
            <w:pPr>
              <w:spacing w:line="360" w:lineRule="auto"/>
              <w:ind w:firstLine="441" w:firstLineChars="210"/>
              <w:jc w:val="center"/>
              <w:rPr>
                <w:color w:val="auto"/>
                <w:highlight w:val="none"/>
              </w:rPr>
            </w:pPr>
            <w:r>
              <w:rPr>
                <w:rFonts w:hint="eastAsia" w:hAnsi="宋体" w:cs="宋体"/>
                <w:color w:val="auto"/>
                <w:highlight w:val="none"/>
              </w:rPr>
              <w:t>发包人审查时间</w:t>
            </w:r>
          </w:p>
        </w:tc>
      </w:tr>
      <w:tr w14:paraId="7FE7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9D51881">
            <w:pPr>
              <w:spacing w:line="360" w:lineRule="auto"/>
              <w:jc w:val="center"/>
              <w:rPr>
                <w:color w:val="auto"/>
                <w:highlight w:val="none"/>
              </w:rPr>
            </w:pPr>
            <w:r>
              <w:rPr>
                <w:color w:val="auto"/>
                <w:highlight w:val="none"/>
              </w:rPr>
              <w:t>1</w:t>
            </w:r>
          </w:p>
        </w:tc>
        <w:tc>
          <w:tcPr>
            <w:tcW w:w="2466" w:type="dxa"/>
            <w:noWrap w:val="0"/>
            <w:vAlign w:val="center"/>
          </w:tcPr>
          <w:p w14:paraId="3472106D">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万元以下</w:t>
            </w:r>
          </w:p>
        </w:tc>
        <w:tc>
          <w:tcPr>
            <w:tcW w:w="5967" w:type="dxa"/>
            <w:noWrap w:val="0"/>
            <w:vAlign w:val="center"/>
          </w:tcPr>
          <w:p w14:paraId="008A958E">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20</w:t>
            </w:r>
            <w:r>
              <w:rPr>
                <w:rFonts w:hint="eastAsia" w:hAnsi="宋体" w:cs="宋体"/>
                <w:color w:val="auto"/>
                <w:highlight w:val="none"/>
              </w:rPr>
              <w:t>天</w:t>
            </w:r>
          </w:p>
        </w:tc>
      </w:tr>
      <w:tr w14:paraId="51A6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DC62066">
            <w:pPr>
              <w:spacing w:line="360" w:lineRule="auto"/>
              <w:jc w:val="center"/>
              <w:rPr>
                <w:color w:val="auto"/>
                <w:highlight w:val="none"/>
              </w:rPr>
            </w:pPr>
            <w:r>
              <w:rPr>
                <w:color w:val="auto"/>
                <w:highlight w:val="none"/>
              </w:rPr>
              <w:t>2</w:t>
            </w:r>
          </w:p>
        </w:tc>
        <w:tc>
          <w:tcPr>
            <w:tcW w:w="2466" w:type="dxa"/>
            <w:noWrap w:val="0"/>
            <w:vAlign w:val="center"/>
          </w:tcPr>
          <w:p w14:paraId="370A280A">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w:t>
            </w:r>
            <w:r>
              <w:rPr>
                <w:color w:val="auto"/>
                <w:highlight w:val="none"/>
              </w:rPr>
              <w:t>-2000</w:t>
            </w:r>
            <w:r>
              <w:rPr>
                <w:rFonts w:hint="eastAsia" w:hAnsi="宋体" w:cs="宋体"/>
                <w:color w:val="auto"/>
                <w:highlight w:val="none"/>
              </w:rPr>
              <w:t>万元</w:t>
            </w:r>
          </w:p>
        </w:tc>
        <w:tc>
          <w:tcPr>
            <w:tcW w:w="5967" w:type="dxa"/>
            <w:noWrap w:val="0"/>
            <w:vAlign w:val="center"/>
          </w:tcPr>
          <w:p w14:paraId="5B3835E2">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30</w:t>
            </w:r>
            <w:r>
              <w:rPr>
                <w:rFonts w:hint="eastAsia" w:hAnsi="宋体" w:cs="宋体"/>
                <w:color w:val="auto"/>
                <w:highlight w:val="none"/>
              </w:rPr>
              <w:t>天</w:t>
            </w:r>
          </w:p>
        </w:tc>
      </w:tr>
      <w:tr w14:paraId="5603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5249789">
            <w:pPr>
              <w:spacing w:line="360" w:lineRule="auto"/>
              <w:jc w:val="center"/>
              <w:rPr>
                <w:color w:val="auto"/>
                <w:highlight w:val="none"/>
              </w:rPr>
            </w:pPr>
            <w:r>
              <w:rPr>
                <w:color w:val="auto"/>
                <w:highlight w:val="none"/>
              </w:rPr>
              <w:t>3</w:t>
            </w:r>
          </w:p>
        </w:tc>
        <w:tc>
          <w:tcPr>
            <w:tcW w:w="2466" w:type="dxa"/>
            <w:noWrap w:val="0"/>
            <w:vAlign w:val="center"/>
          </w:tcPr>
          <w:p w14:paraId="5A2C606C">
            <w:pPr>
              <w:spacing w:line="360" w:lineRule="auto"/>
              <w:ind w:firstLine="27" w:firstLineChars="13"/>
              <w:jc w:val="center"/>
              <w:rPr>
                <w:color w:val="auto"/>
                <w:highlight w:val="none"/>
              </w:rPr>
            </w:pPr>
            <w:r>
              <w:rPr>
                <w:color w:val="auto"/>
                <w:highlight w:val="none"/>
              </w:rPr>
              <w:t>2000</w:t>
            </w:r>
            <w:r>
              <w:rPr>
                <w:rFonts w:hint="eastAsia" w:hAnsi="宋体" w:cs="宋体"/>
                <w:color w:val="auto"/>
                <w:highlight w:val="none"/>
              </w:rPr>
              <w:t>万元</w:t>
            </w:r>
            <w:r>
              <w:rPr>
                <w:color w:val="auto"/>
                <w:highlight w:val="none"/>
              </w:rPr>
              <w:t>-5000</w:t>
            </w:r>
            <w:r>
              <w:rPr>
                <w:rFonts w:hint="eastAsia" w:hAnsi="宋体" w:cs="宋体"/>
                <w:color w:val="auto"/>
                <w:highlight w:val="none"/>
              </w:rPr>
              <w:t>万元</w:t>
            </w:r>
          </w:p>
        </w:tc>
        <w:tc>
          <w:tcPr>
            <w:tcW w:w="5967" w:type="dxa"/>
            <w:noWrap w:val="0"/>
            <w:vAlign w:val="center"/>
          </w:tcPr>
          <w:p w14:paraId="59222A3C">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45</w:t>
            </w:r>
            <w:r>
              <w:rPr>
                <w:rFonts w:hint="eastAsia" w:hAnsi="宋体" w:cs="宋体"/>
                <w:color w:val="auto"/>
                <w:highlight w:val="none"/>
              </w:rPr>
              <w:t>天</w:t>
            </w:r>
          </w:p>
        </w:tc>
      </w:tr>
      <w:tr w14:paraId="15B6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79E46CBD">
            <w:pPr>
              <w:spacing w:line="360" w:lineRule="auto"/>
              <w:jc w:val="center"/>
              <w:rPr>
                <w:color w:val="auto"/>
                <w:highlight w:val="none"/>
              </w:rPr>
            </w:pPr>
            <w:r>
              <w:rPr>
                <w:color w:val="auto"/>
                <w:highlight w:val="none"/>
              </w:rPr>
              <w:t>4</w:t>
            </w:r>
          </w:p>
        </w:tc>
        <w:tc>
          <w:tcPr>
            <w:tcW w:w="2466" w:type="dxa"/>
            <w:noWrap w:val="0"/>
            <w:vAlign w:val="center"/>
          </w:tcPr>
          <w:p w14:paraId="002EF419">
            <w:pPr>
              <w:spacing w:line="360" w:lineRule="auto"/>
              <w:ind w:firstLine="27" w:firstLineChars="13"/>
              <w:jc w:val="center"/>
              <w:rPr>
                <w:color w:val="auto"/>
                <w:highlight w:val="none"/>
              </w:rPr>
            </w:pPr>
            <w:r>
              <w:rPr>
                <w:color w:val="auto"/>
                <w:highlight w:val="none"/>
              </w:rPr>
              <w:t>5000</w:t>
            </w:r>
            <w:r>
              <w:rPr>
                <w:rFonts w:hint="eastAsia" w:hAnsi="宋体" w:cs="宋体"/>
                <w:color w:val="auto"/>
                <w:highlight w:val="none"/>
              </w:rPr>
              <w:t>万元以上</w:t>
            </w:r>
          </w:p>
        </w:tc>
        <w:tc>
          <w:tcPr>
            <w:tcW w:w="5967" w:type="dxa"/>
            <w:noWrap w:val="0"/>
            <w:vAlign w:val="center"/>
          </w:tcPr>
          <w:p w14:paraId="4A507D84">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60</w:t>
            </w:r>
            <w:r>
              <w:rPr>
                <w:rFonts w:hint="eastAsia" w:hAnsi="宋体" w:cs="宋体"/>
                <w:color w:val="auto"/>
                <w:highlight w:val="none"/>
              </w:rPr>
              <w:t>天</w:t>
            </w:r>
          </w:p>
        </w:tc>
      </w:tr>
      <w:tr w14:paraId="5A5D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4A3C8A8A">
            <w:pPr>
              <w:spacing w:line="360" w:lineRule="auto"/>
              <w:jc w:val="center"/>
              <w:rPr>
                <w:color w:val="auto"/>
                <w:highlight w:val="none"/>
              </w:rPr>
            </w:pPr>
            <w:r>
              <w:rPr>
                <w:rFonts w:hint="eastAsia"/>
                <w:color w:val="auto"/>
                <w:highlight w:val="none"/>
              </w:rPr>
              <w:t>5</w:t>
            </w:r>
          </w:p>
        </w:tc>
        <w:tc>
          <w:tcPr>
            <w:tcW w:w="2466" w:type="dxa"/>
            <w:noWrap w:val="0"/>
            <w:vAlign w:val="center"/>
          </w:tcPr>
          <w:p w14:paraId="28304623">
            <w:pPr>
              <w:spacing w:line="360" w:lineRule="auto"/>
              <w:ind w:firstLine="27" w:firstLineChars="13"/>
              <w:jc w:val="center"/>
              <w:rPr>
                <w:color w:val="auto"/>
                <w:highlight w:val="none"/>
              </w:rPr>
            </w:pPr>
            <w:r>
              <w:rPr>
                <w:rFonts w:hint="eastAsia"/>
                <w:color w:val="auto"/>
                <w:highlight w:val="none"/>
              </w:rPr>
              <w:t>5000万以上每增加</w:t>
            </w:r>
            <w:r>
              <w:rPr>
                <w:color w:val="auto"/>
                <w:highlight w:val="none"/>
              </w:rPr>
              <w:t>0.5</w:t>
            </w:r>
            <w:r>
              <w:rPr>
                <w:rFonts w:hint="eastAsia"/>
                <w:color w:val="auto"/>
                <w:highlight w:val="none"/>
              </w:rPr>
              <w:t>亿</w:t>
            </w:r>
            <w:r>
              <w:rPr>
                <w:rFonts w:hint="eastAsia"/>
                <w:color w:val="auto"/>
                <w:highlight w:val="none"/>
                <w:lang w:eastAsia="zh-CN"/>
              </w:rPr>
              <w:t>（</w:t>
            </w:r>
            <w:r>
              <w:rPr>
                <w:rFonts w:hint="eastAsia"/>
                <w:color w:val="auto"/>
                <w:highlight w:val="none"/>
              </w:rPr>
              <w:t>不足0.5亿不增加</w:t>
            </w:r>
            <w:r>
              <w:rPr>
                <w:rFonts w:hint="eastAsia"/>
                <w:color w:val="auto"/>
                <w:highlight w:val="none"/>
                <w:lang w:eastAsia="zh-CN"/>
              </w:rPr>
              <w:t>）</w:t>
            </w:r>
          </w:p>
        </w:tc>
        <w:tc>
          <w:tcPr>
            <w:tcW w:w="5967" w:type="dxa"/>
            <w:noWrap w:val="0"/>
            <w:vAlign w:val="center"/>
          </w:tcPr>
          <w:p w14:paraId="677B03EB">
            <w:pPr>
              <w:spacing w:line="360" w:lineRule="auto"/>
              <w:ind w:firstLine="441" w:firstLineChars="210"/>
              <w:jc w:val="center"/>
              <w:rPr>
                <w:rFonts w:hint="eastAsia" w:hAnsi="宋体" w:cs="宋体"/>
                <w:color w:val="auto"/>
                <w:highlight w:val="none"/>
              </w:rPr>
            </w:pPr>
            <w:r>
              <w:rPr>
                <w:rFonts w:hint="eastAsia" w:hAnsi="宋体" w:cs="宋体"/>
                <w:color w:val="auto"/>
                <w:highlight w:val="none"/>
              </w:rPr>
              <w:t>增加10天</w:t>
            </w:r>
          </w:p>
        </w:tc>
      </w:tr>
    </w:tbl>
    <w:p w14:paraId="47891D38">
      <w:pPr>
        <w:spacing w:line="360" w:lineRule="auto"/>
        <w:ind w:firstLine="420" w:firstLineChars="200"/>
        <w:jc w:val="left"/>
        <w:rPr>
          <w:rFonts w:hAnsi="宋体"/>
          <w:color w:val="auto"/>
          <w:highlight w:val="none"/>
        </w:rPr>
      </w:pPr>
      <w:r>
        <w:rPr>
          <w:rFonts w:hint="eastAsia" w:hAnsi="宋体" w:cs="宋体"/>
          <w:color w:val="auto"/>
          <w:highlight w:val="none"/>
        </w:rPr>
        <w:t>因承包人提供的结算资料不完整而需要补充或承包人不按时对账耽误时间时，审查时间应相应顺延。</w:t>
      </w:r>
    </w:p>
    <w:p w14:paraId="6A74646D">
      <w:pPr>
        <w:spacing w:line="400" w:lineRule="exact"/>
        <w:ind w:firstLine="411" w:firstLineChars="196"/>
        <w:rPr>
          <w:rFonts w:hAnsi="宋体"/>
          <w:color w:val="auto"/>
          <w:highlight w:val="none"/>
        </w:rPr>
      </w:pPr>
      <w:r>
        <w:rPr>
          <w:rFonts w:hint="eastAsia" w:hAnsi="宋体" w:cs="宋体"/>
          <w:color w:val="auto"/>
          <w:highlight w:val="none"/>
        </w:rPr>
        <w:t>竣工结算审核约定：</w:t>
      </w:r>
    </w:p>
    <w:p w14:paraId="0FA0C637">
      <w:pPr>
        <w:spacing w:line="400" w:lineRule="exact"/>
        <w:ind w:firstLine="411" w:firstLineChars="196"/>
        <w:rPr>
          <w:rFonts w:hAnsi="宋体"/>
          <w:color w:val="auto"/>
          <w:highlight w:val="none"/>
          <w:u w:val="single"/>
        </w:rPr>
      </w:pPr>
      <w:r>
        <w:rPr>
          <w:rFonts w:hAnsi="宋体"/>
          <w:color w:val="auto"/>
          <w:highlight w:val="none"/>
          <w:u w:val="single"/>
        </w:rPr>
        <w:t>1</w:t>
      </w:r>
      <w:r>
        <w:rPr>
          <w:rFonts w:hint="eastAsia" w:hAnsi="宋体" w:cs="宋体"/>
          <w:color w:val="auto"/>
          <w:highlight w:val="none"/>
          <w:u w:val="single"/>
        </w:rPr>
        <w:t>、工程竣工验收报告经发包人认可后</w:t>
      </w:r>
      <w:r>
        <w:rPr>
          <w:rFonts w:hint="eastAsia" w:hAnsi="宋体"/>
          <w:color w:val="auto"/>
          <w:highlight w:val="none"/>
          <w:u w:val="single"/>
        </w:rPr>
        <w:t>28</w:t>
      </w:r>
      <w:r>
        <w:rPr>
          <w:rFonts w:hint="eastAsia" w:hAnsi="宋体" w:cs="宋体"/>
          <w:color w:val="auto"/>
          <w:highlight w:val="none"/>
          <w:u w:val="single"/>
        </w:rPr>
        <w:t>天内，承包人向发包人递交竣工验收合格资料及完整的结算资料和报告，双方按照本工程合同约定的价格形式及价款调整办法进行工程竣工结算。</w:t>
      </w:r>
      <w:r>
        <w:rPr>
          <w:rFonts w:hAnsi="宋体"/>
          <w:color w:val="auto"/>
          <w:highlight w:val="none"/>
          <w:u w:val="single"/>
        </w:rPr>
        <w:t>2</w:t>
      </w:r>
      <w:r>
        <w:rPr>
          <w:rFonts w:hint="eastAsia" w:hAnsi="宋体" w:cs="宋体"/>
          <w:color w:val="auto"/>
          <w:highlight w:val="none"/>
          <w:u w:val="single"/>
        </w:rPr>
        <w:t>、发包人收到承包人递交的竣工结算报告及结算资料后按要求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7日内提出异议，必要时合同当事人要当面核对，直至完成工程竣工结算。除非有特殊情形，否则从承包人递交竣工结算报告到完成竣工结算的时间应控制在“发包人审核竣工付款申请单的期限”要求的时间范围内。3.发包人按审定后的竣工结算价款，通知经办银行向承包人支付结算价款。</w:t>
      </w:r>
    </w:p>
    <w:p w14:paraId="12B0BB6A">
      <w:pPr>
        <w:spacing w:line="360" w:lineRule="auto"/>
        <w:jc w:val="left"/>
        <w:rPr>
          <w:color w:val="auto"/>
          <w:highlight w:val="none"/>
          <w:u w:val="single"/>
        </w:rPr>
      </w:pPr>
      <w:r>
        <w:rPr>
          <w:rFonts w:hint="eastAsia" w:hAnsi="宋体" w:cs="宋体"/>
          <w:color w:val="auto"/>
          <w:highlight w:val="none"/>
        </w:rPr>
        <w:t>备注：对于国有投资项目结算审核约定，双方可结合各地政府或有关部门出台的管理规定进行局部调整</w:t>
      </w:r>
    </w:p>
    <w:p w14:paraId="611E65BA">
      <w:pPr>
        <w:pStyle w:val="4"/>
        <w:rPr>
          <w:color w:val="auto"/>
          <w:highlight w:val="none"/>
        </w:rPr>
      </w:pPr>
      <w:bookmarkStart w:id="994" w:name="_Toc389065326"/>
      <w:bookmarkStart w:id="995" w:name="_Toc407135264"/>
      <w:bookmarkStart w:id="996" w:name="_Toc373478408"/>
      <w:bookmarkStart w:id="997" w:name="_Toc373227761"/>
      <w:bookmarkStart w:id="998" w:name="_Toc19694"/>
      <w:r>
        <w:rPr>
          <w:color w:val="auto"/>
          <w:highlight w:val="none"/>
        </w:rPr>
        <w:t xml:space="preserve">14.4 </w:t>
      </w:r>
      <w:r>
        <w:rPr>
          <w:rFonts w:hint="eastAsia" w:hAnsi="宋体" w:cs="黑体"/>
          <w:color w:val="auto"/>
          <w:highlight w:val="none"/>
        </w:rPr>
        <w:t>最终结清</w:t>
      </w:r>
      <w:bookmarkEnd w:id="994"/>
      <w:bookmarkEnd w:id="995"/>
      <w:bookmarkEnd w:id="996"/>
      <w:bookmarkEnd w:id="997"/>
      <w:bookmarkEnd w:id="998"/>
    </w:p>
    <w:p w14:paraId="683836D2">
      <w:pPr>
        <w:spacing w:line="360" w:lineRule="auto"/>
        <w:ind w:firstLine="420" w:firstLineChars="200"/>
        <w:jc w:val="left"/>
        <w:rPr>
          <w:color w:val="auto"/>
          <w:kern w:val="0"/>
          <w:highlight w:val="none"/>
        </w:rPr>
      </w:pPr>
      <w:r>
        <w:rPr>
          <w:color w:val="auto"/>
          <w:kern w:val="0"/>
          <w:highlight w:val="none"/>
        </w:rPr>
        <w:t xml:space="preserve">14.4.1 </w:t>
      </w:r>
      <w:r>
        <w:rPr>
          <w:rFonts w:hint="eastAsia" w:hAnsi="宋体" w:cs="宋体"/>
          <w:color w:val="auto"/>
          <w:kern w:val="0"/>
          <w:highlight w:val="none"/>
        </w:rPr>
        <w:t>最终结清申请单</w:t>
      </w:r>
    </w:p>
    <w:p w14:paraId="14483999">
      <w:pPr>
        <w:spacing w:line="360" w:lineRule="auto"/>
        <w:ind w:firstLine="420" w:firstLineChars="200"/>
        <w:jc w:val="left"/>
        <w:rPr>
          <w:color w:val="auto"/>
          <w:kern w:val="0"/>
          <w:highlight w:val="none"/>
        </w:rPr>
      </w:pPr>
      <w:r>
        <w:rPr>
          <w:rFonts w:hint="eastAsia" w:hAnsi="宋体" w:cs="宋体"/>
          <w:color w:val="auto"/>
          <w:kern w:val="0"/>
          <w:highlight w:val="none"/>
        </w:rPr>
        <w:t>承包人提交最终结清申请单的份数：</w:t>
      </w:r>
      <w:r>
        <w:rPr>
          <w:color w:val="auto"/>
          <w:highlight w:val="none"/>
          <w:u w:val="single"/>
        </w:rPr>
        <w:t xml:space="preserve">      </w:t>
      </w:r>
      <w:r>
        <w:rPr>
          <w:rFonts w:hint="eastAsia"/>
          <w:color w:val="auto"/>
          <w:highlight w:val="none"/>
          <w:u w:val="single"/>
        </w:rPr>
        <w:t>叁份</w:t>
      </w:r>
      <w:r>
        <w:rPr>
          <w:color w:val="auto"/>
          <w:highlight w:val="none"/>
          <w:u w:val="single"/>
        </w:rPr>
        <w:t xml:space="preserve">          </w:t>
      </w:r>
      <w:r>
        <w:rPr>
          <w:rFonts w:hint="eastAsia" w:hAnsi="宋体" w:cs="宋体"/>
          <w:color w:val="auto"/>
          <w:highlight w:val="none"/>
        </w:rPr>
        <w:t>。</w:t>
      </w:r>
    </w:p>
    <w:p w14:paraId="2C1487E6">
      <w:pPr>
        <w:spacing w:line="360" w:lineRule="auto"/>
        <w:ind w:firstLine="420" w:firstLineChars="200"/>
        <w:jc w:val="left"/>
        <w:rPr>
          <w:color w:val="auto"/>
          <w:highlight w:val="none"/>
        </w:rPr>
      </w:pPr>
      <w:r>
        <w:rPr>
          <w:rFonts w:hint="eastAsia" w:hAnsi="宋体" w:cs="宋体"/>
          <w:color w:val="auto"/>
          <w:kern w:val="0"/>
          <w:highlight w:val="none"/>
        </w:rPr>
        <w:t>承包人提交最终结算申请单的期限：</w:t>
      </w:r>
      <w:r>
        <w:rPr>
          <w:color w:val="auto"/>
          <w:highlight w:val="none"/>
          <w:u w:val="single"/>
        </w:rPr>
        <w:t xml:space="preserve">  </w:t>
      </w:r>
      <w:r>
        <w:rPr>
          <w:rFonts w:hint="eastAsia"/>
          <w:color w:val="auto"/>
          <w:highlight w:val="none"/>
          <w:u w:val="single"/>
        </w:rPr>
        <w:t>应在缺陷责任期终止证书颁发之日起 7 天内提交</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2063AC93">
      <w:pPr>
        <w:spacing w:line="360" w:lineRule="auto"/>
        <w:ind w:firstLine="420" w:firstLineChars="200"/>
        <w:jc w:val="left"/>
        <w:rPr>
          <w:color w:val="auto"/>
          <w:highlight w:val="none"/>
        </w:rPr>
      </w:pPr>
      <w:r>
        <w:rPr>
          <w:rFonts w:hint="eastAsia"/>
          <w:color w:val="auto"/>
          <w:highlight w:val="none"/>
        </w:rPr>
        <w:t>最终结算款支付申请（核准）表见合同附件13。</w:t>
      </w:r>
    </w:p>
    <w:p w14:paraId="09CE26D4">
      <w:pPr>
        <w:spacing w:line="360" w:lineRule="auto"/>
        <w:ind w:firstLine="420" w:firstLineChars="200"/>
        <w:jc w:val="left"/>
        <w:rPr>
          <w:color w:val="auto"/>
          <w:highlight w:val="none"/>
        </w:rPr>
      </w:pPr>
      <w:r>
        <w:rPr>
          <w:color w:val="auto"/>
          <w:highlight w:val="none"/>
        </w:rPr>
        <w:t xml:space="preserve">14.4.2 </w:t>
      </w:r>
      <w:r>
        <w:rPr>
          <w:rFonts w:hint="eastAsia" w:hAnsi="宋体" w:cs="宋体"/>
          <w:color w:val="auto"/>
          <w:highlight w:val="none"/>
        </w:rPr>
        <w:t>最终结清证书和支付</w:t>
      </w:r>
    </w:p>
    <w:p w14:paraId="2320DBD5">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）发包人完成最终结清申请单的审批并颁发最终结清证书的期限：</w:t>
      </w:r>
      <w:r>
        <w:rPr>
          <w:color w:val="auto"/>
          <w:highlight w:val="none"/>
          <w:u w:val="single"/>
        </w:rPr>
        <w:t xml:space="preserve"> </w:t>
      </w:r>
      <w:r>
        <w:rPr>
          <w:rFonts w:hint="eastAsia"/>
          <w:color w:val="auto"/>
          <w:highlight w:val="none"/>
          <w:u w:val="single"/>
        </w:rPr>
        <w:t>发包人应在收到承包人提交的最终结清申请单之日起 14 天内完成审批并向承包人颁发最终结清证书</w:t>
      </w:r>
      <w:r>
        <w:rPr>
          <w:color w:val="auto"/>
          <w:highlight w:val="none"/>
          <w:u w:val="single"/>
        </w:rPr>
        <w:t xml:space="preserve">  </w:t>
      </w:r>
      <w:r>
        <w:rPr>
          <w:rFonts w:hint="eastAsia" w:hAnsi="宋体" w:cs="宋体"/>
          <w:color w:val="auto"/>
          <w:highlight w:val="none"/>
        </w:rPr>
        <w:t>。</w:t>
      </w:r>
    </w:p>
    <w:p w14:paraId="056EFBE0">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）发包人完成支付的期限：</w:t>
      </w:r>
      <w:r>
        <w:rPr>
          <w:color w:val="auto"/>
          <w:highlight w:val="none"/>
          <w:u w:val="single"/>
        </w:rPr>
        <w:t xml:space="preserve"> </w:t>
      </w:r>
      <w:r>
        <w:rPr>
          <w:rFonts w:hint="eastAsia"/>
          <w:color w:val="auto"/>
          <w:highlight w:val="none"/>
          <w:u w:val="single"/>
        </w:rPr>
        <w:t>发包人应在颁发最终结清证书后报财政局审批完成支付</w:t>
      </w:r>
      <w:r>
        <w:rPr>
          <w:color w:val="auto"/>
          <w:highlight w:val="none"/>
          <w:u w:val="single"/>
        </w:rPr>
        <w:t xml:space="preserve"> </w:t>
      </w:r>
      <w:r>
        <w:rPr>
          <w:rFonts w:hint="eastAsia" w:hAnsi="宋体" w:cs="宋体"/>
          <w:color w:val="auto"/>
          <w:highlight w:val="none"/>
        </w:rPr>
        <w:t>。</w:t>
      </w:r>
    </w:p>
    <w:bookmarkEnd w:id="955"/>
    <w:bookmarkEnd w:id="956"/>
    <w:bookmarkEnd w:id="957"/>
    <w:bookmarkEnd w:id="958"/>
    <w:bookmarkEnd w:id="959"/>
    <w:bookmarkEnd w:id="960"/>
    <w:bookmarkEnd w:id="961"/>
    <w:bookmarkEnd w:id="967"/>
    <w:p w14:paraId="539AC26B">
      <w:pPr>
        <w:pStyle w:val="3"/>
        <w:rPr>
          <w:color w:val="auto"/>
          <w:highlight w:val="none"/>
        </w:rPr>
      </w:pPr>
      <w:bookmarkStart w:id="999" w:name="_Toc389065327"/>
      <w:bookmarkStart w:id="1000" w:name="_Toc373227762"/>
      <w:bookmarkStart w:id="1001" w:name="_Toc373478409"/>
      <w:bookmarkStart w:id="1002" w:name="_Toc19809"/>
      <w:bookmarkStart w:id="1003" w:name="_Toc351203647"/>
      <w:bookmarkStart w:id="1004" w:name="_Toc407135265"/>
      <w:bookmarkStart w:id="1005" w:name="_Toc267251483"/>
      <w:bookmarkStart w:id="1006" w:name="_Toc267251482"/>
      <w:bookmarkStart w:id="1007" w:name="_Toc267251484"/>
      <w:bookmarkStart w:id="1008" w:name="_Toc267251485"/>
      <w:bookmarkStart w:id="1009" w:name="_Toc267251488"/>
      <w:bookmarkStart w:id="1010" w:name="_Toc267251486"/>
      <w:bookmarkStart w:id="1011" w:name="_Toc267251489"/>
      <w:bookmarkStart w:id="1012" w:name="_Toc267251490"/>
      <w:bookmarkStart w:id="1013" w:name="_Toc267251494"/>
      <w:bookmarkStart w:id="1014" w:name="_Toc267251497"/>
      <w:bookmarkStart w:id="1015" w:name="_Toc267251496"/>
      <w:bookmarkStart w:id="1016" w:name="_Toc267251501"/>
      <w:bookmarkStart w:id="1017" w:name="_Toc267251493"/>
      <w:bookmarkStart w:id="1018" w:name="_Toc267251502"/>
      <w:bookmarkStart w:id="1019" w:name="_Toc267251492"/>
      <w:bookmarkStart w:id="1020" w:name="_Toc267251491"/>
      <w:bookmarkStart w:id="1021" w:name="_Toc267251495"/>
      <w:bookmarkStart w:id="1022" w:name="_Toc267251498"/>
      <w:bookmarkStart w:id="1023" w:name="_Toc267251503"/>
      <w:bookmarkStart w:id="1024" w:name="_Toc267251499"/>
      <w:bookmarkStart w:id="1025" w:name="_Toc267251504"/>
      <w:bookmarkStart w:id="1026" w:name="_Toc267251506"/>
      <w:bookmarkStart w:id="1027" w:name="_Toc267251507"/>
      <w:bookmarkStart w:id="1028" w:name="_Toc267251508"/>
      <w:bookmarkStart w:id="1029" w:name="_Toc267251514"/>
      <w:bookmarkStart w:id="1030" w:name="_Toc267251509"/>
      <w:bookmarkStart w:id="1031" w:name="_Toc267251511"/>
      <w:bookmarkStart w:id="1032" w:name="_Toc267251515"/>
      <w:bookmarkStart w:id="1033" w:name="_Toc267251510"/>
      <w:bookmarkStart w:id="1034" w:name="_Toc267251513"/>
      <w:r>
        <w:rPr>
          <w:color w:val="auto"/>
          <w:highlight w:val="none"/>
        </w:rPr>
        <w:t xml:space="preserve">15. </w:t>
      </w:r>
      <w:r>
        <w:rPr>
          <w:rFonts w:hint="eastAsia" w:cs="黑体"/>
          <w:color w:val="auto"/>
          <w:highlight w:val="none"/>
        </w:rPr>
        <w:t>缺陷责任期与保修</w:t>
      </w:r>
      <w:bookmarkEnd w:id="999"/>
      <w:bookmarkEnd w:id="1000"/>
      <w:bookmarkEnd w:id="1001"/>
      <w:bookmarkEnd w:id="1002"/>
      <w:bookmarkEnd w:id="1003"/>
      <w:bookmarkEnd w:id="1004"/>
    </w:p>
    <w:p w14:paraId="1CCF4015">
      <w:pPr>
        <w:pStyle w:val="4"/>
        <w:rPr>
          <w:color w:val="auto"/>
          <w:highlight w:val="none"/>
        </w:rPr>
      </w:pPr>
      <w:bookmarkStart w:id="1035" w:name="_Toc373227763"/>
      <w:bookmarkStart w:id="1036" w:name="_Toc389065328"/>
      <w:bookmarkStart w:id="1037" w:name="_Toc373478410"/>
      <w:bookmarkStart w:id="1038" w:name="_Toc407135266"/>
      <w:r>
        <w:rPr>
          <w:color w:val="auto"/>
          <w:highlight w:val="none"/>
        </w:rPr>
        <w:t xml:space="preserve">15.2 </w:t>
      </w:r>
      <w:r>
        <w:rPr>
          <w:rFonts w:hint="eastAsia" w:hAnsi="宋体" w:cs="黑体"/>
          <w:color w:val="auto"/>
          <w:highlight w:val="none"/>
        </w:rPr>
        <w:t>缺陷责任期</w:t>
      </w:r>
      <w:bookmarkEnd w:id="1005"/>
      <w:bookmarkEnd w:id="1035"/>
      <w:bookmarkEnd w:id="1036"/>
      <w:bookmarkEnd w:id="1037"/>
      <w:bookmarkEnd w:id="1038"/>
    </w:p>
    <w:p w14:paraId="2E6836AA">
      <w:pPr>
        <w:spacing w:line="360" w:lineRule="auto"/>
        <w:ind w:firstLine="420" w:firstLineChars="200"/>
        <w:jc w:val="left"/>
        <w:rPr>
          <w:color w:val="auto"/>
          <w:highlight w:val="none"/>
          <w:u w:val="single"/>
        </w:rPr>
      </w:pPr>
      <w:r>
        <w:rPr>
          <w:rFonts w:hint="eastAsia" w:hAnsi="宋体" w:cs="宋体"/>
          <w:color w:val="auto"/>
          <w:highlight w:val="none"/>
        </w:rPr>
        <w:t>缺陷责任期的具体期限：</w:t>
      </w:r>
      <w:r>
        <w:rPr>
          <w:color w:val="auto"/>
          <w:highlight w:val="none"/>
          <w:u w:val="single"/>
        </w:rPr>
        <w:t xml:space="preserve"> </w:t>
      </w:r>
      <w:r>
        <w:rPr>
          <w:rFonts w:hint="eastAsia"/>
          <w:color w:val="auto"/>
          <w:highlight w:val="none"/>
          <w:u w:val="single"/>
          <w:lang w:val="en-US" w:eastAsia="zh-CN"/>
        </w:rPr>
        <w:t>12</w:t>
      </w:r>
      <w:r>
        <w:rPr>
          <w:rFonts w:hint="eastAsia"/>
          <w:color w:val="auto"/>
          <w:highlight w:val="none"/>
          <w:u w:val="single"/>
        </w:rPr>
        <w:t>个月</w:t>
      </w:r>
      <w:r>
        <w:rPr>
          <w:color w:val="auto"/>
          <w:highlight w:val="none"/>
          <w:u w:val="single"/>
        </w:rPr>
        <w:t xml:space="preserve">   </w:t>
      </w:r>
      <w:r>
        <w:rPr>
          <w:rFonts w:hint="eastAsia" w:hAnsi="宋体" w:cs="宋体"/>
          <w:color w:val="auto"/>
          <w:highlight w:val="none"/>
        </w:rPr>
        <w:t>。</w:t>
      </w:r>
    </w:p>
    <w:p w14:paraId="2C6C063D">
      <w:pPr>
        <w:pStyle w:val="4"/>
        <w:rPr>
          <w:color w:val="auto"/>
          <w:highlight w:val="none"/>
        </w:rPr>
      </w:pPr>
      <w:bookmarkStart w:id="1039" w:name="_Toc373227764"/>
      <w:bookmarkStart w:id="1040" w:name="_Toc373478411"/>
      <w:bookmarkStart w:id="1041" w:name="_Toc389065329"/>
      <w:bookmarkStart w:id="1042" w:name="_Toc23593"/>
      <w:bookmarkStart w:id="1043" w:name="_Toc407135267"/>
      <w:r>
        <w:rPr>
          <w:color w:val="auto"/>
          <w:highlight w:val="none"/>
        </w:rPr>
        <w:t xml:space="preserve">15.3 </w:t>
      </w:r>
      <w:r>
        <w:rPr>
          <w:rFonts w:hint="eastAsia" w:hAnsi="宋体" w:cs="黑体"/>
          <w:color w:val="auto"/>
          <w:highlight w:val="none"/>
        </w:rPr>
        <w:t>质量保证金</w:t>
      </w:r>
      <w:bookmarkEnd w:id="1039"/>
      <w:bookmarkEnd w:id="1040"/>
      <w:bookmarkEnd w:id="1041"/>
      <w:bookmarkEnd w:id="1042"/>
      <w:bookmarkEnd w:id="1043"/>
    </w:p>
    <w:p w14:paraId="0A679C23">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关于是否扣留质量保证金的约定：</w:t>
      </w:r>
      <w:r>
        <w:rPr>
          <w:color w:val="auto"/>
          <w:highlight w:val="none"/>
          <w:u w:val="single"/>
        </w:rPr>
        <w:t xml:space="preserve">   </w:t>
      </w:r>
      <w:r>
        <w:rPr>
          <w:rFonts w:hint="eastAsia"/>
          <w:color w:val="auto"/>
          <w:highlight w:val="none"/>
          <w:u w:val="single"/>
        </w:rPr>
        <w:t>是</w:t>
      </w:r>
      <w:r>
        <w:rPr>
          <w:color w:val="auto"/>
          <w:highlight w:val="none"/>
          <w:u w:val="single"/>
        </w:rPr>
        <w:t xml:space="preserve">   </w:t>
      </w:r>
      <w:r>
        <w:rPr>
          <w:rFonts w:hint="eastAsia" w:hAnsi="宋体" w:cs="宋体"/>
          <w:color w:val="auto"/>
          <w:highlight w:val="none"/>
        </w:rPr>
        <w:t>。</w:t>
      </w:r>
    </w:p>
    <w:p w14:paraId="48473D19">
      <w:pPr>
        <w:spacing w:line="360" w:lineRule="auto"/>
        <w:ind w:firstLine="420" w:firstLineChars="200"/>
        <w:jc w:val="left"/>
        <w:rPr>
          <w:color w:val="auto"/>
          <w:highlight w:val="none"/>
        </w:rPr>
      </w:pPr>
      <w:r>
        <w:rPr>
          <w:rFonts w:hint="eastAsia" w:hAnsi="宋体" w:cs="宋体"/>
          <w:color w:val="auto"/>
          <w:highlight w:val="none"/>
        </w:rPr>
        <w:t>在工程项目竣工前，承包人按专用合同条款第3.7条提供履约担保的，发包人不得同时预留工程质量保证金。</w:t>
      </w:r>
    </w:p>
    <w:p w14:paraId="183A9F01">
      <w:pPr>
        <w:spacing w:line="360" w:lineRule="auto"/>
        <w:ind w:firstLine="420" w:firstLineChars="200"/>
        <w:jc w:val="left"/>
        <w:outlineLvl w:val="0"/>
        <w:rPr>
          <w:color w:val="auto"/>
          <w:highlight w:val="none"/>
        </w:rPr>
      </w:pPr>
      <w:r>
        <w:rPr>
          <w:color w:val="auto"/>
          <w:highlight w:val="none"/>
        </w:rPr>
        <w:t xml:space="preserve">15.3.1 </w:t>
      </w:r>
      <w:r>
        <w:rPr>
          <w:rFonts w:hint="eastAsia" w:hAnsi="宋体" w:cs="宋体"/>
          <w:color w:val="auto"/>
          <w:highlight w:val="none"/>
        </w:rPr>
        <w:t>承包人提供质量保证金的方式</w:t>
      </w:r>
    </w:p>
    <w:p w14:paraId="37C31107">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种方式：</w:t>
      </w:r>
    </w:p>
    <w:p w14:paraId="1F906857">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）质量保证金保函，保证金额为：</w:t>
      </w:r>
      <w:r>
        <w:rPr>
          <w:color w:val="auto"/>
          <w:kern w:val="0"/>
          <w:highlight w:val="none"/>
          <w:u w:val="single"/>
        </w:rPr>
        <w:t xml:space="preserve">                   </w:t>
      </w:r>
      <w:r>
        <w:rPr>
          <w:rFonts w:hint="eastAsia" w:hAnsi="宋体" w:cs="宋体"/>
          <w:color w:val="auto"/>
          <w:kern w:val="0"/>
          <w:highlight w:val="none"/>
        </w:rPr>
        <w:t>；</w:t>
      </w:r>
    </w:p>
    <w:p w14:paraId="353DDF0C">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 </w:t>
      </w:r>
      <w:r>
        <w:rPr>
          <w:rFonts w:hint="eastAsia" w:hAnsi="宋体"/>
          <w:color w:val="auto"/>
          <w:highlight w:val="none"/>
          <w:u w:val="single"/>
        </w:rPr>
        <w:t>3</w:t>
      </w:r>
      <w:r>
        <w:rPr>
          <w:rFonts w:hAnsi="宋体"/>
          <w:color w:val="auto"/>
          <w:highlight w:val="none"/>
          <w:u w:val="single"/>
        </w:rPr>
        <w:t xml:space="preserve">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预留工程质量保证金，待缺陷责任期满后返还，是否付息及利息计算方式为：</w:t>
      </w:r>
      <w:r>
        <w:rPr>
          <w:rFonts w:hint="eastAsia" w:hAnsi="宋体" w:cs="宋体"/>
          <w:color w:val="auto"/>
          <w:highlight w:val="none"/>
          <w:u w:val="single"/>
        </w:rPr>
        <w:t xml:space="preserve">    无息     </w:t>
      </w:r>
      <w:r>
        <w:rPr>
          <w:rFonts w:hint="eastAsia" w:hAnsi="宋体" w:cs="宋体"/>
          <w:color w:val="auto"/>
          <w:kern w:val="0"/>
          <w:highlight w:val="none"/>
        </w:rPr>
        <w:t>；</w:t>
      </w:r>
    </w:p>
    <w:p w14:paraId="1AA69995">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Ansi="宋体"/>
          <w:color w:val="auto"/>
          <w:highlight w:val="none"/>
          <w:u w:val="single"/>
        </w:rPr>
        <w:t xml:space="preserve">      </w:t>
      </w:r>
      <w:r>
        <w:rPr>
          <w:rFonts w:hint="eastAsia" w:hAnsi="宋体"/>
          <w:color w:val="auto"/>
          <w:highlight w:val="none"/>
          <w:u w:val="single"/>
        </w:rPr>
        <w:t>/</w:t>
      </w:r>
      <w:r>
        <w:rPr>
          <w:rFonts w:hAnsi="宋体"/>
          <w:color w:val="auto"/>
          <w:highlight w:val="none"/>
          <w:u w:val="single"/>
        </w:rPr>
        <w:t xml:space="preserve">          </w:t>
      </w:r>
      <w:r>
        <w:rPr>
          <w:rFonts w:hint="eastAsia" w:hAnsi="宋体" w:cs="宋体"/>
          <w:color w:val="auto"/>
          <w:highlight w:val="none"/>
        </w:rPr>
        <w:t>。</w:t>
      </w:r>
    </w:p>
    <w:p w14:paraId="7BA9C0A8">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14:paraId="1FBBB271">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color w:val="auto"/>
          <w:highlight w:val="none"/>
          <w:u w:val="single"/>
        </w:rPr>
        <w:t xml:space="preserve">  </w:t>
      </w:r>
      <w:r>
        <w:rPr>
          <w:rFonts w:hint="eastAsia"/>
          <w:color w:val="auto"/>
          <w:highlight w:val="none"/>
          <w:u w:val="single"/>
        </w:rPr>
        <w:t>（2）</w:t>
      </w:r>
      <w:r>
        <w:rPr>
          <w:color w:val="auto"/>
          <w:highlight w:val="none"/>
          <w:u w:val="single"/>
        </w:rPr>
        <w:t xml:space="preserve">   </w:t>
      </w:r>
      <w:r>
        <w:rPr>
          <w:rFonts w:hint="eastAsia" w:hAnsi="宋体" w:cs="宋体"/>
          <w:color w:val="auto"/>
          <w:highlight w:val="none"/>
        </w:rPr>
        <w:t>种方式：</w:t>
      </w:r>
    </w:p>
    <w:p w14:paraId="44C05761">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不缴纳履</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p>
    <w:p w14:paraId="388EA2BB">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30B38155">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hAnsi="宋体" w:cs="宋体"/>
          <w:color w:val="auto"/>
          <w:kern w:val="0"/>
          <w:highlight w:val="none"/>
          <w:lang w:eastAsia="zh-CN"/>
        </w:rPr>
        <w:t>：</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7A8A249F">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bookmarkEnd w:id="1006"/>
    <w:bookmarkEnd w:id="1007"/>
    <w:p w14:paraId="58E1E258">
      <w:pPr>
        <w:pStyle w:val="4"/>
        <w:rPr>
          <w:color w:val="auto"/>
          <w:highlight w:val="none"/>
        </w:rPr>
      </w:pPr>
      <w:bookmarkStart w:id="1044" w:name="_Toc389065330"/>
      <w:bookmarkStart w:id="1045" w:name="_Toc373478412"/>
      <w:bookmarkStart w:id="1046" w:name="_Toc29764"/>
      <w:bookmarkStart w:id="1047" w:name="_Toc407135268"/>
      <w:bookmarkStart w:id="1048" w:name="_Toc373227765"/>
      <w:r>
        <w:rPr>
          <w:color w:val="auto"/>
          <w:highlight w:val="none"/>
        </w:rPr>
        <w:t xml:space="preserve">15.4 </w:t>
      </w:r>
      <w:r>
        <w:rPr>
          <w:rFonts w:hint="eastAsia" w:hAnsi="宋体" w:cs="黑体"/>
          <w:color w:val="auto"/>
          <w:highlight w:val="none"/>
        </w:rPr>
        <w:t>保修</w:t>
      </w:r>
      <w:bookmarkEnd w:id="1044"/>
      <w:bookmarkEnd w:id="1045"/>
      <w:bookmarkEnd w:id="1046"/>
      <w:bookmarkEnd w:id="1047"/>
      <w:bookmarkEnd w:id="1048"/>
    </w:p>
    <w:bookmarkEnd w:id="1008"/>
    <w:p w14:paraId="655ED62C">
      <w:pPr>
        <w:spacing w:line="360" w:lineRule="auto"/>
        <w:ind w:firstLine="409" w:firstLineChars="195"/>
        <w:jc w:val="left"/>
        <w:outlineLvl w:val="0"/>
        <w:rPr>
          <w:color w:val="auto"/>
          <w:highlight w:val="none"/>
        </w:rPr>
      </w:pPr>
      <w:r>
        <w:rPr>
          <w:color w:val="auto"/>
          <w:highlight w:val="none"/>
        </w:rPr>
        <w:t xml:space="preserve">15.4.1 </w:t>
      </w:r>
      <w:r>
        <w:rPr>
          <w:rFonts w:hint="eastAsia" w:hAnsi="宋体" w:cs="宋体"/>
          <w:color w:val="auto"/>
          <w:highlight w:val="none"/>
        </w:rPr>
        <w:t>保修责任</w:t>
      </w:r>
    </w:p>
    <w:p w14:paraId="7FE465BC">
      <w:pPr>
        <w:spacing w:line="360" w:lineRule="auto"/>
        <w:ind w:firstLine="409" w:firstLineChars="195"/>
        <w:jc w:val="left"/>
        <w:rPr>
          <w:rFonts w:hAnsi="宋体"/>
          <w:color w:val="auto"/>
          <w:kern w:val="0"/>
          <w:highlight w:val="none"/>
        </w:rPr>
      </w:pPr>
      <w:r>
        <w:rPr>
          <w:rFonts w:hint="eastAsia" w:hAnsi="宋体" w:cs="宋体"/>
          <w:color w:val="auto"/>
          <w:highlight w:val="none"/>
        </w:rPr>
        <w:t>工程保修期为：</w:t>
      </w:r>
      <w:r>
        <w:rPr>
          <w:color w:val="auto"/>
          <w:kern w:val="0"/>
          <w:highlight w:val="none"/>
          <w:u w:val="single"/>
        </w:rPr>
        <w:t xml:space="preserve">  </w:t>
      </w:r>
      <w:r>
        <w:rPr>
          <w:rFonts w:hint="eastAsia"/>
          <w:color w:val="auto"/>
          <w:kern w:val="0"/>
          <w:highlight w:val="none"/>
          <w:u w:val="single"/>
        </w:rPr>
        <w:t>见附件工程质量保修书</w:t>
      </w:r>
      <w:r>
        <w:rPr>
          <w:color w:val="auto"/>
          <w:kern w:val="0"/>
          <w:highlight w:val="none"/>
          <w:u w:val="single"/>
        </w:rPr>
        <w:t xml:space="preserve">    </w:t>
      </w:r>
      <w:r>
        <w:rPr>
          <w:rFonts w:hint="eastAsia" w:hAnsi="宋体" w:cs="宋体"/>
          <w:color w:val="auto"/>
          <w:kern w:val="0"/>
          <w:highlight w:val="none"/>
        </w:rPr>
        <w:t>。</w:t>
      </w:r>
    </w:p>
    <w:p w14:paraId="77E787BD">
      <w:pPr>
        <w:spacing w:line="360" w:lineRule="auto"/>
        <w:ind w:firstLine="409" w:firstLineChars="195"/>
        <w:jc w:val="left"/>
        <w:rPr>
          <w:color w:val="auto"/>
          <w:kern w:val="0"/>
          <w:highlight w:val="none"/>
          <w:u w:val="single"/>
        </w:rPr>
      </w:pPr>
      <w:r>
        <w:rPr>
          <w:rFonts w:hint="eastAsia" w:ascii="宋体" w:hAnsi="宋体" w:cs="宋体"/>
          <w:color w:val="auto"/>
          <w:highlight w:val="none"/>
        </w:rPr>
        <w:t>工程保修书具体内容见合同附件2。</w:t>
      </w:r>
    </w:p>
    <w:p w14:paraId="76F95B20">
      <w:pPr>
        <w:spacing w:line="360" w:lineRule="auto"/>
        <w:ind w:firstLine="409" w:firstLineChars="195"/>
        <w:jc w:val="left"/>
        <w:rPr>
          <w:color w:val="auto"/>
          <w:highlight w:val="none"/>
        </w:rPr>
      </w:pPr>
      <w:r>
        <w:rPr>
          <w:color w:val="auto"/>
          <w:highlight w:val="none"/>
        </w:rPr>
        <w:t xml:space="preserve">15.4.3 </w:t>
      </w:r>
      <w:r>
        <w:rPr>
          <w:rFonts w:hint="eastAsia" w:hAnsi="宋体" w:cs="宋体"/>
          <w:color w:val="auto"/>
          <w:highlight w:val="none"/>
        </w:rPr>
        <w:t>修复通知</w:t>
      </w:r>
    </w:p>
    <w:p w14:paraId="53669893">
      <w:pPr>
        <w:spacing w:line="360" w:lineRule="auto"/>
        <w:ind w:firstLine="409" w:firstLineChars="195"/>
        <w:jc w:val="left"/>
        <w:rPr>
          <w:color w:val="auto"/>
          <w:kern w:val="0"/>
          <w:highlight w:val="none"/>
          <w:u w:val="single"/>
        </w:rPr>
      </w:pPr>
      <w:r>
        <w:rPr>
          <w:rFonts w:hint="eastAsia" w:hAnsi="宋体" w:cs="宋体"/>
          <w:color w:val="auto"/>
          <w:kern w:val="0"/>
          <w:highlight w:val="none"/>
        </w:rPr>
        <w:t>承包人收到保修通知并到达工程现场的合理时间：</w:t>
      </w:r>
      <w:r>
        <w:rPr>
          <w:color w:val="auto"/>
          <w:kern w:val="0"/>
          <w:highlight w:val="none"/>
          <w:u w:val="single"/>
        </w:rPr>
        <w:t xml:space="preserve">  </w:t>
      </w:r>
      <w:r>
        <w:rPr>
          <w:rFonts w:hint="eastAsia"/>
          <w:color w:val="auto"/>
          <w:kern w:val="0"/>
          <w:highlight w:val="none"/>
          <w:u w:val="single"/>
        </w:rPr>
        <w:t>收到通知后 24 小时内</w:t>
      </w:r>
      <w:r>
        <w:rPr>
          <w:color w:val="auto"/>
          <w:kern w:val="0"/>
          <w:highlight w:val="none"/>
          <w:u w:val="single"/>
        </w:rPr>
        <w:t xml:space="preserve">    </w:t>
      </w:r>
      <w:r>
        <w:rPr>
          <w:rFonts w:hint="eastAsia" w:hAnsi="宋体" w:cs="宋体"/>
          <w:color w:val="auto"/>
          <w:kern w:val="0"/>
          <w:highlight w:val="none"/>
        </w:rPr>
        <w:t>。</w:t>
      </w:r>
    </w:p>
    <w:bookmarkEnd w:id="1009"/>
    <w:bookmarkEnd w:id="1010"/>
    <w:bookmarkEnd w:id="1011"/>
    <w:bookmarkEnd w:id="1012"/>
    <w:p w14:paraId="01ACC1CB">
      <w:pPr>
        <w:pStyle w:val="3"/>
        <w:rPr>
          <w:color w:val="auto"/>
          <w:highlight w:val="none"/>
        </w:rPr>
      </w:pPr>
      <w:bookmarkStart w:id="1049" w:name="_Toc373227766"/>
      <w:bookmarkStart w:id="1050" w:name="_Toc407135269"/>
      <w:bookmarkStart w:id="1051" w:name="_Toc351203648"/>
      <w:bookmarkStart w:id="1052" w:name="_Toc389065331"/>
      <w:bookmarkStart w:id="1053" w:name="_Toc373478413"/>
      <w:bookmarkStart w:id="1054" w:name="_Toc19501"/>
      <w:bookmarkStart w:id="1055" w:name="_Toc280868717"/>
      <w:bookmarkStart w:id="1056" w:name="_Toc280868718"/>
      <w:r>
        <w:rPr>
          <w:color w:val="auto"/>
          <w:highlight w:val="none"/>
        </w:rPr>
        <w:t xml:space="preserve">16. </w:t>
      </w:r>
      <w:r>
        <w:rPr>
          <w:rFonts w:hint="eastAsia" w:hAnsi="宋体" w:cs="黑体"/>
          <w:color w:val="auto"/>
          <w:highlight w:val="none"/>
        </w:rPr>
        <w:t>违约</w:t>
      </w:r>
      <w:bookmarkEnd w:id="1049"/>
      <w:bookmarkEnd w:id="1050"/>
      <w:bookmarkEnd w:id="1051"/>
      <w:bookmarkEnd w:id="1052"/>
      <w:bookmarkEnd w:id="1053"/>
      <w:bookmarkEnd w:id="1054"/>
    </w:p>
    <w:p w14:paraId="49A365EB">
      <w:pPr>
        <w:pStyle w:val="4"/>
        <w:rPr>
          <w:color w:val="auto"/>
          <w:highlight w:val="none"/>
        </w:rPr>
      </w:pPr>
      <w:bookmarkStart w:id="1057" w:name="_Toc32058"/>
      <w:bookmarkStart w:id="1058" w:name="_Toc373478414"/>
      <w:bookmarkStart w:id="1059" w:name="_Toc407135270"/>
      <w:bookmarkStart w:id="1060" w:name="_Toc373227767"/>
      <w:bookmarkStart w:id="1061" w:name="_Toc389065332"/>
      <w:r>
        <w:rPr>
          <w:color w:val="auto"/>
          <w:highlight w:val="none"/>
        </w:rPr>
        <w:t xml:space="preserve">16.1 </w:t>
      </w:r>
      <w:r>
        <w:rPr>
          <w:rFonts w:hint="eastAsia" w:hAnsi="宋体" w:cs="黑体"/>
          <w:color w:val="auto"/>
          <w:highlight w:val="none"/>
        </w:rPr>
        <w:t>发包人违约</w:t>
      </w:r>
      <w:bookmarkEnd w:id="1057"/>
      <w:bookmarkEnd w:id="1058"/>
      <w:bookmarkEnd w:id="1059"/>
      <w:bookmarkEnd w:id="1060"/>
      <w:bookmarkEnd w:id="1061"/>
    </w:p>
    <w:p w14:paraId="752DEE64">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14:paraId="7D60776A">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发包人违约的其他情形：</w:t>
      </w:r>
      <w:r>
        <w:rPr>
          <w:color w:val="auto"/>
          <w:kern w:val="0"/>
          <w:highlight w:val="none"/>
          <w:u w:val="single"/>
        </w:rPr>
        <w:t xml:space="preserve">   </w:t>
      </w:r>
      <w:r>
        <w:rPr>
          <w:rFonts w:hint="eastAsia"/>
          <w:color w:val="auto"/>
          <w:kern w:val="0"/>
          <w:highlight w:val="none"/>
          <w:u w:val="single"/>
        </w:rPr>
        <w:t>详见本合同通用条款第 16.1.1 项</w:t>
      </w:r>
      <w:r>
        <w:rPr>
          <w:color w:val="auto"/>
          <w:kern w:val="0"/>
          <w:highlight w:val="none"/>
          <w:u w:val="single"/>
        </w:rPr>
        <w:t xml:space="preserve">  </w:t>
      </w:r>
      <w:r>
        <w:rPr>
          <w:rFonts w:hint="eastAsia" w:hAnsi="宋体" w:cs="宋体"/>
          <w:color w:val="auto"/>
          <w:kern w:val="0"/>
          <w:highlight w:val="none"/>
        </w:rPr>
        <w:t>。</w:t>
      </w:r>
    </w:p>
    <w:p w14:paraId="5FF9FADE">
      <w:pPr>
        <w:spacing w:line="360" w:lineRule="auto"/>
        <w:ind w:firstLine="420" w:firstLineChars="200"/>
        <w:jc w:val="left"/>
        <w:outlineLvl w:val="0"/>
        <w:rPr>
          <w:color w:val="auto"/>
          <w:kern w:val="0"/>
          <w:highlight w:val="none"/>
        </w:rPr>
      </w:pPr>
      <w:r>
        <w:rPr>
          <w:color w:val="auto"/>
          <w:kern w:val="0"/>
          <w:highlight w:val="none"/>
        </w:rPr>
        <w:t xml:space="preserve">16.1.2 </w:t>
      </w:r>
      <w:r>
        <w:rPr>
          <w:rFonts w:hint="eastAsia" w:hAnsi="宋体" w:cs="宋体"/>
          <w:color w:val="auto"/>
          <w:kern w:val="0"/>
          <w:highlight w:val="none"/>
        </w:rPr>
        <w:t>发包人违约的责任</w:t>
      </w:r>
    </w:p>
    <w:p w14:paraId="39D686DB">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14:paraId="5DB5307E">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）因发包人原因未能在计划开工日期前</w:t>
      </w:r>
      <w:r>
        <w:rPr>
          <w:color w:val="auto"/>
          <w:kern w:val="0"/>
          <w:highlight w:val="none"/>
        </w:rPr>
        <w:t>7</w:t>
      </w:r>
      <w:r>
        <w:rPr>
          <w:rFonts w:hint="eastAsia" w:hAnsi="宋体" w:cs="宋体"/>
          <w:color w:val="auto"/>
          <w:kern w:val="0"/>
          <w:highlight w:val="none"/>
        </w:rPr>
        <w:t>天内下达开工通知的违约责任：</w:t>
      </w:r>
      <w:r>
        <w:rPr>
          <w:rFonts w:hint="eastAsia"/>
          <w:color w:val="auto"/>
          <w:kern w:val="0"/>
          <w:highlight w:val="none"/>
          <w:u w:val="single"/>
        </w:rPr>
        <w:t>工程开工日期延误，由发包人承担违约责任，且工期顺延</w:t>
      </w:r>
      <w:r>
        <w:rPr>
          <w:color w:val="auto"/>
          <w:kern w:val="0"/>
          <w:highlight w:val="none"/>
          <w:u w:val="single"/>
        </w:rPr>
        <w:t xml:space="preserve">  </w:t>
      </w:r>
      <w:r>
        <w:rPr>
          <w:rFonts w:hint="eastAsia" w:hAnsi="宋体" w:cs="宋体"/>
          <w:color w:val="auto"/>
          <w:kern w:val="0"/>
          <w:highlight w:val="none"/>
        </w:rPr>
        <w:t>。</w:t>
      </w:r>
    </w:p>
    <w:p w14:paraId="1C0D6AEC">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）因发包人原因未能按合同约定支付合同价款的违约责任：</w:t>
      </w:r>
      <w:r>
        <w:rPr>
          <w:color w:val="auto"/>
          <w:kern w:val="0"/>
          <w:highlight w:val="none"/>
          <w:u w:val="single"/>
        </w:rPr>
        <w:t xml:space="preserve"> </w:t>
      </w:r>
      <w:r>
        <w:rPr>
          <w:rFonts w:hint="eastAsia"/>
          <w:color w:val="auto"/>
          <w:kern w:val="0"/>
          <w:highlight w:val="none"/>
          <w:u w:val="single"/>
        </w:rPr>
        <w:t xml:space="preserve">从延误之日起按照 5000 元/日支付违约金，工期顺延 </w:t>
      </w:r>
      <w:r>
        <w:rPr>
          <w:color w:val="auto"/>
          <w:kern w:val="0"/>
          <w:highlight w:val="none"/>
          <w:u w:val="single"/>
        </w:rPr>
        <w:t xml:space="preserve">  </w:t>
      </w:r>
      <w:r>
        <w:rPr>
          <w:rFonts w:hint="eastAsia" w:hAnsi="宋体" w:cs="宋体"/>
          <w:color w:val="auto"/>
          <w:kern w:val="0"/>
          <w:highlight w:val="none"/>
        </w:rPr>
        <w:t>。</w:t>
      </w:r>
    </w:p>
    <w:p w14:paraId="576D3C49">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）发包人违反第</w:t>
      </w:r>
      <w:r>
        <w:rPr>
          <w:color w:val="auto"/>
          <w:kern w:val="0"/>
          <w:highlight w:val="none"/>
        </w:rPr>
        <w:t>10.1</w:t>
      </w:r>
      <w:r>
        <w:rPr>
          <w:rFonts w:hint="eastAsia" w:hAnsi="宋体" w:cs="宋体"/>
          <w:color w:val="auto"/>
          <w:kern w:val="0"/>
          <w:highlight w:val="none"/>
        </w:rPr>
        <w:t>款〔变更的范围〕第（</w:t>
      </w:r>
      <w:r>
        <w:rPr>
          <w:color w:val="auto"/>
          <w:kern w:val="0"/>
          <w:highlight w:val="none"/>
        </w:rPr>
        <w:t>2</w:t>
      </w:r>
      <w:r>
        <w:rPr>
          <w:rFonts w:hint="eastAsia" w:hAnsi="宋体" w:cs="宋体"/>
          <w:color w:val="auto"/>
          <w:kern w:val="0"/>
          <w:highlight w:val="none"/>
        </w:rPr>
        <w:t>）项约定，自行实施被取消的工作或转由他人实施的违约责任：</w:t>
      </w:r>
      <w:r>
        <w:rPr>
          <w:color w:val="auto"/>
          <w:kern w:val="0"/>
          <w:highlight w:val="none"/>
          <w:u w:val="single"/>
        </w:rPr>
        <w:t xml:space="preserve"> </w:t>
      </w:r>
      <w:r>
        <w:rPr>
          <w:rFonts w:hint="eastAsia"/>
          <w:color w:val="auto"/>
          <w:kern w:val="0"/>
          <w:highlight w:val="none"/>
          <w:u w:val="single"/>
        </w:rPr>
        <w:t>发包人按发包人自行实施或转由他人实施的工程量结算价的百分之十向承包人支付违约金</w:t>
      </w:r>
      <w:r>
        <w:rPr>
          <w:color w:val="auto"/>
          <w:kern w:val="0"/>
          <w:highlight w:val="none"/>
          <w:u w:val="single"/>
        </w:rPr>
        <w:t xml:space="preserve"> </w:t>
      </w:r>
      <w:r>
        <w:rPr>
          <w:rFonts w:hint="eastAsia" w:hAnsi="宋体" w:cs="宋体"/>
          <w:color w:val="auto"/>
          <w:kern w:val="0"/>
          <w:highlight w:val="none"/>
        </w:rPr>
        <w:t>。</w:t>
      </w:r>
    </w:p>
    <w:p w14:paraId="753CD130">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4</w:t>
      </w:r>
      <w:r>
        <w:rPr>
          <w:rFonts w:hint="eastAsia" w:hAnsi="宋体" w:cs="宋体"/>
          <w:color w:val="auto"/>
          <w:kern w:val="0"/>
          <w:highlight w:val="none"/>
        </w:rPr>
        <w:t>）发包人提供的材料、工程设备的规格、数量或质量不符合合同约定，或因发包人原因导致交货日期延误或交货地点变更等情况的违约责任：</w:t>
      </w:r>
      <w:r>
        <w:rPr>
          <w:color w:val="auto"/>
          <w:kern w:val="0"/>
          <w:highlight w:val="none"/>
          <w:u w:val="single"/>
        </w:rPr>
        <w:t xml:space="preserve">           </w:t>
      </w:r>
      <w:r>
        <w:rPr>
          <w:rFonts w:hint="eastAsia"/>
          <w:color w:val="auto"/>
          <w:kern w:val="0"/>
          <w:highlight w:val="none"/>
          <w:u w:val="single"/>
        </w:rPr>
        <w:t>无</w:t>
      </w:r>
      <w:r>
        <w:rPr>
          <w:color w:val="auto"/>
          <w:kern w:val="0"/>
          <w:highlight w:val="none"/>
          <w:u w:val="single"/>
        </w:rPr>
        <w:t xml:space="preserve">                 </w:t>
      </w:r>
      <w:r>
        <w:rPr>
          <w:rFonts w:hint="eastAsia" w:hAnsi="宋体" w:cs="宋体"/>
          <w:color w:val="auto"/>
          <w:kern w:val="0"/>
          <w:highlight w:val="none"/>
        </w:rPr>
        <w:t>。</w:t>
      </w:r>
    </w:p>
    <w:p w14:paraId="0E05F12E">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5</w:t>
      </w:r>
      <w:r>
        <w:rPr>
          <w:rFonts w:hint="eastAsia" w:hAnsi="宋体" w:cs="宋体"/>
          <w:color w:val="auto"/>
          <w:kern w:val="0"/>
          <w:highlight w:val="none"/>
        </w:rPr>
        <w:t>）因发包人违反合同约定造成暂停施工的违约责任：</w:t>
      </w:r>
      <w:r>
        <w:rPr>
          <w:color w:val="auto"/>
          <w:kern w:val="0"/>
          <w:highlight w:val="none"/>
          <w:u w:val="single"/>
        </w:rPr>
        <w:t xml:space="preserve"> </w:t>
      </w:r>
      <w:r>
        <w:rPr>
          <w:rFonts w:hint="eastAsia"/>
          <w:color w:val="auto"/>
          <w:kern w:val="0"/>
          <w:highlight w:val="none"/>
          <w:u w:val="single"/>
        </w:rPr>
        <w:t>由此造成的工期延期，由发包人承担，且工期顺延</w:t>
      </w:r>
      <w:r>
        <w:rPr>
          <w:color w:val="auto"/>
          <w:kern w:val="0"/>
          <w:highlight w:val="none"/>
          <w:u w:val="single"/>
        </w:rPr>
        <w:t xml:space="preserve"> </w:t>
      </w:r>
      <w:r>
        <w:rPr>
          <w:rFonts w:hint="eastAsia" w:hAnsi="宋体" w:cs="宋体"/>
          <w:color w:val="auto"/>
          <w:kern w:val="0"/>
          <w:highlight w:val="none"/>
        </w:rPr>
        <w:t>。</w:t>
      </w:r>
    </w:p>
    <w:p w14:paraId="03C6DFD4">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）发包人无正当理由没有在约定期限内发出复工指示，导致承包人无法复工的违约责任：</w:t>
      </w:r>
      <w:r>
        <w:rPr>
          <w:color w:val="auto"/>
          <w:kern w:val="0"/>
          <w:highlight w:val="none"/>
          <w:u w:val="single"/>
        </w:rPr>
        <w:t xml:space="preserve">  </w:t>
      </w:r>
      <w:r>
        <w:rPr>
          <w:rFonts w:hint="eastAsia"/>
          <w:color w:val="auto"/>
          <w:kern w:val="0"/>
          <w:highlight w:val="none"/>
          <w:u w:val="single"/>
        </w:rPr>
        <w:t>由此造成的工期延期由发包人承担，且向承包人支付工期延期违约金。工期每延期一天的违约金为签约合同价的万分之三，此项违约金的限额为签约合同价的百分之二。承包人因为发包人工期延期造成的损失，由发包人承担</w:t>
      </w:r>
      <w:r>
        <w:rPr>
          <w:color w:val="auto"/>
          <w:kern w:val="0"/>
          <w:highlight w:val="none"/>
          <w:u w:val="single"/>
        </w:rPr>
        <w:t xml:space="preserve">  </w:t>
      </w:r>
      <w:r>
        <w:rPr>
          <w:rFonts w:hint="eastAsia" w:hAnsi="宋体" w:cs="宋体"/>
          <w:color w:val="auto"/>
          <w:kern w:val="0"/>
          <w:highlight w:val="none"/>
        </w:rPr>
        <w:t>。</w:t>
      </w:r>
    </w:p>
    <w:p w14:paraId="53CAD0F9">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7</w:t>
      </w:r>
      <w:r>
        <w:rPr>
          <w:rFonts w:hint="eastAsia" w:hAnsi="宋体" w:cs="宋体"/>
          <w:color w:val="auto"/>
          <w:kern w:val="0"/>
          <w:highlight w:val="none"/>
        </w:rPr>
        <w:t>）其他：</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14:paraId="7D212FE7">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14:paraId="24615CAA">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w:t>
      </w:r>
      <w:r>
        <w:rPr>
          <w:rFonts w:hint="eastAsia"/>
          <w:color w:val="auto"/>
          <w:kern w:val="0"/>
          <w:highlight w:val="none"/>
          <w:u w:val="single"/>
        </w:rPr>
        <w:t>7</w:t>
      </w:r>
      <w:r>
        <w:rPr>
          <w:color w:val="auto"/>
          <w:kern w:val="0"/>
          <w:highlight w:val="none"/>
          <w:u w:val="single"/>
        </w:rPr>
        <w:t xml:space="preserve">  </w:t>
      </w:r>
      <w:r>
        <w:rPr>
          <w:rFonts w:hint="eastAsia" w:hAnsi="宋体" w:cs="宋体"/>
          <w:color w:val="auto"/>
          <w:kern w:val="0"/>
          <w:highlight w:val="none"/>
        </w:rPr>
        <w:t>天后发包人仍不纠正其违约行为并致使合同目的不能实现的，承包人有权解除合同。</w:t>
      </w:r>
    </w:p>
    <w:p w14:paraId="784B7294">
      <w:pPr>
        <w:pStyle w:val="4"/>
        <w:rPr>
          <w:color w:val="auto"/>
          <w:highlight w:val="none"/>
        </w:rPr>
      </w:pPr>
      <w:bookmarkStart w:id="1062" w:name="_Toc373227768"/>
      <w:bookmarkStart w:id="1063" w:name="_Toc407135271"/>
      <w:bookmarkStart w:id="1064" w:name="_Toc389065333"/>
      <w:bookmarkStart w:id="1065" w:name="_Toc13160"/>
      <w:bookmarkStart w:id="1066" w:name="_Toc373478415"/>
      <w:r>
        <w:rPr>
          <w:color w:val="auto"/>
          <w:highlight w:val="none"/>
        </w:rPr>
        <w:t xml:space="preserve">16.2 </w:t>
      </w:r>
      <w:r>
        <w:rPr>
          <w:rFonts w:hint="eastAsia" w:hAnsi="宋体" w:cs="黑体"/>
          <w:color w:val="auto"/>
          <w:highlight w:val="none"/>
        </w:rPr>
        <w:t>承包人违约</w:t>
      </w:r>
      <w:bookmarkEnd w:id="1062"/>
      <w:bookmarkEnd w:id="1063"/>
      <w:bookmarkEnd w:id="1064"/>
      <w:bookmarkEnd w:id="1065"/>
      <w:bookmarkEnd w:id="1066"/>
    </w:p>
    <w:p w14:paraId="0E6C59BB">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14:paraId="3A44B039">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color w:val="auto"/>
          <w:kern w:val="0"/>
          <w:highlight w:val="none"/>
          <w:u w:val="single"/>
        </w:rPr>
        <w:t xml:space="preserve">  </w:t>
      </w:r>
      <w:r>
        <w:rPr>
          <w:rFonts w:hint="eastAsia"/>
          <w:color w:val="auto"/>
          <w:kern w:val="0"/>
          <w:highlight w:val="none"/>
          <w:u w:val="single"/>
        </w:rPr>
        <w:t>详见本合同通用条款第 16.2.1 项</w:t>
      </w:r>
      <w:r>
        <w:rPr>
          <w:color w:val="auto"/>
          <w:kern w:val="0"/>
          <w:highlight w:val="none"/>
          <w:u w:val="single"/>
        </w:rPr>
        <w:t xml:space="preserve"> </w:t>
      </w:r>
      <w:r>
        <w:rPr>
          <w:rFonts w:hint="eastAsia" w:hAnsi="宋体" w:cs="宋体"/>
          <w:color w:val="auto"/>
          <w:kern w:val="0"/>
          <w:highlight w:val="none"/>
        </w:rPr>
        <w:t>。</w:t>
      </w:r>
    </w:p>
    <w:p w14:paraId="2DA6AB21">
      <w:pPr>
        <w:spacing w:line="360" w:lineRule="auto"/>
        <w:ind w:firstLine="420" w:firstLineChars="200"/>
        <w:jc w:val="left"/>
        <w:outlineLvl w:val="0"/>
        <w:rPr>
          <w:color w:val="auto"/>
          <w:kern w:val="0"/>
          <w:highlight w:val="none"/>
        </w:rPr>
      </w:pPr>
      <w:r>
        <w:rPr>
          <w:color w:val="auto"/>
          <w:kern w:val="0"/>
          <w:highlight w:val="none"/>
        </w:rPr>
        <w:t>16.2.2</w:t>
      </w:r>
      <w:r>
        <w:rPr>
          <w:rFonts w:hint="eastAsia" w:hAnsi="宋体" w:cs="宋体"/>
          <w:color w:val="auto"/>
          <w:kern w:val="0"/>
          <w:highlight w:val="none"/>
        </w:rPr>
        <w:t>承包人违约的责任</w:t>
      </w:r>
    </w:p>
    <w:p w14:paraId="4AAAE27F">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14:paraId="3D959626">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）条内容情形的，承包人无条件返工处理，修复至工程质量要求并承担相关费用，并在发包人规定的时间内完成返工，否则发包人有权扣罚该分项工程</w:t>
      </w:r>
      <w:r>
        <w:rPr>
          <w:color w:val="auto"/>
          <w:kern w:val="0"/>
          <w:highlight w:val="none"/>
        </w:rPr>
        <w:t>10%</w:t>
      </w:r>
      <w:r>
        <w:rPr>
          <w:rFonts w:hint="eastAsia" w:hAnsi="宋体" w:cs="宋体"/>
          <w:color w:val="auto"/>
          <w:kern w:val="0"/>
          <w:highlight w:val="none"/>
        </w:rPr>
        <w:t>的工程款作为处罚。</w:t>
      </w:r>
    </w:p>
    <w:p w14:paraId="2A31C4E0">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）条情形的，或经监理人检验认为修复质量不合格而承包人拒绝再进行修补的，发包人将扣除承包人全部质量保证金。</w:t>
      </w:r>
    </w:p>
    <w:p w14:paraId="200C90DA">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）承包人有本专用合同条款</w:t>
      </w:r>
      <w:r>
        <w:rPr>
          <w:color w:val="auto"/>
          <w:kern w:val="0"/>
          <w:highlight w:val="none"/>
        </w:rPr>
        <w:t>3.2</w:t>
      </w:r>
      <w:r>
        <w:rPr>
          <w:rFonts w:hint="eastAsia" w:hAnsi="宋体" w:cs="宋体"/>
          <w:color w:val="auto"/>
          <w:kern w:val="0"/>
          <w:highlight w:val="none"/>
        </w:rPr>
        <w:t>、</w:t>
      </w:r>
      <w:r>
        <w:rPr>
          <w:color w:val="auto"/>
          <w:kern w:val="0"/>
          <w:highlight w:val="none"/>
        </w:rPr>
        <w:t>3.3</w:t>
      </w:r>
      <w:r>
        <w:rPr>
          <w:rFonts w:hint="eastAsia" w:hAnsi="宋体" w:cs="宋体"/>
          <w:color w:val="auto"/>
          <w:kern w:val="0"/>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2A1FCBAA">
      <w:pPr>
        <w:spacing w:line="360" w:lineRule="auto"/>
        <w:ind w:firstLine="420" w:firstLineChars="200"/>
        <w:jc w:val="left"/>
        <w:rPr>
          <w:rFonts w:hAnsi="宋体"/>
          <w:color w:val="auto"/>
          <w:highlight w:val="none"/>
        </w:rPr>
      </w:pPr>
      <w:r>
        <w:rPr>
          <w:color w:val="auto"/>
          <w:highlight w:val="none"/>
        </w:rPr>
        <w:t xml:space="preserve">16.2.3 </w:t>
      </w:r>
      <w:r>
        <w:rPr>
          <w:rFonts w:hint="eastAsia" w:hAnsi="宋体" w:cs="宋体"/>
          <w:color w:val="auto"/>
          <w:highlight w:val="none"/>
        </w:rPr>
        <w:t>因承包人违约解除合同</w:t>
      </w:r>
    </w:p>
    <w:p w14:paraId="5BCEE5B9">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single"/>
        </w:rPr>
        <w:t>承包人有违反以下情况之一的，发包人有权解除合同，并没收其全部履约保证金</w:t>
      </w:r>
      <w:r>
        <w:rPr>
          <w:rFonts w:hint="eastAsia" w:hAnsi="宋体" w:cs="宋体"/>
          <w:color w:val="auto"/>
          <w:kern w:val="0"/>
          <w:highlight w:val="none"/>
        </w:rPr>
        <w:t>。</w:t>
      </w:r>
    </w:p>
    <w:p w14:paraId="21CB28E7">
      <w:pPr>
        <w:spacing w:line="360" w:lineRule="auto"/>
        <w:ind w:firstLine="420" w:firstLineChars="200"/>
        <w:jc w:val="left"/>
        <w:rPr>
          <w:rFonts w:hAnsi="宋体"/>
          <w:color w:val="auto"/>
          <w:kern w:val="0"/>
          <w:highlight w:val="none"/>
        </w:rPr>
      </w:pPr>
      <w:r>
        <w:rPr>
          <w:rFonts w:hint="eastAsia"/>
          <w:color w:val="auto"/>
          <w:kern w:val="0"/>
          <w:highlight w:val="none"/>
          <w:lang w:eastAsia="zh-CN"/>
        </w:rPr>
        <w:t>（1）</w:t>
      </w:r>
      <w:r>
        <w:rPr>
          <w:rFonts w:hint="eastAsia" w:hAnsi="宋体" w:cs="宋体"/>
          <w:color w:val="auto"/>
          <w:kern w:val="0"/>
          <w:highlight w:val="none"/>
        </w:rPr>
        <w:t>承包人无正当理由不按开工通知的要求及时进场组织施工和不按签订协议书时商定的进度计划有效地开展施工准备，造成工期延误的；</w:t>
      </w:r>
    </w:p>
    <w:p w14:paraId="13A62F52">
      <w:pPr>
        <w:spacing w:line="360" w:lineRule="auto"/>
        <w:ind w:firstLine="420" w:firstLineChars="200"/>
        <w:jc w:val="left"/>
        <w:rPr>
          <w:rFonts w:hAnsi="宋体"/>
          <w:color w:val="auto"/>
          <w:kern w:val="0"/>
          <w:highlight w:val="none"/>
        </w:rPr>
      </w:pPr>
      <w:r>
        <w:rPr>
          <w:rFonts w:hint="eastAsia"/>
          <w:color w:val="auto"/>
          <w:kern w:val="0"/>
          <w:highlight w:val="none"/>
          <w:lang w:eastAsia="zh-CN"/>
        </w:rPr>
        <w:t>（2）</w:t>
      </w:r>
      <w:r>
        <w:rPr>
          <w:rFonts w:hint="eastAsia" w:hAnsi="宋体" w:cs="宋体"/>
          <w:color w:val="auto"/>
          <w:kern w:val="0"/>
          <w:highlight w:val="none"/>
        </w:rPr>
        <w:t>承包人违反本合同通用条款第</w:t>
      </w:r>
      <w:r>
        <w:rPr>
          <w:color w:val="auto"/>
          <w:kern w:val="0"/>
          <w:highlight w:val="none"/>
        </w:rPr>
        <w:t>3.5</w:t>
      </w:r>
      <w:r>
        <w:rPr>
          <w:rFonts w:hint="eastAsia" w:hAnsi="宋体" w:cs="宋体"/>
          <w:color w:val="auto"/>
          <w:kern w:val="0"/>
          <w:highlight w:val="none"/>
        </w:rPr>
        <w:t>条规定私自将合同或合同的任何部分或任何权利转让给其他人，或私自将工程或工程的一部分分包出去的；</w:t>
      </w:r>
    </w:p>
    <w:p w14:paraId="792761C8">
      <w:pPr>
        <w:spacing w:line="360" w:lineRule="auto"/>
        <w:ind w:firstLine="420" w:firstLineChars="200"/>
        <w:jc w:val="left"/>
        <w:rPr>
          <w:rFonts w:hAnsi="宋体"/>
          <w:color w:val="auto"/>
          <w:kern w:val="0"/>
          <w:highlight w:val="none"/>
        </w:rPr>
      </w:pPr>
      <w:r>
        <w:rPr>
          <w:rFonts w:hint="eastAsia"/>
          <w:color w:val="auto"/>
          <w:kern w:val="0"/>
          <w:highlight w:val="none"/>
          <w:lang w:eastAsia="zh-CN"/>
        </w:rPr>
        <w:t>（3）</w:t>
      </w:r>
      <w:r>
        <w:rPr>
          <w:rFonts w:hint="eastAsia" w:hAnsi="宋体" w:cs="宋体"/>
          <w:color w:val="auto"/>
          <w:kern w:val="0"/>
          <w:highlight w:val="none"/>
        </w:rPr>
        <w:t>未经监理人批准，承包人私自将已按投标文件承诺进入工地的工程设备、施工设备、临时工程或材料撤离工地的；</w:t>
      </w:r>
    </w:p>
    <w:p w14:paraId="6F46455C">
      <w:pPr>
        <w:spacing w:line="360" w:lineRule="auto"/>
        <w:ind w:firstLine="420" w:firstLineChars="200"/>
        <w:jc w:val="left"/>
        <w:rPr>
          <w:color w:val="auto"/>
          <w:kern w:val="0"/>
          <w:highlight w:val="none"/>
        </w:rPr>
      </w:pPr>
      <w:r>
        <w:rPr>
          <w:rFonts w:hint="eastAsia"/>
          <w:color w:val="auto"/>
          <w:kern w:val="0"/>
          <w:highlight w:val="none"/>
          <w:lang w:eastAsia="zh-CN"/>
        </w:rPr>
        <w:t>（4）</w:t>
      </w:r>
      <w:r>
        <w:rPr>
          <w:rFonts w:hint="eastAsia" w:hAnsi="宋体" w:cs="宋体"/>
          <w:color w:val="auto"/>
          <w:kern w:val="0"/>
          <w:highlight w:val="none"/>
        </w:rPr>
        <w:t>由于承包人原因拒绝按合同进度计划及时完成合同规定的工程，而又未采取有效措施赶上进度，造成工期严重延误的；</w:t>
      </w:r>
    </w:p>
    <w:p w14:paraId="66E12B28">
      <w:pPr>
        <w:spacing w:line="360" w:lineRule="auto"/>
        <w:ind w:firstLine="420" w:firstLineChars="200"/>
        <w:rPr>
          <w:color w:val="auto"/>
          <w:kern w:val="0"/>
          <w:highlight w:val="none"/>
        </w:rPr>
      </w:pPr>
      <w:r>
        <w:rPr>
          <w:rFonts w:hint="eastAsia"/>
          <w:color w:val="auto"/>
          <w:kern w:val="0"/>
          <w:highlight w:val="none"/>
          <w:lang w:eastAsia="zh-CN"/>
        </w:rPr>
        <w:t>（5）</w:t>
      </w:r>
      <w:r>
        <w:rPr>
          <w:rFonts w:hint="eastAsia" w:hAnsi="宋体" w:cs="宋体"/>
          <w:color w:val="auto"/>
          <w:kern w:val="0"/>
          <w:highlight w:val="none"/>
        </w:rPr>
        <w:t>承包人否认合同有效或拒绝履行合同规定的承包人义务，或由于法律、财务等原因导致承包人无法继续履行或实质上已停止履行合同的义务的；</w:t>
      </w:r>
    </w:p>
    <w:p w14:paraId="384CA1A3">
      <w:pPr>
        <w:spacing w:line="360" w:lineRule="auto"/>
        <w:ind w:firstLine="420" w:firstLineChars="200"/>
        <w:rPr>
          <w:color w:val="auto"/>
          <w:kern w:val="0"/>
          <w:highlight w:val="none"/>
        </w:rPr>
      </w:pPr>
      <w:r>
        <w:rPr>
          <w:rFonts w:hint="eastAsia"/>
          <w:color w:val="auto"/>
          <w:kern w:val="0"/>
          <w:highlight w:val="none"/>
          <w:lang w:eastAsia="zh-CN"/>
        </w:rPr>
        <w:t>（6）</w:t>
      </w:r>
      <w:r>
        <w:rPr>
          <w:rFonts w:hint="eastAsia" w:hAnsi="宋体" w:cs="宋体"/>
          <w:color w:val="auto"/>
          <w:kern w:val="0"/>
          <w:highlight w:val="none"/>
        </w:rPr>
        <w:t>合同签订</w:t>
      </w:r>
      <w:r>
        <w:rPr>
          <w:rFonts w:hint="eastAsia" w:ascii="仿宋_GB2312" w:hAnsi="宋体" w:cs="宋体"/>
          <w:color w:val="auto"/>
          <w:highlight w:val="none"/>
        </w:rPr>
        <w:t>且具备法定开工条件后</w:t>
      </w:r>
      <w:r>
        <w:rPr>
          <w:rFonts w:hint="eastAsia" w:hAnsi="宋体" w:cs="宋体"/>
          <w:color w:val="auto"/>
          <w:kern w:val="0"/>
          <w:highlight w:val="none"/>
        </w:rPr>
        <w:t>之日起十五日内，承包人无法按合同规定及投标文件的承诺进场经监理工程师认可的该</w:t>
      </w:r>
      <w:r>
        <w:rPr>
          <w:rFonts w:hAnsi="宋体" w:cs="宋体"/>
          <w:color w:val="auto"/>
          <w:kern w:val="0"/>
          <w:highlight w:val="none"/>
        </w:rPr>
        <w:t>施工</w:t>
      </w:r>
      <w:r>
        <w:rPr>
          <w:rFonts w:hint="eastAsia" w:hAnsi="宋体" w:cs="宋体"/>
          <w:color w:val="auto"/>
          <w:kern w:val="0"/>
          <w:highlight w:val="none"/>
        </w:rPr>
        <w:t>阶段</w:t>
      </w:r>
      <w:r>
        <w:rPr>
          <w:rFonts w:hAnsi="宋体" w:cs="宋体"/>
          <w:color w:val="auto"/>
          <w:kern w:val="0"/>
          <w:highlight w:val="none"/>
        </w:rPr>
        <w:t>应有的</w:t>
      </w:r>
      <w:r>
        <w:rPr>
          <w:rFonts w:hint="eastAsia" w:hAnsi="宋体" w:cs="宋体"/>
          <w:color w:val="auto"/>
          <w:kern w:val="0"/>
          <w:highlight w:val="none"/>
        </w:rPr>
        <w:t>全部人员和机械的。</w:t>
      </w:r>
    </w:p>
    <w:p w14:paraId="7CABBAB3">
      <w:pPr>
        <w:spacing w:line="360" w:lineRule="auto"/>
        <w:ind w:firstLine="420" w:firstLineChars="200"/>
        <w:rPr>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w:t>
      </w:r>
      <w:r>
        <w:rPr>
          <w:color w:val="auto"/>
          <w:kern w:val="0"/>
          <w:highlight w:val="none"/>
          <w:u w:val="single"/>
        </w:rPr>
        <w:t xml:space="preserve"> </w:t>
      </w:r>
      <w:r>
        <w:rPr>
          <w:rFonts w:hint="eastAsia"/>
          <w:color w:val="auto"/>
          <w:kern w:val="0"/>
          <w:highlight w:val="none"/>
          <w:u w:val="single"/>
        </w:rPr>
        <w:t>由承包人及发包人双方盘点实际数量，按承包人采购价格核算实际价值，并由发包人向承包人支付</w:t>
      </w:r>
      <w:r>
        <w:rPr>
          <w:color w:val="auto"/>
          <w:kern w:val="0"/>
          <w:highlight w:val="none"/>
          <w:u w:val="single"/>
        </w:rPr>
        <w:t xml:space="preserve"> </w:t>
      </w:r>
      <w:r>
        <w:rPr>
          <w:rFonts w:hint="eastAsia" w:hAnsi="宋体" w:cs="宋体"/>
          <w:color w:val="auto"/>
          <w:kern w:val="0"/>
          <w:highlight w:val="none"/>
        </w:rPr>
        <w:t>。</w:t>
      </w:r>
    </w:p>
    <w:p w14:paraId="74728A12">
      <w:pPr>
        <w:pStyle w:val="3"/>
        <w:rPr>
          <w:color w:val="auto"/>
          <w:highlight w:val="none"/>
        </w:rPr>
      </w:pPr>
      <w:bookmarkStart w:id="1067" w:name="_Toc351203649"/>
      <w:bookmarkStart w:id="1068" w:name="_Toc373478416"/>
      <w:bookmarkStart w:id="1069" w:name="_Toc407135272"/>
      <w:bookmarkStart w:id="1070" w:name="_Toc6609"/>
      <w:bookmarkStart w:id="1071" w:name="_Toc389065334"/>
      <w:bookmarkStart w:id="1072" w:name="_Toc373227769"/>
      <w:r>
        <w:rPr>
          <w:color w:val="auto"/>
          <w:highlight w:val="none"/>
        </w:rPr>
        <w:t xml:space="preserve">17. </w:t>
      </w:r>
      <w:r>
        <w:rPr>
          <w:rFonts w:hint="eastAsia" w:hAnsi="宋体" w:cs="黑体"/>
          <w:color w:val="auto"/>
          <w:highlight w:val="none"/>
        </w:rPr>
        <w:t>不可抗力</w:t>
      </w:r>
      <w:bookmarkEnd w:id="1067"/>
      <w:bookmarkEnd w:id="1068"/>
      <w:bookmarkEnd w:id="1069"/>
      <w:bookmarkEnd w:id="1070"/>
      <w:bookmarkEnd w:id="1071"/>
      <w:bookmarkEnd w:id="1072"/>
      <w:r>
        <w:rPr>
          <w:color w:val="auto"/>
          <w:highlight w:val="none"/>
        </w:rPr>
        <w:t xml:space="preserve"> </w:t>
      </w:r>
      <w:bookmarkEnd w:id="1055"/>
    </w:p>
    <w:p w14:paraId="58D75505">
      <w:pPr>
        <w:pStyle w:val="4"/>
        <w:rPr>
          <w:color w:val="auto"/>
          <w:highlight w:val="none"/>
        </w:rPr>
      </w:pPr>
      <w:bookmarkStart w:id="1073" w:name="_Toc407135273"/>
      <w:bookmarkStart w:id="1074" w:name="_Toc23789"/>
      <w:bookmarkStart w:id="1075" w:name="_Toc373478417"/>
      <w:bookmarkStart w:id="1076" w:name="_Toc389065335"/>
      <w:bookmarkStart w:id="1077" w:name="_Toc373227770"/>
      <w:r>
        <w:rPr>
          <w:color w:val="auto"/>
          <w:highlight w:val="none"/>
        </w:rPr>
        <w:t xml:space="preserve">17.1 </w:t>
      </w:r>
      <w:r>
        <w:rPr>
          <w:rFonts w:hint="eastAsia" w:cs="黑体"/>
          <w:color w:val="auto"/>
          <w:highlight w:val="none"/>
        </w:rPr>
        <w:t>不可抗力的确认</w:t>
      </w:r>
      <w:bookmarkEnd w:id="1073"/>
      <w:bookmarkEnd w:id="1074"/>
      <w:bookmarkEnd w:id="1075"/>
      <w:bookmarkEnd w:id="1076"/>
      <w:bookmarkEnd w:id="1077"/>
    </w:p>
    <w:p w14:paraId="09986EF7">
      <w:pPr>
        <w:spacing w:line="360" w:lineRule="auto"/>
        <w:ind w:firstLine="420" w:firstLineChars="200"/>
        <w:jc w:val="left"/>
        <w:rPr>
          <w:color w:val="auto"/>
          <w:kern w:val="0"/>
          <w:highlight w:val="none"/>
          <w:u w:val="single"/>
        </w:rPr>
      </w:pPr>
      <w:r>
        <w:rPr>
          <w:rFonts w:hint="eastAsia" w:hAnsi="宋体" w:cs="宋体"/>
          <w:color w:val="auto"/>
          <w:highlight w:val="none"/>
        </w:rPr>
        <w:t>除通用合同条款约定的不可抗力事件之外，视为不可抗力的其他情形：</w:t>
      </w:r>
      <w:r>
        <w:rPr>
          <w:color w:val="auto"/>
          <w:kern w:val="0"/>
          <w:highlight w:val="none"/>
          <w:u w:val="single"/>
        </w:rPr>
        <w:t xml:space="preserve">   </w:t>
      </w:r>
      <w:r>
        <w:rPr>
          <w:rFonts w:hint="eastAsia"/>
          <w:color w:val="auto"/>
          <w:kern w:val="0"/>
          <w:highlight w:val="none"/>
          <w:u w:val="single"/>
        </w:rPr>
        <w:t>1、（6）级以上的地震；2、（10）级以上的持续（3）天的大风；3、日降雨量大于50mm的雨日超过1天</w:t>
      </w:r>
      <w:r>
        <w:rPr>
          <w:rFonts w:hint="eastAsia"/>
          <w:color w:val="auto"/>
          <w:kern w:val="0"/>
          <w:highlight w:val="none"/>
          <w:u w:val="single"/>
          <w:lang w:eastAsia="zh-CN"/>
        </w:rPr>
        <w:t>；</w:t>
      </w:r>
      <w:r>
        <w:rPr>
          <w:rFonts w:hint="eastAsia"/>
          <w:color w:val="auto"/>
          <w:kern w:val="0"/>
          <w:highlight w:val="none"/>
          <w:u w:val="single"/>
        </w:rPr>
        <w:t>4、（50）年以上未发生过，持续（3）天的高温天气；5、（50）年以上未发生过，持续（3）天的严寒天气；6、（50）年以上未发生过的洪水。</w:t>
      </w:r>
      <w:r>
        <w:rPr>
          <w:color w:val="auto"/>
          <w:kern w:val="0"/>
          <w:highlight w:val="none"/>
          <w:u w:val="single"/>
        </w:rPr>
        <w:t xml:space="preserve"> </w:t>
      </w:r>
      <w:r>
        <w:rPr>
          <w:rFonts w:hint="eastAsia" w:hAnsi="宋体" w:cs="宋体"/>
          <w:color w:val="auto"/>
          <w:kern w:val="0"/>
          <w:highlight w:val="none"/>
        </w:rPr>
        <w:t>。</w:t>
      </w:r>
    </w:p>
    <w:p w14:paraId="71A6D8D2">
      <w:pPr>
        <w:pStyle w:val="4"/>
        <w:rPr>
          <w:color w:val="auto"/>
          <w:highlight w:val="none"/>
        </w:rPr>
      </w:pPr>
      <w:bookmarkStart w:id="1078" w:name="_Toc373478418"/>
      <w:bookmarkStart w:id="1079" w:name="_Toc373227771"/>
      <w:bookmarkStart w:id="1080" w:name="_Toc15617"/>
      <w:bookmarkStart w:id="1081" w:name="_Toc407135274"/>
      <w:bookmarkStart w:id="1082" w:name="_Toc389065336"/>
      <w:r>
        <w:rPr>
          <w:color w:val="auto"/>
          <w:highlight w:val="none"/>
        </w:rPr>
        <w:t xml:space="preserve">17.4 </w:t>
      </w:r>
      <w:r>
        <w:rPr>
          <w:rFonts w:hint="eastAsia" w:cs="黑体"/>
          <w:color w:val="auto"/>
          <w:highlight w:val="none"/>
        </w:rPr>
        <w:t>因不可抗力解除合同</w:t>
      </w:r>
      <w:bookmarkEnd w:id="1078"/>
      <w:bookmarkEnd w:id="1079"/>
      <w:bookmarkEnd w:id="1080"/>
      <w:bookmarkEnd w:id="1081"/>
      <w:bookmarkEnd w:id="1082"/>
    </w:p>
    <w:p w14:paraId="5B29F589">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w:t>
      </w:r>
      <w:r>
        <w:rPr>
          <w:rFonts w:hint="eastAsia"/>
          <w:color w:val="auto"/>
          <w:highlight w:val="none"/>
          <w:u w:val="single"/>
        </w:rPr>
        <w:t>30</w:t>
      </w:r>
      <w:r>
        <w:rPr>
          <w:color w:val="auto"/>
          <w:highlight w:val="none"/>
          <w:u w:val="single"/>
        </w:rPr>
        <w:t xml:space="preserve">  </w:t>
      </w:r>
      <w:r>
        <w:rPr>
          <w:rFonts w:hint="eastAsia" w:hAnsi="宋体" w:cs="宋体"/>
          <w:color w:val="auto"/>
          <w:highlight w:val="none"/>
        </w:rPr>
        <w:t>天内完成款项的支付。</w:t>
      </w:r>
    </w:p>
    <w:p w14:paraId="23857966">
      <w:pPr>
        <w:pStyle w:val="3"/>
        <w:keepNext/>
        <w:keepLines/>
        <w:pageBreakBefore w:val="0"/>
        <w:widowControl w:val="0"/>
        <w:kinsoku/>
        <w:wordWrap/>
        <w:overflowPunct/>
        <w:topLinePunct w:val="0"/>
        <w:autoSpaceDE/>
        <w:autoSpaceDN/>
        <w:bidi w:val="0"/>
        <w:adjustRightInd/>
        <w:snapToGrid/>
        <w:spacing w:before="0" w:after="0"/>
        <w:textAlignment w:val="auto"/>
        <w:rPr>
          <w:color w:val="auto"/>
          <w:highlight w:val="none"/>
        </w:rPr>
      </w:pPr>
      <w:bookmarkStart w:id="1083" w:name="_Toc15167"/>
      <w:bookmarkStart w:id="1084" w:name="_Toc351203650"/>
      <w:bookmarkStart w:id="1085" w:name="_Toc373227772"/>
      <w:bookmarkStart w:id="1086" w:name="_Toc407135275"/>
      <w:bookmarkStart w:id="1087" w:name="_Toc389065337"/>
      <w:bookmarkStart w:id="1088" w:name="_Toc373478419"/>
      <w:r>
        <w:rPr>
          <w:color w:val="auto"/>
          <w:highlight w:val="none"/>
        </w:rPr>
        <w:t xml:space="preserve">18. </w:t>
      </w:r>
      <w:r>
        <w:rPr>
          <w:rFonts w:hint="eastAsia" w:hAnsi="宋体" w:cs="黑体"/>
          <w:color w:val="auto"/>
          <w:highlight w:val="none"/>
        </w:rPr>
        <w:t>保险</w:t>
      </w:r>
      <w:bookmarkEnd w:id="1083"/>
      <w:bookmarkEnd w:id="1084"/>
      <w:bookmarkEnd w:id="1085"/>
      <w:bookmarkEnd w:id="1086"/>
      <w:bookmarkEnd w:id="1087"/>
      <w:bookmarkEnd w:id="1088"/>
    </w:p>
    <w:bookmarkEnd w:id="1056"/>
    <w:p w14:paraId="64540E63">
      <w:pPr>
        <w:pStyle w:val="4"/>
        <w:keepNext/>
        <w:keepLines/>
        <w:pageBreakBefore w:val="0"/>
        <w:widowControl w:val="0"/>
        <w:kinsoku/>
        <w:wordWrap/>
        <w:overflowPunct/>
        <w:topLinePunct w:val="0"/>
        <w:autoSpaceDE/>
        <w:autoSpaceDN/>
        <w:bidi w:val="0"/>
        <w:adjustRightInd/>
        <w:snapToGrid/>
        <w:textAlignment w:val="auto"/>
        <w:rPr>
          <w:color w:val="auto"/>
          <w:highlight w:val="none"/>
        </w:rPr>
      </w:pPr>
      <w:bookmarkStart w:id="1089" w:name="_Toc407135276"/>
      <w:bookmarkStart w:id="1090" w:name="_Toc373227773"/>
      <w:bookmarkStart w:id="1091" w:name="_Toc389065338"/>
      <w:bookmarkStart w:id="1092" w:name="_Toc373478420"/>
      <w:bookmarkStart w:id="1093" w:name="_Toc21764"/>
      <w:r>
        <w:rPr>
          <w:color w:val="auto"/>
          <w:highlight w:val="none"/>
        </w:rPr>
        <w:t xml:space="preserve">18.1 </w:t>
      </w:r>
      <w:r>
        <w:rPr>
          <w:rFonts w:hint="eastAsia" w:hAnsi="宋体" w:cs="黑体"/>
          <w:color w:val="auto"/>
          <w:highlight w:val="none"/>
        </w:rPr>
        <w:t>工程保险</w:t>
      </w:r>
      <w:bookmarkEnd w:id="1089"/>
      <w:bookmarkEnd w:id="1090"/>
      <w:bookmarkEnd w:id="1091"/>
      <w:bookmarkEnd w:id="1092"/>
      <w:bookmarkEnd w:id="1093"/>
    </w:p>
    <w:p w14:paraId="33CA7E0F">
      <w:pPr>
        <w:spacing w:line="360" w:lineRule="auto"/>
        <w:ind w:firstLine="420" w:firstLineChars="200"/>
        <w:jc w:val="left"/>
        <w:rPr>
          <w:color w:val="auto"/>
          <w:highlight w:val="none"/>
        </w:rPr>
      </w:pPr>
      <w:r>
        <w:rPr>
          <w:rFonts w:hint="eastAsia" w:hAnsi="宋体" w:cs="宋体"/>
          <w:color w:val="auto"/>
          <w:highlight w:val="none"/>
        </w:rPr>
        <w:t>关于工程保险的特别约定：</w:t>
      </w:r>
      <w:r>
        <w:rPr>
          <w:color w:val="auto"/>
          <w:kern w:val="0"/>
          <w:highlight w:val="none"/>
          <w:u w:val="single"/>
        </w:rPr>
        <w:t xml:space="preserve"> </w:t>
      </w:r>
      <w:r>
        <w:rPr>
          <w:rFonts w:hint="eastAsia"/>
          <w:color w:val="auto"/>
          <w:kern w:val="0"/>
          <w:highlight w:val="none"/>
          <w:u w:val="single"/>
        </w:rPr>
        <w:t>承包人必须到</w:t>
      </w:r>
      <w:r>
        <w:rPr>
          <w:rFonts w:hint="eastAsia"/>
          <w:color w:val="auto"/>
          <w:kern w:val="0"/>
          <w:highlight w:val="none"/>
          <w:u w:val="single"/>
          <w:lang w:val="en-US" w:eastAsia="zh-CN"/>
        </w:rPr>
        <w:t>陆川县</w:t>
      </w:r>
      <w:r>
        <w:rPr>
          <w:rFonts w:hint="eastAsia" w:ascii="Times New Roman" w:hAnsi="Times New Roman" w:eastAsia="宋体" w:cs="Times New Roman"/>
          <w:color w:val="auto"/>
          <w:kern w:val="0"/>
          <w:highlight w:val="none"/>
          <w:u w:val="single"/>
        </w:rPr>
        <w:t>社会保障局为</w:t>
      </w:r>
      <w:r>
        <w:rPr>
          <w:rFonts w:hint="eastAsia"/>
          <w:color w:val="auto"/>
          <w:kern w:val="0"/>
          <w:highlight w:val="none"/>
          <w:u w:val="single"/>
        </w:rPr>
        <w:t xml:space="preserve">其施工现场的全部作业人员办理工伤保险并支付保险费，费用含在合同总价内 </w:t>
      </w:r>
      <w:r>
        <w:rPr>
          <w:color w:val="auto"/>
          <w:kern w:val="0"/>
          <w:highlight w:val="none"/>
          <w:u w:val="single"/>
        </w:rPr>
        <w:t xml:space="preserve">   </w:t>
      </w:r>
      <w:r>
        <w:rPr>
          <w:rFonts w:hint="eastAsia" w:hAnsi="宋体" w:cs="宋体"/>
          <w:color w:val="auto"/>
          <w:kern w:val="0"/>
          <w:highlight w:val="none"/>
        </w:rPr>
        <w:t>。</w:t>
      </w:r>
    </w:p>
    <w:p w14:paraId="260A9655">
      <w:pPr>
        <w:pStyle w:val="4"/>
        <w:rPr>
          <w:color w:val="auto"/>
          <w:highlight w:val="none"/>
        </w:rPr>
      </w:pPr>
      <w:bookmarkStart w:id="1094" w:name="_Toc373478421"/>
      <w:bookmarkStart w:id="1095" w:name="_Toc407135277"/>
      <w:bookmarkStart w:id="1096" w:name="_Toc14953"/>
      <w:bookmarkStart w:id="1097" w:name="_Toc389065339"/>
      <w:bookmarkStart w:id="1098" w:name="_Toc373227774"/>
      <w:r>
        <w:rPr>
          <w:color w:val="auto"/>
          <w:highlight w:val="none"/>
        </w:rPr>
        <w:t xml:space="preserve">18.3 </w:t>
      </w:r>
      <w:r>
        <w:rPr>
          <w:rFonts w:hint="eastAsia" w:hAnsi="宋体" w:cs="黑体"/>
          <w:color w:val="auto"/>
          <w:highlight w:val="none"/>
        </w:rPr>
        <w:t>其他保险</w:t>
      </w:r>
      <w:bookmarkEnd w:id="1094"/>
      <w:bookmarkEnd w:id="1095"/>
      <w:bookmarkEnd w:id="1096"/>
      <w:bookmarkEnd w:id="1097"/>
      <w:bookmarkEnd w:id="1098"/>
    </w:p>
    <w:p w14:paraId="4AF1BBA5">
      <w:pPr>
        <w:spacing w:line="360" w:lineRule="auto"/>
        <w:ind w:firstLine="420" w:firstLineChars="200"/>
        <w:jc w:val="left"/>
        <w:rPr>
          <w:color w:val="auto"/>
          <w:kern w:val="0"/>
          <w:highlight w:val="none"/>
        </w:rPr>
      </w:pPr>
      <w:r>
        <w:rPr>
          <w:rFonts w:hint="eastAsia" w:hAnsi="宋体" w:cs="宋体"/>
          <w:color w:val="auto"/>
          <w:highlight w:val="none"/>
        </w:rPr>
        <w:t>关于其他保险的约定：</w:t>
      </w:r>
      <w:r>
        <w:rPr>
          <w:rFonts w:hAnsi="宋体"/>
          <w:color w:val="auto"/>
          <w:highlight w:val="none"/>
          <w:u w:val="single"/>
        </w:rPr>
        <w:t xml:space="preserve"> </w:t>
      </w:r>
      <w:r>
        <w:rPr>
          <w:rFonts w:hint="eastAsia" w:hAnsi="宋体"/>
          <w:color w:val="auto"/>
          <w:highlight w:val="none"/>
          <w:u w:val="single"/>
        </w:rPr>
        <w:t xml:space="preserve"> / </w:t>
      </w:r>
      <w:r>
        <w:rPr>
          <w:rFonts w:hAnsi="宋体"/>
          <w:color w:val="auto"/>
          <w:highlight w:val="none"/>
          <w:u w:val="single"/>
        </w:rPr>
        <w:t xml:space="preserve">  </w:t>
      </w:r>
      <w:r>
        <w:rPr>
          <w:rFonts w:hint="eastAsia" w:hAnsi="宋体" w:cs="宋体"/>
          <w:color w:val="auto"/>
          <w:highlight w:val="none"/>
        </w:rPr>
        <w:t>。</w:t>
      </w:r>
    </w:p>
    <w:p w14:paraId="695A93A9">
      <w:pPr>
        <w:spacing w:line="360" w:lineRule="auto"/>
        <w:ind w:firstLine="420" w:firstLineChars="200"/>
        <w:jc w:val="left"/>
        <w:rPr>
          <w:color w:val="auto"/>
          <w:highlight w:val="none"/>
          <w:u w:val="single"/>
        </w:rPr>
      </w:pPr>
      <w:r>
        <w:rPr>
          <w:rFonts w:hint="eastAsia" w:hAnsi="宋体" w:cs="宋体"/>
          <w:color w:val="auto"/>
          <w:highlight w:val="none"/>
        </w:rPr>
        <w:t>承包人是否应为其施工设备等办理财产保险：</w:t>
      </w:r>
      <w:r>
        <w:rPr>
          <w:color w:val="auto"/>
          <w:highlight w:val="none"/>
          <w:u w:val="single"/>
        </w:rPr>
        <w:t xml:space="preserve">      </w:t>
      </w:r>
      <w:r>
        <w:rPr>
          <w:rFonts w:hint="eastAsia"/>
          <w:color w:val="auto"/>
          <w:highlight w:val="none"/>
          <w:u w:val="single"/>
        </w:rPr>
        <w:t xml:space="preserve">由承包人自行决定是否投保 </w:t>
      </w:r>
      <w:r>
        <w:rPr>
          <w:color w:val="auto"/>
          <w:highlight w:val="none"/>
          <w:u w:val="single"/>
        </w:rPr>
        <w:t xml:space="preserve">    </w:t>
      </w:r>
      <w:r>
        <w:rPr>
          <w:rFonts w:hint="eastAsia" w:hAnsi="宋体" w:cs="宋体"/>
          <w:color w:val="auto"/>
          <w:highlight w:val="none"/>
        </w:rPr>
        <w:t>。</w:t>
      </w:r>
    </w:p>
    <w:p w14:paraId="2C24024B">
      <w:pPr>
        <w:pStyle w:val="4"/>
        <w:rPr>
          <w:color w:val="auto"/>
          <w:highlight w:val="none"/>
        </w:rPr>
      </w:pPr>
      <w:bookmarkStart w:id="1099" w:name="_Toc389065340"/>
      <w:bookmarkStart w:id="1100" w:name="_Toc373478422"/>
      <w:bookmarkStart w:id="1101" w:name="_Toc24972"/>
      <w:bookmarkStart w:id="1102" w:name="_Toc373227775"/>
      <w:bookmarkStart w:id="1103" w:name="_Toc407135278"/>
      <w:r>
        <w:rPr>
          <w:color w:val="auto"/>
          <w:highlight w:val="none"/>
        </w:rPr>
        <w:t xml:space="preserve">18.7 </w:t>
      </w:r>
      <w:r>
        <w:rPr>
          <w:rFonts w:hint="eastAsia" w:hAnsi="宋体" w:cs="黑体"/>
          <w:color w:val="auto"/>
          <w:highlight w:val="none"/>
        </w:rPr>
        <w:t>通知义务</w:t>
      </w:r>
      <w:bookmarkEnd w:id="1099"/>
      <w:bookmarkEnd w:id="1100"/>
      <w:bookmarkEnd w:id="1101"/>
      <w:bookmarkEnd w:id="1102"/>
      <w:bookmarkEnd w:id="1103"/>
    </w:p>
    <w:p w14:paraId="70EFB915">
      <w:pPr>
        <w:spacing w:line="360" w:lineRule="auto"/>
        <w:ind w:firstLine="420" w:firstLineChars="200"/>
        <w:jc w:val="left"/>
        <w:rPr>
          <w:color w:val="auto"/>
          <w:highlight w:val="none"/>
          <w:u w:val="single"/>
        </w:rPr>
      </w:pPr>
      <w:r>
        <w:rPr>
          <w:rFonts w:hint="eastAsia" w:hAnsi="宋体" w:cs="宋体"/>
          <w:color w:val="auto"/>
          <w:kern w:val="0"/>
          <w:highlight w:val="none"/>
        </w:rPr>
        <w:t>关于变更保险合同时的通知义务的约定：</w:t>
      </w:r>
      <w:r>
        <w:rPr>
          <w:color w:val="auto"/>
          <w:highlight w:val="none"/>
          <w:u w:val="single"/>
        </w:rPr>
        <w:t xml:space="preserve">   </w:t>
      </w:r>
      <w:r>
        <w:rPr>
          <w:rFonts w:hint="eastAsia"/>
          <w:color w:val="auto"/>
          <w:highlight w:val="none"/>
          <w:u w:val="single"/>
        </w:rPr>
        <w:t>由承包人自行决定是否投保</w:t>
      </w:r>
      <w:r>
        <w:rPr>
          <w:color w:val="auto"/>
          <w:highlight w:val="none"/>
          <w:u w:val="single"/>
        </w:rPr>
        <w:t xml:space="preserve">       </w:t>
      </w:r>
      <w:r>
        <w:rPr>
          <w:rFonts w:hint="eastAsia" w:hAnsi="宋体" w:cs="宋体"/>
          <w:color w:val="auto"/>
          <w:highlight w:val="none"/>
        </w:rPr>
        <w:t>。</w:t>
      </w:r>
    </w:p>
    <w:bookmarkEnd w:id="1013"/>
    <w:bookmarkEnd w:id="1014"/>
    <w:bookmarkEnd w:id="1015"/>
    <w:bookmarkEnd w:id="1016"/>
    <w:bookmarkEnd w:id="1017"/>
    <w:bookmarkEnd w:id="1018"/>
    <w:bookmarkEnd w:id="1019"/>
    <w:bookmarkEnd w:id="1020"/>
    <w:bookmarkEnd w:id="1021"/>
    <w:bookmarkEnd w:id="1022"/>
    <w:bookmarkEnd w:id="1023"/>
    <w:bookmarkEnd w:id="1024"/>
    <w:p w14:paraId="6A29B7D4">
      <w:pPr>
        <w:pStyle w:val="3"/>
        <w:keepNext/>
        <w:keepLines/>
        <w:pageBreakBefore w:val="0"/>
        <w:widowControl w:val="0"/>
        <w:kinsoku/>
        <w:wordWrap/>
        <w:overflowPunct/>
        <w:topLinePunct w:val="0"/>
        <w:autoSpaceDE/>
        <w:autoSpaceDN/>
        <w:bidi w:val="0"/>
        <w:adjustRightInd/>
        <w:snapToGrid/>
        <w:spacing w:before="0" w:after="0"/>
        <w:textAlignment w:val="auto"/>
        <w:rPr>
          <w:color w:val="auto"/>
          <w:highlight w:val="none"/>
        </w:rPr>
      </w:pPr>
      <w:bookmarkStart w:id="1104" w:name="_Toc351203651"/>
      <w:bookmarkStart w:id="1105" w:name="_Toc22496"/>
      <w:bookmarkStart w:id="1106" w:name="_Toc407135279"/>
      <w:bookmarkStart w:id="1107" w:name="_Toc373227776"/>
      <w:bookmarkStart w:id="1108" w:name="_Toc389065341"/>
      <w:bookmarkStart w:id="1109" w:name="_Toc373478423"/>
      <w:r>
        <w:rPr>
          <w:color w:val="auto"/>
          <w:highlight w:val="none"/>
        </w:rPr>
        <w:t xml:space="preserve">20. </w:t>
      </w:r>
      <w:r>
        <w:rPr>
          <w:rFonts w:hint="eastAsia" w:hAnsi="宋体" w:cs="黑体"/>
          <w:color w:val="auto"/>
          <w:highlight w:val="none"/>
        </w:rPr>
        <w:t>争议解决</w:t>
      </w:r>
      <w:bookmarkEnd w:id="1104"/>
      <w:bookmarkEnd w:id="1105"/>
      <w:bookmarkEnd w:id="1106"/>
      <w:bookmarkEnd w:id="1107"/>
      <w:bookmarkEnd w:id="1108"/>
      <w:bookmarkEnd w:id="1109"/>
    </w:p>
    <w:bookmarkEnd w:id="1025"/>
    <w:bookmarkEnd w:id="1026"/>
    <w:p w14:paraId="5841B311">
      <w:pPr>
        <w:pStyle w:val="4"/>
        <w:keepNext/>
        <w:keepLines/>
        <w:pageBreakBefore w:val="0"/>
        <w:widowControl w:val="0"/>
        <w:kinsoku/>
        <w:wordWrap/>
        <w:overflowPunct/>
        <w:topLinePunct w:val="0"/>
        <w:autoSpaceDE/>
        <w:autoSpaceDN/>
        <w:bidi w:val="0"/>
        <w:adjustRightInd/>
        <w:snapToGrid/>
        <w:textAlignment w:val="auto"/>
        <w:rPr>
          <w:color w:val="auto"/>
          <w:highlight w:val="none"/>
        </w:rPr>
      </w:pPr>
      <w:bookmarkStart w:id="1110" w:name="_Toc7323"/>
      <w:bookmarkStart w:id="1111" w:name="_Toc407135280"/>
      <w:bookmarkStart w:id="1112" w:name="_Toc389065342"/>
      <w:bookmarkStart w:id="1113" w:name="_Toc373227777"/>
      <w:bookmarkStart w:id="1114" w:name="_Toc373478424"/>
      <w:r>
        <w:rPr>
          <w:color w:val="auto"/>
          <w:highlight w:val="none"/>
        </w:rPr>
        <w:t xml:space="preserve">20.3 </w:t>
      </w:r>
      <w:r>
        <w:rPr>
          <w:rFonts w:hint="eastAsia" w:hAnsi="宋体" w:cs="黑体"/>
          <w:color w:val="auto"/>
          <w:highlight w:val="none"/>
        </w:rPr>
        <w:t>争</w:t>
      </w:r>
      <w:bookmarkEnd w:id="1027"/>
      <w:r>
        <w:rPr>
          <w:rFonts w:hint="eastAsia" w:hAnsi="宋体" w:cs="黑体"/>
          <w:color w:val="auto"/>
          <w:highlight w:val="none"/>
        </w:rPr>
        <w:t>议评审</w:t>
      </w:r>
      <w:bookmarkEnd w:id="1110"/>
      <w:bookmarkEnd w:id="1111"/>
      <w:bookmarkEnd w:id="1112"/>
      <w:bookmarkEnd w:id="1113"/>
      <w:bookmarkEnd w:id="1114"/>
    </w:p>
    <w:p w14:paraId="579E09C0">
      <w:pPr>
        <w:spacing w:line="360" w:lineRule="auto"/>
        <w:ind w:left="149" w:leftChars="71" w:firstLine="315" w:firstLineChars="150"/>
        <w:jc w:val="left"/>
        <w:rPr>
          <w:color w:val="auto"/>
          <w:highlight w:val="none"/>
          <w:u w:val="single"/>
        </w:rPr>
      </w:pPr>
      <w:r>
        <w:rPr>
          <w:rFonts w:hint="eastAsia" w:hAnsi="宋体" w:cs="宋体"/>
          <w:color w:val="auto"/>
          <w:highlight w:val="none"/>
        </w:rPr>
        <w:t>合同当事人是否同意将工程争议提交争议评审小组决定：</w:t>
      </w:r>
      <w:r>
        <w:rPr>
          <w:color w:val="auto"/>
          <w:highlight w:val="none"/>
          <w:u w:val="single"/>
        </w:rPr>
        <w:t xml:space="preserve">    </w:t>
      </w:r>
      <w:r>
        <w:rPr>
          <w:rFonts w:hint="eastAsia"/>
          <w:color w:val="auto"/>
          <w:highlight w:val="none"/>
          <w:u w:val="single"/>
        </w:rPr>
        <w:t>由双方另行协商</w:t>
      </w:r>
      <w:r>
        <w:rPr>
          <w:color w:val="auto"/>
          <w:highlight w:val="none"/>
          <w:u w:val="single"/>
        </w:rPr>
        <w:t xml:space="preserve">   </w:t>
      </w:r>
      <w:r>
        <w:rPr>
          <w:rFonts w:hint="eastAsia" w:hAnsi="宋体" w:cs="宋体"/>
          <w:color w:val="auto"/>
          <w:highlight w:val="none"/>
        </w:rPr>
        <w:t>。</w:t>
      </w:r>
    </w:p>
    <w:p w14:paraId="41C025FF">
      <w:pPr>
        <w:spacing w:line="360" w:lineRule="auto"/>
        <w:ind w:firstLine="420" w:firstLineChars="200"/>
        <w:jc w:val="left"/>
        <w:outlineLvl w:val="0"/>
        <w:rPr>
          <w:color w:val="auto"/>
          <w:highlight w:val="none"/>
        </w:rPr>
      </w:pPr>
      <w:r>
        <w:rPr>
          <w:color w:val="auto"/>
          <w:highlight w:val="none"/>
        </w:rPr>
        <w:t xml:space="preserve">20.3.1 </w:t>
      </w:r>
      <w:r>
        <w:rPr>
          <w:rFonts w:hint="eastAsia" w:hAnsi="宋体" w:cs="宋体"/>
          <w:color w:val="auto"/>
          <w:highlight w:val="none"/>
        </w:rPr>
        <w:t>争议评审小组的确定</w:t>
      </w:r>
    </w:p>
    <w:p w14:paraId="203BB337">
      <w:pPr>
        <w:spacing w:line="360" w:lineRule="auto"/>
        <w:ind w:firstLine="420" w:firstLineChars="200"/>
        <w:jc w:val="left"/>
        <w:rPr>
          <w:color w:val="auto"/>
          <w:highlight w:val="none"/>
          <w:u w:val="single"/>
        </w:rPr>
      </w:pPr>
      <w:r>
        <w:rPr>
          <w:rFonts w:hint="eastAsia" w:hAnsi="宋体" w:cs="宋体"/>
          <w:color w:val="auto"/>
          <w:highlight w:val="none"/>
        </w:rPr>
        <w:t>争议评审小组成员的确定：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45C79BD">
      <w:pPr>
        <w:spacing w:line="360" w:lineRule="auto"/>
        <w:ind w:firstLine="420" w:firstLineChars="200"/>
        <w:jc w:val="left"/>
        <w:rPr>
          <w:color w:val="auto"/>
          <w:highlight w:val="none"/>
        </w:rPr>
      </w:pPr>
      <w:r>
        <w:rPr>
          <w:rFonts w:hint="eastAsia" w:hAnsi="宋体" w:cs="宋体"/>
          <w:color w:val="auto"/>
          <w:highlight w:val="none"/>
        </w:rPr>
        <w:t>选定争议评审员的期限：</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442C5830">
      <w:pPr>
        <w:spacing w:line="360" w:lineRule="auto"/>
        <w:ind w:firstLine="420" w:firstLineChars="200"/>
        <w:jc w:val="left"/>
        <w:rPr>
          <w:color w:val="auto"/>
          <w:highlight w:val="none"/>
        </w:rPr>
      </w:pPr>
      <w:r>
        <w:rPr>
          <w:rFonts w:hint="eastAsia" w:hAnsi="宋体" w:cs="宋体"/>
          <w:color w:val="auto"/>
          <w:highlight w:val="none"/>
        </w:rPr>
        <w:t>争议评审小组成员的报酬承担方式：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39FEEE1E">
      <w:pPr>
        <w:spacing w:line="360" w:lineRule="auto"/>
        <w:ind w:firstLine="420" w:firstLineChars="200"/>
        <w:jc w:val="left"/>
        <w:rPr>
          <w:color w:val="auto"/>
          <w:highlight w:val="none"/>
        </w:rPr>
      </w:pPr>
      <w:r>
        <w:rPr>
          <w:rFonts w:hint="eastAsia" w:hAnsi="宋体" w:cs="宋体"/>
          <w:color w:val="auto"/>
          <w:highlight w:val="none"/>
        </w:rPr>
        <w:t>其他事项的约定：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76BE6CFE">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20.3.2 </w:t>
      </w:r>
      <w:r>
        <w:rPr>
          <w:rFonts w:hint="eastAsia" w:hAnsi="宋体" w:cs="宋体"/>
          <w:color w:val="auto"/>
          <w:kern w:val="0"/>
          <w:highlight w:val="none"/>
        </w:rPr>
        <w:t>争议评审小组的决定</w:t>
      </w:r>
    </w:p>
    <w:p w14:paraId="7EEBB016">
      <w:pPr>
        <w:spacing w:line="360" w:lineRule="auto"/>
        <w:ind w:firstLine="420" w:firstLineChars="200"/>
        <w:jc w:val="left"/>
        <w:rPr>
          <w:color w:val="auto"/>
          <w:highlight w:val="none"/>
        </w:rPr>
      </w:pPr>
      <w:r>
        <w:rPr>
          <w:rFonts w:hint="eastAsia" w:hAnsi="宋体" w:cs="宋体"/>
          <w:color w:val="auto"/>
          <w:highlight w:val="none"/>
        </w:rPr>
        <w:t>合同当事人关于本项的约定：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14:paraId="547FCC33">
      <w:pPr>
        <w:pStyle w:val="4"/>
        <w:rPr>
          <w:color w:val="auto"/>
          <w:highlight w:val="none"/>
        </w:rPr>
      </w:pPr>
      <w:bookmarkStart w:id="1115" w:name="_Toc407135281"/>
      <w:bookmarkStart w:id="1116" w:name="_Toc22134"/>
      <w:bookmarkStart w:id="1117" w:name="_Toc373227778"/>
      <w:bookmarkStart w:id="1118" w:name="_Toc389065343"/>
      <w:bookmarkStart w:id="1119" w:name="_Toc373478425"/>
      <w:r>
        <w:rPr>
          <w:color w:val="auto"/>
          <w:highlight w:val="none"/>
        </w:rPr>
        <w:t xml:space="preserve">20.4 </w:t>
      </w:r>
      <w:r>
        <w:rPr>
          <w:rFonts w:hint="eastAsia" w:hAnsi="宋体" w:cs="黑体"/>
          <w:color w:val="auto"/>
          <w:highlight w:val="none"/>
        </w:rPr>
        <w:t>仲裁或诉讼</w:t>
      </w:r>
      <w:bookmarkEnd w:id="1028"/>
      <w:bookmarkEnd w:id="1115"/>
      <w:bookmarkEnd w:id="1116"/>
      <w:bookmarkEnd w:id="1117"/>
      <w:bookmarkEnd w:id="1118"/>
      <w:bookmarkEnd w:id="1119"/>
    </w:p>
    <w:p w14:paraId="112FAE21">
      <w:pPr>
        <w:spacing w:line="360" w:lineRule="auto"/>
        <w:ind w:firstLine="420" w:firstLineChars="200"/>
        <w:rPr>
          <w:color w:val="auto"/>
          <w:highlight w:val="none"/>
        </w:rPr>
      </w:pPr>
      <w:r>
        <w:rPr>
          <w:rFonts w:hint="eastAsia" w:hAnsi="宋体" w:cs="宋体"/>
          <w:color w:val="auto"/>
          <w:highlight w:val="none"/>
        </w:rPr>
        <w:t>因合同及合同有关事项发生的争议，按下列第</w:t>
      </w:r>
      <w:r>
        <w:rPr>
          <w:color w:val="auto"/>
          <w:highlight w:val="none"/>
          <w:u w:val="single"/>
        </w:rPr>
        <w:t xml:space="preserve">  </w:t>
      </w:r>
      <w:r>
        <w:rPr>
          <w:rFonts w:hint="eastAsia"/>
          <w:color w:val="auto"/>
          <w:highlight w:val="none"/>
          <w:u w:val="single"/>
        </w:rPr>
        <w:t>（1）</w:t>
      </w:r>
      <w:r>
        <w:rPr>
          <w:color w:val="auto"/>
          <w:highlight w:val="none"/>
          <w:u w:val="single"/>
        </w:rPr>
        <w:t xml:space="preserve">   </w:t>
      </w:r>
      <w:r>
        <w:rPr>
          <w:rFonts w:hint="eastAsia" w:hAnsi="宋体" w:cs="宋体"/>
          <w:color w:val="auto"/>
          <w:highlight w:val="none"/>
        </w:rPr>
        <w:t>种方式解决：</w:t>
      </w:r>
    </w:p>
    <w:p w14:paraId="3235428B">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）提请</w:t>
      </w:r>
      <w:r>
        <w:rPr>
          <w:color w:val="auto"/>
          <w:highlight w:val="none"/>
          <w:u w:val="single"/>
        </w:rPr>
        <w:t xml:space="preserve">  </w:t>
      </w:r>
      <w:r>
        <w:rPr>
          <w:rFonts w:hint="eastAsia"/>
          <w:color w:val="auto"/>
          <w:highlight w:val="none"/>
          <w:u w:val="single"/>
        </w:rPr>
        <w:t>玉林市</w:t>
      </w:r>
      <w:r>
        <w:rPr>
          <w:color w:val="auto"/>
          <w:highlight w:val="none"/>
          <w:u w:val="single"/>
        </w:rPr>
        <w:t xml:space="preserve">   </w:t>
      </w:r>
      <w:r>
        <w:rPr>
          <w:rFonts w:hint="eastAsia" w:hAnsi="宋体" w:cs="宋体"/>
          <w:color w:val="auto"/>
          <w:highlight w:val="none"/>
        </w:rPr>
        <w:t>仲裁委员会按照该会仲裁规则进行仲裁，仲裁裁决是终局的，对合同双方均有约束力。</w:t>
      </w:r>
    </w:p>
    <w:p w14:paraId="0ECB3687">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color w:val="auto"/>
          <w:highlight w:val="none"/>
          <w:u w:val="single"/>
          <w:lang w:val="en-US" w:eastAsia="zh-CN"/>
        </w:rPr>
        <w:t>陆川县</w:t>
      </w:r>
      <w:r>
        <w:rPr>
          <w:color w:val="auto"/>
          <w:highlight w:val="none"/>
          <w:u w:val="single"/>
        </w:rPr>
        <w:t xml:space="preserve">   </w:t>
      </w:r>
      <w:r>
        <w:rPr>
          <w:rFonts w:hint="eastAsia" w:hAnsi="宋体" w:cs="宋体"/>
          <w:color w:val="auto"/>
          <w:highlight w:val="none"/>
        </w:rPr>
        <w:t>人民法院起诉。</w:t>
      </w:r>
      <w:bookmarkEnd w:id="1029"/>
      <w:bookmarkEnd w:id="1030"/>
      <w:bookmarkEnd w:id="1031"/>
      <w:bookmarkEnd w:id="1032"/>
      <w:bookmarkEnd w:id="1033"/>
      <w:bookmarkEnd w:id="1034"/>
    </w:p>
    <w:p w14:paraId="7803EF1F">
      <w:pPr>
        <w:spacing w:line="360" w:lineRule="auto"/>
        <w:ind w:firstLine="480" w:firstLineChars="200"/>
        <w:jc w:val="left"/>
        <w:rPr>
          <w:rFonts w:hint="eastAsia" w:ascii="仿宋_GB2312" w:hAnsi="仿宋_GB2312" w:eastAsia="仿宋_GB2312" w:cs="仿宋_GB2312"/>
          <w:color w:val="auto"/>
          <w:sz w:val="24"/>
          <w:highlight w:val="none"/>
        </w:rPr>
      </w:pPr>
    </w:p>
    <w:p w14:paraId="51679700">
      <w:pPr>
        <w:spacing w:line="360" w:lineRule="auto"/>
        <w:jc w:val="left"/>
        <w:rPr>
          <w:rFonts w:eastAsia="黑体"/>
          <w:b/>
          <w:color w:val="auto"/>
          <w:sz w:val="24"/>
          <w:highlight w:val="none"/>
        </w:rPr>
      </w:pPr>
      <w:r>
        <w:rPr>
          <w:rFonts w:eastAsia="仿宋_GB2312"/>
          <w:color w:val="auto"/>
          <w:sz w:val="24"/>
          <w:highlight w:val="none"/>
        </w:rPr>
        <w:br w:type="page"/>
      </w:r>
      <w:bookmarkStart w:id="1120" w:name="_Toc351203652"/>
      <w:r>
        <w:rPr>
          <w:rFonts w:eastAsia="黑体"/>
          <w:b/>
          <w:color w:val="auto"/>
          <w:sz w:val="24"/>
          <w:highlight w:val="none"/>
        </w:rPr>
        <w:t>附件</w:t>
      </w:r>
      <w:bookmarkEnd w:id="1120"/>
    </w:p>
    <w:p w14:paraId="6523A1F7">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14:paraId="484D85C9">
      <w:pPr>
        <w:spacing w:line="360" w:lineRule="auto"/>
        <w:jc w:val="left"/>
        <w:outlineLvl w:val="0"/>
        <w:rPr>
          <w:rFonts w:hint="eastAsia" w:ascii="宋体" w:hAnsi="宋体" w:eastAsia="宋体" w:cs="宋体"/>
          <w:color w:val="auto"/>
          <w:sz w:val="21"/>
          <w:szCs w:val="21"/>
          <w:highlight w:val="none"/>
        </w:rPr>
      </w:pPr>
      <w:bookmarkStart w:id="1121" w:name="_Toc2234"/>
      <w:bookmarkStart w:id="1122" w:name="_Toc14634"/>
      <w:bookmarkStart w:id="1123" w:name="_Toc13053"/>
      <w:r>
        <w:rPr>
          <w:rFonts w:hint="eastAsia" w:ascii="宋体" w:hAnsi="宋体" w:eastAsia="宋体" w:cs="宋体"/>
          <w:color w:val="auto"/>
          <w:sz w:val="21"/>
          <w:szCs w:val="21"/>
          <w:highlight w:val="none"/>
        </w:rPr>
        <w:t>附件1：承包人承揽工程项目一览表</w:t>
      </w:r>
      <w:bookmarkEnd w:id="1121"/>
      <w:bookmarkEnd w:id="1122"/>
      <w:bookmarkEnd w:id="1123"/>
    </w:p>
    <w:p w14:paraId="76861AAE">
      <w:pPr>
        <w:spacing w:line="360" w:lineRule="auto"/>
        <w:jc w:val="left"/>
        <w:outlineLvl w:val="0"/>
        <w:rPr>
          <w:rFonts w:hint="eastAsia" w:ascii="宋体" w:hAnsi="宋体" w:eastAsia="宋体" w:cs="宋体"/>
          <w:color w:val="auto"/>
          <w:sz w:val="21"/>
          <w:szCs w:val="21"/>
          <w:highlight w:val="none"/>
        </w:rPr>
      </w:pPr>
      <w:bookmarkStart w:id="1124" w:name="_Toc28194"/>
      <w:bookmarkStart w:id="1125" w:name="_Toc25420"/>
      <w:bookmarkStart w:id="1126" w:name="_Toc31659"/>
      <w:r>
        <w:rPr>
          <w:rFonts w:hint="eastAsia" w:ascii="宋体" w:hAnsi="宋体" w:eastAsia="宋体" w:cs="宋体"/>
          <w:color w:val="auto"/>
          <w:sz w:val="21"/>
          <w:szCs w:val="21"/>
          <w:highlight w:val="none"/>
        </w:rPr>
        <w:t>附件2：工程质量保修书</w:t>
      </w:r>
      <w:bookmarkEnd w:id="1124"/>
      <w:bookmarkEnd w:id="1125"/>
      <w:bookmarkEnd w:id="1126"/>
    </w:p>
    <w:p w14:paraId="76C4C850">
      <w:pPr>
        <w:spacing w:line="360" w:lineRule="auto"/>
        <w:jc w:val="left"/>
        <w:outlineLvl w:val="0"/>
        <w:rPr>
          <w:rFonts w:hint="eastAsia" w:ascii="宋体" w:hAnsi="宋体" w:eastAsia="宋体" w:cs="宋体"/>
          <w:color w:val="auto"/>
          <w:sz w:val="21"/>
          <w:szCs w:val="21"/>
          <w:highlight w:val="none"/>
        </w:rPr>
      </w:pPr>
      <w:bookmarkStart w:id="1127" w:name="_Toc22089"/>
      <w:bookmarkStart w:id="1128" w:name="_Toc21670"/>
      <w:bookmarkStart w:id="1129" w:name="_Toc598"/>
      <w:r>
        <w:rPr>
          <w:rFonts w:hint="eastAsia" w:ascii="宋体" w:hAnsi="宋体" w:eastAsia="宋体" w:cs="宋体"/>
          <w:color w:val="auto"/>
          <w:sz w:val="21"/>
          <w:szCs w:val="21"/>
          <w:highlight w:val="none"/>
        </w:rPr>
        <w:t>附件3：主要建设工程文件目录</w:t>
      </w:r>
      <w:bookmarkEnd w:id="1127"/>
      <w:bookmarkEnd w:id="1128"/>
      <w:bookmarkEnd w:id="1129"/>
    </w:p>
    <w:p w14:paraId="49FB996F">
      <w:pPr>
        <w:spacing w:line="360" w:lineRule="auto"/>
        <w:jc w:val="left"/>
        <w:outlineLvl w:val="0"/>
        <w:rPr>
          <w:rFonts w:hint="eastAsia" w:ascii="宋体" w:hAnsi="宋体" w:eastAsia="宋体" w:cs="宋体"/>
          <w:color w:val="auto"/>
          <w:sz w:val="21"/>
          <w:szCs w:val="21"/>
          <w:highlight w:val="none"/>
        </w:rPr>
      </w:pPr>
      <w:bookmarkStart w:id="1130" w:name="_Toc18392"/>
      <w:bookmarkStart w:id="1131" w:name="_Toc21252"/>
      <w:bookmarkStart w:id="1132" w:name="_Toc19261"/>
      <w:r>
        <w:rPr>
          <w:rFonts w:hint="eastAsia" w:ascii="宋体" w:hAnsi="宋体" w:eastAsia="宋体" w:cs="宋体"/>
          <w:color w:val="auto"/>
          <w:sz w:val="21"/>
          <w:szCs w:val="21"/>
          <w:highlight w:val="none"/>
        </w:rPr>
        <w:t>附件4：承包人用于本工程施工的机械设备表</w:t>
      </w:r>
      <w:bookmarkEnd w:id="1130"/>
      <w:bookmarkEnd w:id="1131"/>
      <w:bookmarkEnd w:id="1132"/>
    </w:p>
    <w:p w14:paraId="27C58A34">
      <w:pPr>
        <w:spacing w:line="360" w:lineRule="auto"/>
        <w:jc w:val="left"/>
        <w:outlineLvl w:val="0"/>
        <w:rPr>
          <w:rFonts w:hint="eastAsia" w:ascii="宋体" w:hAnsi="宋体" w:eastAsia="宋体" w:cs="宋体"/>
          <w:color w:val="auto"/>
          <w:sz w:val="21"/>
          <w:szCs w:val="21"/>
          <w:highlight w:val="none"/>
        </w:rPr>
      </w:pPr>
      <w:bookmarkStart w:id="1133" w:name="_Toc31025"/>
      <w:bookmarkStart w:id="1134" w:name="_Toc24202"/>
      <w:bookmarkStart w:id="1135" w:name="_Toc23659"/>
      <w:r>
        <w:rPr>
          <w:rFonts w:hint="eastAsia" w:ascii="宋体" w:hAnsi="宋体" w:eastAsia="宋体" w:cs="宋体"/>
          <w:color w:val="auto"/>
          <w:sz w:val="21"/>
          <w:szCs w:val="21"/>
          <w:highlight w:val="none"/>
        </w:rPr>
        <w:t>附件5：承包人主要施工管理人员表</w:t>
      </w:r>
      <w:bookmarkEnd w:id="1133"/>
      <w:bookmarkEnd w:id="1134"/>
      <w:bookmarkEnd w:id="1135"/>
    </w:p>
    <w:p w14:paraId="2CE42FC0">
      <w:pPr>
        <w:spacing w:line="360" w:lineRule="auto"/>
        <w:jc w:val="left"/>
        <w:rPr>
          <w:rFonts w:eastAsia="仿宋_GB2312"/>
          <w:color w:val="auto"/>
          <w:sz w:val="24"/>
          <w:highlight w:val="none"/>
        </w:rPr>
      </w:pPr>
    </w:p>
    <w:p w14:paraId="1DBCD45C">
      <w:pPr>
        <w:spacing w:line="360" w:lineRule="auto"/>
        <w:jc w:val="left"/>
        <w:rPr>
          <w:rFonts w:eastAsia="仿宋_GB2312"/>
          <w:color w:val="auto"/>
          <w:sz w:val="30"/>
          <w:szCs w:val="32"/>
          <w:highlight w:val="none"/>
        </w:rPr>
      </w:pPr>
    </w:p>
    <w:p w14:paraId="75C26AD4">
      <w:pPr>
        <w:spacing w:line="360" w:lineRule="auto"/>
        <w:jc w:val="left"/>
        <w:rPr>
          <w:rFonts w:eastAsia="仿宋_GB2312"/>
          <w:color w:val="auto"/>
          <w:sz w:val="30"/>
          <w:szCs w:val="32"/>
          <w:highlight w:val="none"/>
        </w:rPr>
      </w:pPr>
    </w:p>
    <w:p w14:paraId="69DAD028">
      <w:pPr>
        <w:spacing w:line="360" w:lineRule="auto"/>
        <w:jc w:val="left"/>
        <w:rPr>
          <w:rFonts w:eastAsia="仿宋_GB2312"/>
          <w:color w:val="auto"/>
          <w:sz w:val="30"/>
          <w:szCs w:val="32"/>
          <w:highlight w:val="none"/>
        </w:rPr>
      </w:pPr>
    </w:p>
    <w:p w14:paraId="4293C08A">
      <w:pPr>
        <w:spacing w:line="360" w:lineRule="auto"/>
        <w:jc w:val="left"/>
        <w:rPr>
          <w:rFonts w:eastAsia="黑体"/>
          <w:color w:val="auto"/>
          <w:sz w:val="30"/>
          <w:szCs w:val="30"/>
          <w:highlight w:val="none"/>
        </w:rPr>
        <w:sectPr>
          <w:footerReference r:id="rId13" w:type="first"/>
          <w:footerReference r:id="rId12" w:type="default"/>
          <w:pgSz w:w="11906" w:h="16838"/>
          <w:pgMar w:top="1134" w:right="1134" w:bottom="1134" w:left="1134" w:header="720" w:footer="992" w:gutter="0"/>
          <w:pgNumType w:fmt="decimal"/>
          <w:cols w:space="720" w:num="1"/>
          <w:titlePg/>
          <w:docGrid w:type="lines" w:linePitch="312" w:charSpace="0"/>
        </w:sectPr>
      </w:pPr>
    </w:p>
    <w:p w14:paraId="741BF14D">
      <w:pPr>
        <w:spacing w:before="156" w:beforeLines="50" w:after="156" w:afterLines="50" w:line="440" w:lineRule="exact"/>
        <w:jc w:val="left"/>
        <w:outlineLvl w:val="0"/>
        <w:rPr>
          <w:rFonts w:hint="eastAsia" w:ascii="仿宋_GB2312" w:eastAsia="仿宋_GB2312"/>
          <w:color w:val="auto"/>
          <w:sz w:val="30"/>
          <w:szCs w:val="30"/>
          <w:highlight w:val="none"/>
        </w:rPr>
      </w:pPr>
      <w:bookmarkStart w:id="1136" w:name="_Toc4855"/>
      <w:bookmarkStart w:id="1137" w:name="_Toc25163"/>
      <w:bookmarkStart w:id="1138" w:name="_Toc7540"/>
      <w:r>
        <w:rPr>
          <w:rFonts w:hint="eastAsia" w:ascii="仿宋_GB2312" w:eastAsia="仿宋_GB2312"/>
          <w:color w:val="auto"/>
          <w:sz w:val="30"/>
          <w:szCs w:val="30"/>
          <w:highlight w:val="none"/>
        </w:rPr>
        <w:t>附件1：</w:t>
      </w:r>
      <w:bookmarkEnd w:id="1136"/>
      <w:bookmarkEnd w:id="1137"/>
      <w:bookmarkEnd w:id="1138"/>
    </w:p>
    <w:p w14:paraId="6F7C41C2">
      <w:pPr>
        <w:spacing w:before="156" w:beforeLines="50" w:after="156" w:afterLines="50" w:line="440" w:lineRule="exact"/>
        <w:jc w:val="center"/>
        <w:rPr>
          <w:rFonts w:hint="eastAsia" w:eastAsia="黑体"/>
          <w:color w:val="auto"/>
          <w:sz w:val="30"/>
          <w:szCs w:val="30"/>
          <w:highlight w:val="none"/>
        </w:rPr>
      </w:pPr>
      <w:r>
        <w:rPr>
          <w:rFonts w:eastAsia="黑体"/>
          <w:color w:val="auto"/>
          <w:sz w:val="30"/>
          <w:szCs w:val="30"/>
          <w:highlight w:val="none"/>
        </w:rPr>
        <w:t>承包人承揽工程项目一览表</w:t>
      </w:r>
    </w:p>
    <w:tbl>
      <w:tblPr>
        <w:tblStyle w:val="25"/>
        <w:tblW w:w="14601"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33B9A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698C27BF">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单位工程名称</w:t>
            </w:r>
          </w:p>
        </w:tc>
        <w:tc>
          <w:tcPr>
            <w:tcW w:w="1843" w:type="dxa"/>
            <w:tcBorders>
              <w:top w:val="single" w:color="auto" w:sz="12" w:space="0"/>
              <w:bottom w:val="double" w:color="auto" w:sz="6" w:space="0"/>
            </w:tcBorders>
            <w:noWrap w:val="0"/>
            <w:vAlign w:val="center"/>
          </w:tcPr>
          <w:p w14:paraId="23D6573F">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建设规模</w:t>
            </w:r>
          </w:p>
        </w:tc>
        <w:tc>
          <w:tcPr>
            <w:tcW w:w="1417" w:type="dxa"/>
            <w:tcBorders>
              <w:top w:val="single" w:color="auto" w:sz="12" w:space="0"/>
              <w:bottom w:val="double" w:color="auto" w:sz="6" w:space="0"/>
            </w:tcBorders>
            <w:noWrap w:val="0"/>
            <w:vAlign w:val="center"/>
          </w:tcPr>
          <w:p w14:paraId="12A0D9D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建筑面积</w:t>
            </w:r>
            <w:r>
              <w:rPr>
                <w:rFonts w:hint="eastAsia" w:eastAsia="仿宋_GB2312"/>
                <w:color w:val="auto"/>
                <w:sz w:val="28"/>
                <w:szCs w:val="30"/>
                <w:highlight w:val="none"/>
                <w:lang w:eastAsia="zh-CN"/>
              </w:rPr>
              <w:t>（</w:t>
            </w:r>
            <w:r>
              <w:rPr>
                <w:rFonts w:eastAsia="仿宋_GB2312"/>
                <w:color w:val="auto"/>
                <w:sz w:val="28"/>
                <w:szCs w:val="30"/>
                <w:highlight w:val="none"/>
              </w:rPr>
              <w:t>平方米</w:t>
            </w:r>
            <w:r>
              <w:rPr>
                <w:rFonts w:hint="eastAsia" w:eastAsia="仿宋_GB2312"/>
                <w:color w:val="auto"/>
                <w:sz w:val="28"/>
                <w:szCs w:val="30"/>
                <w:highlight w:val="none"/>
                <w:lang w:eastAsia="zh-CN"/>
              </w:rPr>
              <w:t>）</w:t>
            </w:r>
          </w:p>
        </w:tc>
        <w:tc>
          <w:tcPr>
            <w:tcW w:w="2410" w:type="dxa"/>
            <w:tcBorders>
              <w:top w:val="single" w:color="auto" w:sz="12" w:space="0"/>
              <w:bottom w:val="double" w:color="auto" w:sz="6" w:space="0"/>
            </w:tcBorders>
            <w:noWrap w:val="0"/>
            <w:vAlign w:val="center"/>
          </w:tcPr>
          <w:p w14:paraId="251E79E7">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结构</w:t>
            </w:r>
            <w:r>
              <w:rPr>
                <w:rFonts w:hint="eastAsia" w:eastAsia="仿宋_GB2312"/>
                <w:color w:val="auto"/>
                <w:sz w:val="28"/>
                <w:szCs w:val="30"/>
                <w:highlight w:val="none"/>
              </w:rPr>
              <w:t>形式</w:t>
            </w:r>
          </w:p>
        </w:tc>
        <w:tc>
          <w:tcPr>
            <w:tcW w:w="850" w:type="dxa"/>
            <w:tcBorders>
              <w:top w:val="single" w:color="auto" w:sz="12" w:space="0"/>
              <w:bottom w:val="double" w:color="auto" w:sz="6" w:space="0"/>
            </w:tcBorders>
            <w:noWrap w:val="0"/>
            <w:vAlign w:val="center"/>
          </w:tcPr>
          <w:p w14:paraId="28738B61">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层数</w:t>
            </w:r>
          </w:p>
        </w:tc>
        <w:tc>
          <w:tcPr>
            <w:tcW w:w="1560" w:type="dxa"/>
            <w:tcBorders>
              <w:top w:val="single" w:color="auto" w:sz="12" w:space="0"/>
              <w:bottom w:val="double" w:color="auto" w:sz="6" w:space="0"/>
            </w:tcBorders>
            <w:noWrap w:val="0"/>
            <w:vAlign w:val="center"/>
          </w:tcPr>
          <w:p w14:paraId="103B5E8B">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生产能力</w:t>
            </w:r>
          </w:p>
        </w:tc>
        <w:tc>
          <w:tcPr>
            <w:tcW w:w="2126" w:type="dxa"/>
            <w:tcBorders>
              <w:top w:val="single" w:color="auto" w:sz="12" w:space="0"/>
              <w:bottom w:val="double" w:color="auto" w:sz="6" w:space="0"/>
            </w:tcBorders>
            <w:noWrap w:val="0"/>
            <w:vAlign w:val="center"/>
          </w:tcPr>
          <w:p w14:paraId="7AA1E68B">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设备安装内容</w:t>
            </w:r>
          </w:p>
        </w:tc>
        <w:tc>
          <w:tcPr>
            <w:tcW w:w="1417" w:type="dxa"/>
            <w:tcBorders>
              <w:top w:val="single" w:color="auto" w:sz="12" w:space="0"/>
              <w:bottom w:val="double" w:color="auto" w:sz="6" w:space="0"/>
            </w:tcBorders>
            <w:noWrap w:val="0"/>
            <w:vAlign w:val="center"/>
          </w:tcPr>
          <w:p w14:paraId="5B4544E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合同价格（元）</w:t>
            </w:r>
          </w:p>
        </w:tc>
        <w:tc>
          <w:tcPr>
            <w:tcW w:w="851" w:type="dxa"/>
            <w:tcBorders>
              <w:top w:val="single" w:color="auto" w:sz="12" w:space="0"/>
              <w:bottom w:val="double" w:color="auto" w:sz="6" w:space="0"/>
            </w:tcBorders>
            <w:noWrap w:val="0"/>
            <w:vAlign w:val="center"/>
          </w:tcPr>
          <w:p w14:paraId="23AAC0F2">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开工日期</w:t>
            </w:r>
          </w:p>
        </w:tc>
        <w:tc>
          <w:tcPr>
            <w:tcW w:w="850" w:type="dxa"/>
            <w:tcBorders>
              <w:top w:val="single" w:color="auto" w:sz="12" w:space="0"/>
              <w:bottom w:val="double" w:color="auto" w:sz="6" w:space="0"/>
            </w:tcBorders>
            <w:noWrap w:val="0"/>
            <w:vAlign w:val="center"/>
          </w:tcPr>
          <w:p w14:paraId="151ECE94">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竣工日期</w:t>
            </w:r>
          </w:p>
        </w:tc>
      </w:tr>
      <w:tr w14:paraId="5BD82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24B54AD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double" w:color="auto" w:sz="6" w:space="0"/>
              <w:bottom w:val="single" w:color="auto" w:sz="6" w:space="0"/>
            </w:tcBorders>
            <w:noWrap w:val="0"/>
            <w:vAlign w:val="center"/>
          </w:tcPr>
          <w:p w14:paraId="05B8D0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double" w:color="auto" w:sz="6" w:space="0"/>
              <w:bottom w:val="single" w:color="auto" w:sz="6" w:space="0"/>
            </w:tcBorders>
            <w:noWrap w:val="0"/>
            <w:vAlign w:val="center"/>
          </w:tcPr>
          <w:p w14:paraId="5AB27D1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double" w:color="auto" w:sz="6" w:space="0"/>
              <w:bottom w:val="single" w:color="auto" w:sz="6" w:space="0"/>
            </w:tcBorders>
            <w:noWrap w:val="0"/>
            <w:vAlign w:val="center"/>
          </w:tcPr>
          <w:p w14:paraId="0464F06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41D7AE7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double" w:color="auto" w:sz="6" w:space="0"/>
              <w:bottom w:val="single" w:color="auto" w:sz="6" w:space="0"/>
            </w:tcBorders>
            <w:noWrap w:val="0"/>
            <w:vAlign w:val="center"/>
          </w:tcPr>
          <w:p w14:paraId="67FAE2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double" w:color="auto" w:sz="6" w:space="0"/>
              <w:bottom w:val="single" w:color="auto" w:sz="6" w:space="0"/>
            </w:tcBorders>
            <w:noWrap w:val="0"/>
            <w:vAlign w:val="center"/>
          </w:tcPr>
          <w:p w14:paraId="7D543D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double" w:color="auto" w:sz="6" w:space="0"/>
              <w:bottom w:val="single" w:color="auto" w:sz="6" w:space="0"/>
            </w:tcBorders>
            <w:noWrap w:val="0"/>
            <w:vAlign w:val="center"/>
          </w:tcPr>
          <w:p w14:paraId="502D193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double" w:color="auto" w:sz="6" w:space="0"/>
              <w:bottom w:val="single" w:color="auto" w:sz="6" w:space="0"/>
            </w:tcBorders>
            <w:noWrap w:val="0"/>
            <w:vAlign w:val="center"/>
          </w:tcPr>
          <w:p w14:paraId="77C724C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5AA050B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4FA6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1DF1CB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3BCBA1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2CEB7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7EA40C8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16FA882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1D34E8D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0773333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4BD627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2377F2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3C2AB9B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6E4E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690F9B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336DD72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3475E78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3EA03D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7A60E41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531DB2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137BE0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222C0FD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4B0FBF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0A4899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3B50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DE0B7D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6E829C0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6759B1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40D46B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576B155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0EE5906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22DF0D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4880E0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624B420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5A5365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2F5B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13D75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6BF0D1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5CCC7DA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3AB9907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001B74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061D506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2C5788B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31282D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0066C58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23728F1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3CF42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A81B71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1907889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38EB21A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1AE3638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4F113CB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2105FD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743660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5A203A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1B96967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36D26B2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479E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5A1C52B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2D7668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7D03486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380D59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4ABADCC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0BFE14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4F5764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0B21F96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366DC1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1BDEC8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B00B1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B0194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tcBorders>
              <w:top w:val="nil"/>
            </w:tcBorders>
            <w:noWrap w:val="0"/>
            <w:vAlign w:val="center"/>
          </w:tcPr>
          <w:p w14:paraId="439952B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1D13832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tcBorders>
              <w:top w:val="nil"/>
            </w:tcBorders>
            <w:noWrap w:val="0"/>
            <w:vAlign w:val="center"/>
          </w:tcPr>
          <w:p w14:paraId="715777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0EDA0A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tcBorders>
              <w:top w:val="nil"/>
            </w:tcBorders>
            <w:noWrap w:val="0"/>
            <w:vAlign w:val="center"/>
          </w:tcPr>
          <w:p w14:paraId="162C05C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tcBorders>
              <w:top w:val="nil"/>
            </w:tcBorders>
            <w:noWrap w:val="0"/>
            <w:vAlign w:val="center"/>
          </w:tcPr>
          <w:p w14:paraId="557FC93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tcBorders>
              <w:top w:val="nil"/>
            </w:tcBorders>
            <w:noWrap w:val="0"/>
            <w:vAlign w:val="center"/>
          </w:tcPr>
          <w:p w14:paraId="4EEA8C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tcBorders>
              <w:top w:val="nil"/>
            </w:tcBorders>
            <w:noWrap w:val="0"/>
            <w:vAlign w:val="center"/>
          </w:tcPr>
          <w:p w14:paraId="708A10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2ABA78D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015D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1D9E6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843" w:type="dxa"/>
            <w:noWrap w:val="0"/>
            <w:vAlign w:val="center"/>
          </w:tcPr>
          <w:p w14:paraId="781C9E3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3B7A9F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410" w:type="dxa"/>
            <w:noWrap w:val="0"/>
            <w:vAlign w:val="center"/>
          </w:tcPr>
          <w:p w14:paraId="7CEAA8B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4937F6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noWrap w:val="0"/>
            <w:vAlign w:val="center"/>
          </w:tcPr>
          <w:p w14:paraId="28E25F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noWrap w:val="0"/>
            <w:vAlign w:val="center"/>
          </w:tcPr>
          <w:p w14:paraId="46DE050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noWrap w:val="0"/>
            <w:vAlign w:val="center"/>
          </w:tcPr>
          <w:p w14:paraId="5B045E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noWrap w:val="0"/>
            <w:vAlign w:val="center"/>
          </w:tcPr>
          <w:p w14:paraId="5870DE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2FA680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2F23B01D">
      <w:pPr>
        <w:spacing w:line="440" w:lineRule="exact"/>
        <w:rPr>
          <w:rFonts w:eastAsia="仿宋_GB2312"/>
          <w:b/>
          <w:color w:val="auto"/>
          <w:sz w:val="30"/>
          <w:szCs w:val="30"/>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14:paraId="7BFC1980">
      <w:pPr>
        <w:spacing w:line="440" w:lineRule="exact"/>
        <w:outlineLvl w:val="0"/>
        <w:rPr>
          <w:rFonts w:hint="eastAsia" w:ascii="宋体" w:hAnsi="宋体" w:eastAsia="宋体" w:cs="宋体"/>
          <w:color w:val="auto"/>
          <w:sz w:val="21"/>
          <w:szCs w:val="21"/>
          <w:highlight w:val="none"/>
        </w:rPr>
      </w:pPr>
      <w:bookmarkStart w:id="1139" w:name="_Toc5569"/>
      <w:bookmarkStart w:id="1140" w:name="_Toc16803"/>
      <w:bookmarkStart w:id="1141" w:name="_Toc28302"/>
      <w:r>
        <w:rPr>
          <w:rFonts w:hint="eastAsia" w:ascii="宋体" w:hAnsi="宋体" w:eastAsia="宋体" w:cs="宋体"/>
          <w:color w:val="auto"/>
          <w:sz w:val="21"/>
          <w:szCs w:val="21"/>
          <w:highlight w:val="none"/>
        </w:rPr>
        <w:t>附</w:t>
      </w:r>
      <w:bookmarkStart w:id="1142" w:name="_Toc296503226"/>
      <w:bookmarkStart w:id="1143" w:name="_Toc267261693"/>
      <w:bookmarkStart w:id="1144" w:name="_Toc296891266"/>
      <w:bookmarkStart w:id="1145" w:name="_Toc296347225"/>
      <w:bookmarkStart w:id="1146" w:name="_Toc296891054"/>
      <w:bookmarkStart w:id="1147" w:name="_Toc296346727"/>
      <w:bookmarkStart w:id="1148" w:name="_Toc296944565"/>
      <w:r>
        <w:rPr>
          <w:rFonts w:hint="eastAsia" w:ascii="宋体" w:hAnsi="宋体" w:eastAsia="宋体" w:cs="宋体"/>
          <w:color w:val="auto"/>
          <w:sz w:val="21"/>
          <w:szCs w:val="21"/>
          <w:highlight w:val="none"/>
        </w:rPr>
        <w:t>件2：</w:t>
      </w:r>
      <w:bookmarkEnd w:id="1139"/>
      <w:bookmarkEnd w:id="1140"/>
      <w:bookmarkEnd w:id="1141"/>
      <w:bookmarkEnd w:id="1142"/>
      <w:bookmarkEnd w:id="1143"/>
      <w:bookmarkEnd w:id="1144"/>
      <w:bookmarkEnd w:id="1145"/>
      <w:bookmarkEnd w:id="1146"/>
      <w:bookmarkEnd w:id="1147"/>
      <w:bookmarkEnd w:id="1148"/>
      <w:r>
        <w:rPr>
          <w:rFonts w:hint="eastAsia" w:ascii="宋体" w:hAnsi="宋体" w:eastAsia="宋体" w:cs="宋体"/>
          <w:color w:val="auto"/>
          <w:sz w:val="21"/>
          <w:szCs w:val="21"/>
          <w:highlight w:val="none"/>
        </w:rPr>
        <w:t xml:space="preserve">    </w:t>
      </w:r>
    </w:p>
    <w:p w14:paraId="01854DF0">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3A8DAF86">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4CFF38C9">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72A2AF2C">
      <w:pPr>
        <w:spacing w:line="440" w:lineRule="exact"/>
        <w:rPr>
          <w:color w:val="auto"/>
          <w:highlight w:val="none"/>
        </w:rPr>
      </w:pPr>
    </w:p>
    <w:p w14:paraId="021B9F1F">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781EF763">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4BBB5268">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12D250FF">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9A80345">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117059F4">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460E5A10">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479A02A5">
      <w:pPr>
        <w:spacing w:line="360" w:lineRule="auto"/>
        <w:ind w:firstLine="420"/>
        <w:rPr>
          <w:rFonts w:hAnsi="宋体"/>
          <w:color w:val="auto"/>
          <w:highlight w:val="none"/>
        </w:rPr>
      </w:pPr>
      <w:r>
        <w:rPr>
          <w:rFonts w:hint="eastAsia"/>
          <w:color w:val="auto"/>
          <w:highlight w:val="none"/>
          <w:lang w:eastAsia="zh-CN"/>
        </w:rPr>
        <w:t>1.</w:t>
      </w:r>
      <w:r>
        <w:rPr>
          <w:rFonts w:hint="eastAsia" w:hAnsi="宋体" w:cs="宋体"/>
          <w:color w:val="auto"/>
          <w:highlight w:val="none"/>
        </w:rPr>
        <w:t>地基基础工程和主体结构工程为设计文件规定的工程合理使用年限；</w:t>
      </w:r>
    </w:p>
    <w:p w14:paraId="390C4129">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hAnsi="宋体" w:cs="宋体"/>
          <w:color w:val="auto"/>
          <w:highlight w:val="none"/>
        </w:rPr>
        <w:t>年；</w:t>
      </w:r>
    </w:p>
    <w:p w14:paraId="47EA8D90">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装修工程为</w:t>
      </w:r>
      <w:r>
        <w:rPr>
          <w:color w:val="auto"/>
          <w:highlight w:val="none"/>
          <w:u w:val="single"/>
        </w:rPr>
        <w:t xml:space="preserve">         </w:t>
      </w:r>
      <w:r>
        <w:rPr>
          <w:rFonts w:hint="eastAsia" w:hAnsi="宋体" w:cs="宋体"/>
          <w:color w:val="auto"/>
          <w:highlight w:val="none"/>
        </w:rPr>
        <w:t>年；</w:t>
      </w:r>
    </w:p>
    <w:p w14:paraId="2E3B5548">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hAnsi="宋体" w:cs="宋体"/>
          <w:color w:val="auto"/>
          <w:highlight w:val="none"/>
        </w:rPr>
        <w:t>年；</w:t>
      </w:r>
    </w:p>
    <w:p w14:paraId="4E2C1D91">
      <w:pPr>
        <w:spacing w:line="360" w:lineRule="auto"/>
        <w:ind w:firstLine="420"/>
        <w:rPr>
          <w:rFonts w:hAnsi="宋体"/>
          <w:color w:val="auto"/>
          <w:highlight w:val="none"/>
        </w:rPr>
      </w:pPr>
      <w:r>
        <w:rPr>
          <w:rFonts w:hint="eastAsia"/>
          <w:color w:val="auto"/>
          <w:highlight w:val="none"/>
          <w:lang w:eastAsia="zh-CN"/>
        </w:rPr>
        <w:t>5.</w:t>
      </w:r>
      <w:r>
        <w:rPr>
          <w:rFonts w:hint="eastAsia" w:hAnsi="宋体" w:cs="宋体"/>
          <w:color w:val="auto"/>
          <w:highlight w:val="none"/>
        </w:rPr>
        <w:t>供热与供冷系统为</w:t>
      </w:r>
      <w:r>
        <w:rPr>
          <w:color w:val="auto"/>
          <w:highlight w:val="none"/>
          <w:u w:val="single"/>
        </w:rPr>
        <w:t xml:space="preserve">         </w:t>
      </w:r>
      <w:r>
        <w:rPr>
          <w:rFonts w:hint="eastAsia" w:hAnsi="宋体" w:cs="宋体"/>
          <w:color w:val="auto"/>
          <w:highlight w:val="none"/>
        </w:rPr>
        <w:t>个采暖期、供冷期；</w:t>
      </w:r>
    </w:p>
    <w:p w14:paraId="457EDF4B">
      <w:pPr>
        <w:spacing w:line="360" w:lineRule="auto"/>
        <w:ind w:firstLine="420"/>
        <w:rPr>
          <w:rFonts w:hAnsi="宋体"/>
          <w:color w:val="auto"/>
          <w:highlight w:val="none"/>
        </w:rPr>
      </w:pPr>
      <w:r>
        <w:rPr>
          <w:rFonts w:hint="eastAsia"/>
          <w:color w:val="auto"/>
          <w:highlight w:val="none"/>
          <w:lang w:eastAsia="zh-CN"/>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hAnsi="宋体" w:cs="宋体"/>
          <w:color w:val="auto"/>
          <w:highlight w:val="none"/>
        </w:rPr>
        <w:t>年；</w:t>
      </w:r>
    </w:p>
    <w:p w14:paraId="13C3A60F">
      <w:pPr>
        <w:spacing w:line="360" w:lineRule="auto"/>
        <w:ind w:firstLine="420"/>
        <w:rPr>
          <w:rFonts w:hAnsi="宋体"/>
          <w:color w:val="auto"/>
          <w:highlight w:val="none"/>
        </w:rPr>
      </w:pPr>
      <w:r>
        <w:rPr>
          <w:rFonts w:hint="eastAsia"/>
          <w:color w:val="auto"/>
          <w:highlight w:val="none"/>
          <w:lang w:eastAsia="zh-CN"/>
        </w:rPr>
        <w:t>7.</w:t>
      </w:r>
      <w:r>
        <w:rPr>
          <w:rFonts w:hint="eastAsia" w:hAnsi="宋体" w:cs="宋体"/>
          <w:color w:val="auto"/>
          <w:highlight w:val="none"/>
        </w:rPr>
        <w:t>其他项目保修期限约定如下：</w:t>
      </w:r>
    </w:p>
    <w:p w14:paraId="4F9211B8">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7E614B99">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7EC52827">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0B2AE03A">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09468A7F">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0BCEECFA">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3C895D4B">
      <w:pPr>
        <w:spacing w:line="360" w:lineRule="auto"/>
        <w:ind w:left="105" w:leftChars="50" w:firstLine="430" w:firstLineChars="205"/>
        <w:rPr>
          <w:rFonts w:hAnsi="宋体"/>
          <w:color w:val="auto"/>
          <w:highlight w:val="none"/>
        </w:rPr>
      </w:pPr>
      <w:r>
        <w:rPr>
          <w:rFonts w:hint="eastAsia"/>
          <w:color w:val="auto"/>
          <w:highlight w:val="none"/>
          <w:lang w:eastAsia="zh-CN"/>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1E230E08">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发生紧急事故需抢修的，承包人在接到事故通知后，应当立即到达事故现场抢修。</w:t>
      </w:r>
    </w:p>
    <w:p w14:paraId="3A6D365B">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B40D69B">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质量保修完成后，由发包人组织验收。</w:t>
      </w:r>
    </w:p>
    <w:p w14:paraId="7CB7607C">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7EBC15D8">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024725C0">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6C9CC04D">
      <w:pPr>
        <w:spacing w:line="360" w:lineRule="auto"/>
        <w:ind w:firstLine="420" w:firstLineChars="200"/>
        <w:jc w:val="left"/>
        <w:rPr>
          <w:color w:val="auto"/>
          <w:highlight w:val="none"/>
        </w:rPr>
      </w:pPr>
      <w:r>
        <w:rPr>
          <w:color w:val="auto"/>
          <w:highlight w:val="none"/>
          <w:u w:val="single"/>
        </w:rPr>
        <w:t xml:space="preserve">                                                                                                                                                             </w:t>
      </w:r>
      <w:r>
        <w:rPr>
          <w:rFonts w:hint="eastAsia" w:hAnsi="宋体" w:cs="宋体"/>
          <w:color w:val="auto"/>
          <w:highlight w:val="none"/>
        </w:rPr>
        <w:t>。</w:t>
      </w:r>
    </w:p>
    <w:p w14:paraId="1B0598CB">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1C6B5350">
      <w:pPr>
        <w:spacing w:line="360" w:lineRule="auto"/>
        <w:ind w:firstLine="420"/>
        <w:rPr>
          <w:color w:val="auto"/>
          <w:highlight w:val="none"/>
        </w:rPr>
      </w:pPr>
    </w:p>
    <w:p w14:paraId="190A9ACB">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381235FE">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2C1EF961">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4A1D9576">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55E9CD5">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7F4BD158">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50B2C7FC">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23EEF85">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011FB8A5">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D6C2BB3">
      <w:pPr>
        <w:spacing w:line="440" w:lineRule="exact"/>
        <w:rPr>
          <w:rFonts w:eastAsia="黑体"/>
          <w:color w:val="auto"/>
          <w:sz w:val="30"/>
          <w:szCs w:val="30"/>
          <w:highlight w:val="none"/>
        </w:rPr>
      </w:pPr>
      <w:r>
        <w:rPr>
          <w:rFonts w:hint="eastAsia" w:ascii="宋体" w:hAnsi="宋体" w:eastAsia="宋体" w:cs="宋体"/>
          <w:b/>
          <w:color w:val="auto"/>
          <w:sz w:val="21"/>
          <w:szCs w:val="21"/>
          <w:highlight w:val="none"/>
        </w:rPr>
        <w:br w:type="page"/>
      </w: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14:paraId="1AC8D279">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6EBA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7E78E1C4">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35F15172">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1B78186C">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noWrap w:val="0"/>
            <w:vAlign w:val="center"/>
          </w:tcPr>
          <w:p w14:paraId="0F04667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3D8B3AFF">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19A129E1">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6151C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384993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double" w:color="auto" w:sz="6" w:space="0"/>
              <w:bottom w:val="single" w:color="auto" w:sz="6" w:space="0"/>
            </w:tcBorders>
            <w:noWrap w:val="0"/>
            <w:vAlign w:val="center"/>
          </w:tcPr>
          <w:p w14:paraId="222180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45A4E24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double" w:color="auto" w:sz="6" w:space="0"/>
              <w:bottom w:val="single" w:color="auto" w:sz="6" w:space="0"/>
            </w:tcBorders>
            <w:noWrap w:val="0"/>
            <w:vAlign w:val="center"/>
          </w:tcPr>
          <w:p w14:paraId="2F642E7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41234CC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double" w:color="auto" w:sz="6" w:space="0"/>
              <w:bottom w:val="single" w:color="auto" w:sz="6" w:space="0"/>
            </w:tcBorders>
            <w:noWrap w:val="0"/>
            <w:vAlign w:val="center"/>
          </w:tcPr>
          <w:p w14:paraId="07A8C43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59A1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3DB3B60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nil"/>
            </w:tcBorders>
            <w:noWrap w:val="0"/>
            <w:vAlign w:val="center"/>
          </w:tcPr>
          <w:p w14:paraId="697E3E3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noWrap w:val="0"/>
            <w:vAlign w:val="center"/>
          </w:tcPr>
          <w:p w14:paraId="28180DA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nil"/>
            </w:tcBorders>
            <w:noWrap w:val="0"/>
            <w:vAlign w:val="center"/>
          </w:tcPr>
          <w:p w14:paraId="6E1697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noWrap w:val="0"/>
            <w:vAlign w:val="center"/>
          </w:tcPr>
          <w:p w14:paraId="313409D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nil"/>
            </w:tcBorders>
            <w:noWrap w:val="0"/>
            <w:vAlign w:val="center"/>
          </w:tcPr>
          <w:p w14:paraId="3E03F71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A07E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E7AA8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1D51B7D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2D08A27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4389D7E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27C67D4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4707DC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8CE2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CA0C65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1F509ED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E24C8B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704C89E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54B226C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356D43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9F2F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7A224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49E127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3469DD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78A19C7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5F37E28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1828BF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7EAB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778081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0ECC825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3131DB4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61ACE4F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34D25F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63EF9DE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3DBF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256DE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587F36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2216853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4D1245D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5BDCD4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025F1F4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0F72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E5864C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3A72E1A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7A36CC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5196688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39B443E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478C3D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0850F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7369812">
            <w:pPr>
              <w:rPr>
                <w:rFonts w:ascii="Calibri" w:hAnsi="Calibri" w:eastAsia="仿宋_GB2312"/>
                <w:color w:val="auto"/>
                <w:sz w:val="30"/>
                <w:szCs w:val="30"/>
                <w:highlight w:val="none"/>
              </w:rPr>
            </w:pPr>
          </w:p>
        </w:tc>
        <w:tc>
          <w:tcPr>
            <w:tcW w:w="1276" w:type="dxa"/>
            <w:noWrap w:val="0"/>
            <w:vAlign w:val="top"/>
          </w:tcPr>
          <w:p w14:paraId="21C58304">
            <w:pPr>
              <w:rPr>
                <w:rFonts w:ascii="Calibri" w:hAnsi="Calibri" w:eastAsia="仿宋_GB2312"/>
                <w:color w:val="auto"/>
                <w:sz w:val="30"/>
                <w:szCs w:val="30"/>
                <w:highlight w:val="none"/>
              </w:rPr>
            </w:pPr>
          </w:p>
        </w:tc>
        <w:tc>
          <w:tcPr>
            <w:tcW w:w="1450" w:type="dxa"/>
            <w:noWrap w:val="0"/>
            <w:vAlign w:val="top"/>
          </w:tcPr>
          <w:p w14:paraId="1800789F">
            <w:pPr>
              <w:rPr>
                <w:rFonts w:ascii="Calibri" w:hAnsi="Calibri" w:eastAsia="仿宋_GB2312"/>
                <w:color w:val="auto"/>
                <w:sz w:val="30"/>
                <w:szCs w:val="30"/>
                <w:highlight w:val="none"/>
              </w:rPr>
            </w:pPr>
          </w:p>
        </w:tc>
        <w:tc>
          <w:tcPr>
            <w:tcW w:w="1243" w:type="dxa"/>
            <w:noWrap w:val="0"/>
            <w:vAlign w:val="top"/>
          </w:tcPr>
          <w:p w14:paraId="1C7BF15C">
            <w:pPr>
              <w:rPr>
                <w:rFonts w:ascii="Calibri" w:hAnsi="Calibri" w:eastAsia="仿宋_GB2312"/>
                <w:color w:val="auto"/>
                <w:sz w:val="30"/>
                <w:szCs w:val="30"/>
                <w:highlight w:val="none"/>
              </w:rPr>
            </w:pPr>
          </w:p>
        </w:tc>
        <w:tc>
          <w:tcPr>
            <w:tcW w:w="1450" w:type="dxa"/>
            <w:noWrap w:val="0"/>
            <w:vAlign w:val="top"/>
          </w:tcPr>
          <w:p w14:paraId="439CC4FE">
            <w:pPr>
              <w:rPr>
                <w:rFonts w:ascii="Calibri" w:hAnsi="Calibri" w:eastAsia="仿宋_GB2312"/>
                <w:color w:val="auto"/>
                <w:sz w:val="30"/>
                <w:szCs w:val="30"/>
                <w:highlight w:val="none"/>
              </w:rPr>
            </w:pPr>
          </w:p>
        </w:tc>
        <w:tc>
          <w:tcPr>
            <w:tcW w:w="1667" w:type="dxa"/>
            <w:noWrap w:val="0"/>
            <w:vAlign w:val="top"/>
          </w:tcPr>
          <w:p w14:paraId="4E3AACF8">
            <w:pPr>
              <w:rPr>
                <w:rFonts w:ascii="Calibri" w:hAnsi="Calibri" w:eastAsia="仿宋_GB2312"/>
                <w:color w:val="auto"/>
                <w:sz w:val="30"/>
                <w:szCs w:val="30"/>
                <w:highlight w:val="none"/>
              </w:rPr>
            </w:pPr>
          </w:p>
        </w:tc>
      </w:tr>
      <w:tr w14:paraId="409204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1D79D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noWrap w:val="0"/>
            <w:vAlign w:val="center"/>
          </w:tcPr>
          <w:p w14:paraId="364349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44F35EE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noWrap w:val="0"/>
            <w:vAlign w:val="center"/>
          </w:tcPr>
          <w:p w14:paraId="0311E3D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noWrap w:val="0"/>
            <w:vAlign w:val="center"/>
          </w:tcPr>
          <w:p w14:paraId="33A7C83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noWrap w:val="0"/>
            <w:vAlign w:val="center"/>
          </w:tcPr>
          <w:p w14:paraId="0024DFC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F4A8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1805350">
            <w:pPr>
              <w:rPr>
                <w:rFonts w:ascii="Calibri" w:hAnsi="Calibri" w:eastAsia="仿宋_GB2312"/>
                <w:color w:val="auto"/>
                <w:sz w:val="30"/>
                <w:szCs w:val="30"/>
                <w:highlight w:val="none"/>
              </w:rPr>
            </w:pPr>
          </w:p>
        </w:tc>
        <w:tc>
          <w:tcPr>
            <w:tcW w:w="1276" w:type="dxa"/>
            <w:noWrap w:val="0"/>
            <w:vAlign w:val="top"/>
          </w:tcPr>
          <w:p w14:paraId="2FAEFD70">
            <w:pPr>
              <w:rPr>
                <w:rFonts w:ascii="Calibri" w:hAnsi="Calibri" w:eastAsia="仿宋_GB2312"/>
                <w:color w:val="auto"/>
                <w:sz w:val="30"/>
                <w:szCs w:val="30"/>
                <w:highlight w:val="none"/>
              </w:rPr>
            </w:pPr>
          </w:p>
        </w:tc>
        <w:tc>
          <w:tcPr>
            <w:tcW w:w="1450" w:type="dxa"/>
            <w:noWrap w:val="0"/>
            <w:vAlign w:val="top"/>
          </w:tcPr>
          <w:p w14:paraId="5C98E9C8">
            <w:pPr>
              <w:rPr>
                <w:rFonts w:ascii="Calibri" w:hAnsi="Calibri" w:eastAsia="仿宋_GB2312"/>
                <w:color w:val="auto"/>
                <w:sz w:val="30"/>
                <w:szCs w:val="30"/>
                <w:highlight w:val="none"/>
              </w:rPr>
            </w:pPr>
          </w:p>
        </w:tc>
        <w:tc>
          <w:tcPr>
            <w:tcW w:w="1243" w:type="dxa"/>
            <w:noWrap w:val="0"/>
            <w:vAlign w:val="top"/>
          </w:tcPr>
          <w:p w14:paraId="1283FAE5">
            <w:pPr>
              <w:rPr>
                <w:rFonts w:ascii="Calibri" w:hAnsi="Calibri" w:eastAsia="仿宋_GB2312"/>
                <w:color w:val="auto"/>
                <w:sz w:val="30"/>
                <w:szCs w:val="30"/>
                <w:highlight w:val="none"/>
              </w:rPr>
            </w:pPr>
          </w:p>
        </w:tc>
        <w:tc>
          <w:tcPr>
            <w:tcW w:w="1450" w:type="dxa"/>
            <w:noWrap w:val="0"/>
            <w:vAlign w:val="top"/>
          </w:tcPr>
          <w:p w14:paraId="636C1B0F">
            <w:pPr>
              <w:rPr>
                <w:rFonts w:ascii="Calibri" w:hAnsi="Calibri" w:eastAsia="仿宋_GB2312"/>
                <w:color w:val="auto"/>
                <w:sz w:val="30"/>
                <w:szCs w:val="30"/>
                <w:highlight w:val="none"/>
              </w:rPr>
            </w:pPr>
          </w:p>
        </w:tc>
        <w:tc>
          <w:tcPr>
            <w:tcW w:w="1667" w:type="dxa"/>
            <w:noWrap w:val="0"/>
            <w:vAlign w:val="top"/>
          </w:tcPr>
          <w:p w14:paraId="5EB0876D">
            <w:pPr>
              <w:rPr>
                <w:rFonts w:ascii="Calibri" w:hAnsi="Calibri" w:eastAsia="仿宋_GB2312"/>
                <w:color w:val="auto"/>
                <w:sz w:val="30"/>
                <w:szCs w:val="30"/>
                <w:highlight w:val="none"/>
              </w:rPr>
            </w:pPr>
          </w:p>
        </w:tc>
      </w:tr>
      <w:tr w14:paraId="010E4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243EF19">
            <w:pPr>
              <w:rPr>
                <w:rFonts w:ascii="Calibri" w:hAnsi="Calibri" w:eastAsia="仿宋_GB2312"/>
                <w:color w:val="auto"/>
                <w:sz w:val="30"/>
                <w:szCs w:val="30"/>
                <w:highlight w:val="none"/>
              </w:rPr>
            </w:pPr>
          </w:p>
        </w:tc>
        <w:tc>
          <w:tcPr>
            <w:tcW w:w="1276" w:type="dxa"/>
            <w:noWrap w:val="0"/>
            <w:vAlign w:val="top"/>
          </w:tcPr>
          <w:p w14:paraId="3698E598">
            <w:pPr>
              <w:rPr>
                <w:rFonts w:ascii="Calibri" w:hAnsi="Calibri" w:eastAsia="仿宋_GB2312"/>
                <w:color w:val="auto"/>
                <w:sz w:val="30"/>
                <w:szCs w:val="30"/>
                <w:highlight w:val="none"/>
              </w:rPr>
            </w:pPr>
          </w:p>
        </w:tc>
        <w:tc>
          <w:tcPr>
            <w:tcW w:w="1450" w:type="dxa"/>
            <w:noWrap w:val="0"/>
            <w:vAlign w:val="top"/>
          </w:tcPr>
          <w:p w14:paraId="5B3A80E3">
            <w:pPr>
              <w:rPr>
                <w:rFonts w:ascii="Calibri" w:hAnsi="Calibri" w:eastAsia="仿宋_GB2312"/>
                <w:color w:val="auto"/>
                <w:sz w:val="30"/>
                <w:szCs w:val="30"/>
                <w:highlight w:val="none"/>
              </w:rPr>
            </w:pPr>
          </w:p>
        </w:tc>
        <w:tc>
          <w:tcPr>
            <w:tcW w:w="1243" w:type="dxa"/>
            <w:noWrap w:val="0"/>
            <w:vAlign w:val="top"/>
          </w:tcPr>
          <w:p w14:paraId="66DF6B1A">
            <w:pPr>
              <w:rPr>
                <w:rFonts w:ascii="Calibri" w:hAnsi="Calibri" w:eastAsia="仿宋_GB2312"/>
                <w:color w:val="auto"/>
                <w:sz w:val="30"/>
                <w:szCs w:val="30"/>
                <w:highlight w:val="none"/>
              </w:rPr>
            </w:pPr>
          </w:p>
        </w:tc>
        <w:tc>
          <w:tcPr>
            <w:tcW w:w="1450" w:type="dxa"/>
            <w:noWrap w:val="0"/>
            <w:vAlign w:val="top"/>
          </w:tcPr>
          <w:p w14:paraId="0C41714F">
            <w:pPr>
              <w:rPr>
                <w:rFonts w:ascii="Calibri" w:hAnsi="Calibri" w:eastAsia="仿宋_GB2312"/>
                <w:color w:val="auto"/>
                <w:sz w:val="30"/>
                <w:szCs w:val="30"/>
                <w:highlight w:val="none"/>
              </w:rPr>
            </w:pPr>
          </w:p>
        </w:tc>
        <w:tc>
          <w:tcPr>
            <w:tcW w:w="1667" w:type="dxa"/>
            <w:noWrap w:val="0"/>
            <w:vAlign w:val="top"/>
          </w:tcPr>
          <w:p w14:paraId="3B3A2EF5">
            <w:pPr>
              <w:rPr>
                <w:rFonts w:ascii="Calibri" w:hAnsi="Calibri" w:eastAsia="仿宋_GB2312"/>
                <w:color w:val="auto"/>
                <w:sz w:val="30"/>
                <w:szCs w:val="30"/>
                <w:highlight w:val="none"/>
              </w:rPr>
            </w:pPr>
          </w:p>
        </w:tc>
      </w:tr>
      <w:tr w14:paraId="1E9B8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6E9DF10">
            <w:pPr>
              <w:rPr>
                <w:rFonts w:ascii="Calibri" w:hAnsi="Calibri" w:eastAsia="仿宋_GB2312"/>
                <w:color w:val="auto"/>
                <w:sz w:val="30"/>
                <w:szCs w:val="30"/>
                <w:highlight w:val="none"/>
              </w:rPr>
            </w:pPr>
          </w:p>
        </w:tc>
        <w:tc>
          <w:tcPr>
            <w:tcW w:w="1276" w:type="dxa"/>
            <w:noWrap w:val="0"/>
            <w:vAlign w:val="top"/>
          </w:tcPr>
          <w:p w14:paraId="70B9E3A0">
            <w:pPr>
              <w:rPr>
                <w:rFonts w:ascii="Calibri" w:hAnsi="Calibri" w:eastAsia="仿宋_GB2312"/>
                <w:color w:val="auto"/>
                <w:sz w:val="30"/>
                <w:szCs w:val="30"/>
                <w:highlight w:val="none"/>
              </w:rPr>
            </w:pPr>
          </w:p>
        </w:tc>
        <w:tc>
          <w:tcPr>
            <w:tcW w:w="1450" w:type="dxa"/>
            <w:noWrap w:val="0"/>
            <w:vAlign w:val="top"/>
          </w:tcPr>
          <w:p w14:paraId="24E67CC0">
            <w:pPr>
              <w:rPr>
                <w:rFonts w:ascii="Calibri" w:hAnsi="Calibri" w:eastAsia="仿宋_GB2312"/>
                <w:color w:val="auto"/>
                <w:sz w:val="30"/>
                <w:szCs w:val="30"/>
                <w:highlight w:val="none"/>
              </w:rPr>
            </w:pPr>
          </w:p>
        </w:tc>
        <w:tc>
          <w:tcPr>
            <w:tcW w:w="1243" w:type="dxa"/>
            <w:noWrap w:val="0"/>
            <w:vAlign w:val="top"/>
          </w:tcPr>
          <w:p w14:paraId="45673FCE">
            <w:pPr>
              <w:rPr>
                <w:rFonts w:ascii="Calibri" w:hAnsi="Calibri" w:eastAsia="仿宋_GB2312"/>
                <w:color w:val="auto"/>
                <w:sz w:val="30"/>
                <w:szCs w:val="30"/>
                <w:highlight w:val="none"/>
              </w:rPr>
            </w:pPr>
          </w:p>
        </w:tc>
        <w:tc>
          <w:tcPr>
            <w:tcW w:w="1450" w:type="dxa"/>
            <w:noWrap w:val="0"/>
            <w:vAlign w:val="top"/>
          </w:tcPr>
          <w:p w14:paraId="6E838D78">
            <w:pPr>
              <w:rPr>
                <w:rFonts w:ascii="Calibri" w:hAnsi="Calibri" w:eastAsia="仿宋_GB2312"/>
                <w:color w:val="auto"/>
                <w:sz w:val="30"/>
                <w:szCs w:val="30"/>
                <w:highlight w:val="none"/>
              </w:rPr>
            </w:pPr>
          </w:p>
        </w:tc>
        <w:tc>
          <w:tcPr>
            <w:tcW w:w="1667" w:type="dxa"/>
            <w:noWrap w:val="0"/>
            <w:vAlign w:val="top"/>
          </w:tcPr>
          <w:p w14:paraId="0EBE8D17">
            <w:pPr>
              <w:rPr>
                <w:rFonts w:ascii="Calibri" w:hAnsi="Calibri" w:eastAsia="仿宋_GB2312"/>
                <w:color w:val="auto"/>
                <w:sz w:val="30"/>
                <w:szCs w:val="30"/>
                <w:highlight w:val="none"/>
              </w:rPr>
            </w:pPr>
          </w:p>
        </w:tc>
      </w:tr>
      <w:tr w14:paraId="394A3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D3604DC">
            <w:pPr>
              <w:rPr>
                <w:rFonts w:ascii="Calibri" w:hAnsi="Calibri" w:eastAsia="仿宋_GB2312"/>
                <w:color w:val="auto"/>
                <w:sz w:val="30"/>
                <w:szCs w:val="30"/>
                <w:highlight w:val="none"/>
              </w:rPr>
            </w:pPr>
          </w:p>
        </w:tc>
        <w:tc>
          <w:tcPr>
            <w:tcW w:w="1276" w:type="dxa"/>
            <w:noWrap w:val="0"/>
            <w:vAlign w:val="top"/>
          </w:tcPr>
          <w:p w14:paraId="7014FE53">
            <w:pPr>
              <w:rPr>
                <w:rFonts w:ascii="Calibri" w:hAnsi="Calibri" w:eastAsia="仿宋_GB2312"/>
                <w:color w:val="auto"/>
                <w:sz w:val="30"/>
                <w:szCs w:val="30"/>
                <w:highlight w:val="none"/>
              </w:rPr>
            </w:pPr>
          </w:p>
        </w:tc>
        <w:tc>
          <w:tcPr>
            <w:tcW w:w="1450" w:type="dxa"/>
            <w:noWrap w:val="0"/>
            <w:vAlign w:val="top"/>
          </w:tcPr>
          <w:p w14:paraId="28777B18">
            <w:pPr>
              <w:rPr>
                <w:rFonts w:ascii="Calibri" w:hAnsi="Calibri" w:eastAsia="仿宋_GB2312"/>
                <w:color w:val="auto"/>
                <w:sz w:val="30"/>
                <w:szCs w:val="30"/>
                <w:highlight w:val="none"/>
              </w:rPr>
            </w:pPr>
          </w:p>
        </w:tc>
        <w:tc>
          <w:tcPr>
            <w:tcW w:w="1243" w:type="dxa"/>
            <w:noWrap w:val="0"/>
            <w:vAlign w:val="top"/>
          </w:tcPr>
          <w:p w14:paraId="03B18406">
            <w:pPr>
              <w:rPr>
                <w:rFonts w:ascii="Calibri" w:hAnsi="Calibri" w:eastAsia="仿宋_GB2312"/>
                <w:color w:val="auto"/>
                <w:sz w:val="30"/>
                <w:szCs w:val="30"/>
                <w:highlight w:val="none"/>
              </w:rPr>
            </w:pPr>
          </w:p>
        </w:tc>
        <w:tc>
          <w:tcPr>
            <w:tcW w:w="1450" w:type="dxa"/>
            <w:noWrap w:val="0"/>
            <w:vAlign w:val="top"/>
          </w:tcPr>
          <w:p w14:paraId="2B9AD8D2">
            <w:pPr>
              <w:rPr>
                <w:rFonts w:ascii="Calibri" w:hAnsi="Calibri" w:eastAsia="仿宋_GB2312"/>
                <w:color w:val="auto"/>
                <w:sz w:val="30"/>
                <w:szCs w:val="30"/>
                <w:highlight w:val="none"/>
              </w:rPr>
            </w:pPr>
          </w:p>
        </w:tc>
        <w:tc>
          <w:tcPr>
            <w:tcW w:w="1667" w:type="dxa"/>
            <w:noWrap w:val="0"/>
            <w:vAlign w:val="top"/>
          </w:tcPr>
          <w:p w14:paraId="4E573C1E">
            <w:pPr>
              <w:rPr>
                <w:rFonts w:ascii="Calibri" w:hAnsi="Calibri" w:eastAsia="仿宋_GB2312"/>
                <w:color w:val="auto"/>
                <w:sz w:val="30"/>
                <w:szCs w:val="30"/>
                <w:highlight w:val="none"/>
              </w:rPr>
            </w:pPr>
          </w:p>
        </w:tc>
      </w:tr>
      <w:tr w14:paraId="65B39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41EFE54">
            <w:pPr>
              <w:rPr>
                <w:rFonts w:ascii="Calibri" w:hAnsi="Calibri" w:eastAsia="仿宋_GB2312"/>
                <w:color w:val="auto"/>
                <w:sz w:val="30"/>
                <w:szCs w:val="30"/>
                <w:highlight w:val="none"/>
              </w:rPr>
            </w:pPr>
          </w:p>
        </w:tc>
        <w:tc>
          <w:tcPr>
            <w:tcW w:w="1276" w:type="dxa"/>
            <w:noWrap w:val="0"/>
            <w:vAlign w:val="top"/>
          </w:tcPr>
          <w:p w14:paraId="5643CE87">
            <w:pPr>
              <w:rPr>
                <w:rFonts w:ascii="Calibri" w:hAnsi="Calibri" w:eastAsia="仿宋_GB2312"/>
                <w:color w:val="auto"/>
                <w:sz w:val="30"/>
                <w:szCs w:val="30"/>
                <w:highlight w:val="none"/>
              </w:rPr>
            </w:pPr>
          </w:p>
        </w:tc>
        <w:tc>
          <w:tcPr>
            <w:tcW w:w="1450" w:type="dxa"/>
            <w:noWrap w:val="0"/>
            <w:vAlign w:val="top"/>
          </w:tcPr>
          <w:p w14:paraId="34A426CB">
            <w:pPr>
              <w:rPr>
                <w:rFonts w:ascii="Calibri" w:hAnsi="Calibri" w:eastAsia="仿宋_GB2312"/>
                <w:color w:val="auto"/>
                <w:sz w:val="30"/>
                <w:szCs w:val="30"/>
                <w:highlight w:val="none"/>
              </w:rPr>
            </w:pPr>
          </w:p>
        </w:tc>
        <w:tc>
          <w:tcPr>
            <w:tcW w:w="1243" w:type="dxa"/>
            <w:noWrap w:val="0"/>
            <w:vAlign w:val="top"/>
          </w:tcPr>
          <w:p w14:paraId="3CAA7B3D">
            <w:pPr>
              <w:rPr>
                <w:rFonts w:ascii="Calibri" w:hAnsi="Calibri" w:eastAsia="仿宋_GB2312"/>
                <w:color w:val="auto"/>
                <w:sz w:val="30"/>
                <w:szCs w:val="30"/>
                <w:highlight w:val="none"/>
              </w:rPr>
            </w:pPr>
          </w:p>
        </w:tc>
        <w:tc>
          <w:tcPr>
            <w:tcW w:w="1450" w:type="dxa"/>
            <w:noWrap w:val="0"/>
            <w:vAlign w:val="top"/>
          </w:tcPr>
          <w:p w14:paraId="0C0C36A7">
            <w:pPr>
              <w:rPr>
                <w:rFonts w:ascii="Calibri" w:hAnsi="Calibri" w:eastAsia="仿宋_GB2312"/>
                <w:color w:val="auto"/>
                <w:sz w:val="30"/>
                <w:szCs w:val="30"/>
                <w:highlight w:val="none"/>
              </w:rPr>
            </w:pPr>
          </w:p>
        </w:tc>
        <w:tc>
          <w:tcPr>
            <w:tcW w:w="1667" w:type="dxa"/>
            <w:noWrap w:val="0"/>
            <w:vAlign w:val="top"/>
          </w:tcPr>
          <w:p w14:paraId="4ABF2073">
            <w:pPr>
              <w:rPr>
                <w:rFonts w:ascii="Calibri" w:hAnsi="Calibri" w:eastAsia="仿宋_GB2312"/>
                <w:color w:val="auto"/>
                <w:sz w:val="30"/>
                <w:szCs w:val="30"/>
                <w:highlight w:val="none"/>
              </w:rPr>
            </w:pPr>
          </w:p>
        </w:tc>
      </w:tr>
      <w:tr w14:paraId="0E4D2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953F77C">
            <w:pPr>
              <w:rPr>
                <w:rFonts w:ascii="Calibri" w:hAnsi="Calibri" w:eastAsia="仿宋_GB2312"/>
                <w:color w:val="auto"/>
                <w:sz w:val="30"/>
                <w:szCs w:val="30"/>
                <w:highlight w:val="none"/>
              </w:rPr>
            </w:pPr>
          </w:p>
        </w:tc>
        <w:tc>
          <w:tcPr>
            <w:tcW w:w="1276" w:type="dxa"/>
            <w:noWrap w:val="0"/>
            <w:vAlign w:val="top"/>
          </w:tcPr>
          <w:p w14:paraId="1C171941">
            <w:pPr>
              <w:rPr>
                <w:rFonts w:ascii="Calibri" w:hAnsi="Calibri" w:eastAsia="仿宋_GB2312"/>
                <w:color w:val="auto"/>
                <w:sz w:val="30"/>
                <w:szCs w:val="30"/>
                <w:highlight w:val="none"/>
              </w:rPr>
            </w:pPr>
          </w:p>
        </w:tc>
        <w:tc>
          <w:tcPr>
            <w:tcW w:w="1450" w:type="dxa"/>
            <w:noWrap w:val="0"/>
            <w:vAlign w:val="top"/>
          </w:tcPr>
          <w:p w14:paraId="7C21E55A">
            <w:pPr>
              <w:rPr>
                <w:rFonts w:ascii="Calibri" w:hAnsi="Calibri" w:eastAsia="仿宋_GB2312"/>
                <w:color w:val="auto"/>
                <w:sz w:val="30"/>
                <w:szCs w:val="30"/>
                <w:highlight w:val="none"/>
              </w:rPr>
            </w:pPr>
          </w:p>
        </w:tc>
        <w:tc>
          <w:tcPr>
            <w:tcW w:w="1243" w:type="dxa"/>
            <w:noWrap w:val="0"/>
            <w:vAlign w:val="top"/>
          </w:tcPr>
          <w:p w14:paraId="57E8BCC4">
            <w:pPr>
              <w:rPr>
                <w:rFonts w:ascii="Calibri" w:hAnsi="Calibri" w:eastAsia="仿宋_GB2312"/>
                <w:color w:val="auto"/>
                <w:sz w:val="30"/>
                <w:szCs w:val="30"/>
                <w:highlight w:val="none"/>
              </w:rPr>
            </w:pPr>
          </w:p>
        </w:tc>
        <w:tc>
          <w:tcPr>
            <w:tcW w:w="1450" w:type="dxa"/>
            <w:noWrap w:val="0"/>
            <w:vAlign w:val="top"/>
          </w:tcPr>
          <w:p w14:paraId="45422A26">
            <w:pPr>
              <w:rPr>
                <w:rFonts w:ascii="Calibri" w:hAnsi="Calibri" w:eastAsia="仿宋_GB2312"/>
                <w:color w:val="auto"/>
                <w:sz w:val="30"/>
                <w:szCs w:val="30"/>
                <w:highlight w:val="none"/>
              </w:rPr>
            </w:pPr>
          </w:p>
        </w:tc>
        <w:tc>
          <w:tcPr>
            <w:tcW w:w="1667" w:type="dxa"/>
            <w:noWrap w:val="0"/>
            <w:vAlign w:val="top"/>
          </w:tcPr>
          <w:p w14:paraId="073384E1">
            <w:pPr>
              <w:rPr>
                <w:rFonts w:ascii="Calibri" w:hAnsi="Calibri" w:eastAsia="仿宋_GB2312"/>
                <w:color w:val="auto"/>
                <w:sz w:val="30"/>
                <w:szCs w:val="30"/>
                <w:highlight w:val="none"/>
              </w:rPr>
            </w:pPr>
          </w:p>
        </w:tc>
      </w:tr>
      <w:tr w14:paraId="5ACE2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9BC2E8C">
            <w:pPr>
              <w:rPr>
                <w:rFonts w:ascii="Calibri" w:hAnsi="Calibri" w:eastAsia="仿宋_GB2312"/>
                <w:color w:val="auto"/>
                <w:sz w:val="30"/>
                <w:szCs w:val="30"/>
                <w:highlight w:val="none"/>
              </w:rPr>
            </w:pPr>
          </w:p>
        </w:tc>
        <w:tc>
          <w:tcPr>
            <w:tcW w:w="1276" w:type="dxa"/>
            <w:noWrap w:val="0"/>
            <w:vAlign w:val="top"/>
          </w:tcPr>
          <w:p w14:paraId="4BE4213A">
            <w:pPr>
              <w:rPr>
                <w:rFonts w:ascii="Calibri" w:hAnsi="Calibri" w:eastAsia="仿宋_GB2312"/>
                <w:color w:val="auto"/>
                <w:sz w:val="30"/>
                <w:szCs w:val="30"/>
                <w:highlight w:val="none"/>
              </w:rPr>
            </w:pPr>
          </w:p>
        </w:tc>
        <w:tc>
          <w:tcPr>
            <w:tcW w:w="1450" w:type="dxa"/>
            <w:noWrap w:val="0"/>
            <w:vAlign w:val="top"/>
          </w:tcPr>
          <w:p w14:paraId="62764E96">
            <w:pPr>
              <w:rPr>
                <w:rFonts w:ascii="Calibri" w:hAnsi="Calibri" w:eastAsia="仿宋_GB2312"/>
                <w:color w:val="auto"/>
                <w:sz w:val="30"/>
                <w:szCs w:val="30"/>
                <w:highlight w:val="none"/>
              </w:rPr>
            </w:pPr>
          </w:p>
        </w:tc>
        <w:tc>
          <w:tcPr>
            <w:tcW w:w="1243" w:type="dxa"/>
            <w:noWrap w:val="0"/>
            <w:vAlign w:val="top"/>
          </w:tcPr>
          <w:p w14:paraId="314793BB">
            <w:pPr>
              <w:rPr>
                <w:rFonts w:ascii="Calibri" w:hAnsi="Calibri" w:eastAsia="仿宋_GB2312"/>
                <w:color w:val="auto"/>
                <w:sz w:val="30"/>
                <w:szCs w:val="30"/>
                <w:highlight w:val="none"/>
              </w:rPr>
            </w:pPr>
          </w:p>
        </w:tc>
        <w:tc>
          <w:tcPr>
            <w:tcW w:w="1450" w:type="dxa"/>
            <w:noWrap w:val="0"/>
            <w:vAlign w:val="top"/>
          </w:tcPr>
          <w:p w14:paraId="6CE12CA8">
            <w:pPr>
              <w:rPr>
                <w:rFonts w:ascii="Calibri" w:hAnsi="Calibri" w:eastAsia="仿宋_GB2312"/>
                <w:color w:val="auto"/>
                <w:sz w:val="30"/>
                <w:szCs w:val="30"/>
                <w:highlight w:val="none"/>
              </w:rPr>
            </w:pPr>
          </w:p>
        </w:tc>
        <w:tc>
          <w:tcPr>
            <w:tcW w:w="1667" w:type="dxa"/>
            <w:noWrap w:val="0"/>
            <w:vAlign w:val="top"/>
          </w:tcPr>
          <w:p w14:paraId="508F23F7">
            <w:pPr>
              <w:rPr>
                <w:rFonts w:ascii="Calibri" w:hAnsi="Calibri" w:eastAsia="仿宋_GB2312"/>
                <w:color w:val="auto"/>
                <w:sz w:val="30"/>
                <w:szCs w:val="30"/>
                <w:highlight w:val="none"/>
              </w:rPr>
            </w:pPr>
          </w:p>
        </w:tc>
      </w:tr>
      <w:tr w14:paraId="0E0D0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7D8AC8F">
            <w:pPr>
              <w:rPr>
                <w:rFonts w:ascii="Calibri" w:hAnsi="Calibri" w:eastAsia="仿宋_GB2312"/>
                <w:color w:val="auto"/>
                <w:sz w:val="30"/>
                <w:szCs w:val="30"/>
                <w:highlight w:val="none"/>
              </w:rPr>
            </w:pPr>
          </w:p>
        </w:tc>
        <w:tc>
          <w:tcPr>
            <w:tcW w:w="1276" w:type="dxa"/>
            <w:noWrap w:val="0"/>
            <w:vAlign w:val="top"/>
          </w:tcPr>
          <w:p w14:paraId="42250877">
            <w:pPr>
              <w:rPr>
                <w:rFonts w:ascii="Calibri" w:hAnsi="Calibri" w:eastAsia="仿宋_GB2312"/>
                <w:color w:val="auto"/>
                <w:sz w:val="30"/>
                <w:szCs w:val="30"/>
                <w:highlight w:val="none"/>
              </w:rPr>
            </w:pPr>
          </w:p>
        </w:tc>
        <w:tc>
          <w:tcPr>
            <w:tcW w:w="1450" w:type="dxa"/>
            <w:noWrap w:val="0"/>
            <w:vAlign w:val="top"/>
          </w:tcPr>
          <w:p w14:paraId="1D4A450C">
            <w:pPr>
              <w:rPr>
                <w:rFonts w:ascii="Calibri" w:hAnsi="Calibri" w:eastAsia="仿宋_GB2312"/>
                <w:color w:val="auto"/>
                <w:sz w:val="30"/>
                <w:szCs w:val="30"/>
                <w:highlight w:val="none"/>
              </w:rPr>
            </w:pPr>
          </w:p>
        </w:tc>
        <w:tc>
          <w:tcPr>
            <w:tcW w:w="1243" w:type="dxa"/>
            <w:noWrap w:val="0"/>
            <w:vAlign w:val="top"/>
          </w:tcPr>
          <w:p w14:paraId="008FB0A2">
            <w:pPr>
              <w:rPr>
                <w:rFonts w:ascii="Calibri" w:hAnsi="Calibri" w:eastAsia="仿宋_GB2312"/>
                <w:color w:val="auto"/>
                <w:sz w:val="30"/>
                <w:szCs w:val="30"/>
                <w:highlight w:val="none"/>
              </w:rPr>
            </w:pPr>
          </w:p>
        </w:tc>
        <w:tc>
          <w:tcPr>
            <w:tcW w:w="1450" w:type="dxa"/>
            <w:noWrap w:val="0"/>
            <w:vAlign w:val="top"/>
          </w:tcPr>
          <w:p w14:paraId="55F15576">
            <w:pPr>
              <w:rPr>
                <w:rFonts w:ascii="Calibri" w:hAnsi="Calibri" w:eastAsia="仿宋_GB2312"/>
                <w:color w:val="auto"/>
                <w:sz w:val="30"/>
                <w:szCs w:val="30"/>
                <w:highlight w:val="none"/>
              </w:rPr>
            </w:pPr>
          </w:p>
        </w:tc>
        <w:tc>
          <w:tcPr>
            <w:tcW w:w="1667" w:type="dxa"/>
            <w:noWrap w:val="0"/>
            <w:vAlign w:val="top"/>
          </w:tcPr>
          <w:p w14:paraId="66B1D68B">
            <w:pPr>
              <w:rPr>
                <w:rFonts w:ascii="Calibri" w:hAnsi="Calibri" w:eastAsia="仿宋_GB2312"/>
                <w:color w:val="auto"/>
                <w:sz w:val="30"/>
                <w:szCs w:val="30"/>
                <w:highlight w:val="none"/>
              </w:rPr>
            </w:pPr>
          </w:p>
        </w:tc>
      </w:tr>
      <w:tr w14:paraId="5BFD4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DB62278">
            <w:pPr>
              <w:rPr>
                <w:rFonts w:ascii="Calibri" w:hAnsi="Calibri" w:eastAsia="仿宋_GB2312"/>
                <w:color w:val="auto"/>
                <w:sz w:val="30"/>
                <w:szCs w:val="30"/>
                <w:highlight w:val="none"/>
              </w:rPr>
            </w:pPr>
          </w:p>
        </w:tc>
        <w:tc>
          <w:tcPr>
            <w:tcW w:w="1276" w:type="dxa"/>
            <w:noWrap w:val="0"/>
            <w:vAlign w:val="top"/>
          </w:tcPr>
          <w:p w14:paraId="687F7B25">
            <w:pPr>
              <w:rPr>
                <w:rFonts w:ascii="Calibri" w:hAnsi="Calibri" w:eastAsia="仿宋_GB2312"/>
                <w:color w:val="auto"/>
                <w:sz w:val="30"/>
                <w:szCs w:val="30"/>
                <w:highlight w:val="none"/>
              </w:rPr>
            </w:pPr>
          </w:p>
        </w:tc>
        <w:tc>
          <w:tcPr>
            <w:tcW w:w="1450" w:type="dxa"/>
            <w:noWrap w:val="0"/>
            <w:vAlign w:val="top"/>
          </w:tcPr>
          <w:p w14:paraId="359B0900">
            <w:pPr>
              <w:rPr>
                <w:rFonts w:ascii="Calibri" w:hAnsi="Calibri" w:eastAsia="仿宋_GB2312"/>
                <w:color w:val="auto"/>
                <w:sz w:val="30"/>
                <w:szCs w:val="30"/>
                <w:highlight w:val="none"/>
              </w:rPr>
            </w:pPr>
          </w:p>
        </w:tc>
        <w:tc>
          <w:tcPr>
            <w:tcW w:w="1243" w:type="dxa"/>
            <w:noWrap w:val="0"/>
            <w:vAlign w:val="top"/>
          </w:tcPr>
          <w:p w14:paraId="3957B9DD">
            <w:pPr>
              <w:rPr>
                <w:rFonts w:ascii="Calibri" w:hAnsi="Calibri" w:eastAsia="仿宋_GB2312"/>
                <w:color w:val="auto"/>
                <w:sz w:val="30"/>
                <w:szCs w:val="30"/>
                <w:highlight w:val="none"/>
              </w:rPr>
            </w:pPr>
          </w:p>
        </w:tc>
        <w:tc>
          <w:tcPr>
            <w:tcW w:w="1450" w:type="dxa"/>
            <w:noWrap w:val="0"/>
            <w:vAlign w:val="top"/>
          </w:tcPr>
          <w:p w14:paraId="64F06B2F">
            <w:pPr>
              <w:rPr>
                <w:rFonts w:ascii="Calibri" w:hAnsi="Calibri" w:eastAsia="仿宋_GB2312"/>
                <w:color w:val="auto"/>
                <w:sz w:val="30"/>
                <w:szCs w:val="30"/>
                <w:highlight w:val="none"/>
              </w:rPr>
            </w:pPr>
          </w:p>
        </w:tc>
        <w:tc>
          <w:tcPr>
            <w:tcW w:w="1667" w:type="dxa"/>
            <w:noWrap w:val="0"/>
            <w:vAlign w:val="top"/>
          </w:tcPr>
          <w:p w14:paraId="5DFD568A">
            <w:pPr>
              <w:rPr>
                <w:rFonts w:ascii="Calibri" w:hAnsi="Calibri" w:eastAsia="仿宋_GB2312"/>
                <w:color w:val="auto"/>
                <w:sz w:val="30"/>
                <w:szCs w:val="30"/>
                <w:highlight w:val="none"/>
              </w:rPr>
            </w:pPr>
          </w:p>
        </w:tc>
      </w:tr>
    </w:tbl>
    <w:p w14:paraId="3C72CCAC">
      <w:pPr>
        <w:spacing w:line="440" w:lineRule="exact"/>
        <w:outlineLvl w:val="0"/>
        <w:rPr>
          <w:rFonts w:eastAsia="黑体"/>
          <w:color w:val="auto"/>
          <w:sz w:val="30"/>
          <w:szCs w:val="30"/>
          <w:highlight w:val="none"/>
        </w:rPr>
      </w:pPr>
      <w:r>
        <w:rPr>
          <w:rFonts w:eastAsia="仿宋_GB2312"/>
          <w:color w:val="auto"/>
          <w:sz w:val="30"/>
          <w:szCs w:val="30"/>
          <w:highlight w:val="none"/>
        </w:rPr>
        <w:br w:type="page"/>
      </w:r>
      <w:bookmarkStart w:id="1149" w:name="_Toc27993"/>
      <w:bookmarkStart w:id="1150" w:name="_Toc19103"/>
      <w:bookmarkStart w:id="1151" w:name="_Toc5368"/>
      <w:r>
        <w:rPr>
          <w:rFonts w:eastAsia="仿宋_GB2312"/>
          <w:color w:val="auto"/>
          <w:sz w:val="30"/>
          <w:szCs w:val="30"/>
          <w:highlight w:val="none"/>
        </w:rPr>
        <w:t>附</w:t>
      </w:r>
      <w:bookmarkStart w:id="1152" w:name="_Toc296346728"/>
      <w:bookmarkStart w:id="1153" w:name="_Toc296944566"/>
      <w:bookmarkStart w:id="1154" w:name="_Toc296503227"/>
      <w:bookmarkStart w:id="1155" w:name="_Toc296891055"/>
      <w:bookmarkStart w:id="1156" w:name="_Toc296891267"/>
      <w:bookmarkStart w:id="1157" w:name="_Toc296347226"/>
      <w:bookmarkStart w:id="1158" w:name="_Toc267261698"/>
      <w:r>
        <w:rPr>
          <w:rFonts w:eastAsia="仿宋_GB2312"/>
          <w:color w:val="auto"/>
          <w:sz w:val="30"/>
          <w:szCs w:val="30"/>
          <w:highlight w:val="none"/>
        </w:rPr>
        <w:t>件</w:t>
      </w:r>
      <w:r>
        <w:rPr>
          <w:rFonts w:hint="eastAsia" w:eastAsia="仿宋_GB2312"/>
          <w:color w:val="auto"/>
          <w:sz w:val="30"/>
          <w:szCs w:val="30"/>
          <w:highlight w:val="none"/>
        </w:rPr>
        <w:t>4</w:t>
      </w:r>
      <w:r>
        <w:rPr>
          <w:rFonts w:eastAsia="仿宋_GB2312"/>
          <w:color w:val="auto"/>
          <w:sz w:val="30"/>
          <w:szCs w:val="30"/>
          <w:highlight w:val="none"/>
        </w:rPr>
        <w:t>：</w:t>
      </w:r>
      <w:bookmarkEnd w:id="1149"/>
      <w:bookmarkEnd w:id="1150"/>
      <w:bookmarkEnd w:id="1151"/>
    </w:p>
    <w:bookmarkEnd w:id="1152"/>
    <w:bookmarkEnd w:id="1153"/>
    <w:bookmarkEnd w:id="1154"/>
    <w:bookmarkEnd w:id="1155"/>
    <w:bookmarkEnd w:id="1156"/>
    <w:bookmarkEnd w:id="1157"/>
    <w:bookmarkEnd w:id="1158"/>
    <w:p w14:paraId="677625E6">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承包人用于本工程施工的机械设备表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4C3144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708EBC21">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序号</w:t>
            </w:r>
          </w:p>
        </w:tc>
        <w:tc>
          <w:tcPr>
            <w:tcW w:w="1418" w:type="dxa"/>
            <w:tcBorders>
              <w:top w:val="single" w:color="auto" w:sz="12" w:space="0"/>
              <w:bottom w:val="double" w:color="auto" w:sz="6" w:space="0"/>
            </w:tcBorders>
            <w:noWrap w:val="0"/>
            <w:vAlign w:val="center"/>
          </w:tcPr>
          <w:p w14:paraId="6D5A665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机械或设备名称</w:t>
            </w:r>
          </w:p>
        </w:tc>
        <w:tc>
          <w:tcPr>
            <w:tcW w:w="850" w:type="dxa"/>
            <w:tcBorders>
              <w:top w:val="single" w:color="auto" w:sz="12" w:space="0"/>
              <w:bottom w:val="double" w:color="auto" w:sz="6" w:space="0"/>
            </w:tcBorders>
            <w:noWrap w:val="0"/>
            <w:vAlign w:val="center"/>
          </w:tcPr>
          <w:p w14:paraId="24D4DD7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规格型号</w:t>
            </w:r>
          </w:p>
        </w:tc>
        <w:tc>
          <w:tcPr>
            <w:tcW w:w="1058" w:type="dxa"/>
            <w:tcBorders>
              <w:top w:val="single" w:color="auto" w:sz="12" w:space="0"/>
              <w:bottom w:val="double" w:color="auto" w:sz="6" w:space="0"/>
            </w:tcBorders>
            <w:noWrap w:val="0"/>
            <w:vAlign w:val="center"/>
          </w:tcPr>
          <w:p w14:paraId="4D34338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数量</w:t>
            </w:r>
          </w:p>
        </w:tc>
        <w:tc>
          <w:tcPr>
            <w:tcW w:w="880" w:type="dxa"/>
            <w:tcBorders>
              <w:top w:val="single" w:color="auto" w:sz="12" w:space="0"/>
              <w:bottom w:val="double" w:color="auto" w:sz="6" w:space="0"/>
            </w:tcBorders>
            <w:noWrap w:val="0"/>
            <w:vAlign w:val="center"/>
          </w:tcPr>
          <w:p w14:paraId="45B433BB">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产地</w:t>
            </w:r>
          </w:p>
        </w:tc>
        <w:tc>
          <w:tcPr>
            <w:tcW w:w="1020" w:type="dxa"/>
            <w:tcBorders>
              <w:top w:val="single" w:color="auto" w:sz="12" w:space="0"/>
              <w:bottom w:val="double" w:color="auto" w:sz="6" w:space="0"/>
            </w:tcBorders>
            <w:noWrap w:val="0"/>
            <w:vAlign w:val="center"/>
          </w:tcPr>
          <w:p w14:paraId="558E443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制造年份</w:t>
            </w:r>
          </w:p>
        </w:tc>
        <w:tc>
          <w:tcPr>
            <w:tcW w:w="1480" w:type="dxa"/>
            <w:tcBorders>
              <w:top w:val="single" w:color="auto" w:sz="12" w:space="0"/>
              <w:bottom w:val="double" w:color="auto" w:sz="6" w:space="0"/>
            </w:tcBorders>
            <w:noWrap w:val="0"/>
            <w:vAlign w:val="center"/>
          </w:tcPr>
          <w:p w14:paraId="0B77C573">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额定功率</w:t>
            </w:r>
            <w:r>
              <w:rPr>
                <w:rFonts w:hint="eastAsia" w:eastAsia="仿宋_GB2312"/>
                <w:color w:val="auto"/>
                <w:sz w:val="28"/>
                <w:szCs w:val="30"/>
                <w:highlight w:val="none"/>
                <w:lang w:eastAsia="zh-CN"/>
              </w:rPr>
              <w:t>（</w:t>
            </w:r>
            <w:r>
              <w:rPr>
                <w:rFonts w:eastAsia="仿宋_GB2312"/>
                <w:color w:val="auto"/>
                <w:sz w:val="28"/>
                <w:szCs w:val="30"/>
                <w:highlight w:val="none"/>
              </w:rPr>
              <w:t>kW)</w:t>
            </w:r>
          </w:p>
        </w:tc>
        <w:tc>
          <w:tcPr>
            <w:tcW w:w="1020" w:type="dxa"/>
            <w:tcBorders>
              <w:top w:val="single" w:color="auto" w:sz="12" w:space="0"/>
              <w:bottom w:val="double" w:color="auto" w:sz="6" w:space="0"/>
            </w:tcBorders>
            <w:noWrap w:val="0"/>
            <w:vAlign w:val="center"/>
          </w:tcPr>
          <w:p w14:paraId="441A8AE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生产能力</w:t>
            </w:r>
          </w:p>
        </w:tc>
        <w:tc>
          <w:tcPr>
            <w:tcW w:w="921" w:type="dxa"/>
            <w:tcBorders>
              <w:top w:val="single" w:color="auto" w:sz="12" w:space="0"/>
              <w:bottom w:val="double" w:color="auto" w:sz="6" w:space="0"/>
            </w:tcBorders>
            <w:noWrap w:val="0"/>
            <w:vAlign w:val="center"/>
          </w:tcPr>
          <w:p w14:paraId="7145ABF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备注</w:t>
            </w:r>
          </w:p>
        </w:tc>
      </w:tr>
      <w:tr w14:paraId="065C0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4317FEF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tcBorders>
              <w:top w:val="double" w:color="auto" w:sz="6" w:space="0"/>
              <w:bottom w:val="single" w:color="auto" w:sz="6" w:space="0"/>
            </w:tcBorders>
            <w:noWrap w:val="0"/>
            <w:vAlign w:val="center"/>
          </w:tcPr>
          <w:p w14:paraId="14C5DDE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double" w:color="auto" w:sz="6" w:space="0"/>
              <w:bottom w:val="single" w:color="auto" w:sz="6" w:space="0"/>
            </w:tcBorders>
            <w:noWrap w:val="0"/>
            <w:vAlign w:val="center"/>
          </w:tcPr>
          <w:p w14:paraId="326A8FC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tcBorders>
              <w:top w:val="double" w:color="auto" w:sz="6" w:space="0"/>
              <w:bottom w:val="single" w:color="auto" w:sz="6" w:space="0"/>
            </w:tcBorders>
            <w:noWrap w:val="0"/>
            <w:vAlign w:val="center"/>
          </w:tcPr>
          <w:p w14:paraId="2C10E5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tcBorders>
              <w:top w:val="double" w:color="auto" w:sz="6" w:space="0"/>
              <w:bottom w:val="single" w:color="auto" w:sz="6" w:space="0"/>
            </w:tcBorders>
            <w:noWrap w:val="0"/>
            <w:vAlign w:val="center"/>
          </w:tcPr>
          <w:p w14:paraId="5F7611F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double" w:color="auto" w:sz="6" w:space="0"/>
              <w:bottom w:val="single" w:color="auto" w:sz="6" w:space="0"/>
            </w:tcBorders>
            <w:noWrap w:val="0"/>
            <w:vAlign w:val="center"/>
          </w:tcPr>
          <w:p w14:paraId="7C667B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tcBorders>
              <w:top w:val="double" w:color="auto" w:sz="6" w:space="0"/>
              <w:bottom w:val="single" w:color="auto" w:sz="6" w:space="0"/>
            </w:tcBorders>
            <w:noWrap w:val="0"/>
            <w:vAlign w:val="center"/>
          </w:tcPr>
          <w:p w14:paraId="037E5E0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double" w:color="auto" w:sz="6" w:space="0"/>
              <w:bottom w:val="single" w:color="auto" w:sz="6" w:space="0"/>
            </w:tcBorders>
            <w:noWrap w:val="0"/>
            <w:vAlign w:val="center"/>
          </w:tcPr>
          <w:p w14:paraId="25BB10E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tcBorders>
              <w:top w:val="double" w:color="auto" w:sz="6" w:space="0"/>
              <w:bottom w:val="single" w:color="auto" w:sz="6" w:space="0"/>
            </w:tcBorders>
            <w:noWrap w:val="0"/>
            <w:vAlign w:val="center"/>
          </w:tcPr>
          <w:p w14:paraId="090368C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A201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29BFB7C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tcBorders>
              <w:top w:val="nil"/>
            </w:tcBorders>
            <w:noWrap w:val="0"/>
            <w:vAlign w:val="center"/>
          </w:tcPr>
          <w:p w14:paraId="68EB791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tcBorders>
              <w:top w:val="nil"/>
            </w:tcBorders>
            <w:noWrap w:val="0"/>
            <w:vAlign w:val="center"/>
          </w:tcPr>
          <w:p w14:paraId="4852FC7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tcBorders>
              <w:top w:val="nil"/>
            </w:tcBorders>
            <w:noWrap w:val="0"/>
            <w:vAlign w:val="center"/>
          </w:tcPr>
          <w:p w14:paraId="71B2840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tcBorders>
              <w:top w:val="nil"/>
            </w:tcBorders>
            <w:noWrap w:val="0"/>
            <w:vAlign w:val="center"/>
          </w:tcPr>
          <w:p w14:paraId="6CA01A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nil"/>
            </w:tcBorders>
            <w:noWrap w:val="0"/>
            <w:vAlign w:val="center"/>
          </w:tcPr>
          <w:p w14:paraId="73D1115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tcBorders>
              <w:top w:val="nil"/>
            </w:tcBorders>
            <w:noWrap w:val="0"/>
            <w:vAlign w:val="center"/>
          </w:tcPr>
          <w:p w14:paraId="353EF45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tcBorders>
              <w:top w:val="nil"/>
            </w:tcBorders>
            <w:noWrap w:val="0"/>
            <w:vAlign w:val="center"/>
          </w:tcPr>
          <w:p w14:paraId="46F09E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tcBorders>
              <w:top w:val="nil"/>
            </w:tcBorders>
            <w:noWrap w:val="0"/>
            <w:vAlign w:val="center"/>
          </w:tcPr>
          <w:p w14:paraId="5613E2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572CA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F4E8B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55F45A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2B9931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444D9B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1BA70FE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084CE38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7F2EF8D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64DC1CD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156FCB7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86F2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E1E35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5AA5DC7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079367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0482D0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66A76D2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79421A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20C1B2A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6B0663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0E9E962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7393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8B1BA3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61E448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6FFDA29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103C873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7ED3A8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80A375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3BD5531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6CEFE8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49EA9A1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BC84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76231F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0DDCB84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402905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1FCB41A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7ADE15A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F6F309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3EF93A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2A4EAA5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1B44EF3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FB03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5D84C4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238F67A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0017A69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54CC84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6829DCC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5042549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31D7ACD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74D661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398013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CD17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01623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2368353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4CA4478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726DF01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2D23E9F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7011A64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2C75340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7E8828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4B19147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3A49A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A6BBB48">
            <w:pPr>
              <w:rPr>
                <w:rFonts w:ascii="Calibri" w:hAnsi="Calibri" w:eastAsia="仿宋_GB2312"/>
                <w:color w:val="auto"/>
                <w:sz w:val="30"/>
                <w:szCs w:val="30"/>
                <w:highlight w:val="none"/>
              </w:rPr>
            </w:pPr>
          </w:p>
        </w:tc>
        <w:tc>
          <w:tcPr>
            <w:tcW w:w="1418" w:type="dxa"/>
            <w:noWrap w:val="0"/>
            <w:vAlign w:val="top"/>
          </w:tcPr>
          <w:p w14:paraId="2793BA4A">
            <w:pPr>
              <w:rPr>
                <w:rFonts w:ascii="Calibri" w:hAnsi="Calibri" w:eastAsia="仿宋_GB2312"/>
                <w:color w:val="auto"/>
                <w:sz w:val="30"/>
                <w:szCs w:val="30"/>
                <w:highlight w:val="none"/>
              </w:rPr>
            </w:pPr>
          </w:p>
        </w:tc>
        <w:tc>
          <w:tcPr>
            <w:tcW w:w="850" w:type="dxa"/>
            <w:noWrap w:val="0"/>
            <w:vAlign w:val="top"/>
          </w:tcPr>
          <w:p w14:paraId="011D4DB0">
            <w:pPr>
              <w:rPr>
                <w:rFonts w:ascii="Calibri" w:hAnsi="Calibri" w:eastAsia="仿宋_GB2312"/>
                <w:color w:val="auto"/>
                <w:sz w:val="30"/>
                <w:szCs w:val="30"/>
                <w:highlight w:val="none"/>
              </w:rPr>
            </w:pPr>
          </w:p>
        </w:tc>
        <w:tc>
          <w:tcPr>
            <w:tcW w:w="1058" w:type="dxa"/>
            <w:noWrap w:val="0"/>
            <w:vAlign w:val="top"/>
          </w:tcPr>
          <w:p w14:paraId="684F06D0">
            <w:pPr>
              <w:rPr>
                <w:rFonts w:ascii="Calibri" w:hAnsi="Calibri" w:eastAsia="仿宋_GB2312"/>
                <w:color w:val="auto"/>
                <w:sz w:val="30"/>
                <w:szCs w:val="30"/>
                <w:highlight w:val="none"/>
              </w:rPr>
            </w:pPr>
          </w:p>
        </w:tc>
        <w:tc>
          <w:tcPr>
            <w:tcW w:w="880" w:type="dxa"/>
            <w:noWrap w:val="0"/>
            <w:vAlign w:val="top"/>
          </w:tcPr>
          <w:p w14:paraId="70134624">
            <w:pPr>
              <w:rPr>
                <w:rFonts w:ascii="Calibri" w:hAnsi="Calibri" w:eastAsia="仿宋_GB2312"/>
                <w:color w:val="auto"/>
                <w:sz w:val="30"/>
                <w:szCs w:val="30"/>
                <w:highlight w:val="none"/>
              </w:rPr>
            </w:pPr>
          </w:p>
        </w:tc>
        <w:tc>
          <w:tcPr>
            <w:tcW w:w="1020" w:type="dxa"/>
            <w:noWrap w:val="0"/>
            <w:vAlign w:val="top"/>
          </w:tcPr>
          <w:p w14:paraId="2AEED455">
            <w:pPr>
              <w:rPr>
                <w:rFonts w:ascii="Calibri" w:hAnsi="Calibri" w:eastAsia="仿宋_GB2312"/>
                <w:color w:val="auto"/>
                <w:sz w:val="30"/>
                <w:szCs w:val="30"/>
                <w:highlight w:val="none"/>
              </w:rPr>
            </w:pPr>
          </w:p>
        </w:tc>
        <w:tc>
          <w:tcPr>
            <w:tcW w:w="1480" w:type="dxa"/>
            <w:noWrap w:val="0"/>
            <w:vAlign w:val="top"/>
          </w:tcPr>
          <w:p w14:paraId="782B348E">
            <w:pPr>
              <w:rPr>
                <w:rFonts w:ascii="Calibri" w:hAnsi="Calibri" w:eastAsia="仿宋_GB2312"/>
                <w:color w:val="auto"/>
                <w:sz w:val="30"/>
                <w:szCs w:val="30"/>
                <w:highlight w:val="none"/>
              </w:rPr>
            </w:pPr>
          </w:p>
        </w:tc>
        <w:tc>
          <w:tcPr>
            <w:tcW w:w="1020" w:type="dxa"/>
            <w:noWrap w:val="0"/>
            <w:vAlign w:val="top"/>
          </w:tcPr>
          <w:p w14:paraId="266DEF37">
            <w:pPr>
              <w:rPr>
                <w:rFonts w:ascii="Calibri" w:hAnsi="Calibri" w:eastAsia="仿宋_GB2312"/>
                <w:color w:val="auto"/>
                <w:sz w:val="30"/>
                <w:szCs w:val="30"/>
                <w:highlight w:val="none"/>
              </w:rPr>
            </w:pPr>
          </w:p>
        </w:tc>
        <w:tc>
          <w:tcPr>
            <w:tcW w:w="921" w:type="dxa"/>
            <w:noWrap w:val="0"/>
            <w:vAlign w:val="top"/>
          </w:tcPr>
          <w:p w14:paraId="2161805E">
            <w:pPr>
              <w:rPr>
                <w:rFonts w:ascii="Calibri" w:hAnsi="Calibri" w:eastAsia="仿宋_GB2312"/>
                <w:color w:val="auto"/>
                <w:sz w:val="30"/>
                <w:szCs w:val="30"/>
                <w:highlight w:val="none"/>
              </w:rPr>
            </w:pPr>
          </w:p>
        </w:tc>
      </w:tr>
      <w:tr w14:paraId="3935A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0CBC0C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noWrap w:val="0"/>
            <w:vAlign w:val="center"/>
          </w:tcPr>
          <w:p w14:paraId="240768D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noWrap w:val="0"/>
            <w:vAlign w:val="center"/>
          </w:tcPr>
          <w:p w14:paraId="636B81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noWrap w:val="0"/>
            <w:vAlign w:val="center"/>
          </w:tcPr>
          <w:p w14:paraId="3654B30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noWrap w:val="0"/>
            <w:vAlign w:val="center"/>
          </w:tcPr>
          <w:p w14:paraId="4BD603A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666DB8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noWrap w:val="0"/>
            <w:vAlign w:val="center"/>
          </w:tcPr>
          <w:p w14:paraId="016760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noWrap w:val="0"/>
            <w:vAlign w:val="center"/>
          </w:tcPr>
          <w:p w14:paraId="3F5B9F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noWrap w:val="0"/>
            <w:vAlign w:val="center"/>
          </w:tcPr>
          <w:p w14:paraId="005A4DF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6C7D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0CBCA60">
            <w:pPr>
              <w:rPr>
                <w:rFonts w:ascii="Calibri" w:hAnsi="Calibri" w:eastAsia="仿宋_GB2312"/>
                <w:color w:val="auto"/>
                <w:sz w:val="30"/>
                <w:szCs w:val="30"/>
                <w:highlight w:val="none"/>
              </w:rPr>
            </w:pPr>
          </w:p>
        </w:tc>
        <w:tc>
          <w:tcPr>
            <w:tcW w:w="1418" w:type="dxa"/>
            <w:noWrap w:val="0"/>
            <w:vAlign w:val="top"/>
          </w:tcPr>
          <w:p w14:paraId="371C0B66">
            <w:pPr>
              <w:rPr>
                <w:rFonts w:ascii="Calibri" w:hAnsi="Calibri" w:eastAsia="仿宋_GB2312"/>
                <w:color w:val="auto"/>
                <w:sz w:val="30"/>
                <w:szCs w:val="30"/>
                <w:highlight w:val="none"/>
              </w:rPr>
            </w:pPr>
          </w:p>
        </w:tc>
        <w:tc>
          <w:tcPr>
            <w:tcW w:w="850" w:type="dxa"/>
            <w:noWrap w:val="0"/>
            <w:vAlign w:val="top"/>
          </w:tcPr>
          <w:p w14:paraId="54C047DA">
            <w:pPr>
              <w:rPr>
                <w:rFonts w:ascii="Calibri" w:hAnsi="Calibri" w:eastAsia="仿宋_GB2312"/>
                <w:color w:val="auto"/>
                <w:sz w:val="30"/>
                <w:szCs w:val="30"/>
                <w:highlight w:val="none"/>
              </w:rPr>
            </w:pPr>
          </w:p>
        </w:tc>
        <w:tc>
          <w:tcPr>
            <w:tcW w:w="1058" w:type="dxa"/>
            <w:noWrap w:val="0"/>
            <w:vAlign w:val="top"/>
          </w:tcPr>
          <w:p w14:paraId="6DDADC3F">
            <w:pPr>
              <w:rPr>
                <w:rFonts w:ascii="Calibri" w:hAnsi="Calibri" w:eastAsia="仿宋_GB2312"/>
                <w:color w:val="auto"/>
                <w:sz w:val="30"/>
                <w:szCs w:val="30"/>
                <w:highlight w:val="none"/>
              </w:rPr>
            </w:pPr>
          </w:p>
        </w:tc>
        <w:tc>
          <w:tcPr>
            <w:tcW w:w="880" w:type="dxa"/>
            <w:noWrap w:val="0"/>
            <w:vAlign w:val="top"/>
          </w:tcPr>
          <w:p w14:paraId="6C8DF650">
            <w:pPr>
              <w:rPr>
                <w:rFonts w:ascii="Calibri" w:hAnsi="Calibri" w:eastAsia="仿宋_GB2312"/>
                <w:color w:val="auto"/>
                <w:sz w:val="30"/>
                <w:szCs w:val="30"/>
                <w:highlight w:val="none"/>
              </w:rPr>
            </w:pPr>
          </w:p>
        </w:tc>
        <w:tc>
          <w:tcPr>
            <w:tcW w:w="1020" w:type="dxa"/>
            <w:noWrap w:val="0"/>
            <w:vAlign w:val="top"/>
          </w:tcPr>
          <w:p w14:paraId="08082074">
            <w:pPr>
              <w:rPr>
                <w:rFonts w:ascii="Calibri" w:hAnsi="Calibri" w:eastAsia="仿宋_GB2312"/>
                <w:color w:val="auto"/>
                <w:sz w:val="30"/>
                <w:szCs w:val="30"/>
                <w:highlight w:val="none"/>
              </w:rPr>
            </w:pPr>
          </w:p>
        </w:tc>
        <w:tc>
          <w:tcPr>
            <w:tcW w:w="1480" w:type="dxa"/>
            <w:noWrap w:val="0"/>
            <w:vAlign w:val="top"/>
          </w:tcPr>
          <w:p w14:paraId="7AA12A8D">
            <w:pPr>
              <w:rPr>
                <w:rFonts w:ascii="Calibri" w:hAnsi="Calibri" w:eastAsia="仿宋_GB2312"/>
                <w:color w:val="auto"/>
                <w:sz w:val="30"/>
                <w:szCs w:val="30"/>
                <w:highlight w:val="none"/>
              </w:rPr>
            </w:pPr>
          </w:p>
        </w:tc>
        <w:tc>
          <w:tcPr>
            <w:tcW w:w="1020" w:type="dxa"/>
            <w:noWrap w:val="0"/>
            <w:vAlign w:val="top"/>
          </w:tcPr>
          <w:p w14:paraId="341189E1">
            <w:pPr>
              <w:rPr>
                <w:rFonts w:ascii="Calibri" w:hAnsi="Calibri" w:eastAsia="仿宋_GB2312"/>
                <w:color w:val="auto"/>
                <w:sz w:val="30"/>
                <w:szCs w:val="30"/>
                <w:highlight w:val="none"/>
              </w:rPr>
            </w:pPr>
          </w:p>
        </w:tc>
        <w:tc>
          <w:tcPr>
            <w:tcW w:w="921" w:type="dxa"/>
            <w:noWrap w:val="0"/>
            <w:vAlign w:val="top"/>
          </w:tcPr>
          <w:p w14:paraId="5E5833C5">
            <w:pPr>
              <w:rPr>
                <w:rFonts w:ascii="Calibri" w:hAnsi="Calibri" w:eastAsia="仿宋_GB2312"/>
                <w:color w:val="auto"/>
                <w:sz w:val="30"/>
                <w:szCs w:val="30"/>
                <w:highlight w:val="none"/>
              </w:rPr>
            </w:pPr>
          </w:p>
        </w:tc>
      </w:tr>
      <w:tr w14:paraId="17392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8F397E4">
            <w:pPr>
              <w:rPr>
                <w:rFonts w:ascii="Calibri" w:hAnsi="Calibri" w:eastAsia="仿宋_GB2312"/>
                <w:color w:val="auto"/>
                <w:sz w:val="30"/>
                <w:szCs w:val="30"/>
                <w:highlight w:val="none"/>
              </w:rPr>
            </w:pPr>
          </w:p>
        </w:tc>
        <w:tc>
          <w:tcPr>
            <w:tcW w:w="1418" w:type="dxa"/>
            <w:noWrap w:val="0"/>
            <w:vAlign w:val="top"/>
          </w:tcPr>
          <w:p w14:paraId="4C50063F">
            <w:pPr>
              <w:rPr>
                <w:rFonts w:ascii="Calibri" w:hAnsi="Calibri" w:eastAsia="仿宋_GB2312"/>
                <w:color w:val="auto"/>
                <w:sz w:val="30"/>
                <w:szCs w:val="30"/>
                <w:highlight w:val="none"/>
              </w:rPr>
            </w:pPr>
          </w:p>
        </w:tc>
        <w:tc>
          <w:tcPr>
            <w:tcW w:w="850" w:type="dxa"/>
            <w:noWrap w:val="0"/>
            <w:vAlign w:val="top"/>
          </w:tcPr>
          <w:p w14:paraId="04A8EE6E">
            <w:pPr>
              <w:rPr>
                <w:rFonts w:ascii="Calibri" w:hAnsi="Calibri" w:eastAsia="仿宋_GB2312"/>
                <w:color w:val="auto"/>
                <w:sz w:val="30"/>
                <w:szCs w:val="30"/>
                <w:highlight w:val="none"/>
              </w:rPr>
            </w:pPr>
          </w:p>
        </w:tc>
        <w:tc>
          <w:tcPr>
            <w:tcW w:w="1058" w:type="dxa"/>
            <w:noWrap w:val="0"/>
            <w:vAlign w:val="top"/>
          </w:tcPr>
          <w:p w14:paraId="3505C104">
            <w:pPr>
              <w:rPr>
                <w:rFonts w:ascii="Calibri" w:hAnsi="Calibri" w:eastAsia="仿宋_GB2312"/>
                <w:color w:val="auto"/>
                <w:sz w:val="30"/>
                <w:szCs w:val="30"/>
                <w:highlight w:val="none"/>
              </w:rPr>
            </w:pPr>
          </w:p>
        </w:tc>
        <w:tc>
          <w:tcPr>
            <w:tcW w:w="880" w:type="dxa"/>
            <w:noWrap w:val="0"/>
            <w:vAlign w:val="top"/>
          </w:tcPr>
          <w:p w14:paraId="3EDEAA4A">
            <w:pPr>
              <w:rPr>
                <w:rFonts w:ascii="Calibri" w:hAnsi="Calibri" w:eastAsia="仿宋_GB2312"/>
                <w:color w:val="auto"/>
                <w:sz w:val="30"/>
                <w:szCs w:val="30"/>
                <w:highlight w:val="none"/>
              </w:rPr>
            </w:pPr>
          </w:p>
        </w:tc>
        <w:tc>
          <w:tcPr>
            <w:tcW w:w="1020" w:type="dxa"/>
            <w:noWrap w:val="0"/>
            <w:vAlign w:val="top"/>
          </w:tcPr>
          <w:p w14:paraId="07BCF2FF">
            <w:pPr>
              <w:rPr>
                <w:rFonts w:ascii="Calibri" w:hAnsi="Calibri" w:eastAsia="仿宋_GB2312"/>
                <w:color w:val="auto"/>
                <w:sz w:val="30"/>
                <w:szCs w:val="30"/>
                <w:highlight w:val="none"/>
              </w:rPr>
            </w:pPr>
          </w:p>
        </w:tc>
        <w:tc>
          <w:tcPr>
            <w:tcW w:w="1480" w:type="dxa"/>
            <w:noWrap w:val="0"/>
            <w:vAlign w:val="top"/>
          </w:tcPr>
          <w:p w14:paraId="34B10982">
            <w:pPr>
              <w:rPr>
                <w:rFonts w:ascii="Calibri" w:hAnsi="Calibri" w:eastAsia="仿宋_GB2312"/>
                <w:color w:val="auto"/>
                <w:sz w:val="30"/>
                <w:szCs w:val="30"/>
                <w:highlight w:val="none"/>
              </w:rPr>
            </w:pPr>
          </w:p>
        </w:tc>
        <w:tc>
          <w:tcPr>
            <w:tcW w:w="1020" w:type="dxa"/>
            <w:noWrap w:val="0"/>
            <w:vAlign w:val="top"/>
          </w:tcPr>
          <w:p w14:paraId="1AE2FD4F">
            <w:pPr>
              <w:rPr>
                <w:rFonts w:ascii="Calibri" w:hAnsi="Calibri" w:eastAsia="仿宋_GB2312"/>
                <w:color w:val="auto"/>
                <w:sz w:val="30"/>
                <w:szCs w:val="30"/>
                <w:highlight w:val="none"/>
              </w:rPr>
            </w:pPr>
          </w:p>
        </w:tc>
        <w:tc>
          <w:tcPr>
            <w:tcW w:w="921" w:type="dxa"/>
            <w:noWrap w:val="0"/>
            <w:vAlign w:val="top"/>
          </w:tcPr>
          <w:p w14:paraId="119572E4">
            <w:pPr>
              <w:rPr>
                <w:rFonts w:ascii="Calibri" w:hAnsi="Calibri" w:eastAsia="仿宋_GB2312"/>
                <w:color w:val="auto"/>
                <w:sz w:val="30"/>
                <w:szCs w:val="30"/>
                <w:highlight w:val="none"/>
              </w:rPr>
            </w:pPr>
          </w:p>
        </w:tc>
      </w:tr>
      <w:tr w14:paraId="5CA2A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8986DE6">
            <w:pPr>
              <w:rPr>
                <w:rFonts w:ascii="Calibri" w:hAnsi="Calibri" w:eastAsia="仿宋_GB2312"/>
                <w:color w:val="auto"/>
                <w:sz w:val="30"/>
                <w:szCs w:val="30"/>
                <w:highlight w:val="none"/>
              </w:rPr>
            </w:pPr>
          </w:p>
        </w:tc>
        <w:tc>
          <w:tcPr>
            <w:tcW w:w="1418" w:type="dxa"/>
            <w:noWrap w:val="0"/>
            <w:vAlign w:val="top"/>
          </w:tcPr>
          <w:p w14:paraId="7D37BAFF">
            <w:pPr>
              <w:rPr>
                <w:rFonts w:ascii="Calibri" w:hAnsi="Calibri" w:eastAsia="仿宋_GB2312"/>
                <w:color w:val="auto"/>
                <w:sz w:val="30"/>
                <w:szCs w:val="30"/>
                <w:highlight w:val="none"/>
              </w:rPr>
            </w:pPr>
          </w:p>
        </w:tc>
        <w:tc>
          <w:tcPr>
            <w:tcW w:w="850" w:type="dxa"/>
            <w:noWrap w:val="0"/>
            <w:vAlign w:val="top"/>
          </w:tcPr>
          <w:p w14:paraId="6AD614F7">
            <w:pPr>
              <w:rPr>
                <w:rFonts w:ascii="Calibri" w:hAnsi="Calibri" w:eastAsia="仿宋_GB2312"/>
                <w:color w:val="auto"/>
                <w:sz w:val="30"/>
                <w:szCs w:val="30"/>
                <w:highlight w:val="none"/>
              </w:rPr>
            </w:pPr>
          </w:p>
        </w:tc>
        <w:tc>
          <w:tcPr>
            <w:tcW w:w="1058" w:type="dxa"/>
            <w:noWrap w:val="0"/>
            <w:vAlign w:val="top"/>
          </w:tcPr>
          <w:p w14:paraId="696C7AF2">
            <w:pPr>
              <w:rPr>
                <w:rFonts w:ascii="Calibri" w:hAnsi="Calibri" w:eastAsia="仿宋_GB2312"/>
                <w:color w:val="auto"/>
                <w:sz w:val="30"/>
                <w:szCs w:val="30"/>
                <w:highlight w:val="none"/>
              </w:rPr>
            </w:pPr>
          </w:p>
        </w:tc>
        <w:tc>
          <w:tcPr>
            <w:tcW w:w="880" w:type="dxa"/>
            <w:noWrap w:val="0"/>
            <w:vAlign w:val="top"/>
          </w:tcPr>
          <w:p w14:paraId="1F74437A">
            <w:pPr>
              <w:rPr>
                <w:rFonts w:ascii="Calibri" w:hAnsi="Calibri" w:eastAsia="仿宋_GB2312"/>
                <w:color w:val="auto"/>
                <w:sz w:val="30"/>
                <w:szCs w:val="30"/>
                <w:highlight w:val="none"/>
              </w:rPr>
            </w:pPr>
          </w:p>
        </w:tc>
        <w:tc>
          <w:tcPr>
            <w:tcW w:w="1020" w:type="dxa"/>
            <w:noWrap w:val="0"/>
            <w:vAlign w:val="top"/>
          </w:tcPr>
          <w:p w14:paraId="221AC363">
            <w:pPr>
              <w:rPr>
                <w:rFonts w:ascii="Calibri" w:hAnsi="Calibri" w:eastAsia="仿宋_GB2312"/>
                <w:color w:val="auto"/>
                <w:sz w:val="30"/>
                <w:szCs w:val="30"/>
                <w:highlight w:val="none"/>
              </w:rPr>
            </w:pPr>
          </w:p>
        </w:tc>
        <w:tc>
          <w:tcPr>
            <w:tcW w:w="1480" w:type="dxa"/>
            <w:noWrap w:val="0"/>
            <w:vAlign w:val="top"/>
          </w:tcPr>
          <w:p w14:paraId="7FAC2CC2">
            <w:pPr>
              <w:rPr>
                <w:rFonts w:ascii="Calibri" w:hAnsi="Calibri" w:eastAsia="仿宋_GB2312"/>
                <w:color w:val="auto"/>
                <w:sz w:val="30"/>
                <w:szCs w:val="30"/>
                <w:highlight w:val="none"/>
              </w:rPr>
            </w:pPr>
          </w:p>
        </w:tc>
        <w:tc>
          <w:tcPr>
            <w:tcW w:w="1020" w:type="dxa"/>
            <w:noWrap w:val="0"/>
            <w:vAlign w:val="top"/>
          </w:tcPr>
          <w:p w14:paraId="682A5A7E">
            <w:pPr>
              <w:rPr>
                <w:rFonts w:ascii="Calibri" w:hAnsi="Calibri" w:eastAsia="仿宋_GB2312"/>
                <w:color w:val="auto"/>
                <w:sz w:val="30"/>
                <w:szCs w:val="30"/>
                <w:highlight w:val="none"/>
              </w:rPr>
            </w:pPr>
          </w:p>
        </w:tc>
        <w:tc>
          <w:tcPr>
            <w:tcW w:w="921" w:type="dxa"/>
            <w:noWrap w:val="0"/>
            <w:vAlign w:val="top"/>
          </w:tcPr>
          <w:p w14:paraId="12DFEA48">
            <w:pPr>
              <w:rPr>
                <w:rFonts w:ascii="Calibri" w:hAnsi="Calibri" w:eastAsia="仿宋_GB2312"/>
                <w:color w:val="auto"/>
                <w:sz w:val="30"/>
                <w:szCs w:val="30"/>
                <w:highlight w:val="none"/>
              </w:rPr>
            </w:pPr>
          </w:p>
        </w:tc>
      </w:tr>
      <w:tr w14:paraId="3FB04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CBB9426">
            <w:pPr>
              <w:rPr>
                <w:rFonts w:ascii="Calibri" w:hAnsi="Calibri" w:eastAsia="仿宋_GB2312"/>
                <w:color w:val="auto"/>
                <w:sz w:val="30"/>
                <w:szCs w:val="30"/>
                <w:highlight w:val="none"/>
              </w:rPr>
            </w:pPr>
          </w:p>
        </w:tc>
        <w:tc>
          <w:tcPr>
            <w:tcW w:w="1418" w:type="dxa"/>
            <w:noWrap w:val="0"/>
            <w:vAlign w:val="top"/>
          </w:tcPr>
          <w:p w14:paraId="39027519">
            <w:pPr>
              <w:rPr>
                <w:rFonts w:ascii="Calibri" w:hAnsi="Calibri" w:eastAsia="仿宋_GB2312"/>
                <w:color w:val="auto"/>
                <w:sz w:val="30"/>
                <w:szCs w:val="30"/>
                <w:highlight w:val="none"/>
              </w:rPr>
            </w:pPr>
          </w:p>
        </w:tc>
        <w:tc>
          <w:tcPr>
            <w:tcW w:w="850" w:type="dxa"/>
            <w:noWrap w:val="0"/>
            <w:vAlign w:val="top"/>
          </w:tcPr>
          <w:p w14:paraId="4A664563">
            <w:pPr>
              <w:rPr>
                <w:rFonts w:ascii="Calibri" w:hAnsi="Calibri" w:eastAsia="仿宋_GB2312"/>
                <w:color w:val="auto"/>
                <w:sz w:val="30"/>
                <w:szCs w:val="30"/>
                <w:highlight w:val="none"/>
              </w:rPr>
            </w:pPr>
          </w:p>
        </w:tc>
        <w:tc>
          <w:tcPr>
            <w:tcW w:w="1058" w:type="dxa"/>
            <w:noWrap w:val="0"/>
            <w:vAlign w:val="top"/>
          </w:tcPr>
          <w:p w14:paraId="0A1F3013">
            <w:pPr>
              <w:rPr>
                <w:rFonts w:ascii="Calibri" w:hAnsi="Calibri" w:eastAsia="仿宋_GB2312"/>
                <w:color w:val="auto"/>
                <w:sz w:val="30"/>
                <w:szCs w:val="30"/>
                <w:highlight w:val="none"/>
              </w:rPr>
            </w:pPr>
          </w:p>
        </w:tc>
        <w:tc>
          <w:tcPr>
            <w:tcW w:w="880" w:type="dxa"/>
            <w:noWrap w:val="0"/>
            <w:vAlign w:val="top"/>
          </w:tcPr>
          <w:p w14:paraId="0AE1E6C4">
            <w:pPr>
              <w:rPr>
                <w:rFonts w:ascii="Calibri" w:hAnsi="Calibri" w:eastAsia="仿宋_GB2312"/>
                <w:color w:val="auto"/>
                <w:sz w:val="30"/>
                <w:szCs w:val="30"/>
                <w:highlight w:val="none"/>
              </w:rPr>
            </w:pPr>
          </w:p>
        </w:tc>
        <w:tc>
          <w:tcPr>
            <w:tcW w:w="1020" w:type="dxa"/>
            <w:noWrap w:val="0"/>
            <w:vAlign w:val="top"/>
          </w:tcPr>
          <w:p w14:paraId="7E2EC6A4">
            <w:pPr>
              <w:rPr>
                <w:rFonts w:ascii="Calibri" w:hAnsi="Calibri" w:eastAsia="仿宋_GB2312"/>
                <w:color w:val="auto"/>
                <w:sz w:val="30"/>
                <w:szCs w:val="30"/>
                <w:highlight w:val="none"/>
              </w:rPr>
            </w:pPr>
          </w:p>
        </w:tc>
        <w:tc>
          <w:tcPr>
            <w:tcW w:w="1480" w:type="dxa"/>
            <w:noWrap w:val="0"/>
            <w:vAlign w:val="top"/>
          </w:tcPr>
          <w:p w14:paraId="2F26AC4E">
            <w:pPr>
              <w:rPr>
                <w:rFonts w:ascii="Calibri" w:hAnsi="Calibri" w:eastAsia="仿宋_GB2312"/>
                <w:color w:val="auto"/>
                <w:sz w:val="30"/>
                <w:szCs w:val="30"/>
                <w:highlight w:val="none"/>
              </w:rPr>
            </w:pPr>
          </w:p>
        </w:tc>
        <w:tc>
          <w:tcPr>
            <w:tcW w:w="1020" w:type="dxa"/>
            <w:noWrap w:val="0"/>
            <w:vAlign w:val="top"/>
          </w:tcPr>
          <w:p w14:paraId="247C4A6F">
            <w:pPr>
              <w:rPr>
                <w:rFonts w:ascii="Calibri" w:hAnsi="Calibri" w:eastAsia="仿宋_GB2312"/>
                <w:color w:val="auto"/>
                <w:sz w:val="30"/>
                <w:szCs w:val="30"/>
                <w:highlight w:val="none"/>
              </w:rPr>
            </w:pPr>
          </w:p>
        </w:tc>
        <w:tc>
          <w:tcPr>
            <w:tcW w:w="921" w:type="dxa"/>
            <w:noWrap w:val="0"/>
            <w:vAlign w:val="top"/>
          </w:tcPr>
          <w:p w14:paraId="2C88DCFD">
            <w:pPr>
              <w:rPr>
                <w:rFonts w:ascii="Calibri" w:hAnsi="Calibri" w:eastAsia="仿宋_GB2312"/>
                <w:color w:val="auto"/>
                <w:sz w:val="30"/>
                <w:szCs w:val="30"/>
                <w:highlight w:val="none"/>
              </w:rPr>
            </w:pPr>
          </w:p>
        </w:tc>
      </w:tr>
      <w:tr w14:paraId="1E6DC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26823C9">
            <w:pPr>
              <w:rPr>
                <w:rFonts w:ascii="Calibri" w:hAnsi="Calibri" w:eastAsia="仿宋_GB2312"/>
                <w:color w:val="auto"/>
                <w:sz w:val="30"/>
                <w:szCs w:val="30"/>
                <w:highlight w:val="none"/>
              </w:rPr>
            </w:pPr>
          </w:p>
        </w:tc>
        <w:tc>
          <w:tcPr>
            <w:tcW w:w="1418" w:type="dxa"/>
            <w:noWrap w:val="0"/>
            <w:vAlign w:val="top"/>
          </w:tcPr>
          <w:p w14:paraId="07EE43DD">
            <w:pPr>
              <w:rPr>
                <w:rFonts w:ascii="Calibri" w:hAnsi="Calibri" w:eastAsia="仿宋_GB2312"/>
                <w:color w:val="auto"/>
                <w:sz w:val="30"/>
                <w:szCs w:val="30"/>
                <w:highlight w:val="none"/>
              </w:rPr>
            </w:pPr>
          </w:p>
        </w:tc>
        <w:tc>
          <w:tcPr>
            <w:tcW w:w="850" w:type="dxa"/>
            <w:noWrap w:val="0"/>
            <w:vAlign w:val="top"/>
          </w:tcPr>
          <w:p w14:paraId="46DEDA31">
            <w:pPr>
              <w:rPr>
                <w:rFonts w:ascii="Calibri" w:hAnsi="Calibri" w:eastAsia="仿宋_GB2312"/>
                <w:color w:val="auto"/>
                <w:sz w:val="30"/>
                <w:szCs w:val="30"/>
                <w:highlight w:val="none"/>
              </w:rPr>
            </w:pPr>
          </w:p>
        </w:tc>
        <w:tc>
          <w:tcPr>
            <w:tcW w:w="1058" w:type="dxa"/>
            <w:noWrap w:val="0"/>
            <w:vAlign w:val="top"/>
          </w:tcPr>
          <w:p w14:paraId="00110516">
            <w:pPr>
              <w:rPr>
                <w:rFonts w:ascii="Calibri" w:hAnsi="Calibri" w:eastAsia="仿宋_GB2312"/>
                <w:color w:val="auto"/>
                <w:sz w:val="30"/>
                <w:szCs w:val="30"/>
                <w:highlight w:val="none"/>
              </w:rPr>
            </w:pPr>
          </w:p>
        </w:tc>
        <w:tc>
          <w:tcPr>
            <w:tcW w:w="880" w:type="dxa"/>
            <w:noWrap w:val="0"/>
            <w:vAlign w:val="top"/>
          </w:tcPr>
          <w:p w14:paraId="37FEC15E">
            <w:pPr>
              <w:rPr>
                <w:rFonts w:ascii="Calibri" w:hAnsi="Calibri" w:eastAsia="仿宋_GB2312"/>
                <w:color w:val="auto"/>
                <w:sz w:val="30"/>
                <w:szCs w:val="30"/>
                <w:highlight w:val="none"/>
              </w:rPr>
            </w:pPr>
          </w:p>
        </w:tc>
        <w:tc>
          <w:tcPr>
            <w:tcW w:w="1020" w:type="dxa"/>
            <w:noWrap w:val="0"/>
            <w:vAlign w:val="top"/>
          </w:tcPr>
          <w:p w14:paraId="5ED373C4">
            <w:pPr>
              <w:rPr>
                <w:rFonts w:ascii="Calibri" w:hAnsi="Calibri" w:eastAsia="仿宋_GB2312"/>
                <w:color w:val="auto"/>
                <w:sz w:val="30"/>
                <w:szCs w:val="30"/>
                <w:highlight w:val="none"/>
              </w:rPr>
            </w:pPr>
          </w:p>
        </w:tc>
        <w:tc>
          <w:tcPr>
            <w:tcW w:w="1480" w:type="dxa"/>
            <w:noWrap w:val="0"/>
            <w:vAlign w:val="top"/>
          </w:tcPr>
          <w:p w14:paraId="480BF13C">
            <w:pPr>
              <w:rPr>
                <w:rFonts w:ascii="Calibri" w:hAnsi="Calibri" w:eastAsia="仿宋_GB2312"/>
                <w:color w:val="auto"/>
                <w:sz w:val="30"/>
                <w:szCs w:val="30"/>
                <w:highlight w:val="none"/>
              </w:rPr>
            </w:pPr>
          </w:p>
        </w:tc>
        <w:tc>
          <w:tcPr>
            <w:tcW w:w="1020" w:type="dxa"/>
            <w:noWrap w:val="0"/>
            <w:vAlign w:val="top"/>
          </w:tcPr>
          <w:p w14:paraId="1EBCB305">
            <w:pPr>
              <w:rPr>
                <w:rFonts w:ascii="Calibri" w:hAnsi="Calibri" w:eastAsia="仿宋_GB2312"/>
                <w:color w:val="auto"/>
                <w:sz w:val="30"/>
                <w:szCs w:val="30"/>
                <w:highlight w:val="none"/>
              </w:rPr>
            </w:pPr>
          </w:p>
        </w:tc>
        <w:tc>
          <w:tcPr>
            <w:tcW w:w="921" w:type="dxa"/>
            <w:noWrap w:val="0"/>
            <w:vAlign w:val="top"/>
          </w:tcPr>
          <w:p w14:paraId="0941BCE1">
            <w:pPr>
              <w:rPr>
                <w:rFonts w:ascii="Calibri" w:hAnsi="Calibri" w:eastAsia="仿宋_GB2312"/>
                <w:color w:val="auto"/>
                <w:sz w:val="30"/>
                <w:szCs w:val="30"/>
                <w:highlight w:val="none"/>
              </w:rPr>
            </w:pPr>
          </w:p>
        </w:tc>
      </w:tr>
      <w:tr w14:paraId="1307F8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512D11F">
            <w:pPr>
              <w:rPr>
                <w:rFonts w:ascii="Calibri" w:hAnsi="Calibri" w:eastAsia="仿宋_GB2312"/>
                <w:color w:val="auto"/>
                <w:sz w:val="30"/>
                <w:szCs w:val="30"/>
                <w:highlight w:val="none"/>
              </w:rPr>
            </w:pPr>
          </w:p>
        </w:tc>
        <w:tc>
          <w:tcPr>
            <w:tcW w:w="1418" w:type="dxa"/>
            <w:noWrap w:val="0"/>
            <w:vAlign w:val="top"/>
          </w:tcPr>
          <w:p w14:paraId="58E66E8E">
            <w:pPr>
              <w:rPr>
                <w:rFonts w:ascii="Calibri" w:hAnsi="Calibri" w:eastAsia="仿宋_GB2312"/>
                <w:color w:val="auto"/>
                <w:sz w:val="30"/>
                <w:szCs w:val="30"/>
                <w:highlight w:val="none"/>
              </w:rPr>
            </w:pPr>
          </w:p>
        </w:tc>
        <w:tc>
          <w:tcPr>
            <w:tcW w:w="850" w:type="dxa"/>
            <w:noWrap w:val="0"/>
            <w:vAlign w:val="top"/>
          </w:tcPr>
          <w:p w14:paraId="33F01A41">
            <w:pPr>
              <w:rPr>
                <w:rFonts w:ascii="Calibri" w:hAnsi="Calibri" w:eastAsia="仿宋_GB2312"/>
                <w:color w:val="auto"/>
                <w:sz w:val="30"/>
                <w:szCs w:val="30"/>
                <w:highlight w:val="none"/>
              </w:rPr>
            </w:pPr>
          </w:p>
        </w:tc>
        <w:tc>
          <w:tcPr>
            <w:tcW w:w="1058" w:type="dxa"/>
            <w:noWrap w:val="0"/>
            <w:vAlign w:val="top"/>
          </w:tcPr>
          <w:p w14:paraId="477FBA5C">
            <w:pPr>
              <w:rPr>
                <w:rFonts w:ascii="Calibri" w:hAnsi="Calibri" w:eastAsia="仿宋_GB2312"/>
                <w:color w:val="auto"/>
                <w:sz w:val="30"/>
                <w:szCs w:val="30"/>
                <w:highlight w:val="none"/>
              </w:rPr>
            </w:pPr>
          </w:p>
        </w:tc>
        <w:tc>
          <w:tcPr>
            <w:tcW w:w="880" w:type="dxa"/>
            <w:noWrap w:val="0"/>
            <w:vAlign w:val="top"/>
          </w:tcPr>
          <w:p w14:paraId="22E5FDAF">
            <w:pPr>
              <w:rPr>
                <w:rFonts w:ascii="Calibri" w:hAnsi="Calibri" w:eastAsia="仿宋_GB2312"/>
                <w:color w:val="auto"/>
                <w:sz w:val="30"/>
                <w:szCs w:val="30"/>
                <w:highlight w:val="none"/>
              </w:rPr>
            </w:pPr>
          </w:p>
        </w:tc>
        <w:tc>
          <w:tcPr>
            <w:tcW w:w="1020" w:type="dxa"/>
            <w:noWrap w:val="0"/>
            <w:vAlign w:val="top"/>
          </w:tcPr>
          <w:p w14:paraId="5ABDA16F">
            <w:pPr>
              <w:rPr>
                <w:rFonts w:ascii="Calibri" w:hAnsi="Calibri" w:eastAsia="仿宋_GB2312"/>
                <w:color w:val="auto"/>
                <w:sz w:val="30"/>
                <w:szCs w:val="30"/>
                <w:highlight w:val="none"/>
              </w:rPr>
            </w:pPr>
          </w:p>
        </w:tc>
        <w:tc>
          <w:tcPr>
            <w:tcW w:w="1480" w:type="dxa"/>
            <w:noWrap w:val="0"/>
            <w:vAlign w:val="top"/>
          </w:tcPr>
          <w:p w14:paraId="3CC051B9">
            <w:pPr>
              <w:rPr>
                <w:rFonts w:ascii="Calibri" w:hAnsi="Calibri" w:eastAsia="仿宋_GB2312"/>
                <w:color w:val="auto"/>
                <w:sz w:val="30"/>
                <w:szCs w:val="30"/>
                <w:highlight w:val="none"/>
              </w:rPr>
            </w:pPr>
          </w:p>
        </w:tc>
        <w:tc>
          <w:tcPr>
            <w:tcW w:w="1020" w:type="dxa"/>
            <w:noWrap w:val="0"/>
            <w:vAlign w:val="top"/>
          </w:tcPr>
          <w:p w14:paraId="54D0CD6B">
            <w:pPr>
              <w:rPr>
                <w:rFonts w:ascii="Calibri" w:hAnsi="Calibri" w:eastAsia="仿宋_GB2312"/>
                <w:color w:val="auto"/>
                <w:sz w:val="30"/>
                <w:szCs w:val="30"/>
                <w:highlight w:val="none"/>
              </w:rPr>
            </w:pPr>
          </w:p>
        </w:tc>
        <w:tc>
          <w:tcPr>
            <w:tcW w:w="921" w:type="dxa"/>
            <w:noWrap w:val="0"/>
            <w:vAlign w:val="top"/>
          </w:tcPr>
          <w:p w14:paraId="42EC36DF">
            <w:pPr>
              <w:rPr>
                <w:rFonts w:ascii="Calibri" w:hAnsi="Calibri" w:eastAsia="仿宋_GB2312"/>
                <w:color w:val="auto"/>
                <w:sz w:val="30"/>
                <w:szCs w:val="30"/>
                <w:highlight w:val="none"/>
              </w:rPr>
            </w:pPr>
          </w:p>
        </w:tc>
      </w:tr>
      <w:tr w14:paraId="3B077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FC0058C">
            <w:pPr>
              <w:rPr>
                <w:rFonts w:ascii="Calibri" w:hAnsi="Calibri" w:eastAsia="仿宋_GB2312"/>
                <w:color w:val="auto"/>
                <w:sz w:val="30"/>
                <w:szCs w:val="30"/>
                <w:highlight w:val="none"/>
              </w:rPr>
            </w:pPr>
          </w:p>
        </w:tc>
        <w:tc>
          <w:tcPr>
            <w:tcW w:w="1418" w:type="dxa"/>
            <w:noWrap w:val="0"/>
            <w:vAlign w:val="top"/>
          </w:tcPr>
          <w:p w14:paraId="315B0BE3">
            <w:pPr>
              <w:rPr>
                <w:rFonts w:ascii="Calibri" w:hAnsi="Calibri" w:eastAsia="仿宋_GB2312"/>
                <w:color w:val="auto"/>
                <w:sz w:val="30"/>
                <w:szCs w:val="30"/>
                <w:highlight w:val="none"/>
              </w:rPr>
            </w:pPr>
          </w:p>
        </w:tc>
        <w:tc>
          <w:tcPr>
            <w:tcW w:w="850" w:type="dxa"/>
            <w:noWrap w:val="0"/>
            <w:vAlign w:val="top"/>
          </w:tcPr>
          <w:p w14:paraId="70BEC997">
            <w:pPr>
              <w:rPr>
                <w:rFonts w:ascii="Calibri" w:hAnsi="Calibri" w:eastAsia="仿宋_GB2312"/>
                <w:color w:val="auto"/>
                <w:sz w:val="30"/>
                <w:szCs w:val="30"/>
                <w:highlight w:val="none"/>
              </w:rPr>
            </w:pPr>
          </w:p>
        </w:tc>
        <w:tc>
          <w:tcPr>
            <w:tcW w:w="1058" w:type="dxa"/>
            <w:noWrap w:val="0"/>
            <w:vAlign w:val="top"/>
          </w:tcPr>
          <w:p w14:paraId="22183D4D">
            <w:pPr>
              <w:rPr>
                <w:rFonts w:ascii="Calibri" w:hAnsi="Calibri" w:eastAsia="仿宋_GB2312"/>
                <w:color w:val="auto"/>
                <w:sz w:val="30"/>
                <w:szCs w:val="30"/>
                <w:highlight w:val="none"/>
              </w:rPr>
            </w:pPr>
          </w:p>
        </w:tc>
        <w:tc>
          <w:tcPr>
            <w:tcW w:w="880" w:type="dxa"/>
            <w:noWrap w:val="0"/>
            <w:vAlign w:val="top"/>
          </w:tcPr>
          <w:p w14:paraId="6E027906">
            <w:pPr>
              <w:rPr>
                <w:rFonts w:ascii="Calibri" w:hAnsi="Calibri" w:eastAsia="仿宋_GB2312"/>
                <w:color w:val="auto"/>
                <w:sz w:val="30"/>
                <w:szCs w:val="30"/>
                <w:highlight w:val="none"/>
              </w:rPr>
            </w:pPr>
          </w:p>
        </w:tc>
        <w:tc>
          <w:tcPr>
            <w:tcW w:w="1020" w:type="dxa"/>
            <w:noWrap w:val="0"/>
            <w:vAlign w:val="top"/>
          </w:tcPr>
          <w:p w14:paraId="4678C8DB">
            <w:pPr>
              <w:rPr>
                <w:rFonts w:ascii="Calibri" w:hAnsi="Calibri" w:eastAsia="仿宋_GB2312"/>
                <w:color w:val="auto"/>
                <w:sz w:val="30"/>
                <w:szCs w:val="30"/>
                <w:highlight w:val="none"/>
              </w:rPr>
            </w:pPr>
          </w:p>
        </w:tc>
        <w:tc>
          <w:tcPr>
            <w:tcW w:w="1480" w:type="dxa"/>
            <w:noWrap w:val="0"/>
            <w:vAlign w:val="top"/>
          </w:tcPr>
          <w:p w14:paraId="17A0163A">
            <w:pPr>
              <w:rPr>
                <w:rFonts w:ascii="Calibri" w:hAnsi="Calibri" w:eastAsia="仿宋_GB2312"/>
                <w:color w:val="auto"/>
                <w:sz w:val="30"/>
                <w:szCs w:val="30"/>
                <w:highlight w:val="none"/>
              </w:rPr>
            </w:pPr>
          </w:p>
        </w:tc>
        <w:tc>
          <w:tcPr>
            <w:tcW w:w="1020" w:type="dxa"/>
            <w:noWrap w:val="0"/>
            <w:vAlign w:val="top"/>
          </w:tcPr>
          <w:p w14:paraId="4A36068C">
            <w:pPr>
              <w:rPr>
                <w:rFonts w:ascii="Calibri" w:hAnsi="Calibri" w:eastAsia="仿宋_GB2312"/>
                <w:color w:val="auto"/>
                <w:sz w:val="30"/>
                <w:szCs w:val="30"/>
                <w:highlight w:val="none"/>
              </w:rPr>
            </w:pPr>
          </w:p>
        </w:tc>
        <w:tc>
          <w:tcPr>
            <w:tcW w:w="921" w:type="dxa"/>
            <w:noWrap w:val="0"/>
            <w:vAlign w:val="top"/>
          </w:tcPr>
          <w:p w14:paraId="65735C75">
            <w:pPr>
              <w:rPr>
                <w:rFonts w:ascii="Calibri" w:hAnsi="Calibri" w:eastAsia="仿宋_GB2312"/>
                <w:color w:val="auto"/>
                <w:sz w:val="30"/>
                <w:szCs w:val="30"/>
                <w:highlight w:val="none"/>
              </w:rPr>
            </w:pPr>
          </w:p>
        </w:tc>
      </w:tr>
      <w:tr w14:paraId="42176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43C4A79">
            <w:pPr>
              <w:rPr>
                <w:rFonts w:ascii="Calibri" w:hAnsi="Calibri" w:eastAsia="仿宋_GB2312"/>
                <w:color w:val="auto"/>
                <w:sz w:val="30"/>
                <w:szCs w:val="30"/>
                <w:highlight w:val="none"/>
              </w:rPr>
            </w:pPr>
          </w:p>
        </w:tc>
        <w:tc>
          <w:tcPr>
            <w:tcW w:w="1418" w:type="dxa"/>
            <w:noWrap w:val="0"/>
            <w:vAlign w:val="top"/>
          </w:tcPr>
          <w:p w14:paraId="08C01558">
            <w:pPr>
              <w:rPr>
                <w:rFonts w:ascii="Calibri" w:hAnsi="Calibri" w:eastAsia="仿宋_GB2312"/>
                <w:color w:val="auto"/>
                <w:sz w:val="30"/>
                <w:szCs w:val="30"/>
                <w:highlight w:val="none"/>
              </w:rPr>
            </w:pPr>
          </w:p>
        </w:tc>
        <w:tc>
          <w:tcPr>
            <w:tcW w:w="850" w:type="dxa"/>
            <w:noWrap w:val="0"/>
            <w:vAlign w:val="top"/>
          </w:tcPr>
          <w:p w14:paraId="372B8DAB">
            <w:pPr>
              <w:rPr>
                <w:rFonts w:ascii="Calibri" w:hAnsi="Calibri" w:eastAsia="仿宋_GB2312"/>
                <w:color w:val="auto"/>
                <w:sz w:val="30"/>
                <w:szCs w:val="30"/>
                <w:highlight w:val="none"/>
              </w:rPr>
            </w:pPr>
          </w:p>
        </w:tc>
        <w:tc>
          <w:tcPr>
            <w:tcW w:w="1058" w:type="dxa"/>
            <w:noWrap w:val="0"/>
            <w:vAlign w:val="top"/>
          </w:tcPr>
          <w:p w14:paraId="5F6D5AFA">
            <w:pPr>
              <w:rPr>
                <w:rFonts w:ascii="Calibri" w:hAnsi="Calibri" w:eastAsia="仿宋_GB2312"/>
                <w:color w:val="auto"/>
                <w:sz w:val="30"/>
                <w:szCs w:val="30"/>
                <w:highlight w:val="none"/>
              </w:rPr>
            </w:pPr>
          </w:p>
        </w:tc>
        <w:tc>
          <w:tcPr>
            <w:tcW w:w="880" w:type="dxa"/>
            <w:noWrap w:val="0"/>
            <w:vAlign w:val="top"/>
          </w:tcPr>
          <w:p w14:paraId="50B94ECE">
            <w:pPr>
              <w:rPr>
                <w:rFonts w:ascii="Calibri" w:hAnsi="Calibri" w:eastAsia="仿宋_GB2312"/>
                <w:color w:val="auto"/>
                <w:sz w:val="30"/>
                <w:szCs w:val="30"/>
                <w:highlight w:val="none"/>
              </w:rPr>
            </w:pPr>
          </w:p>
        </w:tc>
        <w:tc>
          <w:tcPr>
            <w:tcW w:w="1020" w:type="dxa"/>
            <w:noWrap w:val="0"/>
            <w:vAlign w:val="top"/>
          </w:tcPr>
          <w:p w14:paraId="68BF57F7">
            <w:pPr>
              <w:rPr>
                <w:rFonts w:ascii="Calibri" w:hAnsi="Calibri" w:eastAsia="仿宋_GB2312"/>
                <w:color w:val="auto"/>
                <w:sz w:val="30"/>
                <w:szCs w:val="30"/>
                <w:highlight w:val="none"/>
              </w:rPr>
            </w:pPr>
          </w:p>
        </w:tc>
        <w:tc>
          <w:tcPr>
            <w:tcW w:w="1480" w:type="dxa"/>
            <w:noWrap w:val="0"/>
            <w:vAlign w:val="top"/>
          </w:tcPr>
          <w:p w14:paraId="2ABBE803">
            <w:pPr>
              <w:rPr>
                <w:rFonts w:ascii="Calibri" w:hAnsi="Calibri" w:eastAsia="仿宋_GB2312"/>
                <w:color w:val="auto"/>
                <w:sz w:val="30"/>
                <w:szCs w:val="30"/>
                <w:highlight w:val="none"/>
              </w:rPr>
            </w:pPr>
          </w:p>
        </w:tc>
        <w:tc>
          <w:tcPr>
            <w:tcW w:w="1020" w:type="dxa"/>
            <w:noWrap w:val="0"/>
            <w:vAlign w:val="top"/>
          </w:tcPr>
          <w:p w14:paraId="1D728323">
            <w:pPr>
              <w:rPr>
                <w:rFonts w:ascii="Calibri" w:hAnsi="Calibri" w:eastAsia="仿宋_GB2312"/>
                <w:color w:val="auto"/>
                <w:sz w:val="30"/>
                <w:szCs w:val="30"/>
                <w:highlight w:val="none"/>
              </w:rPr>
            </w:pPr>
          </w:p>
        </w:tc>
        <w:tc>
          <w:tcPr>
            <w:tcW w:w="921" w:type="dxa"/>
            <w:noWrap w:val="0"/>
            <w:vAlign w:val="top"/>
          </w:tcPr>
          <w:p w14:paraId="47D04B53">
            <w:pPr>
              <w:rPr>
                <w:rFonts w:ascii="Calibri" w:hAnsi="Calibri" w:eastAsia="仿宋_GB2312"/>
                <w:color w:val="auto"/>
                <w:sz w:val="30"/>
                <w:szCs w:val="30"/>
                <w:highlight w:val="none"/>
              </w:rPr>
            </w:pPr>
          </w:p>
        </w:tc>
      </w:tr>
    </w:tbl>
    <w:p w14:paraId="49F65675">
      <w:pPr>
        <w:spacing w:line="440" w:lineRule="exact"/>
        <w:outlineLvl w:val="0"/>
        <w:rPr>
          <w:rFonts w:eastAsia="仿宋_GB2312"/>
          <w:color w:val="auto"/>
          <w:sz w:val="30"/>
          <w:szCs w:val="30"/>
          <w:highlight w:val="none"/>
        </w:rPr>
      </w:pPr>
      <w:bookmarkStart w:id="1159" w:name="_Toc23921"/>
      <w:bookmarkStart w:id="1160" w:name="_Toc10102"/>
      <w:bookmarkStart w:id="1161" w:name="_Toc25370"/>
    </w:p>
    <w:p w14:paraId="09E520C1">
      <w:pPr>
        <w:spacing w:line="440" w:lineRule="exact"/>
        <w:outlineLvl w:val="0"/>
        <w:rPr>
          <w:rFonts w:eastAsia="仿宋_GB2312"/>
          <w:color w:val="auto"/>
          <w:sz w:val="30"/>
          <w:szCs w:val="30"/>
          <w:highlight w:val="none"/>
        </w:rPr>
      </w:pPr>
    </w:p>
    <w:p w14:paraId="6A065D64">
      <w:pPr>
        <w:spacing w:line="440" w:lineRule="exact"/>
        <w:outlineLvl w:val="0"/>
        <w:rPr>
          <w:rFonts w:eastAsia="仿宋_GB2312"/>
          <w:color w:val="auto"/>
          <w:sz w:val="30"/>
          <w:szCs w:val="30"/>
          <w:highlight w:val="none"/>
        </w:rPr>
      </w:pPr>
    </w:p>
    <w:p w14:paraId="44D13BE5">
      <w:pPr>
        <w:spacing w:line="440" w:lineRule="exact"/>
        <w:outlineLvl w:val="0"/>
        <w:rPr>
          <w:rFonts w:eastAsia="黑体"/>
          <w:color w:val="auto"/>
          <w:sz w:val="30"/>
          <w:szCs w:val="30"/>
          <w:highlight w:val="none"/>
        </w:rPr>
      </w:pPr>
      <w:r>
        <w:rPr>
          <w:rFonts w:eastAsia="仿宋_GB2312"/>
          <w:color w:val="auto"/>
          <w:sz w:val="30"/>
          <w:szCs w:val="30"/>
          <w:highlight w:val="none"/>
        </w:rPr>
        <w:t>附</w:t>
      </w:r>
      <w:bookmarkStart w:id="1162" w:name="_Toc296503228"/>
      <w:bookmarkStart w:id="1163" w:name="_Toc296891056"/>
      <w:bookmarkStart w:id="1164" w:name="_Toc296944567"/>
      <w:bookmarkStart w:id="1165" w:name="_Toc296346729"/>
      <w:bookmarkStart w:id="1166" w:name="_Toc267261699"/>
      <w:bookmarkStart w:id="1167" w:name="_Toc296347227"/>
      <w:bookmarkStart w:id="1168" w:name="_Toc296891268"/>
      <w:r>
        <w:rPr>
          <w:rFonts w:eastAsia="仿宋_GB2312"/>
          <w:color w:val="auto"/>
          <w:sz w:val="30"/>
          <w:szCs w:val="30"/>
          <w:highlight w:val="none"/>
        </w:rPr>
        <w:t>件</w:t>
      </w:r>
      <w:r>
        <w:rPr>
          <w:rFonts w:hint="eastAsia" w:eastAsia="仿宋_GB2312"/>
          <w:color w:val="auto"/>
          <w:sz w:val="30"/>
          <w:szCs w:val="30"/>
          <w:highlight w:val="none"/>
        </w:rPr>
        <w:t>5</w:t>
      </w:r>
      <w:r>
        <w:rPr>
          <w:rFonts w:eastAsia="仿宋_GB2312"/>
          <w:color w:val="auto"/>
          <w:sz w:val="30"/>
          <w:szCs w:val="30"/>
          <w:highlight w:val="none"/>
        </w:rPr>
        <w:t>：</w:t>
      </w:r>
      <w:bookmarkEnd w:id="1159"/>
      <w:bookmarkEnd w:id="1160"/>
      <w:bookmarkEnd w:id="1161"/>
    </w:p>
    <w:bookmarkEnd w:id="1162"/>
    <w:bookmarkEnd w:id="1163"/>
    <w:bookmarkEnd w:id="1164"/>
    <w:bookmarkEnd w:id="1165"/>
    <w:bookmarkEnd w:id="1166"/>
    <w:bookmarkEnd w:id="1167"/>
    <w:bookmarkEnd w:id="1168"/>
    <w:p w14:paraId="309AB113">
      <w:pPr>
        <w:spacing w:before="156" w:beforeLines="50" w:after="156" w:afterLines="50" w:line="440" w:lineRule="exact"/>
        <w:jc w:val="center"/>
        <w:rPr>
          <w:rFonts w:eastAsia="黑体"/>
          <w:color w:val="auto"/>
          <w:sz w:val="30"/>
          <w:szCs w:val="30"/>
          <w:highlight w:val="none"/>
        </w:rPr>
      </w:pPr>
      <w:r>
        <w:rPr>
          <w:rFonts w:eastAsia="黑体"/>
          <w:color w:val="auto"/>
          <w:sz w:val="30"/>
          <w:szCs w:val="30"/>
          <w:highlight w:val="none"/>
        </w:rPr>
        <w:t>承包人主要施工管理人员表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776AE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7512BAF2">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名    称</w:t>
            </w:r>
          </w:p>
        </w:tc>
        <w:tc>
          <w:tcPr>
            <w:tcW w:w="1418" w:type="dxa"/>
            <w:tcBorders>
              <w:top w:val="single" w:color="auto" w:sz="12" w:space="0"/>
              <w:bottom w:val="double" w:color="auto" w:sz="6" w:space="0"/>
            </w:tcBorders>
            <w:noWrap w:val="0"/>
            <w:vAlign w:val="center"/>
          </w:tcPr>
          <w:p w14:paraId="589DF2D4">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姓名</w:t>
            </w:r>
          </w:p>
        </w:tc>
        <w:tc>
          <w:tcPr>
            <w:tcW w:w="1134" w:type="dxa"/>
            <w:tcBorders>
              <w:top w:val="single" w:color="auto" w:sz="12" w:space="0"/>
              <w:bottom w:val="double" w:color="auto" w:sz="6" w:space="0"/>
            </w:tcBorders>
            <w:noWrap w:val="0"/>
            <w:vAlign w:val="center"/>
          </w:tcPr>
          <w:p w14:paraId="6F217146">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职务</w:t>
            </w:r>
          </w:p>
        </w:tc>
        <w:tc>
          <w:tcPr>
            <w:tcW w:w="1134" w:type="dxa"/>
            <w:tcBorders>
              <w:top w:val="single" w:color="auto" w:sz="12" w:space="0"/>
              <w:bottom w:val="double" w:color="auto" w:sz="6" w:space="0"/>
            </w:tcBorders>
            <w:noWrap w:val="0"/>
            <w:vAlign w:val="center"/>
          </w:tcPr>
          <w:p w14:paraId="530B3257">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职称</w:t>
            </w:r>
          </w:p>
        </w:tc>
        <w:tc>
          <w:tcPr>
            <w:tcW w:w="4252" w:type="dxa"/>
            <w:tcBorders>
              <w:top w:val="single" w:color="auto" w:sz="12" w:space="0"/>
              <w:bottom w:val="double" w:color="auto" w:sz="6" w:space="0"/>
            </w:tcBorders>
            <w:noWrap w:val="0"/>
            <w:vAlign w:val="center"/>
          </w:tcPr>
          <w:p w14:paraId="4B8804F7">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eastAsia="仿宋_GB2312"/>
                <w:color w:val="auto"/>
                <w:sz w:val="30"/>
                <w:szCs w:val="30"/>
                <w:highlight w:val="none"/>
              </w:rPr>
              <w:t>主要资历、经验及承担过的项目</w:t>
            </w:r>
          </w:p>
        </w:tc>
      </w:tr>
      <w:tr w14:paraId="211734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4275498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一、总部人员</w:t>
            </w:r>
          </w:p>
        </w:tc>
      </w:tr>
      <w:tr w14:paraId="1950E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C361AF8">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项目主管</w:t>
            </w:r>
          </w:p>
        </w:tc>
        <w:tc>
          <w:tcPr>
            <w:tcW w:w="1418" w:type="dxa"/>
            <w:tcBorders>
              <w:top w:val="nil"/>
            </w:tcBorders>
            <w:noWrap w:val="0"/>
            <w:vAlign w:val="center"/>
          </w:tcPr>
          <w:p w14:paraId="022B456F">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top w:val="nil"/>
            </w:tcBorders>
            <w:noWrap w:val="0"/>
            <w:vAlign w:val="center"/>
          </w:tcPr>
          <w:p w14:paraId="2B8D43E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top w:val="nil"/>
            </w:tcBorders>
            <w:noWrap w:val="0"/>
            <w:vAlign w:val="center"/>
          </w:tcPr>
          <w:p w14:paraId="521D178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top w:val="nil"/>
            </w:tcBorders>
            <w:noWrap w:val="0"/>
            <w:vAlign w:val="center"/>
          </w:tcPr>
          <w:p w14:paraId="024FD9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F09E8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646E502E">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60EAFE58">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0C8A1C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215E56E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4AE811D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FD11D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6A8C3F4">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其他人员</w:t>
            </w:r>
          </w:p>
        </w:tc>
        <w:tc>
          <w:tcPr>
            <w:tcW w:w="1418" w:type="dxa"/>
            <w:noWrap w:val="0"/>
            <w:vAlign w:val="center"/>
          </w:tcPr>
          <w:p w14:paraId="4F5FF378">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5E10C12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74B9876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1CDAC55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4A5C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5319F414">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5EAAF787">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5B800C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0C704C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36477C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30183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5AE48138">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二、现场人员</w:t>
            </w:r>
          </w:p>
        </w:tc>
      </w:tr>
      <w:tr w14:paraId="72561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A36AD5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项目经理</w:t>
            </w:r>
          </w:p>
        </w:tc>
        <w:tc>
          <w:tcPr>
            <w:tcW w:w="1418" w:type="dxa"/>
            <w:noWrap w:val="0"/>
            <w:vAlign w:val="center"/>
          </w:tcPr>
          <w:p w14:paraId="2B8B7772">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109F91C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6D6B14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B5D81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4BE8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E2DDA94">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项目副经理</w:t>
            </w:r>
          </w:p>
        </w:tc>
        <w:tc>
          <w:tcPr>
            <w:tcW w:w="1418" w:type="dxa"/>
            <w:noWrap w:val="0"/>
            <w:vAlign w:val="center"/>
          </w:tcPr>
          <w:p w14:paraId="2A72697A">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43566A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2C50BD0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412174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ADE2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97FAEB8">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技术负责人</w:t>
            </w:r>
          </w:p>
        </w:tc>
        <w:tc>
          <w:tcPr>
            <w:tcW w:w="1418" w:type="dxa"/>
            <w:noWrap w:val="0"/>
            <w:vAlign w:val="center"/>
          </w:tcPr>
          <w:p w14:paraId="3E3985BD">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6CEE1F3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4976CB9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0A71FD4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2D53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56866B1">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造价管理</w:t>
            </w:r>
          </w:p>
        </w:tc>
        <w:tc>
          <w:tcPr>
            <w:tcW w:w="1418" w:type="dxa"/>
            <w:noWrap w:val="0"/>
            <w:vAlign w:val="center"/>
          </w:tcPr>
          <w:p w14:paraId="4321AFC5">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4018C5D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7124B3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1692681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7332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62C6786">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质量管理</w:t>
            </w:r>
          </w:p>
        </w:tc>
        <w:tc>
          <w:tcPr>
            <w:tcW w:w="1418" w:type="dxa"/>
            <w:noWrap w:val="0"/>
            <w:vAlign w:val="center"/>
          </w:tcPr>
          <w:p w14:paraId="2982C1CE">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10A81A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14AF5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41D755B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58E0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D19F92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材料管理</w:t>
            </w:r>
          </w:p>
        </w:tc>
        <w:tc>
          <w:tcPr>
            <w:tcW w:w="1418" w:type="dxa"/>
            <w:noWrap w:val="0"/>
            <w:vAlign w:val="center"/>
          </w:tcPr>
          <w:p w14:paraId="32A636B1">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18528BE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4F0418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228023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207B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D9B553D">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计划管理</w:t>
            </w:r>
          </w:p>
        </w:tc>
        <w:tc>
          <w:tcPr>
            <w:tcW w:w="1418" w:type="dxa"/>
            <w:noWrap w:val="0"/>
            <w:vAlign w:val="center"/>
          </w:tcPr>
          <w:p w14:paraId="689E91FE">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0F75D10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4EFE5F3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491480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FBEC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1CF465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安全管理</w:t>
            </w:r>
          </w:p>
        </w:tc>
        <w:tc>
          <w:tcPr>
            <w:tcW w:w="1418" w:type="dxa"/>
            <w:noWrap w:val="0"/>
            <w:vAlign w:val="center"/>
          </w:tcPr>
          <w:p w14:paraId="42067A30">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0CB33E1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BF1924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A806B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D1EE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6CE27535">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其他人员</w:t>
            </w:r>
          </w:p>
        </w:tc>
        <w:tc>
          <w:tcPr>
            <w:tcW w:w="1418" w:type="dxa"/>
            <w:noWrap w:val="0"/>
            <w:vAlign w:val="center"/>
          </w:tcPr>
          <w:p w14:paraId="2B5EBBDF">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3ABA60F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6724841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DF1303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7068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1E91A89">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tcBorders>
              <w:bottom w:val="nil"/>
            </w:tcBorders>
            <w:noWrap w:val="0"/>
            <w:vAlign w:val="center"/>
          </w:tcPr>
          <w:p w14:paraId="2F8D2139">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bottom w:val="nil"/>
            </w:tcBorders>
            <w:noWrap w:val="0"/>
            <w:vAlign w:val="center"/>
          </w:tcPr>
          <w:p w14:paraId="4561CB2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bottom w:val="nil"/>
            </w:tcBorders>
            <w:noWrap w:val="0"/>
            <w:vAlign w:val="center"/>
          </w:tcPr>
          <w:p w14:paraId="08B1FDB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bottom w:val="nil"/>
            </w:tcBorders>
            <w:noWrap w:val="0"/>
            <w:vAlign w:val="center"/>
          </w:tcPr>
          <w:p w14:paraId="53C4DF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5571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95FF1C6">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4ADFC1EB">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3AC02C7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665BA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57CF4EE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EA594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DDFCB28">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3770C5AD">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5914A9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3CC431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48418AF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A965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BE264EA">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noWrap w:val="0"/>
            <w:vAlign w:val="center"/>
          </w:tcPr>
          <w:p w14:paraId="3E0279B6">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noWrap w:val="0"/>
            <w:vAlign w:val="center"/>
          </w:tcPr>
          <w:p w14:paraId="4181B72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noWrap w:val="0"/>
            <w:vAlign w:val="center"/>
          </w:tcPr>
          <w:p w14:paraId="5DE0E3D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noWrap w:val="0"/>
            <w:vAlign w:val="center"/>
          </w:tcPr>
          <w:p w14:paraId="7ECDCA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6F13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37F36291">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418" w:type="dxa"/>
            <w:tcBorders>
              <w:bottom w:val="single" w:color="auto" w:sz="12" w:space="0"/>
            </w:tcBorders>
            <w:noWrap w:val="0"/>
            <w:vAlign w:val="center"/>
          </w:tcPr>
          <w:p w14:paraId="4F828D68">
            <w:pPr>
              <w:keepNext/>
              <w:adjustRightInd w:val="0"/>
              <w:spacing w:line="440" w:lineRule="exact"/>
              <w:ind w:left="63" w:leftChars="30" w:right="63" w:rightChars="30"/>
              <w:jc w:val="center"/>
              <w:textAlignment w:val="baseline"/>
              <w:rPr>
                <w:rFonts w:eastAsia="仿宋_GB2312"/>
                <w:color w:val="auto"/>
                <w:sz w:val="28"/>
                <w:szCs w:val="30"/>
                <w:highlight w:val="none"/>
              </w:rPr>
            </w:pPr>
          </w:p>
        </w:tc>
        <w:tc>
          <w:tcPr>
            <w:tcW w:w="1134" w:type="dxa"/>
            <w:tcBorders>
              <w:bottom w:val="single" w:color="auto" w:sz="12" w:space="0"/>
            </w:tcBorders>
            <w:noWrap w:val="0"/>
            <w:vAlign w:val="center"/>
          </w:tcPr>
          <w:p w14:paraId="322E50A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tcBorders>
              <w:bottom w:val="single" w:color="auto" w:sz="12" w:space="0"/>
            </w:tcBorders>
            <w:noWrap w:val="0"/>
            <w:vAlign w:val="center"/>
          </w:tcPr>
          <w:p w14:paraId="79137C3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tcBorders>
              <w:bottom w:val="single" w:color="auto" w:sz="12" w:space="0"/>
            </w:tcBorders>
            <w:noWrap w:val="0"/>
            <w:vAlign w:val="center"/>
          </w:tcPr>
          <w:p w14:paraId="1FAA76C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7F178309">
      <w:pPr>
        <w:pStyle w:val="49"/>
        <w:wordWrap w:val="0"/>
        <w:spacing w:line="540" w:lineRule="exact"/>
        <w:ind w:firstLine="0" w:firstLineChars="0"/>
        <w:rPr>
          <w:rStyle w:val="27"/>
          <w:rFonts w:hint="eastAsia" w:ascii="宋体" w:hAnsi="宋体" w:eastAsia="宋体" w:cs="宋体"/>
          <w:b/>
          <w:color w:val="auto"/>
          <w:sz w:val="30"/>
          <w:szCs w:val="30"/>
          <w:highlight w:val="none"/>
        </w:rPr>
      </w:pPr>
    </w:p>
    <w:p w14:paraId="7B5CA335">
      <w:pPr>
        <w:pStyle w:val="34"/>
        <w:pageBreakBefore w:val="0"/>
        <w:kinsoku/>
        <w:wordWrap/>
        <w:overflowPunct/>
        <w:topLinePunct w:val="0"/>
        <w:autoSpaceDE/>
        <w:autoSpaceDN/>
        <w:bidi w:val="0"/>
        <w:adjustRightInd/>
        <w:snapToGrid/>
        <w:spacing w:line="500" w:lineRule="exact"/>
        <w:textAlignment w:val="auto"/>
        <w:rPr>
          <w:rFonts w:hint="default" w:ascii="宋体" w:hAnsi="宋体" w:eastAsia="宋体" w:cs="宋体"/>
          <w:b/>
          <w:bCs/>
          <w:color w:val="auto"/>
          <w:spacing w:val="0"/>
          <w:kern w:val="2"/>
          <w:sz w:val="22"/>
          <w:szCs w:val="22"/>
          <w:u w:val="none"/>
          <w:lang w:val="en-US" w:eastAsia="zh-CN" w:bidi="ar-SA"/>
        </w:rPr>
      </w:pPr>
    </w:p>
    <w:p w14:paraId="416CF43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新宋体" w:hAnsi="新宋体" w:eastAsia="新宋体" w:cs="新宋体"/>
          <w:color w:val="auto"/>
        </w:rPr>
      </w:pPr>
    </w:p>
    <w:p w14:paraId="0180147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新宋体" w:hAnsi="新宋体" w:eastAsia="新宋体" w:cs="新宋体"/>
          <w:color w:val="auto"/>
        </w:rPr>
      </w:pPr>
    </w:p>
    <w:sectPr>
      <w:footerReference r:id="rId16" w:type="first"/>
      <w:headerReference r:id="rId14" w:type="default"/>
      <w:footerReference r:id="rId15" w:type="default"/>
      <w:pgSz w:w="11906" w:h="16838"/>
      <w:pgMar w:top="1134" w:right="1140" w:bottom="1134" w:left="1140" w:header="709" w:footer="709" w:gutter="0"/>
      <w:pgNumType w:fmt="decimal"/>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E31CA23-1E2B-4D2D-A9A3-35CEC2545B8B}"/>
  </w:font>
  <w:font w:name="黑体">
    <w:panose1 w:val="02010609060101010101"/>
    <w:charset w:val="86"/>
    <w:family w:val="auto"/>
    <w:pitch w:val="default"/>
    <w:sig w:usb0="800002BF" w:usb1="38CF7CFA" w:usb2="00000016" w:usb3="00000000" w:csb0="00040001" w:csb1="00000000"/>
    <w:embedRegular r:id="rId2" w:fontKey="{FE28283A-7D16-4E85-B25F-2D398430B990}"/>
  </w:font>
  <w:font w:name="Courier New">
    <w:panose1 w:val="02070309020205020404"/>
    <w:charset w:val="01"/>
    <w:family w:val="modern"/>
    <w:pitch w:val="default"/>
    <w:sig w:usb0="E0002EFF" w:usb1="C0007843" w:usb2="00000009" w:usb3="00000000" w:csb0="400001FF" w:csb1="FFFF0000"/>
    <w:embedRegular r:id="rId3" w:fontKey="{E3BD0F4B-FA73-47BD-BDBE-1ADC1DBBE07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77C720E-EDC3-4361-854F-3CAEB1D61016}"/>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C236BDF1-B360-47A7-A3F1-5A0B657B97BC}"/>
  </w:font>
  <w:font w:name="华文楷体">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1BB315CA-FDBE-4A63-945D-C0043A589FE2}"/>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宋体正文">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embedRegular r:id="rId7" w:fontKey="{3BE19A8B-66FC-418C-905E-7E35BD457132}"/>
  </w:font>
  <w:font w:name="Arial Unicode MS">
    <w:panose1 w:val="020B0604020202020204"/>
    <w:charset w:val="86"/>
    <w:family w:val="roman"/>
    <w:pitch w:val="default"/>
    <w:sig w:usb0="FFFFFFFF" w:usb1="E9FFFFFF" w:usb2="0000003F" w:usb3="00000000" w:csb0="603F01FF" w:csb1="FFFF0000"/>
    <w:embedRegular r:id="rId8" w:fontKey="{D5599FA6-1C1B-43CC-BB20-01ACCEE3BBF6}"/>
  </w:font>
  <w:font w:name="方正小标宋简体">
    <w:panose1 w:val="03000509000000000000"/>
    <w:charset w:val="86"/>
    <w:family w:val="script"/>
    <w:pitch w:val="default"/>
    <w:sig w:usb0="00000001" w:usb1="080E0000" w:usb2="00000000" w:usb3="00000000" w:csb0="00040000" w:csb1="00000000"/>
    <w:embedRegular r:id="rId9" w:fontKey="{2D6D0979-D22D-460C-9A05-43AB68577E27}"/>
  </w:font>
  <w:font w:name="华文中宋">
    <w:panose1 w:val="02010600040101010101"/>
    <w:charset w:val="86"/>
    <w:family w:val="auto"/>
    <w:pitch w:val="default"/>
    <w:sig w:usb0="00000287" w:usb1="080F0000" w:usb2="00000000" w:usb3="00000000" w:csb0="0004009F" w:csb1="DFD70000"/>
    <w:embedRegular r:id="rId10" w:fontKey="{0847DF38-24F2-4120-AF51-D4DBD2B2C0B2}"/>
  </w:font>
  <w:font w:name="新宋体">
    <w:panose1 w:val="02010609030101010101"/>
    <w:charset w:val="86"/>
    <w:family w:val="auto"/>
    <w:pitch w:val="default"/>
    <w:sig w:usb0="00000203" w:usb1="288F0000" w:usb2="00000006" w:usb3="00000000" w:csb0="00040001" w:csb1="00000000"/>
    <w:embedRegular r:id="rId11" w:fontKey="{9E4CC15B-52A2-4D05-8957-CD3A4378A42A}"/>
  </w:font>
  <w:font w:name="MS Mincho">
    <w:panose1 w:val="02020609040205080304"/>
    <w:charset w:val="80"/>
    <w:family w:val="modern"/>
    <w:pitch w:val="default"/>
    <w:sig w:usb0="E00002FF" w:usb1="6AC7FDFB" w:usb2="00000012" w:usb3="00000000" w:csb0="4002009F" w:csb1="DFD70000"/>
    <w:embedRegular r:id="rId12" w:fontKey="{6C9BDDF3-3C2F-4EA5-A60D-E8CDF66DF622}"/>
  </w:font>
  <w:font w:name="WPSEMBED57">
    <w:panose1 w:val="020B0604020202020204"/>
    <w:charset w:val="86"/>
    <w:family w:val="auto"/>
    <w:pitch w:val="default"/>
    <w:sig w:usb0="FFFFFFFF" w:usb1="E9FFFFFF" w:usb2="0000003F" w:usb3="00000000" w:csb0="603F01FF" w:csb1="FFFF0000"/>
  </w:font>
  <w:font w:name="WPSEMBED56">
    <w:panose1 w:val="02010609030101010101"/>
    <w:charset w:val="86"/>
    <w:family w:val="auto"/>
    <w:pitch w:val="default"/>
    <w:sig w:usb0="00000001" w:usb1="080E0000" w:usb2="00000000" w:usb3="00000000" w:csb0="00040000" w:csb1="00000000"/>
  </w:font>
  <w:font w:name="WPSEMBED58">
    <w:panose1 w:val="03000509000000000000"/>
    <w:charset w:val="86"/>
    <w:family w:val="auto"/>
    <w:pitch w:val="default"/>
    <w:sig w:usb0="00000001" w:usb1="080E0000" w:usb2="00000000" w:usb3="00000000" w:csb0="00040000" w:csb1="00000000"/>
  </w:font>
  <w:font w:name="WPSEMBED59">
    <w:panose1 w:val="02010600040101010101"/>
    <w:charset w:val="86"/>
    <w:family w:val="auto"/>
    <w:pitch w:val="default"/>
    <w:sig w:usb0="00000287" w:usb1="080F0000" w:usb2="00000000" w:usb3="00000000" w:csb0="0004009F" w:csb1="DFD70000"/>
  </w:font>
  <w:font w:name="WPSEMBED60">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11D41">
    <w:pPr>
      <w:pStyle w:val="17"/>
      <w:tabs>
        <w:tab w:val="center" w:pos="4873"/>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03167">
    <w:pPr>
      <w:pStyle w:val="17"/>
      <w:rPr>
        <w:rFonts w:hint="eastAsia"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264C3">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6A264C3">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95EB7">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4CCEE">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0D4CCEE">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93CB5">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96625">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7F96625">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3C8E3">
    <w:pPr>
      <w:pStyle w:val="17"/>
      <w:jc w:val="center"/>
      <w:rPr>
        <w:rFonts w:ascii="宋体" w:hAnsi="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2F353D">
                          <w:pPr>
                            <w:pStyle w:val="17"/>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22F353D">
                    <w:pPr>
                      <w:pStyle w:val="1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966FF">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E11B06">
                          <w:pPr>
                            <w:pStyle w:val="1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xuOmM0QEAAKIDAAAOAAAAAAAAAAEAIAAAAB8BAABk&#10;cnMvZTJvRG9jLnhtbFBLBQYAAAAABgAGAFkBAABiBQAAAAA=&#10;">
              <v:fill on="f" focussize="0,0"/>
              <v:stroke on="f" weight="0.5pt"/>
              <v:imagedata o:title=""/>
              <o:lock v:ext="edit" aspectratio="f"/>
              <v:textbox inset="0mm,0mm,0mm,0mm" style="mso-fit-shape-to-text:t;">
                <w:txbxContent>
                  <w:p w14:paraId="32E11B06">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DD32C">
    <w:pPr>
      <w:pStyle w:val="17"/>
      <w:rPr>
        <w:rFonts w:hint="eastAsia" w:ascii="仿宋" w:hAnsi="仿宋" w:eastAsia="仿宋" w:cs="仿宋"/>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9EEACA">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99EEACA">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4EA02">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398BB">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FD398BB">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6E256">
    <w:pPr>
      <w:pStyle w:val="19"/>
      <w:pBdr>
        <w:bottom w:val="none" w:color="auto" w:sz="0" w:space="1"/>
      </w:pBdr>
      <w:wordWrap w:val="0"/>
      <w:jc w:val="both"/>
      <w:rPr>
        <w:rFonts w:hint="eastAsia" w:ascii="仿宋" w:hAnsi="仿宋" w:eastAsia="仿宋" w:cs="仿宋"/>
        <w:sz w:val="21"/>
        <w:szCs w:val="21"/>
        <w:u w:val="single"/>
        <w:lang w:eastAsia="zh-CN"/>
      </w:rPr>
    </w:pPr>
    <w:r>
      <w:rPr>
        <w:rFonts w:hint="eastAsia" w:ascii="仿宋" w:hAnsi="仿宋" w:eastAsia="仿宋" w:cs="仿宋"/>
        <w:sz w:val="21"/>
        <w:szCs w:val="21"/>
        <w:u w:val="single"/>
        <w:lang w:val="en-US" w:eastAsia="zh-CN"/>
      </w:rPr>
      <w:t xml:space="preserve"> </w:t>
    </w:r>
    <w:r>
      <w:rPr>
        <w:rFonts w:hint="eastAsia" w:ascii="Times New Roman" w:hAnsi="Times New Roman" w:cs="Times New Roman"/>
        <w:color w:val="000000"/>
        <w:kern w:val="2"/>
        <w:sz w:val="20"/>
        <w:szCs w:val="20"/>
        <w:u w:val="single"/>
        <w:lang w:val="en-US" w:eastAsia="zh-CN" w:bidi="ar-SA"/>
      </w:rPr>
      <w:t>陆川中山纪念建筑群修缮工程</w:t>
    </w:r>
    <w:r>
      <w:rPr>
        <w:rFonts w:hint="eastAsia" w:ascii="Times New Roman" w:hAnsi="Times New Roman" w:eastAsia="宋体" w:cs="Times New Roman"/>
        <w:color w:val="000000"/>
        <w:kern w:val="2"/>
        <w:sz w:val="20"/>
        <w:szCs w:val="20"/>
        <w:u w:val="single"/>
        <w:lang w:val="en-US" w:eastAsia="zh-CN" w:bidi="ar-SA"/>
      </w:rPr>
      <w:t xml:space="preserve">                                   </w:t>
    </w:r>
    <w:r>
      <w:rPr>
        <w:rFonts w:hint="eastAsia" w:ascii="Times New Roman" w:hAnsi="Times New Roman" w:cs="Times New Roman"/>
        <w:color w:val="000000"/>
        <w:kern w:val="2"/>
        <w:sz w:val="20"/>
        <w:szCs w:val="20"/>
        <w:u w:val="single"/>
        <w:lang w:val="en-US" w:eastAsia="zh-CN" w:bidi="ar-SA"/>
      </w:rPr>
      <w:t xml:space="preserve">          </w:t>
    </w:r>
    <w:r>
      <w:rPr>
        <w:rFonts w:hint="eastAsia" w:ascii="Times New Roman" w:hAnsi="Times New Roman" w:eastAsia="宋体" w:cs="Times New Roman"/>
        <w:color w:val="000000"/>
        <w:kern w:val="2"/>
        <w:sz w:val="20"/>
        <w:szCs w:val="20"/>
        <w:u w:val="single"/>
        <w:lang w:val="en-US" w:eastAsia="zh-CN" w:bidi="ar-SA"/>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7295B">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ED18C">
    <w:pPr>
      <w:pStyle w:val="19"/>
      <w:pBdr>
        <w:bottom w:val="none" w:color="auto" w:sz="0" w:space="1"/>
      </w:pBdr>
      <w:wordWrap w:val="0"/>
      <w:jc w:val="both"/>
      <w:rPr>
        <w:rFonts w:hint="eastAsia" w:ascii="仿宋" w:hAnsi="仿宋" w:eastAsia="仿宋" w:cs="仿宋"/>
        <w:sz w:val="18"/>
        <w:szCs w:val="18"/>
        <w:u w:val="single"/>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F6F06">
    <w:pPr>
      <w:pStyle w:val="1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5B6C6">
    <w:pPr>
      <w:pStyle w:val="19"/>
      <w:pBdr>
        <w:bottom w:val="none" w:color="auto" w:sz="0" w:space="1"/>
      </w:pBdr>
      <w:jc w:val="both"/>
      <w:rPr>
        <w:rFonts w:hint="eastAsia" w:hAnsi="宋体" w:cs="宋体"/>
        <w:color w:val="000000"/>
        <w:kern w:val="2"/>
        <w:sz w:val="18"/>
        <w:szCs w:val="18"/>
        <w:u w:val="none"/>
        <w:lang w:val="en-US" w:eastAsia="zh-CN" w:bidi="ar-SA"/>
      </w:rPr>
    </w:pPr>
  </w:p>
  <w:p w14:paraId="75392ED9">
    <w:pPr>
      <w:pStyle w:val="19"/>
      <w:pBdr>
        <w:bottom w:val="none" w:color="auto" w:sz="0" w:space="1"/>
      </w:pBdr>
      <w:jc w:val="both"/>
      <w:rPr>
        <w:u w:val="none"/>
      </w:rPr>
    </w:pPr>
    <w:r>
      <w:rPr>
        <w:rFonts w:hint="eastAsia" w:ascii="Times New Roman" w:hAnsi="Times New Roman" w:cs="Times New Roman"/>
        <w:color w:val="auto"/>
        <w:kern w:val="2"/>
        <w:sz w:val="18"/>
        <w:szCs w:val="18"/>
        <w:u w:val="none"/>
        <w:lang w:val="en-US" w:eastAsia="zh-CN" w:bidi="ar-SA"/>
      </w:rPr>
      <w:t xml:space="preserve">   </w:t>
    </w:r>
    <w:r>
      <w:rPr>
        <w:rFonts w:hint="eastAsia" w:ascii="Times New Roman" w:hAnsi="Times New Roman" w:cs="Times New Roman"/>
        <w:color w:val="000000"/>
        <w:kern w:val="2"/>
        <w:sz w:val="20"/>
        <w:szCs w:val="20"/>
        <w:u w:val="none"/>
        <w:lang w:val="en-US" w:eastAsia="zh-CN" w:bidi="ar-S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3487C">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5C9B1"/>
    <w:multiLevelType w:val="singleLevel"/>
    <w:tmpl w:val="9015C9B1"/>
    <w:lvl w:ilvl="0" w:tentative="0">
      <w:start w:val="1"/>
      <w:numFmt w:val="decimal"/>
      <w:pStyle w:val="8"/>
      <w:lvlText w:val="%1."/>
      <w:lvlJc w:val="left"/>
      <w:pPr>
        <w:tabs>
          <w:tab w:val="left" w:pos="360"/>
        </w:tabs>
        <w:ind w:left="360" w:hanging="360"/>
      </w:pPr>
    </w:lvl>
  </w:abstractNum>
  <w:abstractNum w:abstractNumId="1">
    <w:nsid w:val="BBB49D14"/>
    <w:multiLevelType w:val="singleLevel"/>
    <w:tmpl w:val="BBB49D14"/>
    <w:lvl w:ilvl="0" w:tentative="0">
      <w:start w:val="1"/>
      <w:numFmt w:val="decimal"/>
      <w:suff w:val="nothing"/>
      <w:lvlText w:val="（%1）"/>
      <w:lvlJc w:val="left"/>
    </w:lvl>
  </w:abstractNum>
  <w:abstractNum w:abstractNumId="2">
    <w:nsid w:val="C9B98332"/>
    <w:multiLevelType w:val="singleLevel"/>
    <w:tmpl w:val="C9B98332"/>
    <w:lvl w:ilvl="0" w:tentative="0">
      <w:start w:val="1"/>
      <w:numFmt w:val="decimal"/>
      <w:suff w:val="space"/>
      <w:lvlText w:val="%1."/>
      <w:lvlJc w:val="left"/>
    </w:lvl>
  </w:abstractNum>
  <w:abstractNum w:abstractNumId="3">
    <w:nsid w:val="0000000A"/>
    <w:multiLevelType w:val="multilevel"/>
    <w:tmpl w:val="0000000A"/>
    <w:lvl w:ilvl="0" w:tentative="0">
      <w:start w:val="3"/>
      <w:numFmt w:val="chineseCountingThousand"/>
      <w:suff w:val="nothing"/>
      <w:lvlText w:val="第%1章"/>
      <w:lvlJc w:val="left"/>
      <w:pPr>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
    <w:nsid w:val="0430CA5B"/>
    <w:multiLevelType w:val="singleLevel"/>
    <w:tmpl w:val="0430CA5B"/>
    <w:lvl w:ilvl="0" w:tentative="0">
      <w:start w:val="1"/>
      <w:numFmt w:val="decimal"/>
      <w:suff w:val="space"/>
      <w:lvlText w:val="（%1)"/>
      <w:lvlJc w:val="left"/>
    </w:lvl>
  </w:abstractNum>
  <w:abstractNum w:abstractNumId="5">
    <w:nsid w:val="113DBF7C"/>
    <w:multiLevelType w:val="singleLevel"/>
    <w:tmpl w:val="113DBF7C"/>
    <w:lvl w:ilvl="0" w:tentative="0">
      <w:start w:val="4"/>
      <w:numFmt w:val="chineseCounting"/>
      <w:suff w:val="nothing"/>
      <w:lvlText w:val="%1、"/>
      <w:lvlJc w:val="left"/>
      <w:rPr>
        <w:rFonts w:hint="eastAsia"/>
      </w:rPr>
    </w:lvl>
  </w:abstractNum>
  <w:abstractNum w:abstractNumId="6">
    <w:nsid w:val="31AB483B"/>
    <w:multiLevelType w:val="multilevel"/>
    <w:tmpl w:val="31AB483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8">
    <w:nsid w:val="355344FF"/>
    <w:multiLevelType w:val="singleLevel"/>
    <w:tmpl w:val="355344FF"/>
    <w:lvl w:ilvl="0" w:tentative="0">
      <w:start w:val="1"/>
      <w:numFmt w:val="chineseCounting"/>
      <w:suff w:val="nothing"/>
      <w:lvlText w:val="%1、"/>
      <w:lvlJc w:val="left"/>
      <w:rPr>
        <w:rFonts w:hint="eastAsia"/>
      </w:rPr>
    </w:lvl>
  </w:abstractNum>
  <w:abstractNum w:abstractNumId="9">
    <w:nsid w:val="5498E193"/>
    <w:multiLevelType w:val="singleLevel"/>
    <w:tmpl w:val="5498E193"/>
    <w:lvl w:ilvl="0" w:tentative="0">
      <w:start w:val="11"/>
      <w:numFmt w:val="decimal"/>
      <w:suff w:val="space"/>
      <w:lvlText w:val="%1."/>
      <w:lvlJc w:val="left"/>
    </w:lvl>
  </w:abstractNum>
  <w:num w:numId="1">
    <w:abstractNumId w:val="3"/>
  </w:num>
  <w:num w:numId="2">
    <w:abstractNumId w:val="7"/>
  </w:num>
  <w:num w:numId="3">
    <w:abstractNumId w:val="0"/>
  </w:num>
  <w:num w:numId="4">
    <w:abstractNumId w:val="5"/>
  </w:num>
  <w:num w:numId="5">
    <w:abstractNumId w:val="8"/>
  </w:num>
  <w:num w:numId="6">
    <w:abstractNumId w:val="2"/>
  </w:num>
  <w:num w:numId="7">
    <w:abstractNumId w:val="6"/>
  </w:num>
  <w:num w:numId="8">
    <w:abstractNumId w:val="1"/>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forms" w:enforcement="1" w:cryptProviderType="rsaFull" w:cryptAlgorithmClass="hash" w:cryptAlgorithmType="typeAny" w:cryptAlgorithmSid="4" w:cryptSpinCount="0" w:hash="X/nJAGyrqlE3oETr+SPY4ArkGbI=" w:salt="CcyRPX8MfQv1KV0m2HrZY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hNDc4ZTYzMTAwMGQ4ZDYzZTdiZjczZjQ5NWNlZGYifQ=="/>
  </w:docVars>
  <w:rsids>
    <w:rsidRoot w:val="694E3676"/>
    <w:rsid w:val="003A6B66"/>
    <w:rsid w:val="0058523E"/>
    <w:rsid w:val="00593A04"/>
    <w:rsid w:val="00724E62"/>
    <w:rsid w:val="00784799"/>
    <w:rsid w:val="008B1170"/>
    <w:rsid w:val="00A6244D"/>
    <w:rsid w:val="00A87F74"/>
    <w:rsid w:val="00BC757B"/>
    <w:rsid w:val="00BE1545"/>
    <w:rsid w:val="00C12EEF"/>
    <w:rsid w:val="00C50B26"/>
    <w:rsid w:val="01394CDE"/>
    <w:rsid w:val="014B7B3B"/>
    <w:rsid w:val="015C46CF"/>
    <w:rsid w:val="016A0CCB"/>
    <w:rsid w:val="01853E11"/>
    <w:rsid w:val="01891B53"/>
    <w:rsid w:val="0195514C"/>
    <w:rsid w:val="01964270"/>
    <w:rsid w:val="01A91993"/>
    <w:rsid w:val="01B33237"/>
    <w:rsid w:val="01BD126D"/>
    <w:rsid w:val="01D37272"/>
    <w:rsid w:val="01E52B01"/>
    <w:rsid w:val="01E90844"/>
    <w:rsid w:val="01EC20E2"/>
    <w:rsid w:val="020B6A0C"/>
    <w:rsid w:val="021138F7"/>
    <w:rsid w:val="022C0A8A"/>
    <w:rsid w:val="02351C6D"/>
    <w:rsid w:val="0250441F"/>
    <w:rsid w:val="02571C51"/>
    <w:rsid w:val="025A704C"/>
    <w:rsid w:val="027838F4"/>
    <w:rsid w:val="027D71DE"/>
    <w:rsid w:val="02820350"/>
    <w:rsid w:val="02A17812"/>
    <w:rsid w:val="02B54D98"/>
    <w:rsid w:val="02BC1AB4"/>
    <w:rsid w:val="02CC0F3B"/>
    <w:rsid w:val="02D7012A"/>
    <w:rsid w:val="0314369E"/>
    <w:rsid w:val="03166B78"/>
    <w:rsid w:val="03172610"/>
    <w:rsid w:val="034473BB"/>
    <w:rsid w:val="0350238C"/>
    <w:rsid w:val="03653EFA"/>
    <w:rsid w:val="036C7261"/>
    <w:rsid w:val="03863E70"/>
    <w:rsid w:val="039D7B38"/>
    <w:rsid w:val="039E11BA"/>
    <w:rsid w:val="03BD3D36"/>
    <w:rsid w:val="03CC3000"/>
    <w:rsid w:val="03CE7CF1"/>
    <w:rsid w:val="0402799B"/>
    <w:rsid w:val="042446F9"/>
    <w:rsid w:val="04425FE9"/>
    <w:rsid w:val="046248DD"/>
    <w:rsid w:val="04762DCC"/>
    <w:rsid w:val="04966335"/>
    <w:rsid w:val="049A7BD3"/>
    <w:rsid w:val="04A71B2E"/>
    <w:rsid w:val="04B07CB0"/>
    <w:rsid w:val="04B8362B"/>
    <w:rsid w:val="04D56E5D"/>
    <w:rsid w:val="052851DF"/>
    <w:rsid w:val="053C7408"/>
    <w:rsid w:val="056D353A"/>
    <w:rsid w:val="05883ED0"/>
    <w:rsid w:val="05A63E97"/>
    <w:rsid w:val="05C3315A"/>
    <w:rsid w:val="05FF4CF8"/>
    <w:rsid w:val="061F2A86"/>
    <w:rsid w:val="0630252B"/>
    <w:rsid w:val="064E5119"/>
    <w:rsid w:val="065C14C2"/>
    <w:rsid w:val="06700957"/>
    <w:rsid w:val="0688128A"/>
    <w:rsid w:val="06897EFF"/>
    <w:rsid w:val="068D2F8B"/>
    <w:rsid w:val="068D6FDD"/>
    <w:rsid w:val="069F1F19"/>
    <w:rsid w:val="06A25465"/>
    <w:rsid w:val="06BA0E7C"/>
    <w:rsid w:val="06C07699"/>
    <w:rsid w:val="06E93094"/>
    <w:rsid w:val="06F96EC4"/>
    <w:rsid w:val="07585B24"/>
    <w:rsid w:val="077566D6"/>
    <w:rsid w:val="07786736"/>
    <w:rsid w:val="078E51B9"/>
    <w:rsid w:val="07BA73E3"/>
    <w:rsid w:val="07D8668E"/>
    <w:rsid w:val="081C5B30"/>
    <w:rsid w:val="08430582"/>
    <w:rsid w:val="0858227F"/>
    <w:rsid w:val="0865674A"/>
    <w:rsid w:val="086A1FB2"/>
    <w:rsid w:val="08836BD0"/>
    <w:rsid w:val="08892439"/>
    <w:rsid w:val="08D308B5"/>
    <w:rsid w:val="08DE0208"/>
    <w:rsid w:val="091343F8"/>
    <w:rsid w:val="092175CA"/>
    <w:rsid w:val="093F6F9B"/>
    <w:rsid w:val="09420839"/>
    <w:rsid w:val="09463911"/>
    <w:rsid w:val="095742E5"/>
    <w:rsid w:val="097053A7"/>
    <w:rsid w:val="099606A0"/>
    <w:rsid w:val="09AB63DF"/>
    <w:rsid w:val="09C13E54"/>
    <w:rsid w:val="09D73678"/>
    <w:rsid w:val="09ED4C49"/>
    <w:rsid w:val="0A0C0215"/>
    <w:rsid w:val="0A0E1C34"/>
    <w:rsid w:val="0A2F0DBE"/>
    <w:rsid w:val="0A2F2177"/>
    <w:rsid w:val="0A342100"/>
    <w:rsid w:val="0A6E5D8A"/>
    <w:rsid w:val="0A717628"/>
    <w:rsid w:val="0A7D7D7B"/>
    <w:rsid w:val="0A892207"/>
    <w:rsid w:val="0A8E1F88"/>
    <w:rsid w:val="0A9B6453"/>
    <w:rsid w:val="0AA12CA0"/>
    <w:rsid w:val="0AB15C77"/>
    <w:rsid w:val="0AB94B2B"/>
    <w:rsid w:val="0AC37758"/>
    <w:rsid w:val="0ACC2AB1"/>
    <w:rsid w:val="0AF02C43"/>
    <w:rsid w:val="0AF73FD1"/>
    <w:rsid w:val="0B204BAA"/>
    <w:rsid w:val="0B2428ED"/>
    <w:rsid w:val="0B297F03"/>
    <w:rsid w:val="0B6161A3"/>
    <w:rsid w:val="0B642CE9"/>
    <w:rsid w:val="0B7332FE"/>
    <w:rsid w:val="0BD47E6F"/>
    <w:rsid w:val="0BEB340A"/>
    <w:rsid w:val="0C0B7609"/>
    <w:rsid w:val="0C1F4E62"/>
    <w:rsid w:val="0C3152C1"/>
    <w:rsid w:val="0C394176"/>
    <w:rsid w:val="0C4D7C21"/>
    <w:rsid w:val="0C547201"/>
    <w:rsid w:val="0C62191E"/>
    <w:rsid w:val="0C624A74"/>
    <w:rsid w:val="0C696A7E"/>
    <w:rsid w:val="0C811298"/>
    <w:rsid w:val="0C811679"/>
    <w:rsid w:val="0CC2027E"/>
    <w:rsid w:val="0CD36378"/>
    <w:rsid w:val="0CD518E9"/>
    <w:rsid w:val="0CD97582"/>
    <w:rsid w:val="0CF67C2C"/>
    <w:rsid w:val="0CFC245B"/>
    <w:rsid w:val="0D156991"/>
    <w:rsid w:val="0D1F67DA"/>
    <w:rsid w:val="0D774F56"/>
    <w:rsid w:val="0D904269"/>
    <w:rsid w:val="0D9A01E0"/>
    <w:rsid w:val="0DC83A03"/>
    <w:rsid w:val="0DD368FF"/>
    <w:rsid w:val="0DD71E98"/>
    <w:rsid w:val="0DE16873"/>
    <w:rsid w:val="0E046358"/>
    <w:rsid w:val="0E2A619D"/>
    <w:rsid w:val="0E35096D"/>
    <w:rsid w:val="0E451A23"/>
    <w:rsid w:val="0E4A08BC"/>
    <w:rsid w:val="0E4E34C9"/>
    <w:rsid w:val="0E60079A"/>
    <w:rsid w:val="0E7C7503"/>
    <w:rsid w:val="0EC75A69"/>
    <w:rsid w:val="0ED41F2A"/>
    <w:rsid w:val="0EDF1DC9"/>
    <w:rsid w:val="0EEF4FBF"/>
    <w:rsid w:val="0F152C78"/>
    <w:rsid w:val="0F1B4006"/>
    <w:rsid w:val="0F220B5F"/>
    <w:rsid w:val="0F3F3E2C"/>
    <w:rsid w:val="0F4672D5"/>
    <w:rsid w:val="0F53554E"/>
    <w:rsid w:val="0F5A68DD"/>
    <w:rsid w:val="0F63636E"/>
    <w:rsid w:val="0F783207"/>
    <w:rsid w:val="0F890F70"/>
    <w:rsid w:val="0F916077"/>
    <w:rsid w:val="0FA77648"/>
    <w:rsid w:val="0FAF3CE8"/>
    <w:rsid w:val="0FCF1A1F"/>
    <w:rsid w:val="0FDA17CC"/>
    <w:rsid w:val="0FFE195E"/>
    <w:rsid w:val="100B00D7"/>
    <w:rsid w:val="1013176C"/>
    <w:rsid w:val="10134CDE"/>
    <w:rsid w:val="1024127E"/>
    <w:rsid w:val="102E1B18"/>
    <w:rsid w:val="102E38C6"/>
    <w:rsid w:val="10596B94"/>
    <w:rsid w:val="105C62FE"/>
    <w:rsid w:val="10790FE5"/>
    <w:rsid w:val="10C2298C"/>
    <w:rsid w:val="10C5247C"/>
    <w:rsid w:val="10EA5A3E"/>
    <w:rsid w:val="10F62606"/>
    <w:rsid w:val="111A3F67"/>
    <w:rsid w:val="112E0021"/>
    <w:rsid w:val="11353965"/>
    <w:rsid w:val="116E41C5"/>
    <w:rsid w:val="1186357B"/>
    <w:rsid w:val="1191737B"/>
    <w:rsid w:val="119836EC"/>
    <w:rsid w:val="11A25A73"/>
    <w:rsid w:val="11D230A2"/>
    <w:rsid w:val="11E64458"/>
    <w:rsid w:val="11EE77B0"/>
    <w:rsid w:val="12241424"/>
    <w:rsid w:val="124762E8"/>
    <w:rsid w:val="12505D75"/>
    <w:rsid w:val="125515DD"/>
    <w:rsid w:val="125735A8"/>
    <w:rsid w:val="127777A6"/>
    <w:rsid w:val="128679E9"/>
    <w:rsid w:val="12BF58DE"/>
    <w:rsid w:val="12C66037"/>
    <w:rsid w:val="12D70244"/>
    <w:rsid w:val="12E50BB3"/>
    <w:rsid w:val="12F9465F"/>
    <w:rsid w:val="12FB57BF"/>
    <w:rsid w:val="13001549"/>
    <w:rsid w:val="13052701"/>
    <w:rsid w:val="131B2827"/>
    <w:rsid w:val="1340009F"/>
    <w:rsid w:val="13427DB4"/>
    <w:rsid w:val="137B1518"/>
    <w:rsid w:val="13A740BB"/>
    <w:rsid w:val="13A91BE1"/>
    <w:rsid w:val="13B54A2A"/>
    <w:rsid w:val="13C22CA3"/>
    <w:rsid w:val="13F111A4"/>
    <w:rsid w:val="13F310AE"/>
    <w:rsid w:val="13F60B9E"/>
    <w:rsid w:val="145C4EA5"/>
    <w:rsid w:val="145F6743"/>
    <w:rsid w:val="14787805"/>
    <w:rsid w:val="14916941"/>
    <w:rsid w:val="14991C55"/>
    <w:rsid w:val="14A40BAE"/>
    <w:rsid w:val="14AB3737"/>
    <w:rsid w:val="14E96948"/>
    <w:rsid w:val="14F055ED"/>
    <w:rsid w:val="14F41A64"/>
    <w:rsid w:val="151B6B0E"/>
    <w:rsid w:val="151C4634"/>
    <w:rsid w:val="15253E18"/>
    <w:rsid w:val="15543DCE"/>
    <w:rsid w:val="156E30E2"/>
    <w:rsid w:val="15802E15"/>
    <w:rsid w:val="15A00DC2"/>
    <w:rsid w:val="15A05265"/>
    <w:rsid w:val="15AA7EFA"/>
    <w:rsid w:val="15B95A53"/>
    <w:rsid w:val="15DA0777"/>
    <w:rsid w:val="15EC3507"/>
    <w:rsid w:val="1603092B"/>
    <w:rsid w:val="1609726C"/>
    <w:rsid w:val="160F6C00"/>
    <w:rsid w:val="1641578F"/>
    <w:rsid w:val="164E081E"/>
    <w:rsid w:val="16680A46"/>
    <w:rsid w:val="166D17FB"/>
    <w:rsid w:val="16831C06"/>
    <w:rsid w:val="168626AD"/>
    <w:rsid w:val="16AD12B7"/>
    <w:rsid w:val="16D231FD"/>
    <w:rsid w:val="16E15B36"/>
    <w:rsid w:val="17000FF0"/>
    <w:rsid w:val="17057BF5"/>
    <w:rsid w:val="17237EFC"/>
    <w:rsid w:val="174E2EC4"/>
    <w:rsid w:val="175D1550"/>
    <w:rsid w:val="1763654B"/>
    <w:rsid w:val="176C3651"/>
    <w:rsid w:val="17C71556"/>
    <w:rsid w:val="17E70F2A"/>
    <w:rsid w:val="17F618C4"/>
    <w:rsid w:val="180E64B6"/>
    <w:rsid w:val="18147845"/>
    <w:rsid w:val="181A3AAB"/>
    <w:rsid w:val="181B7D6E"/>
    <w:rsid w:val="183C74C7"/>
    <w:rsid w:val="183D061D"/>
    <w:rsid w:val="185A5BA0"/>
    <w:rsid w:val="185B5474"/>
    <w:rsid w:val="186C763D"/>
    <w:rsid w:val="188E5849"/>
    <w:rsid w:val="18AD3F21"/>
    <w:rsid w:val="18ED431E"/>
    <w:rsid w:val="18FE3F48"/>
    <w:rsid w:val="1912647A"/>
    <w:rsid w:val="191C10A7"/>
    <w:rsid w:val="194A5C14"/>
    <w:rsid w:val="194F4FD8"/>
    <w:rsid w:val="196964A3"/>
    <w:rsid w:val="198804EA"/>
    <w:rsid w:val="198A4263"/>
    <w:rsid w:val="199F4BEF"/>
    <w:rsid w:val="19A03A86"/>
    <w:rsid w:val="19A54BF8"/>
    <w:rsid w:val="19B337B9"/>
    <w:rsid w:val="1A0062D3"/>
    <w:rsid w:val="1A3F6FD0"/>
    <w:rsid w:val="1A815666"/>
    <w:rsid w:val="1A9F3D3E"/>
    <w:rsid w:val="1AB8095B"/>
    <w:rsid w:val="1ABE15F4"/>
    <w:rsid w:val="1ADC289C"/>
    <w:rsid w:val="1AE06CAF"/>
    <w:rsid w:val="1AEE1F9A"/>
    <w:rsid w:val="1B143444"/>
    <w:rsid w:val="1B1A46CC"/>
    <w:rsid w:val="1B242DC3"/>
    <w:rsid w:val="1B393963"/>
    <w:rsid w:val="1B3E70B3"/>
    <w:rsid w:val="1B59213E"/>
    <w:rsid w:val="1B5A3204"/>
    <w:rsid w:val="1B6B3C20"/>
    <w:rsid w:val="1B740D26"/>
    <w:rsid w:val="1BAA299A"/>
    <w:rsid w:val="1BC577D4"/>
    <w:rsid w:val="1C00080C"/>
    <w:rsid w:val="1C0A168B"/>
    <w:rsid w:val="1C174A8A"/>
    <w:rsid w:val="1C490AD1"/>
    <w:rsid w:val="1C6C5EA1"/>
    <w:rsid w:val="1C850D11"/>
    <w:rsid w:val="1C9D42AD"/>
    <w:rsid w:val="1CAA0778"/>
    <w:rsid w:val="1CBA393A"/>
    <w:rsid w:val="1CD22153"/>
    <w:rsid w:val="1CD35F20"/>
    <w:rsid w:val="1D2C0C42"/>
    <w:rsid w:val="1D3C5874"/>
    <w:rsid w:val="1D464944"/>
    <w:rsid w:val="1D681FD3"/>
    <w:rsid w:val="1D7768AC"/>
    <w:rsid w:val="1D78713B"/>
    <w:rsid w:val="1D9D57AA"/>
    <w:rsid w:val="1DAC03EC"/>
    <w:rsid w:val="1DC075CA"/>
    <w:rsid w:val="1DC53ABB"/>
    <w:rsid w:val="1DD91315"/>
    <w:rsid w:val="1DE84488"/>
    <w:rsid w:val="1DEA5023"/>
    <w:rsid w:val="1DF3687A"/>
    <w:rsid w:val="1DFB1E95"/>
    <w:rsid w:val="1E0A4D56"/>
    <w:rsid w:val="1E190976"/>
    <w:rsid w:val="1E3E73CA"/>
    <w:rsid w:val="1E5E5B8F"/>
    <w:rsid w:val="1E5F5CBE"/>
    <w:rsid w:val="1E6A6411"/>
    <w:rsid w:val="1E7D4396"/>
    <w:rsid w:val="1EA243B9"/>
    <w:rsid w:val="1EAC4C7B"/>
    <w:rsid w:val="1EAE454F"/>
    <w:rsid w:val="1EC43FBB"/>
    <w:rsid w:val="1ECC0E79"/>
    <w:rsid w:val="1ED80850"/>
    <w:rsid w:val="1EEC32CA"/>
    <w:rsid w:val="1F114ADE"/>
    <w:rsid w:val="1F3A2287"/>
    <w:rsid w:val="1F3D58D3"/>
    <w:rsid w:val="1F503858"/>
    <w:rsid w:val="1F5275D0"/>
    <w:rsid w:val="1F7F659E"/>
    <w:rsid w:val="1F84126A"/>
    <w:rsid w:val="1F923788"/>
    <w:rsid w:val="1F933745"/>
    <w:rsid w:val="1F9574BD"/>
    <w:rsid w:val="1FA45952"/>
    <w:rsid w:val="1FDA349D"/>
    <w:rsid w:val="1FF22B62"/>
    <w:rsid w:val="1FF64F88"/>
    <w:rsid w:val="20052811"/>
    <w:rsid w:val="20160FBA"/>
    <w:rsid w:val="20895274"/>
    <w:rsid w:val="20915ED7"/>
    <w:rsid w:val="209239FD"/>
    <w:rsid w:val="20971013"/>
    <w:rsid w:val="209D487B"/>
    <w:rsid w:val="20A0611A"/>
    <w:rsid w:val="20A3345E"/>
    <w:rsid w:val="20A51982"/>
    <w:rsid w:val="20BB41A0"/>
    <w:rsid w:val="20D52A5A"/>
    <w:rsid w:val="20FA3A7C"/>
    <w:rsid w:val="211D776A"/>
    <w:rsid w:val="215A451A"/>
    <w:rsid w:val="215E21B4"/>
    <w:rsid w:val="217F75ED"/>
    <w:rsid w:val="21886A3B"/>
    <w:rsid w:val="21905D83"/>
    <w:rsid w:val="21B03EB0"/>
    <w:rsid w:val="21B1257A"/>
    <w:rsid w:val="21F3097B"/>
    <w:rsid w:val="22066531"/>
    <w:rsid w:val="220A4192"/>
    <w:rsid w:val="221A57F9"/>
    <w:rsid w:val="222526EF"/>
    <w:rsid w:val="2228286B"/>
    <w:rsid w:val="226118D9"/>
    <w:rsid w:val="227419B5"/>
    <w:rsid w:val="22806203"/>
    <w:rsid w:val="22AC349C"/>
    <w:rsid w:val="22B52EE5"/>
    <w:rsid w:val="22BD7457"/>
    <w:rsid w:val="22CD29F8"/>
    <w:rsid w:val="22CF0F38"/>
    <w:rsid w:val="22E22A19"/>
    <w:rsid w:val="230010F2"/>
    <w:rsid w:val="23360FB7"/>
    <w:rsid w:val="237B192E"/>
    <w:rsid w:val="2380427B"/>
    <w:rsid w:val="23AF4BB2"/>
    <w:rsid w:val="23BC547F"/>
    <w:rsid w:val="23E27848"/>
    <w:rsid w:val="23ED1676"/>
    <w:rsid w:val="241237D2"/>
    <w:rsid w:val="241C1F5B"/>
    <w:rsid w:val="241E038C"/>
    <w:rsid w:val="24370B7B"/>
    <w:rsid w:val="244871F4"/>
    <w:rsid w:val="244942AA"/>
    <w:rsid w:val="248D41FB"/>
    <w:rsid w:val="24B14D99"/>
    <w:rsid w:val="24BC27E6"/>
    <w:rsid w:val="24CA5E5B"/>
    <w:rsid w:val="24D523A7"/>
    <w:rsid w:val="24D81B80"/>
    <w:rsid w:val="24DF7846"/>
    <w:rsid w:val="24ED38F7"/>
    <w:rsid w:val="25232A7A"/>
    <w:rsid w:val="25320969"/>
    <w:rsid w:val="255A1523"/>
    <w:rsid w:val="255B6BAA"/>
    <w:rsid w:val="255E5BD0"/>
    <w:rsid w:val="25761ED8"/>
    <w:rsid w:val="257B4CC6"/>
    <w:rsid w:val="25815CE3"/>
    <w:rsid w:val="2584600A"/>
    <w:rsid w:val="259049AF"/>
    <w:rsid w:val="25D30D3F"/>
    <w:rsid w:val="26243349"/>
    <w:rsid w:val="2637344B"/>
    <w:rsid w:val="263942ED"/>
    <w:rsid w:val="269229A8"/>
    <w:rsid w:val="26B24DF9"/>
    <w:rsid w:val="26B75F6B"/>
    <w:rsid w:val="26B77A91"/>
    <w:rsid w:val="26CA759A"/>
    <w:rsid w:val="26E56F7C"/>
    <w:rsid w:val="26F40F6D"/>
    <w:rsid w:val="271635D9"/>
    <w:rsid w:val="271C5387"/>
    <w:rsid w:val="272A0E33"/>
    <w:rsid w:val="27565784"/>
    <w:rsid w:val="275F6D2E"/>
    <w:rsid w:val="27A110F5"/>
    <w:rsid w:val="27B119B4"/>
    <w:rsid w:val="27B33C90"/>
    <w:rsid w:val="27B8643F"/>
    <w:rsid w:val="27C43035"/>
    <w:rsid w:val="27D843EB"/>
    <w:rsid w:val="27DF1C1D"/>
    <w:rsid w:val="280C6C60"/>
    <w:rsid w:val="280E2503"/>
    <w:rsid w:val="280E42B1"/>
    <w:rsid w:val="281F25B1"/>
    <w:rsid w:val="28215D92"/>
    <w:rsid w:val="28461C9C"/>
    <w:rsid w:val="28577A06"/>
    <w:rsid w:val="286363AA"/>
    <w:rsid w:val="286E6AFD"/>
    <w:rsid w:val="2886653D"/>
    <w:rsid w:val="28B10F71"/>
    <w:rsid w:val="28B44E58"/>
    <w:rsid w:val="28C055AB"/>
    <w:rsid w:val="28CB3926"/>
    <w:rsid w:val="28F06D67"/>
    <w:rsid w:val="28FD019E"/>
    <w:rsid w:val="29211DC2"/>
    <w:rsid w:val="29371F90"/>
    <w:rsid w:val="293D6BFB"/>
    <w:rsid w:val="29567CBD"/>
    <w:rsid w:val="29605CF1"/>
    <w:rsid w:val="296A5517"/>
    <w:rsid w:val="297445E7"/>
    <w:rsid w:val="299B7DC6"/>
    <w:rsid w:val="29AF73CD"/>
    <w:rsid w:val="29C410CB"/>
    <w:rsid w:val="29E34033"/>
    <w:rsid w:val="29E467B7"/>
    <w:rsid w:val="29EA390C"/>
    <w:rsid w:val="2A1132FB"/>
    <w:rsid w:val="2A1831C5"/>
    <w:rsid w:val="2A232A65"/>
    <w:rsid w:val="2A321A45"/>
    <w:rsid w:val="2A336250"/>
    <w:rsid w:val="2A467D32"/>
    <w:rsid w:val="2A48347C"/>
    <w:rsid w:val="2A4F57D2"/>
    <w:rsid w:val="2AF015D1"/>
    <w:rsid w:val="2AF43C32"/>
    <w:rsid w:val="2AFB5F62"/>
    <w:rsid w:val="2AFC6642"/>
    <w:rsid w:val="2B0025D7"/>
    <w:rsid w:val="2B065713"/>
    <w:rsid w:val="2B1114D4"/>
    <w:rsid w:val="2B582436"/>
    <w:rsid w:val="2B5E649A"/>
    <w:rsid w:val="2B6C5576"/>
    <w:rsid w:val="2BDB26FC"/>
    <w:rsid w:val="2BDD3FF4"/>
    <w:rsid w:val="2C002162"/>
    <w:rsid w:val="2C151290"/>
    <w:rsid w:val="2C295D59"/>
    <w:rsid w:val="2C3A5674"/>
    <w:rsid w:val="2C491D5B"/>
    <w:rsid w:val="2C535312"/>
    <w:rsid w:val="2C7A0167"/>
    <w:rsid w:val="2C7D5862"/>
    <w:rsid w:val="2C9C41FE"/>
    <w:rsid w:val="2CA80956"/>
    <w:rsid w:val="2CAD22EA"/>
    <w:rsid w:val="2CD86C3B"/>
    <w:rsid w:val="2CDF446E"/>
    <w:rsid w:val="2CDF7B40"/>
    <w:rsid w:val="2D016192"/>
    <w:rsid w:val="2D1F486A"/>
    <w:rsid w:val="2D2C5FB8"/>
    <w:rsid w:val="2D393B7E"/>
    <w:rsid w:val="2D5B7F98"/>
    <w:rsid w:val="2D6230D5"/>
    <w:rsid w:val="2D6B7AAF"/>
    <w:rsid w:val="2D6C3F53"/>
    <w:rsid w:val="2D887326"/>
    <w:rsid w:val="2D8A262B"/>
    <w:rsid w:val="2D9A60D9"/>
    <w:rsid w:val="2DAE5E11"/>
    <w:rsid w:val="2DBB4593"/>
    <w:rsid w:val="2DEA190A"/>
    <w:rsid w:val="2DEE4968"/>
    <w:rsid w:val="2DF5641D"/>
    <w:rsid w:val="2DF57369"/>
    <w:rsid w:val="2E00644A"/>
    <w:rsid w:val="2E13617D"/>
    <w:rsid w:val="2E181C50"/>
    <w:rsid w:val="2E50117F"/>
    <w:rsid w:val="2E6E3B96"/>
    <w:rsid w:val="2E7C09DF"/>
    <w:rsid w:val="2E8A0DE4"/>
    <w:rsid w:val="2EA20D1E"/>
    <w:rsid w:val="2EC851B9"/>
    <w:rsid w:val="2F1542D3"/>
    <w:rsid w:val="2F19273E"/>
    <w:rsid w:val="2F6E51EC"/>
    <w:rsid w:val="2F8337D6"/>
    <w:rsid w:val="2FA2210D"/>
    <w:rsid w:val="2FAB0637"/>
    <w:rsid w:val="2FBE480E"/>
    <w:rsid w:val="2FCD4A51"/>
    <w:rsid w:val="2FF664C4"/>
    <w:rsid w:val="30120F5C"/>
    <w:rsid w:val="30137621"/>
    <w:rsid w:val="301C02EE"/>
    <w:rsid w:val="303633D2"/>
    <w:rsid w:val="30561E5F"/>
    <w:rsid w:val="30622FEF"/>
    <w:rsid w:val="306A22A0"/>
    <w:rsid w:val="307B6271"/>
    <w:rsid w:val="307F795E"/>
    <w:rsid w:val="30B40117"/>
    <w:rsid w:val="30C97D27"/>
    <w:rsid w:val="30EB7DA0"/>
    <w:rsid w:val="310A6DB4"/>
    <w:rsid w:val="310D2353"/>
    <w:rsid w:val="31115F08"/>
    <w:rsid w:val="31132938"/>
    <w:rsid w:val="317F1D7B"/>
    <w:rsid w:val="3186135C"/>
    <w:rsid w:val="31C3610C"/>
    <w:rsid w:val="31CF2D03"/>
    <w:rsid w:val="31D10829"/>
    <w:rsid w:val="31EA18EB"/>
    <w:rsid w:val="32103170"/>
    <w:rsid w:val="323D7C6C"/>
    <w:rsid w:val="32754A82"/>
    <w:rsid w:val="32820442"/>
    <w:rsid w:val="32841682"/>
    <w:rsid w:val="328A3B1A"/>
    <w:rsid w:val="32990C1B"/>
    <w:rsid w:val="32B61940"/>
    <w:rsid w:val="32CB5278"/>
    <w:rsid w:val="33075200"/>
    <w:rsid w:val="33154745"/>
    <w:rsid w:val="33413EDE"/>
    <w:rsid w:val="33572FB0"/>
    <w:rsid w:val="33784BF7"/>
    <w:rsid w:val="3381460F"/>
    <w:rsid w:val="338748EA"/>
    <w:rsid w:val="339B682A"/>
    <w:rsid w:val="33A902AB"/>
    <w:rsid w:val="33D22636"/>
    <w:rsid w:val="33DC34B5"/>
    <w:rsid w:val="33ED7470"/>
    <w:rsid w:val="33F407FF"/>
    <w:rsid w:val="341B5D8B"/>
    <w:rsid w:val="341C4BE7"/>
    <w:rsid w:val="343F6D1F"/>
    <w:rsid w:val="34441786"/>
    <w:rsid w:val="34651714"/>
    <w:rsid w:val="34684D49"/>
    <w:rsid w:val="34763909"/>
    <w:rsid w:val="34833930"/>
    <w:rsid w:val="34965153"/>
    <w:rsid w:val="34A264AC"/>
    <w:rsid w:val="34B52527"/>
    <w:rsid w:val="34D41FBA"/>
    <w:rsid w:val="3538471B"/>
    <w:rsid w:val="353C245D"/>
    <w:rsid w:val="35435B71"/>
    <w:rsid w:val="35533421"/>
    <w:rsid w:val="35702107"/>
    <w:rsid w:val="35C661CB"/>
    <w:rsid w:val="35C91817"/>
    <w:rsid w:val="35CF2D60"/>
    <w:rsid w:val="35E86141"/>
    <w:rsid w:val="35F51433"/>
    <w:rsid w:val="360B0081"/>
    <w:rsid w:val="36366456"/>
    <w:rsid w:val="36392E40"/>
    <w:rsid w:val="36405F7D"/>
    <w:rsid w:val="367F6029"/>
    <w:rsid w:val="36877708"/>
    <w:rsid w:val="36B536E8"/>
    <w:rsid w:val="36E06CFA"/>
    <w:rsid w:val="36E556BA"/>
    <w:rsid w:val="37037608"/>
    <w:rsid w:val="370E1BD7"/>
    <w:rsid w:val="374324BD"/>
    <w:rsid w:val="374E6478"/>
    <w:rsid w:val="377203B8"/>
    <w:rsid w:val="37734130"/>
    <w:rsid w:val="37847370"/>
    <w:rsid w:val="378F4EB7"/>
    <w:rsid w:val="37980C01"/>
    <w:rsid w:val="37AF4771"/>
    <w:rsid w:val="37CB1876"/>
    <w:rsid w:val="38170F5F"/>
    <w:rsid w:val="382974C8"/>
    <w:rsid w:val="383218F5"/>
    <w:rsid w:val="3834566E"/>
    <w:rsid w:val="383B4C4E"/>
    <w:rsid w:val="383C4522"/>
    <w:rsid w:val="3853709A"/>
    <w:rsid w:val="387719FE"/>
    <w:rsid w:val="3885411B"/>
    <w:rsid w:val="388C36FB"/>
    <w:rsid w:val="38983E4E"/>
    <w:rsid w:val="38AF2F46"/>
    <w:rsid w:val="38D97FC3"/>
    <w:rsid w:val="38FB00A6"/>
    <w:rsid w:val="390239BE"/>
    <w:rsid w:val="390B742C"/>
    <w:rsid w:val="39316051"/>
    <w:rsid w:val="39522A4F"/>
    <w:rsid w:val="395835DE"/>
    <w:rsid w:val="3960563F"/>
    <w:rsid w:val="39665CFB"/>
    <w:rsid w:val="398E78CA"/>
    <w:rsid w:val="3995213C"/>
    <w:rsid w:val="39CA46E3"/>
    <w:rsid w:val="39D37108"/>
    <w:rsid w:val="39D72754"/>
    <w:rsid w:val="39F455D0"/>
    <w:rsid w:val="3A0472C2"/>
    <w:rsid w:val="3A424D31"/>
    <w:rsid w:val="3A540249"/>
    <w:rsid w:val="3A830215"/>
    <w:rsid w:val="3A886068"/>
    <w:rsid w:val="3A9248CD"/>
    <w:rsid w:val="3AB331C1"/>
    <w:rsid w:val="3AC16F61"/>
    <w:rsid w:val="3ADB0022"/>
    <w:rsid w:val="3ADF335C"/>
    <w:rsid w:val="3AF76465"/>
    <w:rsid w:val="3AFE1F63"/>
    <w:rsid w:val="3B024015"/>
    <w:rsid w:val="3B077069"/>
    <w:rsid w:val="3B083F8B"/>
    <w:rsid w:val="3B1E43B3"/>
    <w:rsid w:val="3B225C51"/>
    <w:rsid w:val="3B37375B"/>
    <w:rsid w:val="3B4F27BE"/>
    <w:rsid w:val="3B5878C5"/>
    <w:rsid w:val="3B8E32E7"/>
    <w:rsid w:val="3BA26D92"/>
    <w:rsid w:val="3BB23479"/>
    <w:rsid w:val="3BD340EA"/>
    <w:rsid w:val="3BD602EF"/>
    <w:rsid w:val="3BE70C49"/>
    <w:rsid w:val="3C0A04E7"/>
    <w:rsid w:val="3C0A2960"/>
    <w:rsid w:val="3C3C47FA"/>
    <w:rsid w:val="3C4B11D8"/>
    <w:rsid w:val="3C616C4D"/>
    <w:rsid w:val="3C6A6406"/>
    <w:rsid w:val="3C6D55F2"/>
    <w:rsid w:val="3C776471"/>
    <w:rsid w:val="3C8E0F9D"/>
    <w:rsid w:val="3CB56181"/>
    <w:rsid w:val="3CB60D47"/>
    <w:rsid w:val="3CBA010B"/>
    <w:rsid w:val="3CC60375"/>
    <w:rsid w:val="3CDE029E"/>
    <w:rsid w:val="3CE4475D"/>
    <w:rsid w:val="3D0715A3"/>
    <w:rsid w:val="3D0D46DF"/>
    <w:rsid w:val="3D406863"/>
    <w:rsid w:val="3D7B5AED"/>
    <w:rsid w:val="3D803103"/>
    <w:rsid w:val="3D94095C"/>
    <w:rsid w:val="3DB64D77"/>
    <w:rsid w:val="3DBF3C2B"/>
    <w:rsid w:val="3DD21D54"/>
    <w:rsid w:val="3DF064DB"/>
    <w:rsid w:val="3E0728CE"/>
    <w:rsid w:val="3E154DAD"/>
    <w:rsid w:val="3E310BD1"/>
    <w:rsid w:val="3E4800C5"/>
    <w:rsid w:val="3E787981"/>
    <w:rsid w:val="3E7C44A5"/>
    <w:rsid w:val="3EA03A5D"/>
    <w:rsid w:val="3EB72B54"/>
    <w:rsid w:val="3EB968CD"/>
    <w:rsid w:val="3ED5420D"/>
    <w:rsid w:val="3ED6747E"/>
    <w:rsid w:val="3EDF3E59"/>
    <w:rsid w:val="3EFC5866"/>
    <w:rsid w:val="3EFE0783"/>
    <w:rsid w:val="3F361630"/>
    <w:rsid w:val="3F3C12AC"/>
    <w:rsid w:val="3F41262A"/>
    <w:rsid w:val="3F4C7741"/>
    <w:rsid w:val="3F5751EC"/>
    <w:rsid w:val="3F924236"/>
    <w:rsid w:val="3F9E763B"/>
    <w:rsid w:val="3FA94B93"/>
    <w:rsid w:val="3FAD415A"/>
    <w:rsid w:val="40073668"/>
    <w:rsid w:val="400D3374"/>
    <w:rsid w:val="400D65EC"/>
    <w:rsid w:val="40267F92"/>
    <w:rsid w:val="40550FB8"/>
    <w:rsid w:val="405930EC"/>
    <w:rsid w:val="40704BED"/>
    <w:rsid w:val="4081341A"/>
    <w:rsid w:val="40884808"/>
    <w:rsid w:val="408D1DBF"/>
    <w:rsid w:val="40A37834"/>
    <w:rsid w:val="40B557B9"/>
    <w:rsid w:val="40DD6794"/>
    <w:rsid w:val="40E340D5"/>
    <w:rsid w:val="40FA15B8"/>
    <w:rsid w:val="40FE2CBD"/>
    <w:rsid w:val="41144022"/>
    <w:rsid w:val="41384ACC"/>
    <w:rsid w:val="41401283"/>
    <w:rsid w:val="41594397"/>
    <w:rsid w:val="416B7C26"/>
    <w:rsid w:val="416C231C"/>
    <w:rsid w:val="41720FB5"/>
    <w:rsid w:val="41870F04"/>
    <w:rsid w:val="41962EF5"/>
    <w:rsid w:val="41CB5D4C"/>
    <w:rsid w:val="42016538"/>
    <w:rsid w:val="422C1AAB"/>
    <w:rsid w:val="42416B42"/>
    <w:rsid w:val="42707BEA"/>
    <w:rsid w:val="427A3F6E"/>
    <w:rsid w:val="427F2929"/>
    <w:rsid w:val="42914900"/>
    <w:rsid w:val="429562DA"/>
    <w:rsid w:val="42AB29D0"/>
    <w:rsid w:val="42C26EBB"/>
    <w:rsid w:val="42C447F4"/>
    <w:rsid w:val="42E163F2"/>
    <w:rsid w:val="42E45EE2"/>
    <w:rsid w:val="42F27ED7"/>
    <w:rsid w:val="43052685"/>
    <w:rsid w:val="43075564"/>
    <w:rsid w:val="43140575"/>
    <w:rsid w:val="43562D62"/>
    <w:rsid w:val="437E00E5"/>
    <w:rsid w:val="43B27D8E"/>
    <w:rsid w:val="43B34232"/>
    <w:rsid w:val="43E048FB"/>
    <w:rsid w:val="43F860E9"/>
    <w:rsid w:val="43FC6264"/>
    <w:rsid w:val="4414507B"/>
    <w:rsid w:val="443D3AFC"/>
    <w:rsid w:val="44427AC1"/>
    <w:rsid w:val="447C0AC8"/>
    <w:rsid w:val="4493196E"/>
    <w:rsid w:val="449D27EC"/>
    <w:rsid w:val="44C164DB"/>
    <w:rsid w:val="44DE20BF"/>
    <w:rsid w:val="450B3BFA"/>
    <w:rsid w:val="452627E2"/>
    <w:rsid w:val="456A4DC4"/>
    <w:rsid w:val="45A715D5"/>
    <w:rsid w:val="45AD71D3"/>
    <w:rsid w:val="45C02C36"/>
    <w:rsid w:val="45CB161E"/>
    <w:rsid w:val="45D264C6"/>
    <w:rsid w:val="45F60406"/>
    <w:rsid w:val="46255B1F"/>
    <w:rsid w:val="463351B6"/>
    <w:rsid w:val="46445615"/>
    <w:rsid w:val="46A67FEE"/>
    <w:rsid w:val="46A7132D"/>
    <w:rsid w:val="46E26BDC"/>
    <w:rsid w:val="46F5427E"/>
    <w:rsid w:val="47072195"/>
    <w:rsid w:val="47172FCE"/>
    <w:rsid w:val="47176886"/>
    <w:rsid w:val="471E420C"/>
    <w:rsid w:val="4761706C"/>
    <w:rsid w:val="4783216D"/>
    <w:rsid w:val="4798402A"/>
    <w:rsid w:val="47A766F5"/>
    <w:rsid w:val="47AF4D11"/>
    <w:rsid w:val="47EA7AF7"/>
    <w:rsid w:val="47FC5A7C"/>
    <w:rsid w:val="4803505C"/>
    <w:rsid w:val="480A1F47"/>
    <w:rsid w:val="48142DC6"/>
    <w:rsid w:val="481825A2"/>
    <w:rsid w:val="482A4397"/>
    <w:rsid w:val="48376AB4"/>
    <w:rsid w:val="483B65A4"/>
    <w:rsid w:val="48403BBB"/>
    <w:rsid w:val="484F02A2"/>
    <w:rsid w:val="486C2C02"/>
    <w:rsid w:val="48710218"/>
    <w:rsid w:val="487675DC"/>
    <w:rsid w:val="48861C4D"/>
    <w:rsid w:val="488C5FF8"/>
    <w:rsid w:val="48A01144"/>
    <w:rsid w:val="48A979B2"/>
    <w:rsid w:val="48B01CE9"/>
    <w:rsid w:val="48BD530E"/>
    <w:rsid w:val="48DF1625"/>
    <w:rsid w:val="4904108C"/>
    <w:rsid w:val="4928358B"/>
    <w:rsid w:val="49303C2F"/>
    <w:rsid w:val="494D2A33"/>
    <w:rsid w:val="49667651"/>
    <w:rsid w:val="49A962E3"/>
    <w:rsid w:val="49AA1C33"/>
    <w:rsid w:val="49AC3B47"/>
    <w:rsid w:val="49CB3958"/>
    <w:rsid w:val="49D2118A"/>
    <w:rsid w:val="49DE368B"/>
    <w:rsid w:val="49EF5898"/>
    <w:rsid w:val="49FE5ADB"/>
    <w:rsid w:val="4A360B5B"/>
    <w:rsid w:val="4A696166"/>
    <w:rsid w:val="4A8E50B1"/>
    <w:rsid w:val="4A9357E4"/>
    <w:rsid w:val="4AD870BB"/>
    <w:rsid w:val="4ADE5503"/>
    <w:rsid w:val="4AF64A04"/>
    <w:rsid w:val="4B047E79"/>
    <w:rsid w:val="4B1355B6"/>
    <w:rsid w:val="4B14769A"/>
    <w:rsid w:val="4B1B446B"/>
    <w:rsid w:val="4B2477C4"/>
    <w:rsid w:val="4B47151E"/>
    <w:rsid w:val="4B5E0F27"/>
    <w:rsid w:val="4B616322"/>
    <w:rsid w:val="4B6202EC"/>
    <w:rsid w:val="4B7818BD"/>
    <w:rsid w:val="4B977B4C"/>
    <w:rsid w:val="4BC82845"/>
    <w:rsid w:val="4BDC33B4"/>
    <w:rsid w:val="4BE86A43"/>
    <w:rsid w:val="4BF76B91"/>
    <w:rsid w:val="4C016BE1"/>
    <w:rsid w:val="4C066EC9"/>
    <w:rsid w:val="4C14451D"/>
    <w:rsid w:val="4C1635B0"/>
    <w:rsid w:val="4C243449"/>
    <w:rsid w:val="4C3E6663"/>
    <w:rsid w:val="4CB60D7D"/>
    <w:rsid w:val="4CCD02B2"/>
    <w:rsid w:val="4CEC13D1"/>
    <w:rsid w:val="4D6E7AD9"/>
    <w:rsid w:val="4D704F42"/>
    <w:rsid w:val="4D7560B4"/>
    <w:rsid w:val="4DDC66B4"/>
    <w:rsid w:val="4DDE24C4"/>
    <w:rsid w:val="4DE00B2A"/>
    <w:rsid w:val="4DE35714"/>
    <w:rsid w:val="4DEB2042"/>
    <w:rsid w:val="4DF647A7"/>
    <w:rsid w:val="4E0A1360"/>
    <w:rsid w:val="4E121B55"/>
    <w:rsid w:val="4E2D4BE1"/>
    <w:rsid w:val="4E345F70"/>
    <w:rsid w:val="4E3E6DEE"/>
    <w:rsid w:val="4E434405"/>
    <w:rsid w:val="4E526C20"/>
    <w:rsid w:val="4E5352BB"/>
    <w:rsid w:val="4E697925"/>
    <w:rsid w:val="4E6B74B7"/>
    <w:rsid w:val="4E946A0E"/>
    <w:rsid w:val="4EAF1A9A"/>
    <w:rsid w:val="4EC15F85"/>
    <w:rsid w:val="4EDE5EDB"/>
    <w:rsid w:val="4EE259CC"/>
    <w:rsid w:val="4EEE716C"/>
    <w:rsid w:val="4F1D2EA8"/>
    <w:rsid w:val="4F3124AF"/>
    <w:rsid w:val="4F3B332E"/>
    <w:rsid w:val="4F3D572A"/>
    <w:rsid w:val="4F475AAF"/>
    <w:rsid w:val="4F716D4F"/>
    <w:rsid w:val="4F734876"/>
    <w:rsid w:val="4FAA6EA7"/>
    <w:rsid w:val="4FF5172F"/>
    <w:rsid w:val="4FFE6835"/>
    <w:rsid w:val="501A56F4"/>
    <w:rsid w:val="50285660"/>
    <w:rsid w:val="502B5150"/>
    <w:rsid w:val="503F29AA"/>
    <w:rsid w:val="505E1082"/>
    <w:rsid w:val="507329BF"/>
    <w:rsid w:val="507F3C4C"/>
    <w:rsid w:val="508567BA"/>
    <w:rsid w:val="508F3931"/>
    <w:rsid w:val="5095081C"/>
    <w:rsid w:val="50B25281"/>
    <w:rsid w:val="50B74C36"/>
    <w:rsid w:val="50B97362"/>
    <w:rsid w:val="50BD049E"/>
    <w:rsid w:val="50C01D3C"/>
    <w:rsid w:val="50ED0658"/>
    <w:rsid w:val="51344B3B"/>
    <w:rsid w:val="51360251"/>
    <w:rsid w:val="513F5357"/>
    <w:rsid w:val="51976F41"/>
    <w:rsid w:val="51A11B6E"/>
    <w:rsid w:val="51B26705"/>
    <w:rsid w:val="51D84E64"/>
    <w:rsid w:val="51DD247A"/>
    <w:rsid w:val="520143BB"/>
    <w:rsid w:val="52296714"/>
    <w:rsid w:val="522B58DB"/>
    <w:rsid w:val="52350BA2"/>
    <w:rsid w:val="523D116B"/>
    <w:rsid w:val="52495D62"/>
    <w:rsid w:val="525210BA"/>
    <w:rsid w:val="52760EC8"/>
    <w:rsid w:val="52786D8B"/>
    <w:rsid w:val="529671F9"/>
    <w:rsid w:val="52B21B59"/>
    <w:rsid w:val="52C13B4A"/>
    <w:rsid w:val="52E80C2B"/>
    <w:rsid w:val="531225F7"/>
    <w:rsid w:val="53346A12"/>
    <w:rsid w:val="533955F0"/>
    <w:rsid w:val="533B7B79"/>
    <w:rsid w:val="53426A39"/>
    <w:rsid w:val="5345477B"/>
    <w:rsid w:val="53465AE9"/>
    <w:rsid w:val="535952E5"/>
    <w:rsid w:val="535D7D17"/>
    <w:rsid w:val="538857C5"/>
    <w:rsid w:val="53A94D0A"/>
    <w:rsid w:val="53B13BBE"/>
    <w:rsid w:val="53C47D96"/>
    <w:rsid w:val="53CC09F8"/>
    <w:rsid w:val="53DB785D"/>
    <w:rsid w:val="53E144A4"/>
    <w:rsid w:val="53E2646E"/>
    <w:rsid w:val="53F1045F"/>
    <w:rsid w:val="541F1E2F"/>
    <w:rsid w:val="542004D9"/>
    <w:rsid w:val="54316AAD"/>
    <w:rsid w:val="54414F42"/>
    <w:rsid w:val="54484523"/>
    <w:rsid w:val="5449029B"/>
    <w:rsid w:val="545021E6"/>
    <w:rsid w:val="54674583"/>
    <w:rsid w:val="54751090"/>
    <w:rsid w:val="549079CA"/>
    <w:rsid w:val="54907C78"/>
    <w:rsid w:val="549B4D55"/>
    <w:rsid w:val="55066AD1"/>
    <w:rsid w:val="550A3375"/>
    <w:rsid w:val="553625CD"/>
    <w:rsid w:val="553E3E9A"/>
    <w:rsid w:val="55482300"/>
    <w:rsid w:val="555B4829"/>
    <w:rsid w:val="55651104"/>
    <w:rsid w:val="556C2493"/>
    <w:rsid w:val="55823A64"/>
    <w:rsid w:val="559E5949"/>
    <w:rsid w:val="55A03EEB"/>
    <w:rsid w:val="55BA31FE"/>
    <w:rsid w:val="55BB3F21"/>
    <w:rsid w:val="55C03F98"/>
    <w:rsid w:val="55D911AB"/>
    <w:rsid w:val="55EC35D4"/>
    <w:rsid w:val="55F34962"/>
    <w:rsid w:val="55FD269C"/>
    <w:rsid w:val="561F7505"/>
    <w:rsid w:val="566030AC"/>
    <w:rsid w:val="567726CA"/>
    <w:rsid w:val="5679633B"/>
    <w:rsid w:val="56890E23"/>
    <w:rsid w:val="56B75990"/>
    <w:rsid w:val="56BC4D54"/>
    <w:rsid w:val="56BF65F2"/>
    <w:rsid w:val="56CE6835"/>
    <w:rsid w:val="56D4209E"/>
    <w:rsid w:val="56DC4FDF"/>
    <w:rsid w:val="56F75D8C"/>
    <w:rsid w:val="5716352D"/>
    <w:rsid w:val="57407733"/>
    <w:rsid w:val="575B456D"/>
    <w:rsid w:val="575D2010"/>
    <w:rsid w:val="576158FB"/>
    <w:rsid w:val="57AF314A"/>
    <w:rsid w:val="57D92987"/>
    <w:rsid w:val="57E9504D"/>
    <w:rsid w:val="58154EB0"/>
    <w:rsid w:val="5824666E"/>
    <w:rsid w:val="58254B7B"/>
    <w:rsid w:val="582726A1"/>
    <w:rsid w:val="582A7B63"/>
    <w:rsid w:val="5842136F"/>
    <w:rsid w:val="58535244"/>
    <w:rsid w:val="58584C11"/>
    <w:rsid w:val="586438F5"/>
    <w:rsid w:val="586B4C84"/>
    <w:rsid w:val="586E7F1B"/>
    <w:rsid w:val="5875340D"/>
    <w:rsid w:val="58C7108F"/>
    <w:rsid w:val="58DE7204"/>
    <w:rsid w:val="58F60663"/>
    <w:rsid w:val="590A1887"/>
    <w:rsid w:val="590A766B"/>
    <w:rsid w:val="590E6891"/>
    <w:rsid w:val="59237E41"/>
    <w:rsid w:val="59305585"/>
    <w:rsid w:val="593E5EF4"/>
    <w:rsid w:val="594D6137"/>
    <w:rsid w:val="59725B9E"/>
    <w:rsid w:val="597E2795"/>
    <w:rsid w:val="599706DB"/>
    <w:rsid w:val="599F68D7"/>
    <w:rsid w:val="59AD307A"/>
    <w:rsid w:val="59B52880"/>
    <w:rsid w:val="59D620C4"/>
    <w:rsid w:val="59D86349"/>
    <w:rsid w:val="59E56370"/>
    <w:rsid w:val="5A056BF8"/>
    <w:rsid w:val="5A087973"/>
    <w:rsid w:val="5A0E58C7"/>
    <w:rsid w:val="5A4E03B9"/>
    <w:rsid w:val="5A7A11AE"/>
    <w:rsid w:val="5A93401E"/>
    <w:rsid w:val="5AA04FCD"/>
    <w:rsid w:val="5AB32912"/>
    <w:rsid w:val="5AD563E4"/>
    <w:rsid w:val="5AE66D23"/>
    <w:rsid w:val="5AE76118"/>
    <w:rsid w:val="5AF50835"/>
    <w:rsid w:val="5B046CCA"/>
    <w:rsid w:val="5B117094"/>
    <w:rsid w:val="5B172EA1"/>
    <w:rsid w:val="5B174C4F"/>
    <w:rsid w:val="5B242EC8"/>
    <w:rsid w:val="5B394BC5"/>
    <w:rsid w:val="5B5C6B06"/>
    <w:rsid w:val="5B670A10"/>
    <w:rsid w:val="5B726F99"/>
    <w:rsid w:val="5B8D3163"/>
    <w:rsid w:val="5B9021DF"/>
    <w:rsid w:val="5BB64468"/>
    <w:rsid w:val="5BC052E6"/>
    <w:rsid w:val="5BD20B76"/>
    <w:rsid w:val="5BD963A8"/>
    <w:rsid w:val="5BF73132"/>
    <w:rsid w:val="5C0E6052"/>
    <w:rsid w:val="5C163158"/>
    <w:rsid w:val="5C1C5674"/>
    <w:rsid w:val="5C3435DF"/>
    <w:rsid w:val="5C4F3413"/>
    <w:rsid w:val="5C5E240A"/>
    <w:rsid w:val="5C6271FA"/>
    <w:rsid w:val="5C734895"/>
    <w:rsid w:val="5C743E1A"/>
    <w:rsid w:val="5C846314"/>
    <w:rsid w:val="5CAC13C7"/>
    <w:rsid w:val="5CE2303B"/>
    <w:rsid w:val="5CF2304D"/>
    <w:rsid w:val="5CF76AE6"/>
    <w:rsid w:val="5D090BD1"/>
    <w:rsid w:val="5D3D7710"/>
    <w:rsid w:val="5D3F223B"/>
    <w:rsid w:val="5D485594"/>
    <w:rsid w:val="5D5C3F14"/>
    <w:rsid w:val="5D5C4B9B"/>
    <w:rsid w:val="5D617996"/>
    <w:rsid w:val="5D8365CC"/>
    <w:rsid w:val="5DB06224"/>
    <w:rsid w:val="5DEC30C9"/>
    <w:rsid w:val="5DF262C7"/>
    <w:rsid w:val="5E022B74"/>
    <w:rsid w:val="5E483371"/>
    <w:rsid w:val="5E546B2B"/>
    <w:rsid w:val="5E5B4E53"/>
    <w:rsid w:val="5E7303EE"/>
    <w:rsid w:val="5E7D126D"/>
    <w:rsid w:val="5E9F5687"/>
    <w:rsid w:val="5EA92116"/>
    <w:rsid w:val="5ED846F5"/>
    <w:rsid w:val="5EDD1D0C"/>
    <w:rsid w:val="5EDE3506"/>
    <w:rsid w:val="5EF332DD"/>
    <w:rsid w:val="5EF70334"/>
    <w:rsid w:val="5F0F66F3"/>
    <w:rsid w:val="5F291D7F"/>
    <w:rsid w:val="5F386F2E"/>
    <w:rsid w:val="5F3A715E"/>
    <w:rsid w:val="5F9A19AB"/>
    <w:rsid w:val="5FA97E40"/>
    <w:rsid w:val="5FAD5B82"/>
    <w:rsid w:val="5FD0085A"/>
    <w:rsid w:val="5FD0361E"/>
    <w:rsid w:val="5FD17AC2"/>
    <w:rsid w:val="5FE315A4"/>
    <w:rsid w:val="5FEA2932"/>
    <w:rsid w:val="5FFE29C2"/>
    <w:rsid w:val="605F7185"/>
    <w:rsid w:val="60714C07"/>
    <w:rsid w:val="60916776"/>
    <w:rsid w:val="60B44CEE"/>
    <w:rsid w:val="60B51282"/>
    <w:rsid w:val="60DD4CF0"/>
    <w:rsid w:val="610D2300"/>
    <w:rsid w:val="610F0176"/>
    <w:rsid w:val="611C05BC"/>
    <w:rsid w:val="611F14A6"/>
    <w:rsid w:val="611F660B"/>
    <w:rsid w:val="612D4780"/>
    <w:rsid w:val="613D2F35"/>
    <w:rsid w:val="6166248C"/>
    <w:rsid w:val="61785D1C"/>
    <w:rsid w:val="61811D44"/>
    <w:rsid w:val="618F176C"/>
    <w:rsid w:val="61AB60F1"/>
    <w:rsid w:val="61BD6634"/>
    <w:rsid w:val="61DF5D9B"/>
    <w:rsid w:val="61ED7A5F"/>
    <w:rsid w:val="61F15E2B"/>
    <w:rsid w:val="61F25ACE"/>
    <w:rsid w:val="620224E4"/>
    <w:rsid w:val="6205336E"/>
    <w:rsid w:val="620B5DB0"/>
    <w:rsid w:val="621243C2"/>
    <w:rsid w:val="621D79A3"/>
    <w:rsid w:val="62334436"/>
    <w:rsid w:val="6250365E"/>
    <w:rsid w:val="62582A4B"/>
    <w:rsid w:val="627911C5"/>
    <w:rsid w:val="628C1A7E"/>
    <w:rsid w:val="62942AB2"/>
    <w:rsid w:val="62C70D09"/>
    <w:rsid w:val="62E713AB"/>
    <w:rsid w:val="62FF575B"/>
    <w:rsid w:val="630A47EF"/>
    <w:rsid w:val="63161C90"/>
    <w:rsid w:val="633A772C"/>
    <w:rsid w:val="63451CD6"/>
    <w:rsid w:val="63554566"/>
    <w:rsid w:val="636341BB"/>
    <w:rsid w:val="63665785"/>
    <w:rsid w:val="63716EC6"/>
    <w:rsid w:val="63B05C41"/>
    <w:rsid w:val="63E458EA"/>
    <w:rsid w:val="63EC1FE1"/>
    <w:rsid w:val="63F22B00"/>
    <w:rsid w:val="63F57AF7"/>
    <w:rsid w:val="63F911B7"/>
    <w:rsid w:val="64144421"/>
    <w:rsid w:val="642108EC"/>
    <w:rsid w:val="64416899"/>
    <w:rsid w:val="644621C4"/>
    <w:rsid w:val="64754395"/>
    <w:rsid w:val="64A357A5"/>
    <w:rsid w:val="64A81A7D"/>
    <w:rsid w:val="64BB050F"/>
    <w:rsid w:val="64CA0F84"/>
    <w:rsid w:val="64D911C7"/>
    <w:rsid w:val="64EF7842"/>
    <w:rsid w:val="64F91EF5"/>
    <w:rsid w:val="64F920B9"/>
    <w:rsid w:val="650E11D7"/>
    <w:rsid w:val="654A5C21"/>
    <w:rsid w:val="6554084E"/>
    <w:rsid w:val="65554AD3"/>
    <w:rsid w:val="658654B1"/>
    <w:rsid w:val="659410CD"/>
    <w:rsid w:val="65CC6636"/>
    <w:rsid w:val="65CF1ED1"/>
    <w:rsid w:val="65D11E9E"/>
    <w:rsid w:val="65DA26AA"/>
    <w:rsid w:val="66006826"/>
    <w:rsid w:val="660E4EA0"/>
    <w:rsid w:val="661A2340"/>
    <w:rsid w:val="662446C4"/>
    <w:rsid w:val="662A244F"/>
    <w:rsid w:val="66392ACE"/>
    <w:rsid w:val="663C4D0D"/>
    <w:rsid w:val="667431B0"/>
    <w:rsid w:val="6695111E"/>
    <w:rsid w:val="66C51A03"/>
    <w:rsid w:val="66DA0257"/>
    <w:rsid w:val="66E77BCB"/>
    <w:rsid w:val="670B08C3"/>
    <w:rsid w:val="67220C03"/>
    <w:rsid w:val="672422F9"/>
    <w:rsid w:val="67401089"/>
    <w:rsid w:val="6744321F"/>
    <w:rsid w:val="674F4BE5"/>
    <w:rsid w:val="675B6199"/>
    <w:rsid w:val="67852F40"/>
    <w:rsid w:val="679F04A6"/>
    <w:rsid w:val="67BA708E"/>
    <w:rsid w:val="67D363A2"/>
    <w:rsid w:val="67D73F9C"/>
    <w:rsid w:val="68113934"/>
    <w:rsid w:val="685A261F"/>
    <w:rsid w:val="6864524C"/>
    <w:rsid w:val="6873723D"/>
    <w:rsid w:val="68810BE9"/>
    <w:rsid w:val="68A550EB"/>
    <w:rsid w:val="68AD1C2E"/>
    <w:rsid w:val="68C55CEA"/>
    <w:rsid w:val="68CF0F8B"/>
    <w:rsid w:val="68E25F70"/>
    <w:rsid w:val="68FE744E"/>
    <w:rsid w:val="690A194F"/>
    <w:rsid w:val="690F51B7"/>
    <w:rsid w:val="69115259"/>
    <w:rsid w:val="694A61EF"/>
    <w:rsid w:val="694E3676"/>
    <w:rsid w:val="695B664F"/>
    <w:rsid w:val="69605F59"/>
    <w:rsid w:val="697907BE"/>
    <w:rsid w:val="69A41DA4"/>
    <w:rsid w:val="69A43B52"/>
    <w:rsid w:val="69AE49D0"/>
    <w:rsid w:val="69C45FA2"/>
    <w:rsid w:val="69C72B58"/>
    <w:rsid w:val="69C75A92"/>
    <w:rsid w:val="69D13C2E"/>
    <w:rsid w:val="69DF102E"/>
    <w:rsid w:val="69E77EE2"/>
    <w:rsid w:val="6A14250A"/>
    <w:rsid w:val="6A242EE4"/>
    <w:rsid w:val="6A927E4E"/>
    <w:rsid w:val="6A941E18"/>
    <w:rsid w:val="6A975464"/>
    <w:rsid w:val="6A9F44CF"/>
    <w:rsid w:val="6AB51D8E"/>
    <w:rsid w:val="6ADF0DF8"/>
    <w:rsid w:val="6AF9611F"/>
    <w:rsid w:val="6B0074AE"/>
    <w:rsid w:val="6B056872"/>
    <w:rsid w:val="6B086362"/>
    <w:rsid w:val="6B340F05"/>
    <w:rsid w:val="6B3C54D1"/>
    <w:rsid w:val="6B4D0219"/>
    <w:rsid w:val="6B6E6E6E"/>
    <w:rsid w:val="6B71550B"/>
    <w:rsid w:val="6BA10CD4"/>
    <w:rsid w:val="6BE524AD"/>
    <w:rsid w:val="6BEE37AA"/>
    <w:rsid w:val="6C2471CC"/>
    <w:rsid w:val="6C4468F5"/>
    <w:rsid w:val="6C4B2AF4"/>
    <w:rsid w:val="6C613F7C"/>
    <w:rsid w:val="6C687E1F"/>
    <w:rsid w:val="6C8B6187"/>
    <w:rsid w:val="6C9B0944"/>
    <w:rsid w:val="6CB32CE3"/>
    <w:rsid w:val="6CCF4999"/>
    <w:rsid w:val="6CE81DB6"/>
    <w:rsid w:val="6CF04094"/>
    <w:rsid w:val="6D056FFD"/>
    <w:rsid w:val="6D3D3A1E"/>
    <w:rsid w:val="6D77332B"/>
    <w:rsid w:val="6D837F22"/>
    <w:rsid w:val="6D851EEC"/>
    <w:rsid w:val="6D9C0FE4"/>
    <w:rsid w:val="6D9D5488"/>
    <w:rsid w:val="6DC24EEE"/>
    <w:rsid w:val="6DD644F6"/>
    <w:rsid w:val="6DDC038C"/>
    <w:rsid w:val="6DE406B7"/>
    <w:rsid w:val="6DE804D2"/>
    <w:rsid w:val="6E14501E"/>
    <w:rsid w:val="6E153270"/>
    <w:rsid w:val="6E182D60"/>
    <w:rsid w:val="6E324088"/>
    <w:rsid w:val="6E7855AD"/>
    <w:rsid w:val="6E9A19C7"/>
    <w:rsid w:val="6EB5235D"/>
    <w:rsid w:val="6EC95E08"/>
    <w:rsid w:val="6EED0BAC"/>
    <w:rsid w:val="6EFF1A27"/>
    <w:rsid w:val="6F215C44"/>
    <w:rsid w:val="6F3911E0"/>
    <w:rsid w:val="6F3E614A"/>
    <w:rsid w:val="6F543924"/>
    <w:rsid w:val="6F5E29F5"/>
    <w:rsid w:val="6F6A75EB"/>
    <w:rsid w:val="6F7A0905"/>
    <w:rsid w:val="6F806E0F"/>
    <w:rsid w:val="6F976446"/>
    <w:rsid w:val="6F9B1553"/>
    <w:rsid w:val="6FB571C0"/>
    <w:rsid w:val="6FD45BF8"/>
    <w:rsid w:val="6FD54667"/>
    <w:rsid w:val="6FDC4EEF"/>
    <w:rsid w:val="6FF559D2"/>
    <w:rsid w:val="700215D2"/>
    <w:rsid w:val="70132BCA"/>
    <w:rsid w:val="701D640C"/>
    <w:rsid w:val="7023779A"/>
    <w:rsid w:val="70353372"/>
    <w:rsid w:val="703B2D36"/>
    <w:rsid w:val="706E310B"/>
    <w:rsid w:val="707A439D"/>
    <w:rsid w:val="70822713"/>
    <w:rsid w:val="70840695"/>
    <w:rsid w:val="70A94143"/>
    <w:rsid w:val="70A97C9F"/>
    <w:rsid w:val="70B328CC"/>
    <w:rsid w:val="70DF5DB7"/>
    <w:rsid w:val="70E138DD"/>
    <w:rsid w:val="71145A61"/>
    <w:rsid w:val="713E2ADE"/>
    <w:rsid w:val="714D4ACF"/>
    <w:rsid w:val="71525E28"/>
    <w:rsid w:val="71776831"/>
    <w:rsid w:val="719464CB"/>
    <w:rsid w:val="71C90A4F"/>
    <w:rsid w:val="72141A90"/>
    <w:rsid w:val="72273572"/>
    <w:rsid w:val="724834E8"/>
    <w:rsid w:val="724F4877"/>
    <w:rsid w:val="725D0EDE"/>
    <w:rsid w:val="725E2D0C"/>
    <w:rsid w:val="727D13E4"/>
    <w:rsid w:val="727E771E"/>
    <w:rsid w:val="72B34E05"/>
    <w:rsid w:val="72BD5C84"/>
    <w:rsid w:val="72C05BB6"/>
    <w:rsid w:val="72DA05E4"/>
    <w:rsid w:val="72DC25AE"/>
    <w:rsid w:val="72E52269"/>
    <w:rsid w:val="72E74AAF"/>
    <w:rsid w:val="732301DD"/>
    <w:rsid w:val="73335F46"/>
    <w:rsid w:val="73357F10"/>
    <w:rsid w:val="73430839"/>
    <w:rsid w:val="7355410F"/>
    <w:rsid w:val="7379604F"/>
    <w:rsid w:val="738B61C4"/>
    <w:rsid w:val="73D2575F"/>
    <w:rsid w:val="73E44525"/>
    <w:rsid w:val="745D14CD"/>
    <w:rsid w:val="745E778A"/>
    <w:rsid w:val="746A1E3C"/>
    <w:rsid w:val="746F2F07"/>
    <w:rsid w:val="74705EA6"/>
    <w:rsid w:val="747131CA"/>
    <w:rsid w:val="74982505"/>
    <w:rsid w:val="74AC4028"/>
    <w:rsid w:val="74AE31FF"/>
    <w:rsid w:val="74B472B2"/>
    <w:rsid w:val="74DF0134"/>
    <w:rsid w:val="74E10CA2"/>
    <w:rsid w:val="74F355FB"/>
    <w:rsid w:val="751D0C5C"/>
    <w:rsid w:val="753E74AE"/>
    <w:rsid w:val="7548217D"/>
    <w:rsid w:val="7556556B"/>
    <w:rsid w:val="75572211"/>
    <w:rsid w:val="7562169B"/>
    <w:rsid w:val="756744F4"/>
    <w:rsid w:val="756B19C7"/>
    <w:rsid w:val="757E433A"/>
    <w:rsid w:val="75BD53C1"/>
    <w:rsid w:val="75C80BC8"/>
    <w:rsid w:val="75CD3EE2"/>
    <w:rsid w:val="75F776FF"/>
    <w:rsid w:val="75FB4D1F"/>
    <w:rsid w:val="75FE45EA"/>
    <w:rsid w:val="761262E7"/>
    <w:rsid w:val="762322A2"/>
    <w:rsid w:val="76432944"/>
    <w:rsid w:val="766D176F"/>
    <w:rsid w:val="76AF247D"/>
    <w:rsid w:val="76AF6792"/>
    <w:rsid w:val="76D31F1A"/>
    <w:rsid w:val="76D355FD"/>
    <w:rsid w:val="76E658AE"/>
    <w:rsid w:val="76F854DD"/>
    <w:rsid w:val="76FA74A7"/>
    <w:rsid w:val="7722255A"/>
    <w:rsid w:val="77444884"/>
    <w:rsid w:val="775276A1"/>
    <w:rsid w:val="778E5E41"/>
    <w:rsid w:val="77932854"/>
    <w:rsid w:val="7796475D"/>
    <w:rsid w:val="77BA67F0"/>
    <w:rsid w:val="77BC5BA1"/>
    <w:rsid w:val="77C9763B"/>
    <w:rsid w:val="77EF594B"/>
    <w:rsid w:val="77FA1317"/>
    <w:rsid w:val="78370287"/>
    <w:rsid w:val="786477EF"/>
    <w:rsid w:val="787212BF"/>
    <w:rsid w:val="787230FD"/>
    <w:rsid w:val="78924360"/>
    <w:rsid w:val="78A05156"/>
    <w:rsid w:val="78A13F8E"/>
    <w:rsid w:val="78AB597D"/>
    <w:rsid w:val="78C23FF4"/>
    <w:rsid w:val="78CC4E73"/>
    <w:rsid w:val="78F47F26"/>
    <w:rsid w:val="790740FD"/>
    <w:rsid w:val="79295E21"/>
    <w:rsid w:val="792E51E6"/>
    <w:rsid w:val="79330DC4"/>
    <w:rsid w:val="79354A2F"/>
    <w:rsid w:val="793F284C"/>
    <w:rsid w:val="795A422D"/>
    <w:rsid w:val="796208E9"/>
    <w:rsid w:val="79627C1F"/>
    <w:rsid w:val="79984D55"/>
    <w:rsid w:val="79C06CE4"/>
    <w:rsid w:val="79CC49FF"/>
    <w:rsid w:val="79D14D3C"/>
    <w:rsid w:val="79D175DE"/>
    <w:rsid w:val="79ED366F"/>
    <w:rsid w:val="7A067F11"/>
    <w:rsid w:val="7A106FE1"/>
    <w:rsid w:val="7A401675"/>
    <w:rsid w:val="7A6115EB"/>
    <w:rsid w:val="7A9F19C6"/>
    <w:rsid w:val="7AAB2866"/>
    <w:rsid w:val="7AAD4830"/>
    <w:rsid w:val="7AD324E9"/>
    <w:rsid w:val="7AE91D0C"/>
    <w:rsid w:val="7AEF3E12"/>
    <w:rsid w:val="7AFB37ED"/>
    <w:rsid w:val="7B2B2E5F"/>
    <w:rsid w:val="7B41349D"/>
    <w:rsid w:val="7B476A33"/>
    <w:rsid w:val="7B494559"/>
    <w:rsid w:val="7B513A73"/>
    <w:rsid w:val="7B560A24"/>
    <w:rsid w:val="7B6729E7"/>
    <w:rsid w:val="7B863469"/>
    <w:rsid w:val="7B904DD2"/>
    <w:rsid w:val="7BC77B74"/>
    <w:rsid w:val="7BD16F42"/>
    <w:rsid w:val="7BD302C6"/>
    <w:rsid w:val="7BED75DA"/>
    <w:rsid w:val="7C4D1018"/>
    <w:rsid w:val="7C526968"/>
    <w:rsid w:val="7C692410"/>
    <w:rsid w:val="7C741AA9"/>
    <w:rsid w:val="7C943EFA"/>
    <w:rsid w:val="7CB43C54"/>
    <w:rsid w:val="7CDB5685"/>
    <w:rsid w:val="7CF90201"/>
    <w:rsid w:val="7D1666BD"/>
    <w:rsid w:val="7D2747F6"/>
    <w:rsid w:val="7D2A396D"/>
    <w:rsid w:val="7D33726F"/>
    <w:rsid w:val="7D3C6F98"/>
    <w:rsid w:val="7D5316BF"/>
    <w:rsid w:val="7D562F5D"/>
    <w:rsid w:val="7D8F646F"/>
    <w:rsid w:val="7D9D1940"/>
    <w:rsid w:val="7DA17C34"/>
    <w:rsid w:val="7DA41F1A"/>
    <w:rsid w:val="7DAB14FB"/>
    <w:rsid w:val="7DE95B7F"/>
    <w:rsid w:val="7DEE13E8"/>
    <w:rsid w:val="7DF06F0E"/>
    <w:rsid w:val="7DF917A4"/>
    <w:rsid w:val="7E265025"/>
    <w:rsid w:val="7E406ACA"/>
    <w:rsid w:val="7E5461D9"/>
    <w:rsid w:val="7E6E42D6"/>
    <w:rsid w:val="7E6F306E"/>
    <w:rsid w:val="7E9632CE"/>
    <w:rsid w:val="7E97090B"/>
    <w:rsid w:val="7E9C7916"/>
    <w:rsid w:val="7EA1645A"/>
    <w:rsid w:val="7EB75C7D"/>
    <w:rsid w:val="7EF0118F"/>
    <w:rsid w:val="7F010FD9"/>
    <w:rsid w:val="7F1430D0"/>
    <w:rsid w:val="7F374A93"/>
    <w:rsid w:val="7F4A6AF1"/>
    <w:rsid w:val="7F4D0390"/>
    <w:rsid w:val="7F5434CC"/>
    <w:rsid w:val="7F58120E"/>
    <w:rsid w:val="7F7B4FF4"/>
    <w:rsid w:val="7F903397"/>
    <w:rsid w:val="7FC033DE"/>
    <w:rsid w:val="7FD665D7"/>
    <w:rsid w:val="7FF77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spacing w:line="340" w:lineRule="exact"/>
      <w:outlineLvl w:val="0"/>
    </w:pPr>
    <w:rPr>
      <w:b/>
      <w:bCs/>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keepNext/>
      <w:keepLines/>
      <w:numPr>
        <w:ilvl w:val="3"/>
        <w:numId w:val="1"/>
      </w:numPr>
      <w:spacing w:before="280" w:after="290" w:line="372" w:lineRule="auto"/>
      <w:outlineLvl w:val="3"/>
    </w:pPr>
    <w:rPr>
      <w:rFonts w:ascii="宋体" w:hAnsi="Arial" w:eastAsia="黑体"/>
      <w:b/>
      <w:sz w:val="24"/>
      <w:szCs w:val="20"/>
    </w:rPr>
  </w:style>
  <w:style w:type="paragraph" w:styleId="6">
    <w:name w:val="heading 5"/>
    <w:basedOn w:val="1"/>
    <w:next w:val="7"/>
    <w:qFormat/>
    <w:uiPriority w:val="0"/>
    <w:pPr>
      <w:keepNext/>
      <w:keepLines/>
      <w:numPr>
        <w:ilvl w:val="4"/>
        <w:numId w:val="2"/>
      </w:numPr>
      <w:spacing w:before="280" w:after="290" w:line="376" w:lineRule="auto"/>
      <w:outlineLvl w:val="4"/>
    </w:pPr>
    <w:rPr>
      <w:rFonts w:ascii="Times New Roman" w:hAnsi="Times New Roman" w:eastAsia="宋体" w:cs="Times New Roman"/>
      <w:b/>
      <w:sz w:val="28"/>
      <w:szCs w:val="24"/>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List Number"/>
    <w:basedOn w:val="1"/>
    <w:qFormat/>
    <w:uiPriority w:val="0"/>
    <w:pPr>
      <w:numPr>
        <w:ilvl w:val="0"/>
        <w:numId w:val="3"/>
      </w:numPr>
    </w:pPr>
  </w:style>
  <w:style w:type="paragraph" w:styleId="9">
    <w:name w:val="annotation text"/>
    <w:basedOn w:val="1"/>
    <w:qFormat/>
    <w:uiPriority w:val="0"/>
    <w:pPr>
      <w:jc w:val="left"/>
    </w:pPr>
  </w:style>
  <w:style w:type="paragraph" w:styleId="10">
    <w:name w:val="Body Text 3"/>
    <w:basedOn w:val="1"/>
    <w:unhideWhenUsed/>
    <w:qFormat/>
    <w:uiPriority w:val="99"/>
    <w:pPr>
      <w:spacing w:after="120"/>
    </w:pPr>
    <w:rPr>
      <w:sz w:val="16"/>
      <w:szCs w:val="16"/>
    </w:rPr>
  </w:style>
  <w:style w:type="paragraph" w:styleId="11">
    <w:name w:val="Body Text"/>
    <w:basedOn w:val="1"/>
    <w:unhideWhenUsed/>
    <w:qFormat/>
    <w:uiPriority w:val="0"/>
    <w:pPr>
      <w:spacing w:after="120"/>
    </w:pPr>
  </w:style>
  <w:style w:type="paragraph" w:styleId="12">
    <w:name w:val="Body Text Indent"/>
    <w:basedOn w:val="1"/>
    <w:qFormat/>
    <w:uiPriority w:val="0"/>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Plain Text"/>
    <w:basedOn w:val="1"/>
    <w:next w:val="1"/>
    <w:qFormat/>
    <w:uiPriority w:val="0"/>
    <w:rPr>
      <w:rFonts w:ascii="宋体" w:hAnsi="Courier New"/>
      <w:szCs w:val="20"/>
    </w:rPr>
  </w:style>
  <w:style w:type="paragraph" w:styleId="15">
    <w:name w:val="Date"/>
    <w:basedOn w:val="1"/>
    <w:next w:val="1"/>
    <w:qFormat/>
    <w:uiPriority w:val="0"/>
    <w:pPr>
      <w:ind w:left="100" w:leftChars="2500"/>
    </w:pPr>
    <w:rPr>
      <w:spacing w:val="30"/>
      <w:sz w:val="28"/>
    </w:rPr>
  </w:style>
  <w:style w:type="paragraph" w:styleId="16">
    <w:name w:val="Body Text Indent 2"/>
    <w:basedOn w:val="1"/>
    <w:qFormat/>
    <w:uiPriority w:val="99"/>
    <w:pPr>
      <w:spacing w:after="120" w:line="480" w:lineRule="auto"/>
      <w:ind w:left="420" w:leftChars="200"/>
    </w:pPr>
    <w:rPr>
      <w:sz w:val="24"/>
    </w:rPr>
  </w:style>
  <w:style w:type="paragraph" w:styleId="17">
    <w:name w:val="footer"/>
    <w:basedOn w:val="1"/>
    <w:qFormat/>
    <w:uiPriority w:val="0"/>
    <w:pPr>
      <w:tabs>
        <w:tab w:val="center" w:pos="4153"/>
        <w:tab w:val="right" w:pos="8306"/>
      </w:tabs>
      <w:snapToGrid w:val="0"/>
      <w:jc w:val="left"/>
    </w:pPr>
    <w:rPr>
      <w:rFonts w:ascii="宋体" w:hAnsi="Courier New"/>
      <w:sz w:val="18"/>
      <w:szCs w:val="20"/>
    </w:rPr>
  </w:style>
  <w:style w:type="paragraph" w:styleId="18">
    <w:name w:val="envelope return"/>
    <w:basedOn w:val="1"/>
    <w:qFormat/>
    <w:uiPriority w:val="99"/>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rFonts w:ascii="宋体" w:hAnsi="Courier New"/>
      <w:sz w:val="18"/>
      <w:szCs w:val="20"/>
    </w:rPr>
  </w:style>
  <w:style w:type="paragraph" w:styleId="20">
    <w:name w:val="toc 1"/>
    <w:basedOn w:val="1"/>
    <w:next w:val="1"/>
    <w:qFormat/>
    <w:uiPriority w:val="0"/>
    <w:pPr>
      <w:tabs>
        <w:tab w:val="right" w:leader="dot" w:pos="8398"/>
      </w:tabs>
      <w:spacing w:before="120" w:after="120"/>
      <w:ind w:firstLine="240" w:firstLineChars="100"/>
      <w:jc w:val="left"/>
    </w:pPr>
    <w:rPr>
      <w:rFonts w:ascii="宋体" w:hAnsi="宋体"/>
      <w:b/>
      <w:bCs/>
      <w:caps/>
      <w:sz w:val="24"/>
    </w:rPr>
  </w:style>
  <w:style w:type="paragraph" w:styleId="21">
    <w:name w:val="Subtitle"/>
    <w:basedOn w:val="1"/>
    <w:next w:val="1"/>
    <w:qFormat/>
    <w:uiPriority w:val="0"/>
    <w:pPr>
      <w:spacing w:before="240" w:beforeLines="0" w:after="60" w:afterLines="0" w:line="312" w:lineRule="auto"/>
      <w:jc w:val="center"/>
      <w:outlineLvl w:val="1"/>
    </w:pPr>
    <w:rPr>
      <w:rFonts w:ascii="Cambria" w:hAnsi="Cambria"/>
      <w:b/>
      <w:bCs/>
      <w:kern w:val="28"/>
      <w:sz w:val="32"/>
      <w:szCs w:val="32"/>
    </w:rPr>
  </w:style>
  <w:style w:type="paragraph" w:styleId="22">
    <w:name w:val="Body Text 2"/>
    <w:basedOn w:val="1"/>
    <w:qFormat/>
    <w:uiPriority w:val="0"/>
    <w:pPr>
      <w:spacing w:after="120" w:line="480" w:lineRule="auto"/>
    </w:pPr>
    <w:rPr>
      <w:rFonts w:ascii="Times New Roman" w:hAnsi="Times New Roman" w:eastAsia="宋体" w:cs="Times New Roman"/>
      <w:kern w:val="0"/>
      <w:sz w:val="20"/>
      <w:szCs w:val="24"/>
    </w:rPr>
  </w:style>
  <w:style w:type="paragraph" w:styleId="23">
    <w:name w:val="Normal (Web)"/>
    <w:basedOn w:val="1"/>
    <w:qFormat/>
    <w:uiPriority w:val="99"/>
    <w:pPr>
      <w:spacing w:before="75" w:after="75"/>
      <w:jc w:val="left"/>
    </w:pPr>
    <w:rPr>
      <w:kern w:val="0"/>
      <w:sz w:val="24"/>
    </w:rPr>
  </w:style>
  <w:style w:type="paragraph" w:styleId="24">
    <w:name w:val="Title"/>
    <w:basedOn w:val="1"/>
    <w:qFormat/>
    <w:uiPriority w:val="0"/>
    <w:pPr>
      <w:spacing w:before="240" w:after="60"/>
      <w:jc w:val="center"/>
      <w:outlineLvl w:val="0"/>
    </w:pPr>
    <w:rPr>
      <w:rFonts w:ascii="Arial" w:hAnsi="Arial" w:cs="Arial"/>
      <w:b/>
      <w:bCs/>
      <w:sz w:val="32"/>
      <w:szCs w:val="32"/>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rPr>
  </w:style>
  <w:style w:type="character" w:styleId="29">
    <w:name w:val="page number"/>
    <w:basedOn w:val="27"/>
    <w:qFormat/>
    <w:uiPriority w:val="0"/>
  </w:style>
  <w:style w:type="character" w:styleId="30">
    <w:name w:val="Emphasis"/>
    <w:basedOn w:val="27"/>
    <w:qFormat/>
    <w:uiPriority w:val="0"/>
    <w:rPr>
      <w:i/>
    </w:rPr>
  </w:style>
  <w:style w:type="character" w:styleId="31">
    <w:name w:val="Hyperlink"/>
    <w:basedOn w:val="27"/>
    <w:qFormat/>
    <w:uiPriority w:val="0"/>
    <w:rPr>
      <w:color w:val="0000FF"/>
      <w:u w:val="single"/>
    </w:rPr>
  </w:style>
  <w:style w:type="character" w:styleId="32">
    <w:name w:val="annotation reference"/>
    <w:qFormat/>
    <w:uiPriority w:val="99"/>
    <w:rPr>
      <w:sz w:val="21"/>
      <w:szCs w:val="21"/>
    </w:rPr>
  </w:style>
  <w:style w:type="paragraph" w:customStyle="1" w:styleId="3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4">
    <w:name w:val="表格文字"/>
    <w:basedOn w:val="1"/>
    <w:qFormat/>
    <w:uiPriority w:val="0"/>
    <w:pPr>
      <w:spacing w:before="25" w:after="25"/>
      <w:jc w:val="left"/>
    </w:pPr>
    <w:rPr>
      <w:rFonts w:ascii="Verdana" w:hAnsi="Verdana"/>
      <w:bCs/>
      <w:spacing w:val="10"/>
      <w:kern w:val="0"/>
      <w:sz w:val="24"/>
    </w:rPr>
  </w:style>
  <w:style w:type="paragraph" w:customStyle="1" w:styleId="35">
    <w:name w:val="Default"/>
    <w:next w:val="36"/>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36">
    <w:name w:val="正文文字 6"/>
    <w:next w:val="1"/>
    <w:qFormat/>
    <w:uiPriority w:val="99"/>
    <w:pPr>
      <w:widowControl w:val="0"/>
      <w:ind w:left="240"/>
      <w:jc w:val="both"/>
    </w:pPr>
    <w:rPr>
      <w:rFonts w:ascii="宋体" w:hAnsi="Calibri" w:eastAsia="宋体" w:cs="Times New Roman"/>
      <w:b/>
      <w:bCs/>
      <w:kern w:val="2"/>
      <w:sz w:val="32"/>
      <w:szCs w:val="32"/>
      <w:lang w:val="en-US" w:eastAsia="zh-CN" w:bidi="ar-SA"/>
    </w:rPr>
  </w:style>
  <w:style w:type="paragraph" w:styleId="37">
    <w:name w:val="List Paragraph"/>
    <w:basedOn w:val="1"/>
    <w:qFormat/>
    <w:uiPriority w:val="34"/>
    <w:pPr>
      <w:ind w:firstLine="420" w:firstLineChars="200"/>
    </w:pPr>
  </w:style>
  <w:style w:type="paragraph" w:customStyle="1" w:styleId="38">
    <w:name w:val="正文2"/>
    <w:basedOn w:val="1"/>
    <w:qFormat/>
    <w:uiPriority w:val="0"/>
    <w:pPr>
      <w:adjustRightInd w:val="0"/>
      <w:spacing w:before="156" w:line="360" w:lineRule="auto"/>
      <w:ind w:firstLine="510" w:firstLineChars="200"/>
    </w:pPr>
    <w:rPr>
      <w:sz w:val="24"/>
      <w:szCs w:val="20"/>
    </w:rPr>
  </w:style>
  <w:style w:type="paragraph" w:customStyle="1" w:styleId="39">
    <w:name w:val="WPSOffice手动目录 1"/>
    <w:qFormat/>
    <w:uiPriority w:val="0"/>
    <w:pPr>
      <w:ind w:leftChars="0"/>
    </w:pPr>
    <w:rPr>
      <w:rFonts w:ascii="Times New Roman" w:hAnsi="Times New Roman" w:eastAsia="宋体" w:cs="Times New Roman"/>
      <w:sz w:val="20"/>
      <w:szCs w:val="20"/>
    </w:rPr>
  </w:style>
  <w:style w:type="paragraph" w:customStyle="1" w:styleId="40">
    <w:name w:val="Char Char Char1"/>
    <w:basedOn w:val="1"/>
    <w:qFormat/>
    <w:uiPriority w:val="0"/>
    <w:rPr>
      <w:rFonts w:ascii="Tahoma" w:hAnsi="Tahoma" w:eastAsia="宋体" w:cs="Times New Roman"/>
      <w:sz w:val="24"/>
      <w:szCs w:val="20"/>
    </w:rPr>
  </w:style>
  <w:style w:type="paragraph" w:customStyle="1" w:styleId="41">
    <w:name w:val="列出段落1"/>
    <w:basedOn w:val="1"/>
    <w:qFormat/>
    <w:uiPriority w:val="0"/>
    <w:pPr>
      <w:widowControl w:val="0"/>
      <w:adjustRightInd/>
      <w:snapToGrid/>
      <w:spacing w:after="0"/>
      <w:ind w:firstLine="420" w:firstLineChars="200"/>
      <w:jc w:val="both"/>
    </w:pPr>
    <w:rPr>
      <w:rFonts w:ascii="宋体" w:hAnsi="宋体"/>
    </w:rPr>
  </w:style>
  <w:style w:type="paragraph" w:customStyle="1" w:styleId="42">
    <w:name w:val="p15"/>
    <w:basedOn w:val="1"/>
    <w:qFormat/>
    <w:uiPriority w:val="0"/>
    <w:pPr>
      <w:widowControl/>
    </w:pPr>
    <w:rPr>
      <w:rFonts w:ascii="宋体" w:hAnsi="宋体" w:cs="宋体"/>
      <w:kern w:val="0"/>
      <w:szCs w:val="21"/>
    </w:rPr>
  </w:style>
  <w:style w:type="paragraph" w:customStyle="1" w:styleId="43">
    <w:name w:val="普通文字 Char2"/>
    <w:basedOn w:val="1"/>
    <w:qFormat/>
    <w:uiPriority w:val="0"/>
    <w:pPr>
      <w:widowControl/>
    </w:pPr>
    <w:rPr>
      <w:rFonts w:ascii="宋体" w:hAnsi="宋体" w:cs="宋体"/>
      <w:color w:val="000000"/>
      <w:kern w:val="0"/>
      <w:szCs w:val="21"/>
    </w:rPr>
  </w:style>
  <w:style w:type="character" w:customStyle="1" w:styleId="44">
    <w:name w:val="纯文本 Char1"/>
    <w:qFormat/>
    <w:uiPriority w:val="0"/>
    <w:rPr>
      <w:rFonts w:ascii="宋体" w:hAnsi="Courier New" w:eastAsia="宋体" w:cs="Courier New"/>
      <w:kern w:val="2"/>
      <w:sz w:val="21"/>
      <w:szCs w:val="21"/>
      <w:lang w:val="en-US" w:eastAsia="zh-CN" w:bidi="ar-SA"/>
    </w:rPr>
  </w:style>
  <w:style w:type="paragraph" w:styleId="45">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Body text|1"/>
    <w:basedOn w:val="1"/>
    <w:qFormat/>
    <w:uiPriority w:val="0"/>
    <w:pPr>
      <w:widowControl w:val="0"/>
      <w:shd w:val="clear" w:color="auto" w:fill="auto"/>
      <w:spacing w:line="382" w:lineRule="auto"/>
      <w:ind w:firstLine="400"/>
    </w:pPr>
    <w:rPr>
      <w:rFonts w:ascii="宋体" w:hAnsi="宋体" w:eastAsia="宋体" w:cs="宋体"/>
      <w:sz w:val="20"/>
      <w:szCs w:val="20"/>
      <w:u w:val="none"/>
      <w:shd w:val="clear" w:color="auto" w:fill="auto"/>
      <w:lang w:val="zh-TW" w:eastAsia="zh-TW" w:bidi="zh-TW"/>
    </w:rPr>
  </w:style>
  <w:style w:type="paragraph" w:customStyle="1" w:styleId="47">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8">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_2"/>
    <w:next w:val="5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
    <w:name w:val="纯文本_1"/>
    <w:basedOn w:val="49"/>
    <w:next w:val="49"/>
    <w:qFormat/>
    <w:uiPriority w:val="0"/>
    <w:rPr>
      <w:rFonts w:ascii="宋体" w:hAnsi="Courier New" w:cs="宋体"/>
      <w:sz w:val="24"/>
      <w:szCs w:val="24"/>
    </w:rPr>
  </w:style>
  <w:style w:type="paragraph" w:customStyle="1" w:styleId="51">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paragraph" w:customStyle="1" w:styleId="52">
    <w:name w:val="Other|1"/>
    <w:basedOn w:val="1"/>
    <w:qFormat/>
    <w:uiPriority w:val="0"/>
    <w:pPr>
      <w:spacing w:line="360" w:lineRule="auto"/>
      <w:ind w:firstLine="400"/>
      <w:jc w:val="left"/>
    </w:pPr>
    <w:rPr>
      <w:rFonts w:ascii="宋体" w:hAnsi="宋体" w:cs="宋体"/>
      <w:kern w:val="0"/>
      <w:sz w:val="20"/>
      <w:szCs w:val="20"/>
      <w:lang w:val="zh-CN" w:bidi="zh-CN"/>
    </w:rPr>
  </w:style>
  <w:style w:type="paragraph" w:customStyle="1" w:styleId="53">
    <w:name w:val="Blockquote"/>
    <w:basedOn w:val="1"/>
    <w:qFormat/>
    <w:uiPriority w:val="0"/>
    <w:pPr>
      <w:widowControl w:val="0"/>
      <w:autoSpaceDE w:val="0"/>
      <w:autoSpaceDN w:val="0"/>
      <w:adjustRightInd w:val="0"/>
      <w:spacing w:before="100" w:after="100"/>
      <w:ind w:left="360" w:right="360"/>
    </w:pPr>
    <w:rPr>
      <w:rFonts w:ascii="Times New Roman" w:hAnsi="Times New Roman" w:cs="Times New Roman"/>
      <w:szCs w:val="20"/>
    </w:rPr>
  </w:style>
  <w:style w:type="paragraph" w:customStyle="1" w:styleId="54">
    <w:name w:val="blockquote"/>
    <w:basedOn w:val="1"/>
    <w:qFormat/>
    <w:uiPriority w:val="0"/>
    <w:pPr>
      <w:spacing w:before="100" w:beforeAutospacing="1" w:after="100" w:afterAutospacing="1"/>
    </w:pPr>
  </w:style>
  <w:style w:type="paragraph" w:customStyle="1" w:styleId="55">
    <w:name w:val="Normal_18"/>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97945ca8-f97e-46a3-87cc-88fcb2046c1d</errorID>
      <errorWord>：/</errorWord>
      <group>L1_Punc</group>
      <groupName>标点问题</groupName>
      <ability>L2_Punc</ability>
      <abilityName>标点符号检查</abilityName>
      <candidateList>
        <item>：</item>
      </candidateList>
      <explain/>
      <paraID>50429F20</paraID>
      <start>6</start>
      <end>8</end>
      <status>ignored</status>
      <modifiedWord/>
      <trackRevisions>false</trackRevisions>
    </reviewItem>
    <reviewItem>
      <errorID>11bf0585-deec-4bff-b3b8-a9ee84aa5872</errorID>
      <errorWord>：/</errorWord>
      <group>L1_Punc</group>
      <groupName>标点问题</groupName>
      <ability>L2_Punc</ability>
      <abilityName>标点符号检查</abilityName>
      <candidateList>
        <item>：</item>
      </candidateList>
      <explain/>
      <paraID>668F4521</paraID>
      <start>8</start>
      <end>10</end>
      <status>ignored</status>
      <modifiedWord/>
      <trackRevisions>false</trackRevisions>
    </reviewItem>
    <reviewItem>
      <errorID>98454c2f-3576-46be-aba1-ab07b1eeace5</errorID>
      <errorWord>：/</errorWord>
      <group>L1_Punc</group>
      <groupName>标点问题</groupName>
      <ability>L2_Punc</ability>
      <abilityName>标点符号检查</abilityName>
      <candidateList>
        <item>：</item>
      </candidateList>
      <explain/>
      <paraID>7A5D5EB2</paraID>
      <start>2</start>
      <end>4</end>
      <status>ignored</status>
      <modifiedWord/>
      <trackRevisions>false</trackRevisions>
    </reviewItem>
    <reviewItem>
      <errorID>d30f698e-eed4-4af2-8cad-4cfb6292d210</errorID>
      <errorWord>只</errorWord>
      <group>L1_AI</group>
      <groupName>深度校对</groupName>
      <ability>L2_AI_Punc</ability>
      <abilityName>标点纠错</abilityName>
      <candidateList>
        <item>，只</item>
      </candidateList>
      <explain/>
      <paraID>2A0BA560</paraID>
      <start>127</start>
      <end>128</end>
      <status>ignored</status>
      <modifiedWord/>
      <trackRevisions>false</trackRevisions>
    </reviewItem>
    <reviewItem>
      <errorID>0aed4a7e-ee28-46e5-85c5-8d13505bc00e</errorID>
      <errorWord>并未</errorWord>
      <group>L1_AI</group>
      <groupName>深度校对</groupName>
      <ability>L2_AI_Punc</ability>
      <abilityName>标点纠错</abilityName>
      <candidateList>
        <item>，并未</item>
      </candidateList>
      <explain/>
      <paraID>47991EDA</paraID>
      <start>20</start>
      <end>22</end>
      <status>ignored</status>
      <modifiedWord/>
      <trackRevisions>false</trackRevisions>
    </reviewItem>
    <reviewItem>
      <errorID>c41d695f-f912-4732-9237-4a16f5956bb0</errorID>
      <errorWord>包括了</errorWord>
      <group>L1_Word</group>
      <groupName>字词问题</groupName>
      <ability>L2_Typo</ability>
      <abilityName>字词错误</abilityName>
      <candidateList>
        <item>包括</item>
      </candidateList>
      <explain/>
      <paraID>78430506</paraID>
      <start>15</start>
      <end>18</end>
      <status>ignored</status>
      <modifiedWord/>
      <trackRevisions>false</trackRevisions>
    </reviewItem>
    <reviewItem>
      <errorID>9efeda1c-97a5-4914-ba03-bd9819c8b0f2</errorID>
      <errorWord>涉及到</errorWord>
      <group>L1_Grammar</group>
      <groupName>语法问题</groupName>
      <ability>L2_Grammar</ability>
      <abilityName>语法错误</abilityName>
      <candidateList>
        <item>涉及</item>
      </candidateList>
      <explain>〈动〉牵涉到；关联到：案子～好几个人｜这个问题～面很广。</explain>
      <paraID>4FBF0C37</paraID>
      <start>29</start>
      <end>32</end>
      <status>ignored</status>
      <modifiedWord/>
      <trackRevisions>false</trackRevisions>
    </reviewItem>
    <reviewItem>
      <errorID>91dd9bad-6c71-4595-9277-2c99c7c11f15</errorID>
      <errorWord>法律、法规</errorWord>
      <group>L1_Word</group>
      <groupName>字词问题</groupName>
      <ability>L2_Typo</ability>
      <abilityName>字词错误</abilityName>
      <candidateList>
        <item>法律法规</item>
      </candidateList>
      <explain/>
      <paraID>7BA77D3C</paraID>
      <start>38</start>
      <end>43</end>
      <status>ignored</status>
      <modifiedWord/>
      <trackRevisions>false</trackRevisions>
    </reviewItem>
    <reviewItem>
      <errorID>f039e9fb-7df4-4330-a3c6-0338212634d2</errorID>
      <errorWord>分</errorWord>
      <group>L1_Word</group>
      <groupName>字词问题</groupName>
      <ability>L2_Typo</ability>
      <abilityName>字词错误</abilityName>
      <candidateList>
        <item>分为</item>
      </candidateList>
      <explain/>
      <paraID>738BE940</paraID>
      <start>8</start>
      <end>9</end>
      <status>ignored</status>
      <modifiedWord/>
      <trackRevisions>false</trackRevisions>
    </reviewItem>
    <reviewItem>
      <errorID>947077ee-7d2a-425a-be04-9773e7235062</errorID>
      <errorWord>总额</errorWord>
      <group>L1_Word</group>
      <groupName>字词问题</groupName>
      <ability>L2_Typo</ability>
      <abilityName>字词错误</abilityName>
      <candidateList>
        <item>总</item>
      </candidateList>
      <explain/>
      <paraID>151089C1</paraID>
      <start>76</start>
      <end>78</end>
      <status>ignored</status>
      <modifiedWord/>
      <trackRevisions>false</trackRevisions>
    </reviewItem>
    <reviewItem>
      <errorID>6f884e14-ba21-485d-bffd-60c8c0f0a550</errorID>
      <errorWord>操作合</errorWord>
      <group>L1_Word</group>
      <groupName>字词问题</groupName>
      <ability>L2_Typo</ability>
      <abilityName>字词错误</abilityName>
      <candidateList>
        <item>操作台</item>
      </candidateList>
      <explain/>
      <paraID>389C2379</paraID>
      <start>9</start>
      <end>12</end>
      <status>ignored</status>
      <modifiedWord/>
      <trackRevisions>false</trackRevisions>
    </reviewItem>
    <reviewItem>
      <errorID>26aa9343-fa52-4964-9c12-9ef4722641ea</errorID>
      <errorWord>，</errorWord>
      <group>L1_Word</group>
      <groupName>字词问题</groupName>
      <ability>L2_Typo</ability>
      <abilityName>字词错误</abilityName>
      <candidateList>
        <item>，在</item>
      </candidateList>
      <explain/>
      <paraID>19287E5F</paraID>
      <start>36</start>
      <end>37</end>
      <status>ignored</status>
      <modifiedWord/>
      <trackRevisions>false</trackRevisions>
    </reviewItem>
    <reviewItem>
      <errorID>941d56f3-93a0-4b3b-ba9f-c0f54b96e256</errorID>
      <errorWord>间</errorWord>
      <group>L1_Word</group>
      <groupName>字词问题</groupName>
      <ability>L2_Typo</ability>
      <abilityName>字词错误</abilityName>
      <candidateList>
        <item>间之</item>
      </candidateList>
      <explain/>
      <paraID>379BC232</paraID>
      <start>14</start>
      <end>15</end>
      <status>ignored</status>
      <modifiedWord/>
      <trackRevisions>false</trackRevisions>
    </reviewItem>
    <reviewItem>
      <errorID>cc18426a-a155-46b4-88bf-09b43da673be</errorID>
      <errorWord>做出</errorWord>
      <group>L1_Word</group>
      <groupName>字词问题</groupName>
      <ability>L2_Typo</ability>
      <abilityName>字词错误</abilityName>
      <candidateList>
        <item>作出</item>
      </candidateList>
      <explain/>
      <paraID>22374BFF</paraID>
      <start>64</start>
      <end>66</end>
      <status>ignored</status>
      <modifiedWord/>
      <trackRevisions>false</trackRevisions>
    </reviewItem>
    <reviewItem>
      <errorID>fda897d2-bbd3-49d3-b58f-687599b08f01</errorID>
      <errorWord>须</errorWord>
      <group>L1_Word</group>
      <groupName>字词问题</groupName>
      <ability>L2_Typo</ability>
      <abilityName>字词错误</abilityName>
      <candidateList>
        <item>需</item>
      </candidateList>
      <explain>存在发音相同字词的误用。</explain>
      <paraID>143CF621</paraID>
      <start>78</start>
      <end>79</end>
      <status>ignored</status>
      <modifiedWord/>
      <trackRevisions>false</trackRevisions>
    </reviewItem>
    <reviewItem>
      <errorID>b990632e-462c-4c57-b850-60d2301c609e</errorID>
      <errorWord>国家有关的</errorWord>
      <group>L1_Word</group>
      <groupName>字词问题</groupName>
      <ability>L2_Typo</ability>
      <abilityName>字词错误</abilityName>
      <candidateList>
        <item>国家有关</item>
      </candidateList>
      <explain/>
      <paraID>1C00658C</paraID>
      <start>20</start>
      <end>25</end>
      <status>ignored</status>
      <modifiedWord/>
      <trackRevisions>false</trackRevisions>
    </reviewItem>
    <reviewItem>
      <errorID>b9615222-9b0c-40d7-8e69-6d9b12fe5a5d</errorID>
      <errorWord>)</errorWord>
      <group>L1_Format</group>
      <groupName>格式问题</groupName>
      <ability>L2_HalfPunc</ability>
      <abilityName>全半角检查</abilityName>
      <candidateList>
        <item>）</item>
      </candidateList>
      <explain>文本全半角错误。</explain>
      <paraID>45A2712E</paraID>
      <start>49</start>
      <end>50</end>
      <status>modified</status>
      <modifiedWord>）</modifiedWord>
      <trackRevisions>false</trackRevisions>
    </reviewItem>
    <reviewItem>
      <errorID>5346002c-eb1c-49b7-8733-42383f1f757d</errorID>
      <errorWord>)</errorWord>
      <group>L1_Format</group>
      <groupName>格式问题</groupName>
      <ability>L2_HalfPunc</ability>
      <abilityName>全半角检查</abilityName>
      <candidateList>
        <item>）</item>
      </candidateList>
      <explain>文本全半角错误。</explain>
      <paraID>45A2712E</paraID>
      <start>74</start>
      <end>75</end>
      <status>modified</status>
      <modifiedWord>）</modifiedWord>
      <trackRevisions>false</trackRevisions>
    </reviewItem>
    <reviewItem>
      <errorID>025e25ef-d256-4741-9b55-76390d64c395</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41544B77</paraID>
      <start>19</start>
      <end>21</end>
      <status>ignored</status>
      <modifiedWord/>
      <trackRevisions>false</trackRevisions>
    </reviewItem>
    <reviewItem>
      <errorID>20cbc730-e2e9-4d68-b135-366260daec93</errorID>
      <errorWord>法律、法规</errorWord>
      <group>L1_Word</group>
      <groupName>字词问题</groupName>
      <ability>L2_Typo</ability>
      <abilityName>字词错误</abilityName>
      <candidateList>
        <item>法律法规</item>
      </candidateList>
      <explain/>
      <paraID>4117E9D1</paraID>
      <start>3</start>
      <end>8</end>
      <status>ignored</status>
      <modifiedWord/>
      <trackRevisions>false</trackRevisions>
    </reviewItem>
    <reviewItem>
      <errorID>185bc439-f1bd-47bf-af5e-fab8eed138fc</errorID>
      <errorWord>做</errorWord>
      <group>L1_Word</group>
      <groupName>字词问题</groupName>
      <ability>L2_Typo</ability>
      <abilityName>字词错误</abilityName>
      <candidateList>
        <item>作</item>
      </candidateList>
      <explain>存在发音相同字词的误用。</explain>
      <paraID>69B5E1A3</paraID>
      <start>49</start>
      <end>50</end>
      <status>ignored</status>
      <modifiedWord/>
      <trackRevisions>false</trackRevisions>
    </reviewItem>
    <reviewItem>
      <errorID>1ea0ebac-61e3-4a29-986c-84295b2e9c4d</errorID>
      <errorWord>，</errorWord>
      <group>L1_Word</group>
      <groupName>字词问题</groupName>
      <ability>L2_Typo</ability>
      <abilityName>字词错误</abilityName>
      <candidateList>
        <item>，并</item>
      </candidateList>
      <explain/>
      <paraID>16AB3BB1</paraID>
      <start>63</start>
      <end>64</end>
      <status>ignored</status>
      <modifiedWord/>
      <trackRevisions>false</trackRevisions>
    </reviewItem>
    <reviewItem>
      <errorID>0fb30dd7-73b9-42b4-a232-ef10ef2247ee</errorID>
      <errorWord>:</errorWord>
      <group>L1_Format</group>
      <groupName>格式问题</groupName>
      <ability>L2_HalfPunc</ability>
      <abilityName>全半角检查</abilityName>
      <candidateList>
        <item>：</item>
      </candidateList>
      <explain>文本全半角错误。</explain>
      <paraID>23114804</paraID>
      <start>5</start>
      <end>6</end>
      <status>modified</status>
      <modifiedWord>：</modifiedWord>
      <trackRevisions>false</trackRevisions>
    </reviewItem>
    <reviewItem>
      <errorID>31e57010-dc7b-4b31-aec4-12eefdc40778</errorID>
      <errorWord>:</errorWord>
      <group>L1_Format</group>
      <groupName>格式问题</groupName>
      <ability>L2_HalfPunc</ability>
      <abilityName>全半角检查</abilityName>
      <candidateList>
        <item>：</item>
      </candidateList>
      <explain>文本全半角错误。</explain>
      <paraID>3EA84F25</paraID>
      <start>5</start>
      <end>6</end>
      <status>modified</status>
      <modifiedWord>：</modifiedWord>
      <trackRevisions>false</trackRevisions>
    </reviewItem>
    <reviewItem>
      <errorID>a7249dcd-1be3-4db5-a8fd-7b1973f2816b</errorID>
      <errorWord>自控</errorWord>
      <group>L1_Word</group>
      <groupName>字词问题</groupName>
      <ability>L2_Typo</ability>
      <abilityName>字词错误</abilityName>
      <candidateList>
        <item>质控</item>
      </candidateList>
      <explain>存在发音相近字词的误用。</explain>
      <paraID>5A705307</paraID>
      <start>59</start>
      <end>61</end>
      <status>ignored</status>
      <modifiedWord/>
      <trackRevisions>false</trackRevisions>
    </reviewItem>
    <reviewItem>
      <errorID>1c50dbdb-8f75-462c-9021-d546e18c351d</errorID>
      <errorWord>自控</errorWord>
      <group>L1_Word</group>
      <groupName>字词问题</groupName>
      <ability>L2_Typo</ability>
      <abilityName>字词错误</abilityName>
      <candidateList>
        <item>质控</item>
      </candidateList>
      <explain>存在发音相近字词的误用。</explain>
      <paraID>32E0E135</paraID>
      <start>54</start>
      <end>56</end>
      <status>ignored</status>
      <modifiedWord/>
      <trackRevisions>false</trackRevisions>
    </reviewItem>
    <reviewItem>
      <errorID>68abb8ee-dc68-4e1f-85b4-77ff4617db9b</errorID>
      <errorWord>自控</errorWord>
      <group>L1_Word</group>
      <groupName>字词问题</groupName>
      <ability>L2_Typo</ability>
      <abilityName>字词错误</abilityName>
      <candidateList>
        <item>质控</item>
      </candidateList>
      <explain>存在发音相近字词的误用。</explain>
      <paraID>248288FC</paraID>
      <start>56</start>
      <end>58</end>
      <status>ignored</status>
      <modifiedWord/>
      <trackRevisions>false</trackRevisions>
    </reviewItem>
    <reviewItem>
      <errorID>00a4635b-0530-4e7f-bd5e-25391ea269e0</errorID>
      <errorWord>，</errorWord>
      <group>L1_Word</group>
      <groupName>字词问题</groupName>
      <ability>L2_Typo</ability>
      <abilityName>字词错误</abilityName>
      <candidateList>
        <item>，具</item>
      </candidateList>
      <explain/>
      <paraID>383B88BE</paraID>
      <start>15</start>
      <end>16</end>
      <status>ignored</status>
      <modifiedWord/>
      <trackRevisions>false</trackRevisions>
    </reviewItem>
    <reviewItem>
      <errorID>835d210b-15a4-44f6-9ae2-0542b5735500</errorID>
      <errorWord>，</errorWord>
      <group>L1_Word</group>
      <groupName>字词问题</groupName>
      <ability>L2_Typo</ability>
      <abilityName>字词错误</abilityName>
      <candidateList>
        <item>，具</item>
      </candidateList>
      <explain/>
      <paraID>383B88BE</paraID>
      <start>69</start>
      <end>70</end>
      <status>ignored</status>
      <modifiedWord/>
      <trackRevisions>false</trackRevisions>
    </reviewItem>
    <reviewItem>
      <errorID>9a4d91fc-7fe9-43e5-aebe-a45be2c7905c</errorID>
      <errorWord>，</errorWord>
      <group>L1_Word</group>
      <groupName>字词问题</groupName>
      <ability>L2_Typo</ability>
      <abilityName>字词错误</abilityName>
      <candidateList>
        <item>，具</item>
      </candidateList>
      <explain/>
      <paraID>173244CD</paraID>
      <start>15</start>
      <end>16</end>
      <status>ignored</status>
      <modifiedWord/>
      <trackRevisions>false</trackRevisions>
    </reviewItem>
    <reviewItem>
      <errorID>d5215f56-63ec-4ef2-9833-951db8fe08de</errorID>
      <errorWord>股东大会</errorWord>
      <group>L1_Word</group>
      <groupName>字词问题</groupName>
      <ability>L2_Typo</ability>
      <abilityName>字词错误</abilityName>
      <candidateList>
        <item>股东会</item>
      </candidateList>
      <explain/>
      <paraID>7EE035C7</paraID>
      <start>113</start>
      <end>117</end>
      <status>ignored</status>
      <modifiedWord/>
      <trackRevisions>false</trackRevisions>
    </reviewItem>
    <reviewItem>
      <errorID>94627da2-7231-44a3-9a5f-95ff2cf923e9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7035C9DC</paraID>
      <start>0</start>
      <end>2</end>
      <status>ignored</status>
      <modifiedWord/>
      <trackRevisions>false</trackRevisions>
    </reviewItem>
    <reviewItem>
      <errorID>58cc8b89-4166-40cc-91a7-eeb7d6aba3ee</errorID>
      <errorWord>(</errorWord>
      <group>L1_Format</group>
      <groupName>格式问题</groupName>
      <ability>L2_HalfPunc</ability>
      <abilityName>全半角检查</abilityName>
      <candidateList>
        <item>（</item>
      </candidateList>
      <explain>文本全半角错误。</explain>
      <paraID>7035C9DC</paraID>
      <start>74</start>
      <end>75</end>
      <status>modified</status>
      <modifiedWord>（</modifiedWord>
      <trackRevisions>false</trackRevisions>
    </reviewItem>
    <reviewItem>
      <errorID>62b2090a-ead0-4b60-9d27-0f2b874c4012</errorID>
      <errorWord>(</errorWord>
      <group>L1_Format</group>
      <groupName>格式问题</groupName>
      <ability>L2_HalfPunc</ability>
      <abilityName>全半角检查</abilityName>
      <candidateList>
        <item>（</item>
      </candidateList>
      <explain>文本全半角错误。</explain>
      <paraID>7035C9DC</paraID>
      <start>91</start>
      <end>92</end>
      <status>modified</status>
      <modifiedWord>（</modifiedWord>
      <trackRevisions>false</trackRevisions>
    </reviewItem>
    <reviewItem>
      <errorID>54056e15-d5a3-44f5-8dac-2c90f26f8f06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64C204C</paraID>
      <start>0</start>
      <end>2</end>
      <status>ignored</status>
      <modifiedWord/>
      <trackRevisions>false</trackRevisions>
    </reviewItem>
    <reviewItem>
      <errorID>227ceb4d-7657-41ba-9635-9f26fd2ef058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7EBFC30A</paraID>
      <start>0</start>
      <end>2</end>
      <status>ignored</status>
      <modifiedWord/>
      <trackRevisions>false</trackRevisions>
    </reviewItem>
    <reviewItem>
      <errorID>f06542b0-4a9e-4a8e-9dec-a06be55c98ef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10A5D896</paraID>
      <start>0</start>
      <end>2</end>
      <status>ignored</status>
      <modifiedWord/>
      <trackRevisions>false</trackRevisions>
    </reviewItem>
    <reviewItem>
      <errorID>aa3c8f77-84c1-40d6-9283-d70e941ea1fd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363D7C6D</paraID>
      <start>0</start>
      <end>2</end>
      <status>ignored</status>
      <modifiedWord/>
      <trackRevisions>false</trackRevisions>
    </reviewItem>
    <reviewItem>
      <errorID>fda58422-39fa-4376-beb9-abc33ec2334f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7D79B6</paraID>
      <start>0</start>
      <end>2</end>
      <status>ignored</status>
      <modifiedWord/>
      <trackRevisions>false</trackRevisions>
    </reviewItem>
    <reviewItem>
      <errorID>76bd1db8-f07f-4fa0-b1ef-e0b2755cdec9</errorID>
      <errorWord>《</errorWord>
      <group>L1_Punc</group>
      <groupName>标点问题</groupName>
      <ability>L2_Punc</ability>
      <abilityName>标点符号检查</abilityName>
      <candidateList/>
      <explain>同一形式括号套用。</explain>
      <paraID>66CDD073</paraID>
      <start>34</start>
      <end>35</end>
      <status>ignored</status>
      <modifiedWord/>
      <trackRevisions>false</trackRevisions>
    </reviewItem>
    <reviewItem>
      <errorID>74d9c087-dc4b-4186-a4da-6b7157cdf2ea</errorID>
      <errorWord>》</errorWord>
      <group>L1_Punc</group>
      <groupName>标点问题</groupName>
      <ability>L2_Punc</ability>
      <abilityName>标点符号检查</abilityName>
      <candidateList/>
      <explain>同一形式括号套用。</explain>
      <paraID>66CDD073</paraID>
      <start>47</start>
      <end>48</end>
      <status>ignored</status>
      <modifiedWord/>
      <trackRevisions>false</trackRevisions>
    </reviewItem>
    <reviewItem>
      <errorID>6d259457-2d76-499f-ade0-fead79000e8c</errorID>
      <errorWord>提出质疑</errorWord>
      <group>L1_Grammar</group>
      <groupName>语法问题</groupName>
      <ability>L2_Grammar</ability>
      <abilityName>语法错误</abilityName>
      <candidateList>
        <item>质疑</item>
      </candidateList>
      <explain>〈动〉提出疑问：～问难。</explain>
      <paraID> 6059C86</paraID>
      <start>53</start>
      <end>57</end>
      <status>ignored</status>
      <modifiedWord/>
      <trackRevisions>false</trackRevisions>
    </reviewItem>
    <reviewItem>
      <errorID>ce3b4e95-0056-41d8-b513-01d62efbcd1e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7C8E9686</paraID>
      <start>0</start>
      <end>2</end>
      <status>ignored</status>
      <modifiedWord/>
      <trackRevisions>false</trackRevisions>
    </reviewItem>
    <reviewItem>
      <errorID>b4f8a778-5d67-4488-8feb-f3f81fe02043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61A04903</paraID>
      <start>0</start>
      <end>2</end>
      <status>ignored</status>
      <modifiedWord/>
      <trackRevisions>false</trackRevisions>
    </reviewItem>
    <reviewItem>
      <errorID>c5e2a15e-b0cc-467e-b485-5a164d30cf75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27156A00</paraID>
      <start>0</start>
      <end>2</end>
      <status>ignored</status>
      <modifiedWord/>
      <trackRevisions>false</trackRevisions>
    </reviewItem>
    <reviewItem>
      <errorID>ecd2205b-2cf9-49c4-9cf2-b5bdfce255cc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360171E</paraID>
      <start>0</start>
      <end>2</end>
      <status>ignored</status>
      <modifiedWord/>
      <trackRevisions>false</trackRevisions>
    </reviewItem>
    <reviewItem>
      <errorID>22ac643a-6463-4732-bf64-30c8164a4360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2FB8235E</paraID>
      <start>0</start>
      <end>2</end>
      <status>ignored</status>
      <modifiedWord/>
      <trackRevisions>false</trackRevisions>
    </reviewItem>
    <reviewItem>
      <errorID>1870e0d0-ffb6-49a1-a24a-cde3eceadf0f</errorID>
      <errorWord>肆份</errorWord>
      <group>L1_Word</group>
      <groupName>字词问题</groupName>
      <ability>L2_Typo</ability>
      <abilityName>字词错误</abilityName>
      <candidateList>
        <item>四份</item>
      </candidateList>
      <explain>存在发音相同字词的误用。</explain>
      <paraID>77BB17BD</paraID>
      <start>5</start>
      <end>7</end>
      <status>unmodified</status>
      <modifiedWord/>
      <trackRevisions>false</trackRevisions>
    </reviewItem>
    <reviewItem>
      <errorID>dccd0216-bb80-4430-8557-52267c866c51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75AB7F6B</paraID>
      <start>2</start>
      <end>4</end>
      <status>ignored</status>
      <modifiedWord/>
      <trackRevisions>false</trackRevisions>
    </reviewItem>
    <reviewItem>
      <errorID>30c2f601-bc1d-4dfc-bf7f-a7465dcaf1e6</errorID>
      <errorWord>通用</errorWord>
      <group>L1_Word</group>
      <groupName>字词问题</groupName>
      <ability>L2_Typo</ability>
      <abilityName>字词错误</abilityName>
      <candidateList>
        <item>适用</item>
      </candidateList>
      <explain>〈形〉适合使用：这套耕作方法，在我们这个地区也完全～。</explain>
      <paraID>444A60EC</paraID>
      <start>37</start>
      <end>39</end>
      <status>ignored</status>
      <modifiedWord/>
      <trackRevisions>false</trackRevisions>
    </reviewItem>
    <reviewItem>
      <errorID>52a6afa3-9184-4e92-935b-84992d767763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34A0EBFB</paraID>
      <start>2</start>
      <end>4</end>
      <status>ignored</status>
      <modifiedWord/>
      <trackRevisions>false</trackRevisions>
    </reviewItem>
    <reviewItem>
      <errorID>195b85aa-29b5-42b9-81d7-8b0c02a17d99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14AEEE9D</paraID>
      <start>0</start>
      <end>2</end>
      <status>ignored</status>
      <modifiedWord/>
      <trackRevisions>false</trackRevisions>
    </reviewItem>
    <reviewItem>
      <errorID>1faf1e79-e126-40d7-81c5-f6a5a5304b1b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67E054C0</paraID>
      <start>0</start>
      <end>2</end>
      <status>ignored</status>
      <modifiedWord/>
      <trackRevisions>false</trackRevisions>
    </reviewItem>
    <reviewItem>
      <errorID>87ff92a3-d658-4f96-8123-7b3d96733477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12A2FF17</paraID>
      <start>0</start>
      <end>2</end>
      <status>ignored</status>
      <modifiedWord/>
      <trackRevisions>false</trackRevisions>
    </reviewItem>
    <reviewItem>
      <errorID>fca1e5bd-5d25-4978-9932-bd8069cfb002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6C7E90CC</paraID>
      <start>0</start>
      <end>2</end>
      <status>ignored</status>
      <modifiedWord/>
      <trackRevisions>false</trackRevisions>
    </reviewItem>
    <reviewItem>
      <errorID>e219fe29-27e4-409e-8148-349f1f02262a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2CDF27D3</paraID>
      <start>0</start>
      <end>2</end>
      <status>ignored</status>
      <modifiedWord/>
      <trackRevisions>false</trackRevisions>
    </reviewItem>
    <reviewItem>
      <errorID>93d14afa-b351-4660-b44f-6e4e670eb0a0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1469A454</paraID>
      <start>0</start>
      <end>2</end>
      <status>ignored</status>
      <modifiedWord/>
      <trackRevisions>false</trackRevisions>
    </reviewItem>
    <reviewItem>
      <errorID>263b8627-213e-4072-91dc-44e43bfc42dd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1ED9FB4B</paraID>
      <start>0</start>
      <end>2</end>
      <status>unmodified</status>
      <modifiedWord/>
      <trackRevisions>false</trackRevisions>
    </reviewItem>
    <reviewItem>
      <errorID>54299cd0-5313-4a44-8db6-e7c57722a467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507F6B81</paraID>
      <start>0</start>
      <end>2</end>
      <status>unmodified</status>
      <modifiedWord/>
      <trackRevisions>false</trackRevisions>
    </reviewItem>
    <reviewItem>
      <errorID>20343688-dd6b-45bf-8b69-2c1440b443d6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308F1F86</paraID>
      <start>0</start>
      <end>2</end>
      <status>unmodified</status>
      <modifiedWord/>
      <trackRevisions>false</trackRevisions>
    </reviewItem>
    <reviewItem>
      <errorID>3246e0fb-5af4-4755-8a6c-3bfd6418c5a7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4B8B1637</paraID>
      <start>2</start>
      <end>4</end>
      <status>unmodified</status>
      <modifiedWord/>
      <trackRevisions>false</trackRevisions>
    </reviewItem>
    <reviewItem>
      <errorID>0de290e3-59fe-4570-92b7-737fb82ec972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168C3223</paraID>
      <start>2</start>
      <end>4</end>
      <status>unmodified</status>
      <modifiedWord/>
      <trackRevisions>false</trackRevisions>
    </reviewItem>
    <reviewItem>
      <errorID>2f46f8c9-e018-46d7-9c43-3fff0c1178a3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753ABBB8</paraID>
      <start>2</start>
      <end>4</end>
      <status>unmodified</status>
      <modifiedWord/>
      <trackRevisions>false</trackRevisions>
    </reviewItem>
    <reviewItem>
      <errorID>cc6469d4-50e1-42dc-ba00-cd260000b503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54E0FCAD</paraID>
      <start>2</start>
      <end>4</end>
      <status>unmodified</status>
      <modifiedWord/>
      <trackRevisions>false</trackRevisions>
    </reviewItem>
    <reviewItem>
      <errorID>248767ae-b6e7-4533-81a2-1041176050ed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144AF8B1</paraID>
      <start>2</start>
      <end>4</end>
      <status>ignored</status>
      <modifiedWord/>
      <trackRevisions>false</trackRevisions>
    </reviewItem>
    <reviewItem>
      <errorID>4251962f-422e-46c6-a484-55b3ba5b35de</errorID>
      <errorWord>作出的</errorWord>
      <group>L1_Word</group>
      <groupName>字词问题</groupName>
      <ability>L2_Typo</ability>
      <abilityName>字词错误</abilityName>
      <candidateList>
        <item>作出</item>
      </candidateList>
      <explain/>
      <paraID> 3919071</paraID>
      <start>113</start>
      <end>116</end>
      <status>ignored</status>
      <modifiedWord/>
      <trackRevisions>false</trackRevisions>
    </reviewItem>
    <reviewItem>
      <errorID>0980e80f-f074-4f99-ad92-6654c9163e4a</errorID>
      <errorWord>工程师的</errorWord>
      <group>L1_Word</group>
      <groupName>字词问题</groupName>
      <ability>L2_Typo</ability>
      <abilityName>字词错误</abilityName>
      <candidateList>
        <item>工程师</item>
      </candidateList>
      <explain/>
      <paraID>1EDA574A</paraID>
      <start>21</start>
      <end>25</end>
      <status>ignored</status>
      <modifiedWord/>
      <trackRevisions>false</trackRevisions>
    </reviewItem>
    <reviewItem>
      <errorID>bc63d69f-c940-447a-bd7e-d0e2c7182dfd</errorID>
      <errorWord>格</errorWord>
      <group>L1_Word</group>
      <groupName>字词问题</groupName>
      <ability>L2_Typo</ability>
      <abilityName>字词错误</abilityName>
      <candidateList>
        <item>格后</item>
      </candidateList>
      <explain/>
      <paraID>273938FB</paraID>
      <start>62</start>
      <end>63</end>
      <status>ignored</status>
      <modifiedWord/>
      <trackRevisions>false</trackRevisions>
    </reviewItem>
    <reviewItem>
      <errorID>b9867ecf-9d47-442b-9ff7-e5a07890c1ea</errorID>
      <errorWord>，</errorWord>
      <group>L1_Word</group>
      <groupName>字词问题</groupName>
      <ability>L2_Typo</ability>
      <abilityName>字词错误</abilityName>
      <candidateList>
        <item>，由</item>
      </candidateList>
      <explain/>
      <paraID>385F158D</paraID>
      <start>104</start>
      <end>105</end>
      <status>ignored</status>
      <modifiedWord/>
      <trackRevisions>false</trackRevisions>
    </reviewItem>
    <reviewItem>
      <errorID>f8a305fe-d0df-4be9-bdd6-fb78a780c9c7</errorID>
      <errorWord>下</errorWord>
      <group>L1_Word</group>
      <groupName>字词问题</groupName>
      <ability>L2_Typo</ability>
      <abilityName>字词错误</abilityName>
      <candidateList>
        <item>下简</item>
      </candidateList>
      <explain/>
      <paraID>76DE4767</paraID>
      <start>62</start>
      <end>63</end>
      <status>ignored</status>
      <modifiedWord/>
      <trackRevisions>false</trackRevisions>
    </reviewItem>
    <reviewItem>
      <errorID>9197e708-9e6a-4103-889d-aec450135409</errorID>
      <errorWord>应付款</errorWord>
      <group>L1_Word</group>
      <groupName>字词问题</groupName>
      <ability>L2_Typo</ability>
      <abilityName>字词错误</abilityName>
      <candidateList>
        <item>应付</item>
      </candidateList>
      <explain/>
      <paraID>502A9DF9</paraID>
      <start>123</start>
      <end>126</end>
      <status>ignored</status>
      <modifiedWord/>
      <trackRevisions>false</trackRevisions>
    </reviewItem>
    <reviewItem>
      <errorID>c203c0fa-2b0d-4e9d-964d-85da9a1e5958</errorID>
      <errorWord>，</errorWord>
      <group>L1_Word</group>
      <groupName>字词问题</groupName>
      <ability>L2_Typo</ability>
      <abilityName>字词错误</abilityName>
      <candidateList>
        <item>，由</item>
      </candidateList>
      <explain/>
      <paraID>2B850E5B</paraID>
      <start>50</start>
      <end>51</end>
      <status>ignored</status>
      <modifiedWord/>
      <trackRevisions>false</trackRevisions>
    </reviewItem>
    <reviewItem>
      <errorID>1d5a91ac-6486-4238-a709-f689870ad3d4</errorID>
      <errorWord>涉及到</errorWord>
      <group>L1_Grammar</group>
      <groupName>语法问题</groupName>
      <ability>L2_Grammar</ability>
      <abilityName>语法错误</abilityName>
      <candidateList>
        <item>涉及</item>
      </candidateList>
      <explain>〈动〉牵涉到；关联到：案子～好几个人｜这个问题～面很广。</explain>
      <paraID>7A5E5134</paraID>
      <start>21</start>
      <end>24</end>
      <status>ignored</status>
      <modifiedWord/>
      <trackRevisions>false</trackRevisions>
    </reviewItem>
    <reviewItem>
      <errorID>3f66218f-56e4-4817-8287-af7537532bf4</errorID>
      <errorWord>人</errorWord>
      <group>L1_Word</group>
      <groupName>字词问题</groupName>
      <ability>L2_Typo</ability>
      <abilityName>字词错误</abilityName>
      <candidateList>
        <item>人与</item>
      </candidateList>
      <explain/>
      <paraID>38D87F3D</paraID>
      <start>32</start>
      <end>33</end>
      <status>ignored</status>
      <modifiedWord/>
      <trackRevisions>false</trackRevisions>
    </reviewItem>
    <reviewItem>
      <errorID>d837051d-7636-4f7f-8bf4-03a87096a725</errorID>
      <errorWord>完</errorWord>
      <group>L1_Word</group>
      <groupName>字词问题</groupName>
      <ability>L2_Typo</ability>
      <abilityName>字词错误</abilityName>
      <candidateList>
        <item>完成</item>
      </candidateList>
      <explain>〈动〉按照预期的目的结束；做成：～任务｜～作业｜计划完得成。</explain>
      <paraID>2A012FDF</paraID>
      <start>44</start>
      <end>45</end>
      <status>ignored</status>
      <modifiedWord/>
      <trackRevisions>false</trackRevisions>
    </reviewItem>
    <reviewItem>
      <errorID>dbf9fc56-2fa2-446e-bf0e-0a50a6ea8204</errorID>
      <errorWord>，</errorWord>
      <group>L1_Word</group>
      <groupName>字词问题</groupName>
      <ability>L2_Typo</ability>
      <abilityName>字词错误</abilityName>
      <candidateList>
        <item>，以</item>
      </candidateList>
      <explain/>
      <paraID>1728A711</paraID>
      <start>97</start>
      <end>98</end>
      <status>ignored</status>
      <modifiedWord/>
      <trackRevisions>false</trackRevisions>
    </reviewItem>
    <reviewItem>
      <errorID>07433086-4363-45fc-94cf-dec1bdea2329</errorID>
      <errorWord>工</errorWord>
      <group>L1_Word</group>
      <groupName>字词问题</groupName>
      <ability>L2_Typo</ability>
      <abilityName>字词错误</abilityName>
      <candidateList>
        <item>工现</item>
      </candidateList>
      <explain/>
      <paraID>13A9E0BA</paraID>
      <start>22</start>
      <end>23</end>
      <status>ignored</status>
      <modifiedWord/>
      <trackRevisions>false</trackRevisions>
    </reviewItem>
    <reviewItem>
      <errorID>c27f30b0-e1ba-4431-83d7-2627e67cf215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26DAE60B</paraID>
      <start>0</start>
      <end>2</end>
      <status>ignored</status>
      <modifiedWord/>
      <trackRevisions>false</trackRevisions>
    </reviewItem>
    <reviewItem>
      <errorID>a7ebe8d9-9e50-449e-9483-de0d24496c57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559E8A90</paraID>
      <start>0</start>
      <end>2</end>
      <status>ignored</status>
      <modifiedWord/>
      <trackRevisions>false</trackRevisions>
    </reviewItem>
    <reviewItem>
      <errorID>844aee99-6eb4-4b2f-94e5-740474a22045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D3E06F0</paraID>
      <start>0</start>
      <end>2</end>
      <status>ignored</status>
      <modifiedWord/>
      <trackRevisions>false</trackRevisions>
    </reviewItem>
    <reviewItem>
      <errorID>e9826ec0-d66f-4f3d-91ab-eadd3ab3686a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4FDC5A22</paraID>
      <start>0</start>
      <end>2</end>
      <status>ignored</status>
      <modifiedWord/>
      <trackRevisions>false</trackRevisions>
    </reviewItem>
    <reviewItem>
      <errorID>e145518b-731e-4b4a-a2d0-c2c6679cd34d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9F84C7C</paraID>
      <start>0</start>
      <end>2</end>
      <status>ignored</status>
      <modifiedWord/>
      <trackRevisions>false</trackRevisions>
    </reviewItem>
    <reviewItem>
      <errorID>f7bb1a42-3a49-4a66-b013-2563f8bdcdca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7479A650</paraID>
      <start>0</start>
      <end>2</end>
      <status>ignored</status>
      <modifiedWord/>
      <trackRevisions>false</trackRevisions>
    </reviewItem>
    <reviewItem>
      <errorID>65852439-0850-4b16-9ed7-898b0a929832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35CF1D02</paraID>
      <start>0</start>
      <end>2</end>
      <status>ignored</status>
      <modifiedWord/>
      <trackRevisions>false</trackRevisions>
    </reviewItem>
    <reviewItem>
      <errorID>76bd840a-c000-43fc-a94f-38e9725b8579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2DAAB7A7</paraID>
      <start>0</start>
      <end>2</end>
      <status>ignored</status>
      <modifiedWord/>
      <trackRevisions>false</trackRevisions>
    </reviewItem>
    <reviewItem>
      <errorID>769751b2-cb3c-4e53-9edf-ffeaa397109f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71DE33C</paraID>
      <start>0</start>
      <end>2</end>
      <status>ignored</status>
      <modifiedWord/>
      <trackRevisions>false</trackRevisions>
    </reviewItem>
    <reviewItem>
      <errorID>1728fd31-8d6d-4d25-8bea-e5548cc8b175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5454ECDB</paraID>
      <start>0</start>
      <end>2</end>
      <status>ignored</status>
      <modifiedWord/>
      <trackRevisions>false</trackRevisions>
    </reviewItem>
    <reviewItem>
      <errorID>d2580854-a429-4d9e-b4fc-827bf9829536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6078B953</paraID>
      <start>0</start>
      <end>2</end>
      <status>ignored</status>
      <modifiedWord/>
      <trackRevisions>false</trackRevisions>
    </reviewItem>
    <reviewItem>
      <errorID>bf1c5fae-3082-4460-8e17-e366f81d2f8b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1FA7349B</paraID>
      <start>0</start>
      <end>2</end>
      <status>ignored</status>
      <modifiedWord/>
      <trackRevisions>false</trackRevisions>
    </reviewItem>
    <reviewItem>
      <errorID>58660793-7677-48a8-a07f-5036da677663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288D90D0</paraID>
      <start>0</start>
      <end>2</end>
      <status>ignored</status>
      <modifiedWord/>
      <trackRevisions>false</trackRevisions>
    </reviewItem>
    <reviewItem>
      <errorID>419d12d9-bafa-4914-b667-9b7000688e7c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6710F09</paraID>
      <start>0</start>
      <end>2</end>
      <status>ignored</status>
      <modifiedWord/>
      <trackRevisions>false</trackRevisions>
    </reviewItem>
    <reviewItem>
      <errorID>1f94f4d3-e132-43ef-8b7f-52f6ec4a10aa</errorID>
      <errorWord>(</errorWord>
      <group>L1_Format</group>
      <groupName>格式问题</groupName>
      <ability>L2_HalfPunc</ability>
      <abilityName>全半角检查</abilityName>
      <candidateList>
        <item>（</item>
      </candidateList>
      <explain>文本全半角错误。</explain>
      <paraID> 6B6EF3D</paraID>
      <start>1</start>
      <end>2</end>
      <status>modified</status>
      <modifiedWord>（</modifiedWord>
      <trackRevisions>false</trackRevisions>
    </reviewItem>
    <reviewItem>
      <errorID>c16180e8-34c6-441d-95b3-d460b88c4ed4</errorID>
      <errorWord>(</errorWord>
      <group>L1_Format</group>
      <groupName>格式问题</groupName>
      <ability>L2_HalfPunc</ability>
      <abilityName>全半角检查</abilityName>
      <candidateList>
        <item>（</item>
      </candidateList>
      <explain>文本全半角错误。</explain>
      <paraID> E2588DD</paraID>
      <start>1</start>
      <end>2</end>
      <status>modified</status>
      <modifiedWord>（</modifiedWord>
      <trackRevisions>false</trackRevisions>
    </reviewItem>
    <reviewItem>
      <errorID>8fcfbcec-54d7-4570-a48f-46f58d7c1207</errorID>
      <errorWord>(</errorWord>
      <group>L1_Format</group>
      <groupName>格式问题</groupName>
      <ability>L2_HalfPunc</ability>
      <abilityName>全半角检查</abilityName>
      <candidateList>
        <item>（</item>
      </candidateList>
      <explain>文本全半角错误。</explain>
      <paraID>7A20041A</paraID>
      <start>2</start>
      <end>3</end>
      <status>modified</status>
      <modifiedWord>（</modifiedWord>
      <trackRevisions>false</trackRevisions>
    </reviewItem>
    <reviewItem>
      <errorID>1a7d3f68-1a73-446a-85e3-bc1c4b63db9f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54E67482</paraID>
      <start>0</start>
      <end>2</end>
      <status>ignored</status>
      <modifiedWord/>
      <trackRevisions>false</trackRevisions>
    </reviewItem>
    <reviewItem>
      <errorID>4708ea8b-b981-47f3-adad-c12812335eb2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439E01D</paraID>
      <start>0</start>
      <end>3</end>
      <status>ignored</status>
      <modifiedWord/>
      <trackRevisions>false</trackRevisions>
    </reviewItem>
    <reviewItem>
      <errorID>a20f6b04-4c53-4081-9bc7-8c69ee557c95</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19A1DE5D</paraID>
      <start>0</start>
      <end>3</end>
      <status>ignored</status>
      <modifiedWord/>
      <trackRevisions>false</trackRevisions>
    </reviewItem>
    <reviewItem>
      <errorID>3809f683-b547-407b-b3af-99add08e5313</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2D508DCF</paraID>
      <start>0</start>
      <end>3</end>
      <status>ignored</status>
      <modifiedWord/>
      <trackRevisions>false</trackRevisions>
    </reviewItem>
    <reviewItem>
      <errorID>29d982cb-26ce-4e0a-978b-67d60bd25612</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71B3E98E</paraID>
      <start>0</start>
      <end>3</end>
      <status>ignored</status>
      <modifiedWord/>
      <trackRevisions>false</trackRevisions>
    </reviewItem>
    <reviewItem>
      <errorID>f064624d-b5ab-49b7-9efd-c6be2b64d86e</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60E7EB03</paraID>
      <start>0</start>
      <end>3</end>
      <status>ignored</status>
      <modifiedWord/>
      <trackRevisions>false</trackRevisions>
    </reviewItem>
    <reviewItem>
      <errorID>85084864-3667-4226-8a03-9b440de0292e</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212139E0</paraID>
      <start>0</start>
      <end>3</end>
      <status>ignored</status>
      <modifiedWord/>
      <trackRevisions>false</trackRevisions>
    </reviewItem>
    <reviewItem>
      <errorID>09ea4461-f9ae-435a-8779-a7fe7a6d1ad7</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7FDBBCD3</paraID>
      <start>0</start>
      <end>3</end>
      <status>ignored</status>
      <modifiedWord/>
      <trackRevisions>false</trackRevisions>
    </reviewItem>
    <reviewItem>
      <errorID>1b46ea9e-98dc-40ad-9b6f-31c80fdde259</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7EE5ABB2</paraID>
      <start>0</start>
      <end>3</end>
      <status>ignored</status>
      <modifiedWord/>
      <trackRevisions>false</trackRevisions>
    </reviewItem>
    <reviewItem>
      <errorID>9fbbf433-90b5-45d8-a17f-bf7d14386c68</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39877C67</paraID>
      <start>0</start>
      <end>3</end>
      <status>ignored</status>
      <modifiedWord/>
      <trackRevisions>false</trackRevisions>
    </reviewItem>
    <reviewItem>
      <errorID>13b7d9a0-2ba0-4df8-9a7a-f76b98efdc34</errorID>
      <errorWord>37、</errorWord>
      <group>L1_Format</group>
      <groupName>格式问题</groupName>
      <ability>L2_Ordinal</ability>
      <abilityName>序号格式</abilityName>
      <candidateList>
        <item>37.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7FA75179</paraID>
      <start>0</start>
      <end>3</end>
      <status>ignored</status>
      <modifiedWord/>
      <trackRevisions>false</trackRevisions>
    </reviewItem>
    <reviewItem>
      <errorID>d3e23d34-6925-4a59-aedc-baa548890f27</errorID>
      <errorWord>38、</errorWord>
      <group>L1_Format</group>
      <groupName>格式问题</groupName>
      <ability>L2_Ordinal</ability>
      <abilityName>序号格式</abilityName>
      <candidateList>
        <item>38.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1A3BE829</paraID>
      <start>0</start>
      <end>3</end>
      <status>ignored</status>
      <modifiedWord/>
      <trackRevisions>false</trackRevisions>
    </reviewItem>
    <reviewItem>
      <errorID>05c5e478-d534-4d6c-9484-295dcdbf7bef</errorID>
      <errorWord>39、</errorWord>
      <group>L1_Format</group>
      <groupName>格式问题</groupName>
      <ability>L2_Ordinal</ability>
      <abilityName>序号格式</abilityName>
      <candidateList>
        <item>39.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41B25B2C</paraID>
      <start>0</start>
      <end>3</end>
      <status>ignored</status>
      <modifiedWord/>
      <trackRevisions>false</trackRevisions>
    </reviewItem>
    <reviewItem>
      <errorID>044a5bfc-b14d-4a94-aecb-bcc793510f17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20F4F3E5</paraID>
      <start>0</start>
      <end>2</end>
      <status>ignored</status>
      <modifiedWord/>
      <trackRevisions>false</trackRevisions>
    </reviewItem>
    <reviewItem>
      <errorID>d47fb118-6581-41e3-b807-a7266eb33b80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4C006117</paraID>
      <start>0</start>
      <end>2</end>
      <status>ignored</status>
      <modifiedWord/>
      <trackRevisions>false</trackRevisions>
    </reviewItem>
    <reviewItem>
      <errorID>63024250-5c35-4dba-aef2-d6c019584ac8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31EDA584</paraID>
      <start>0</start>
      <end>2</end>
      <status>ignored</status>
      <modifiedWord/>
      <trackRevisions>false</trackRevisions>
    </reviewItem>
    <reviewItem>
      <errorID>8e3cdb04-063f-4e38-872b-641d1fc0ea3a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59B914B5</paraID>
      <start>0</start>
      <end>2</end>
      <status>ignored</status>
      <modifiedWord/>
      <trackRevisions>false</trackRevisions>
    </reviewItem>
    <reviewItem>
      <errorID>57c694c7-68b9-420c-86e3-20e2e2b3d038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2471DD71</paraID>
      <start>0</start>
      <end>2</end>
      <status>ignored</status>
      <modifiedWord/>
      <trackRevisions>false</trackRevisions>
    </reviewItem>
    <reviewItem>
      <errorID>95e857b8-36d2-49ea-9f8a-a28720ee2e3e</errorID>
      <errorWord>其它</errorWord>
      <group>L1_Word</group>
      <groupName>字词问题</groupName>
      <ability>L2_Alias</ability>
      <abilityName>也作/曾用词</abilityName>
      <candidateList>
        <item>其他</item>
      </candidateList>
      <explain>词汇[其它]为不规范表述或旧称，其规范书面表述为[其他]。</explain>
      <paraID>2471DD71</paraID>
      <start>2</start>
      <end>4</end>
      <status>ignored</status>
      <modifiedWord/>
      <trackRevisions>false</trackRevisions>
    </reviewItem>
    <reviewItem>
      <errorID>4709ab62-8331-4220-b8da-0f0d6f859cda</errorID>
      <errorWord>40、</errorWord>
      <group>L1_Format</group>
      <groupName>格式问题</groupName>
      <ability>L2_Ordinal</ability>
      <abilityName>序号格式</abilityName>
      <candidateList>
        <item>40.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2E0F1818</paraID>
      <start>0</start>
      <end>3</end>
      <status>ignored</status>
      <modifiedWord/>
      <trackRevisions>false</trackRevisions>
    </reviewItem>
    <reviewItem>
      <errorID>a8c3bb3c-3fc5-47f6-a7e2-d278ba1c6790</errorID>
      <errorWord>41、</errorWord>
      <group>L1_Format</group>
      <groupName>格式问题</groupName>
      <ability>L2_Ordinal</ability>
      <abilityName>序号格式</abilityName>
      <candidateList>
        <item>41.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912C0DF</paraID>
      <start>0</start>
      <end>3</end>
      <status>ignored</status>
      <modifiedWord/>
      <trackRevisions>false</trackRevisions>
    </reviewItem>
    <reviewItem>
      <errorID>6d2d9acb-302e-4d9f-9e41-92eab9007ef4</errorID>
      <errorWord>46、</errorWord>
      <group>L1_Format</group>
      <groupName>格式问题</groupName>
      <ability>L2_Ordinal</ability>
      <abilityName>序号格式</abilityName>
      <candidateList>
        <item>46.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2923C9CF</paraID>
      <start>0</start>
      <end>3</end>
      <status>ignored</status>
      <modifiedWord/>
      <trackRevisions>false</trackRevisions>
    </reviewItem>
    <reviewItem>
      <errorID>b9e5aaaa-2a0f-4337-be78-65801f9ce165</errorID>
      <errorWord>肆</errorWord>
      <group>L1_Word</group>
      <groupName>字词问题</groupName>
      <ability>L2_Typo</ability>
      <abilityName>字词错误</abilityName>
      <candidateList>
        <item>四</item>
      </candidateList>
      <explain>存在发音相同字词的误用。</explain>
      <paraID> D48D8E4</paraID>
      <start>6</start>
      <end>7</end>
      <status>ignored</status>
      <modifiedWord/>
      <trackRevisions>false</trackRevisions>
    </reviewItem>
    <reviewItem>
      <errorID>0edc1677-9957-43de-a71a-01f79de9a52a</errorID>
      <errorWord>47、</errorWord>
      <group>L1_Format</group>
      <groupName>格式问题</groupName>
      <ability>L2_Ordinal</ability>
      <abilityName>序号格式</abilityName>
      <candidateList>
        <item>47.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2596B817</paraID>
      <start>0</start>
      <end>3</end>
      <status>ignored</status>
      <modifiedWord/>
      <trackRevisions>false</trackRevisions>
    </reviewItem>
    <reviewItem>
      <errorID>c403caba-c072-4548-91e2-72ff706496ed</errorID>
      <errorWord>生产的</errorWord>
      <group>L1_Word</group>
      <groupName>字词问题</groupName>
      <ability>L2_Typo</ability>
      <abilityName>字词错误</abilityName>
      <candidateList>
        <item>生产</item>
      </candidateList>
      <explain>〈动〉❶人们使用工具来创造各种生产资料和生活资料：工业～｜发展～｜～出更好的产品。❷生孩子。</explain>
      <paraID>517D83F1</paraID>
      <start>6</start>
      <end>9</end>
      <status>ignored</status>
      <modifiedWord/>
      <trackRevisions>false</trackRevisions>
    </reviewItem>
    <reviewItem>
      <errorID>06c84c82-23ae-42af-b40a-dbdf0a209120</errorID>
      <errorWord>法律、法规</errorWord>
      <group>L1_Word</group>
      <groupName>字词问题</groupName>
      <ability>L2_Typo</ability>
      <abilityName>字词错误</abilityName>
      <candidateList>
        <item>法律法规</item>
      </candidateList>
      <explain/>
      <paraID>4F2BE57E</paraID>
      <start>176</start>
      <end>181</end>
      <status>ignored</status>
      <modifiedWord/>
      <trackRevisions>false</trackRevisions>
    </reviewItem>
    <reviewItem>
      <errorID>12f6718e-6725-4b03-9450-2f0b7e03ce15</errorID>
      <errorWord>法律、法规</errorWord>
      <group>L1_Word</group>
      <groupName>字词问题</groupName>
      <ability>L2_Typo</ability>
      <abilityName>字词错误</abilityName>
      <candidateList>
        <item>法律法规</item>
      </candidateList>
      <explain/>
      <paraID>4F2BE57E</paraID>
      <start>249</start>
      <end>254</end>
      <status>ignored</status>
      <modifiedWord/>
      <trackRevisions>false</trackRevisions>
    </reviewItem>
    <reviewItem>
      <errorID>a7daafca-11fe-48b6-bfeb-23640891081e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793448BA</paraID>
      <start>0</start>
      <end>2</end>
      <status>ignored</status>
      <modifiedWord/>
      <trackRevisions>false</trackRevisions>
    </reviewItem>
    <reviewItem>
      <errorID>a4921d6a-4af5-45dd-ba05-c4d554d573be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66620843</paraID>
      <start>0</start>
      <end>2</end>
      <status>ignored</status>
      <modifiedWord/>
      <trackRevisions>false</trackRevisions>
    </reviewItem>
    <reviewItem>
      <errorID>7a5cae80-00a0-406f-a747-7cf5e9a209ab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1FAD33BD</paraID>
      <start>0</start>
      <end>2</end>
      <status>ignored</status>
      <modifiedWord/>
      <trackRevisions>false</trackRevisions>
    </reviewItem>
    <reviewItem>
      <errorID>3f34e6d6-6659-431e-bd17-5ba02694bed1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3576BBD1</paraID>
      <start>0</start>
      <end>2</end>
      <status>ignored</status>
      <modifiedWord/>
      <trackRevisions>false</trackRevisions>
    </reviewItem>
    <reviewItem>
      <errorID>31407ed9-4425-448e-b27b-4f7ef6a27cff</errorID>
      <errorWord>处予罚款</errorWord>
      <group>L1_Word</group>
      <groupName>字词问题</groupName>
      <ability>L2_Typo</ability>
      <abilityName>字词错误</abilityName>
      <candidateList>
        <item>处以罚款</item>
      </candidateList>
      <explain/>
      <paraID>48999D63</paraID>
      <start>48</start>
      <end>52</end>
      <status>ignored</status>
      <modifiedWord/>
      <trackRevisions>false</trackRevisions>
    </reviewItem>
    <reviewItem>
      <errorID>88618997-22b9-479d-9fe0-a4115c041738</errorID>
      <errorWord>交纳</errorWord>
      <group>L1_Word</group>
      <groupName>字词问题</groupName>
      <ability>L2_Typo</ability>
      <abilityName>字词错误</abilityName>
      <candidateList>
        <item>缴纳</item>
      </candidateList>
      <explain>〈动〉交纳：～税款。</explain>
      <paraID>4493CA47</paraID>
      <start>44</start>
      <end>46</end>
      <status>ignored</status>
      <modifiedWord/>
      <trackRevisions>false</trackRevisions>
    </reviewItem>
    <reviewItem>
      <errorID>7d9a152c-5269-440b-b482-900595c3f92b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634F5A42</paraID>
      <start>0</start>
      <end>2</end>
      <status>ignored</status>
      <modifiedWord/>
      <trackRevisions>false</trackRevisions>
    </reviewItem>
    <reviewItem>
      <errorID>9fa7453a-a46e-4eca-8c1e-4cd96b9885bc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69E30D49</paraID>
      <start>0</start>
      <end>2</end>
      <status>ignored</status>
      <modifiedWord/>
      <trackRevisions>false</trackRevisions>
    </reviewItem>
    <reviewItem>
      <errorID>72114257-25a9-40b2-8903-5b1575a1c6ef</errorID>
      <errorWord>及期</errorWord>
      <group>L1_Word</group>
      <groupName>字词问题</groupName>
      <ability>L2_Typo</ability>
      <abilityName>字词错误</abilityName>
      <candidateList>
        <item>及其</item>
      </candidateList>
      <explain>存在发音相同字词的误用。</explain>
      <paraID>2548D4D1</paraID>
      <start>6</start>
      <end>8</end>
      <status>modified</status>
      <modifiedWord>及其</modifiedWord>
      <trackRevisions>false</trackRevisions>
    </reviewItem>
    <reviewItem>
      <errorID>c59ccdf3-9fb2-4516-8dce-3821fa854e19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2461E56B</paraID>
      <start>0</start>
      <end>2</end>
      <status>ignored</status>
      <modifiedWord/>
      <trackRevisions>false</trackRevisions>
    </reviewItem>
    <reviewItem>
      <errorID>9e8b0d34-d363-4141-9a88-8fc0bffa2758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6B191AAE</paraID>
      <start>0</start>
      <end>2</end>
      <status>ignored</status>
      <modifiedWord/>
      <trackRevisions>false</trackRevisions>
    </reviewItem>
    <reviewItem>
      <errorID>f056d16e-6211-4236-b68c-c30561d578ce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445066B4</paraID>
      <start>23</start>
      <end>26</end>
      <status>ignored</status>
      <modifiedWord/>
      <trackRevisions>false</trackRevisions>
    </reviewItem>
    <reviewItem>
      <errorID>660b4e9f-8223-4da5-aaa1-8b4fac763ac2</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445066B4</paraID>
      <start>49</start>
      <end>52</end>
      <status>ignored</status>
      <modifiedWord/>
      <trackRevisions>false</trackRevisions>
    </reviewItem>
    <reviewItem>
      <errorID>bb1124a7-1347-43c9-aa93-70a1e06bbc9c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130B7E19</paraID>
      <start>67</start>
      <end>70</end>
      <status>ignored</status>
      <modifiedWord/>
      <trackRevisions>false</trackRevisions>
    </reviewItem>
    <reviewItem>
      <errorID>f7e7fa95-1ac9-4907-9ed6-c0e10d7f9631</errorID>
      <errorWord>的</errorWord>
      <group>L1_Word</group>
      <groupName>字词问题</groupName>
      <ability>L2_Typo</ability>
      <abilityName>字词错误</abilityName>
      <candidateList>
        <item>的农</item>
      </candidateList>
      <explain/>
      <paraID>1CB38288</paraID>
      <start>39</start>
      <end>40</end>
      <status>ignored</status>
      <modifiedWord/>
      <trackRevisions>false</trackRevisions>
    </reviewItem>
    <reviewItem>
      <errorID>65953263-a94e-43f2-be75-e09e08ea5d7f</errorID>
      <errorWord>．</errorWord>
      <group>L1_Format</group>
      <groupName>格式问题</groupName>
      <ability>L2_HalfPunc</ability>
      <abilityName>全半角检查</abilityName>
      <candidateList>
        <item>。</item>
      </candidateList>
      <explain>文本全半角错误。</explain>
      <paraID>5AC83DF4</paraID>
      <start>107</start>
      <end>108</end>
      <status>ignored</status>
      <modifiedWord/>
      <trackRevisions>false</trackRevisions>
    </reviewItem>
    <reviewItem>
      <errorID>4a71b24b-0feb-4f1f-ad48-d17cd0e364a2</errorID>
      <errorWord>肆份</errorWord>
      <group>L1_Word</group>
      <groupName>字词问题</groupName>
      <ability>L2_Typo</ability>
      <abilityName>字词错误</abilityName>
      <candidateList>
        <item>四份</item>
      </candidateList>
      <explain>存在发音相同字词的误用。</explain>
      <paraID>29644A2D</paraID>
      <start>9</start>
      <end>11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4fd73a-0b3f-4d50-a74b-328fe6b7c065}">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31315</Words>
  <Characters>33100</Characters>
  <Lines>0</Lines>
  <Paragraphs>0</Paragraphs>
  <TotalTime>43</TotalTime>
  <ScaleCrop>false</ScaleCrop>
  <LinksUpToDate>false</LinksUpToDate>
  <CharactersWithSpaces>35420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2022-04-15T03:44:00Z</dcterms:created>
  <dc:creator>春意浓浓</dc:creator>
  <cp:lastModifiedBy>*  *qin</cp:lastModifiedBy>
  <cp:lastPrinted>2026-04-28T03:32:00Z</cp:lastPrinted>
  <dcterms:modified xsi:type="dcterms:W3CDTF">2026-04-28T07:58:44Z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12A6DA98EF164F59909E656ADB8B417F</vt:lpwstr>
  </property>
  <property fmtid="{D5CDD505-2E9C-101B-9397-08002B2CF9AE}" pid="4" name="commondata">
    <vt:lpwstr>eyJoZGlkIjoiMTI0NTM0OGFiMWU2NDFkZGJjYTk5NGYyZDlmNzA2NTgifQ==</vt:lpwstr>
  </property>
  <property fmtid="{D5CDD505-2E9C-101B-9397-08002B2CF9AE}" pid="5" name="KSOTemplateDocerSaveRecord">
    <vt:lpwstr>eyJoZGlkIjoiZGY1ODI5YTZiNTg3Y2FmODFiY2U2N2JhMjcyOGRiNzUiLCJ1c2VySWQiOiI0MDMzNzI1MTYifQ==</vt:lpwstr>
  </property>
</Properties>
</file>