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2DD8D">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176" w:firstLineChars="1300"/>
        <w:jc w:val="both"/>
        <w:textAlignment w:val="auto"/>
        <w:outlineLvl w:val="0"/>
        <w:rPr>
          <w:color w:val="auto"/>
          <w:highlight w:val="none"/>
        </w:rPr>
      </w:pPr>
      <w:bookmarkStart w:id="0" w:name="_GoBack"/>
      <w:bookmarkEnd w:id="0"/>
      <w:r>
        <w:rPr>
          <w:rFonts w:hint="eastAsia"/>
          <w:color w:val="auto"/>
          <w:highlight w:val="none"/>
          <w:lang w:val="en-US" w:eastAsia="zh-CN"/>
        </w:rPr>
        <w:t>采购需求</w:t>
      </w:r>
    </w:p>
    <w:p w14:paraId="15910188">
      <w:pPr>
        <w:pStyle w:val="6"/>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auto"/>
          <w:highlight w:val="none"/>
          <w:lang w:val="en-US" w:eastAsia="zh-CN"/>
        </w:rPr>
      </w:pPr>
      <w:r>
        <w:rPr>
          <w:rFonts w:hint="eastAsia"/>
          <w:color w:val="auto"/>
          <w:highlight w:val="none"/>
          <w:lang w:val="en-US" w:eastAsia="zh-CN"/>
        </w:rPr>
        <w:t>采购项目技术规格、参数及要求</w:t>
      </w:r>
    </w:p>
    <w:p w14:paraId="5E4CB31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color w:val="auto"/>
          <w:highlight w:val="none"/>
        </w:rPr>
        <w:t>说明：</w:t>
      </w:r>
    </w:p>
    <w:p w14:paraId="222AE89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为落实政府采购政策需满足的要求</w:t>
      </w:r>
      <w:r>
        <w:rPr>
          <w:rFonts w:hint="eastAsia" w:ascii="宋体" w:hAnsi="宋体" w:cs="宋体"/>
          <w:color w:val="auto"/>
          <w:highlight w:val="none"/>
          <w:lang w:val="en-US" w:eastAsia="zh-CN"/>
        </w:rPr>
        <w:t>:</w:t>
      </w:r>
    </w:p>
    <w:p w14:paraId="430534B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本采购文件所称中小企业必须符合《政府采购促进中小企业发展管理办法》（财库〔2020〕46 号）的规定。</w:t>
      </w:r>
    </w:p>
    <w:p w14:paraId="1F06A3A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竞标货物必须使用政府强制采购的节能产品，供应商必须在响应文件中提供所竞标产品的节能产品认证证书复印件（加盖供应商电子签章），否则按无效响应处理。</w:t>
      </w:r>
    </w:p>
    <w:p w14:paraId="6C8616B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default" w:ascii="宋体" w:hAnsi="宋体" w:eastAsia="宋体" w:cs="宋体"/>
          <w:color w:val="auto"/>
          <w:highlight w:val="none"/>
          <w:lang w:val="en-US" w:eastAsia="zh-CN"/>
        </w:rPr>
        <w:t>3</w:t>
      </w:r>
      <w:r>
        <w:rPr>
          <w:rFonts w:hint="eastAsia" w:ascii="宋体" w:hAnsi="宋体" w:eastAsia="宋体" w:cs="宋体"/>
          <w:color w:val="auto"/>
          <w:highlight w:val="none"/>
          <w:lang w:val="en-US" w:eastAsia="zh-CN"/>
        </w:rPr>
        <w:t xml:space="preserve">）本国产品标准的货物具体是指《政府采购品目分类目录》中的货物类产品，但不包括其中的房 </w:t>
      </w:r>
    </w:p>
    <w:p w14:paraId="35D09F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highlight w:val="none"/>
          <w:lang w:eastAsia="zh-CN"/>
        </w:rPr>
      </w:pPr>
      <w:r>
        <w:rPr>
          <w:rFonts w:hint="eastAsia" w:ascii="宋体" w:hAnsi="宋体" w:eastAsia="宋体" w:cs="宋体"/>
          <w:color w:val="auto"/>
          <w:highlight w:val="none"/>
          <w:lang w:val="en-US" w:eastAsia="zh-CN"/>
        </w:rPr>
        <w:t>屋和构筑物</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文物和陈列品，图书和档案，特种动植物，农林牧渔业产品，矿与矿物，电力、城市燃气、蒸汽和热水、水，食品、饮料和烟草原料，无形资产。</w:t>
      </w:r>
    </w:p>
    <w:p w14:paraId="6621045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“实质性要求”是指采购文件中已经指明不满足则竞标无效的条款，或者不能负偏离的条款，或者采购需求中带“▲”的条款。</w:t>
      </w:r>
    </w:p>
    <w:p w14:paraId="7D38A7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需求中出现的品牌、型号或者生产厂家仅起参考作用，不属于指定品牌、型号或者生产厂家的情形。供应商可参照或者选用其他相当的品牌、型号或者生产厂家替代，但选用的竞标产品参数性能必须满足实质性要求。</w:t>
      </w:r>
    </w:p>
    <w:p w14:paraId="10849E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供应商必须自行为其竞标产品侵犯他人的知识产权或者专利成果的行为承担相应法律责任。</w:t>
      </w:r>
    </w:p>
    <w:p w14:paraId="76840D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highlight w:val="none"/>
          <w:u w:val="single"/>
          <w:lang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rPr>
        <w:t>采购标的所属行业：</w:t>
      </w:r>
      <w:r>
        <w:rPr>
          <w:rFonts w:hint="eastAsia" w:ascii="宋体" w:hAnsi="宋体" w:eastAsia="宋体" w:cs="宋体"/>
          <w:color w:val="auto"/>
          <w:highlight w:val="none"/>
          <w:u w:val="single"/>
        </w:rPr>
        <w:t>均为工业</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制造业</w:t>
      </w:r>
      <w:r>
        <w:rPr>
          <w:rFonts w:hint="eastAsia" w:ascii="宋体" w:hAnsi="宋体" w:cs="宋体"/>
          <w:color w:val="auto"/>
          <w:highlight w:val="none"/>
          <w:u w:val="single"/>
          <w:lang w:eastAsia="zh-CN"/>
        </w:rPr>
        <w:t>）。</w:t>
      </w:r>
    </w:p>
    <w:p w14:paraId="483D685F">
      <w:pPr>
        <w:pStyle w:val="2"/>
        <w:keepNext w:val="0"/>
        <w:keepLines w:val="0"/>
        <w:pageBreakBefore w:val="0"/>
        <w:widowControl w:val="0"/>
        <w:kinsoku/>
        <w:wordWrap/>
        <w:overflowPunct/>
        <w:topLinePunct w:val="0"/>
        <w:bidi w:val="0"/>
        <w:snapToGrid/>
        <w:spacing w:line="440" w:lineRule="exact"/>
        <w:ind w:firstLine="420" w:firstLineChars="200"/>
        <w:textAlignment w:val="auto"/>
        <w:rPr>
          <w:rFonts w:hint="default" w:ascii="宋体" w:hAnsi="宋体" w:eastAsia="宋体" w:cs="宋体"/>
          <w:color w:val="auto"/>
          <w:kern w:val="2"/>
          <w:sz w:val="21"/>
          <w:szCs w:val="24"/>
          <w:highlight w:val="none"/>
          <w:u w:val="single"/>
          <w:lang w:val="en-US" w:eastAsia="zh-CN" w:bidi="ar-SA"/>
        </w:rPr>
      </w:pPr>
      <w:r>
        <w:rPr>
          <w:rFonts w:hint="eastAsia" w:ascii="宋体" w:hAnsi="宋体" w:eastAsia="宋体" w:cs="宋体"/>
          <w:color w:val="auto"/>
          <w:kern w:val="2"/>
          <w:sz w:val="21"/>
          <w:szCs w:val="24"/>
          <w:highlight w:val="none"/>
          <w:lang w:val="en-US" w:eastAsia="zh-CN" w:bidi="ar-SA"/>
        </w:rPr>
        <w:t>6.本项目核心产品为</w:t>
      </w:r>
      <w:r>
        <w:rPr>
          <w:rFonts w:hint="eastAsia" w:ascii="宋体" w:hAnsi="宋体" w:cs="宋体"/>
          <w:color w:val="auto"/>
          <w:kern w:val="2"/>
          <w:sz w:val="21"/>
          <w:szCs w:val="24"/>
          <w:highlight w:val="none"/>
          <w:lang w:val="en-US" w:eastAsia="zh-CN" w:bidi="ar-SA"/>
        </w:rPr>
        <w:t>：</w:t>
      </w:r>
      <w:r>
        <w:rPr>
          <w:rFonts w:hint="eastAsia" w:ascii="宋体" w:hAnsi="宋体" w:cs="宋体"/>
          <w:color w:val="auto"/>
          <w:kern w:val="2"/>
          <w:sz w:val="21"/>
          <w:szCs w:val="24"/>
          <w:highlight w:val="none"/>
          <w:u w:val="single"/>
          <w:lang w:val="en-US" w:eastAsia="zh-CN" w:bidi="ar-SA"/>
        </w:rPr>
        <w:t xml:space="preserve"> </w:t>
      </w:r>
      <w:r>
        <w:rPr>
          <w:rFonts w:hint="eastAsia" w:ascii="宋体" w:hAnsi="宋体" w:eastAsia="宋体" w:cs="宋体"/>
          <w:b/>
          <w:bCs/>
          <w:i w:val="0"/>
          <w:iCs w:val="0"/>
          <w:color w:val="auto"/>
          <w:kern w:val="0"/>
          <w:sz w:val="21"/>
          <w:szCs w:val="21"/>
          <w:highlight w:val="none"/>
          <w:u w:val="single"/>
          <w:lang w:val="en-US" w:eastAsia="zh-CN" w:bidi="ar"/>
        </w:rPr>
        <w:t>阿胶珠</w:t>
      </w:r>
      <w:r>
        <w:rPr>
          <w:rFonts w:hint="eastAsia" w:ascii="宋体" w:hAnsi="宋体" w:cs="宋体"/>
          <w:i w:val="0"/>
          <w:iCs w:val="0"/>
          <w:color w:val="auto"/>
          <w:kern w:val="0"/>
          <w:sz w:val="21"/>
          <w:szCs w:val="21"/>
          <w:highlight w:val="none"/>
          <w:u w:val="single"/>
          <w:lang w:val="en-US" w:eastAsia="zh-CN" w:bidi="ar"/>
        </w:rPr>
        <w:t xml:space="preserve"> </w:t>
      </w:r>
    </w:p>
    <w:p w14:paraId="12DE0B00">
      <w:pPr>
        <w:keepNext w:val="0"/>
        <w:keepLines w:val="0"/>
        <w:pageBreakBefore w:val="0"/>
        <w:widowControl/>
        <w:suppressLineNumbers w:val="0"/>
        <w:kinsoku/>
        <w:wordWrap/>
        <w:overflowPunct/>
        <w:topLinePunct w:val="0"/>
        <w:autoSpaceDE/>
        <w:autoSpaceDN/>
        <w:bidi w:val="0"/>
        <w:adjustRightInd w:val="0"/>
        <w:snapToGrid/>
        <w:ind w:firstLine="0" w:firstLineChars="0"/>
        <w:jc w:val="center"/>
        <w:textAlignment w:val="center"/>
        <w:rPr>
          <w:rFonts w:hint="eastAsia" w:ascii="宋体" w:hAnsi="宋体" w:cs="宋体"/>
          <w:b/>
          <w:bCs/>
          <w:i w:val="0"/>
          <w:iCs w:val="0"/>
          <w:color w:val="auto"/>
          <w:kern w:val="0"/>
          <w:sz w:val="30"/>
          <w:szCs w:val="30"/>
          <w:highlight w:val="none"/>
          <w:u w:val="none"/>
          <w:lang w:val="en-US" w:eastAsia="zh-CN" w:bidi="ar"/>
        </w:rPr>
      </w:pPr>
    </w:p>
    <w:p w14:paraId="620C1BA8">
      <w:pPr>
        <w:keepNext w:val="0"/>
        <w:keepLines w:val="0"/>
        <w:pageBreakBefore w:val="0"/>
        <w:widowControl/>
        <w:suppressLineNumbers w:val="0"/>
        <w:kinsoku/>
        <w:wordWrap/>
        <w:overflowPunct/>
        <w:topLinePunct w:val="0"/>
        <w:autoSpaceDE/>
        <w:autoSpaceDN/>
        <w:bidi w:val="0"/>
        <w:adjustRightInd w:val="0"/>
        <w:snapToGrid/>
        <w:ind w:firstLine="0" w:firstLineChars="0"/>
        <w:jc w:val="center"/>
        <w:textAlignment w:val="center"/>
        <w:rPr>
          <w:rFonts w:hint="eastAsia" w:ascii="宋体" w:hAnsi="宋体" w:cs="宋体"/>
          <w:b/>
          <w:bCs/>
          <w:i w:val="0"/>
          <w:iCs w:val="0"/>
          <w:color w:val="auto"/>
          <w:kern w:val="0"/>
          <w:sz w:val="30"/>
          <w:szCs w:val="30"/>
          <w:highlight w:val="none"/>
          <w:u w:val="none"/>
          <w:lang w:val="en-US" w:eastAsia="zh-CN" w:bidi="ar"/>
        </w:rPr>
      </w:pPr>
    </w:p>
    <w:p w14:paraId="62470A1C">
      <w:pPr>
        <w:keepNext w:val="0"/>
        <w:keepLines w:val="0"/>
        <w:pageBreakBefore w:val="0"/>
        <w:widowControl/>
        <w:suppressLineNumbers w:val="0"/>
        <w:kinsoku/>
        <w:wordWrap/>
        <w:overflowPunct/>
        <w:topLinePunct w:val="0"/>
        <w:autoSpaceDE/>
        <w:autoSpaceDN/>
        <w:bidi w:val="0"/>
        <w:adjustRightInd w:val="0"/>
        <w:snapToGrid/>
        <w:ind w:firstLine="0" w:firstLineChars="0"/>
        <w:jc w:val="center"/>
        <w:textAlignment w:val="center"/>
        <w:rPr>
          <w:rFonts w:hint="eastAsia" w:ascii="宋体" w:hAnsi="宋体" w:cs="宋体"/>
          <w:b/>
          <w:bCs/>
          <w:i w:val="0"/>
          <w:iCs w:val="0"/>
          <w:color w:val="auto"/>
          <w:kern w:val="0"/>
          <w:sz w:val="30"/>
          <w:szCs w:val="30"/>
          <w:highlight w:val="none"/>
          <w:u w:val="none"/>
          <w:lang w:val="en-US" w:eastAsia="zh-CN" w:bidi="ar"/>
        </w:rPr>
      </w:pPr>
    </w:p>
    <w:p w14:paraId="081D16EA">
      <w:pPr>
        <w:keepNext w:val="0"/>
        <w:keepLines w:val="0"/>
        <w:pageBreakBefore w:val="0"/>
        <w:widowControl/>
        <w:suppressLineNumbers w:val="0"/>
        <w:kinsoku/>
        <w:wordWrap/>
        <w:overflowPunct/>
        <w:topLinePunct w:val="0"/>
        <w:autoSpaceDE/>
        <w:autoSpaceDN/>
        <w:bidi w:val="0"/>
        <w:adjustRightInd w:val="0"/>
        <w:snapToGrid/>
        <w:ind w:firstLine="0" w:firstLineChars="0"/>
        <w:jc w:val="both"/>
        <w:textAlignment w:val="center"/>
        <w:rPr>
          <w:rFonts w:hint="eastAsia" w:ascii="宋体" w:hAnsi="宋体" w:cs="宋体"/>
          <w:b/>
          <w:bCs/>
          <w:i w:val="0"/>
          <w:iCs w:val="0"/>
          <w:color w:val="auto"/>
          <w:kern w:val="0"/>
          <w:sz w:val="30"/>
          <w:szCs w:val="30"/>
          <w:highlight w:val="none"/>
          <w:u w:val="none"/>
          <w:lang w:val="en-US" w:eastAsia="zh-CN" w:bidi="ar"/>
        </w:rPr>
      </w:pPr>
    </w:p>
    <w:p w14:paraId="1E1E77D5">
      <w:pPr>
        <w:keepNext w:val="0"/>
        <w:keepLines w:val="0"/>
        <w:pageBreakBefore w:val="0"/>
        <w:widowControl/>
        <w:suppressLineNumbers w:val="0"/>
        <w:kinsoku/>
        <w:wordWrap/>
        <w:overflowPunct/>
        <w:topLinePunct w:val="0"/>
        <w:autoSpaceDE/>
        <w:autoSpaceDN/>
        <w:bidi w:val="0"/>
        <w:adjustRightInd w:val="0"/>
        <w:snapToGrid/>
        <w:ind w:firstLine="0" w:firstLineChars="0"/>
        <w:jc w:val="both"/>
        <w:textAlignment w:val="center"/>
        <w:rPr>
          <w:rFonts w:hint="eastAsia" w:ascii="宋体" w:hAnsi="宋体" w:cs="宋体"/>
          <w:b/>
          <w:bCs/>
          <w:i w:val="0"/>
          <w:iCs w:val="0"/>
          <w:color w:val="auto"/>
          <w:kern w:val="0"/>
          <w:sz w:val="30"/>
          <w:szCs w:val="30"/>
          <w:highlight w:val="none"/>
          <w:u w:val="none"/>
          <w:lang w:val="en-US" w:eastAsia="zh-CN" w:bidi="ar"/>
        </w:rPr>
      </w:pPr>
    </w:p>
    <w:p w14:paraId="3A8F972D">
      <w:pPr>
        <w:keepNext w:val="0"/>
        <w:keepLines w:val="0"/>
        <w:pageBreakBefore w:val="0"/>
        <w:widowControl/>
        <w:suppressLineNumbers w:val="0"/>
        <w:kinsoku/>
        <w:wordWrap/>
        <w:overflowPunct/>
        <w:topLinePunct w:val="0"/>
        <w:autoSpaceDE/>
        <w:autoSpaceDN/>
        <w:bidi w:val="0"/>
        <w:adjustRightInd w:val="0"/>
        <w:snapToGrid/>
        <w:ind w:firstLine="0" w:firstLineChars="0"/>
        <w:jc w:val="both"/>
        <w:textAlignment w:val="center"/>
        <w:rPr>
          <w:rFonts w:hint="eastAsia" w:ascii="宋体" w:hAnsi="宋体" w:cs="宋体"/>
          <w:b/>
          <w:bCs/>
          <w:i w:val="0"/>
          <w:iCs w:val="0"/>
          <w:color w:val="auto"/>
          <w:kern w:val="0"/>
          <w:sz w:val="30"/>
          <w:szCs w:val="30"/>
          <w:highlight w:val="none"/>
          <w:u w:val="none"/>
          <w:lang w:val="en-US" w:eastAsia="zh-CN" w:bidi="ar"/>
        </w:rPr>
      </w:pPr>
    </w:p>
    <w:p w14:paraId="1B1CC8CE">
      <w:pPr>
        <w:pStyle w:val="2"/>
        <w:rPr>
          <w:rFonts w:hint="eastAsia" w:ascii="宋体" w:hAnsi="宋体" w:cs="宋体"/>
          <w:b/>
          <w:bCs/>
          <w:i w:val="0"/>
          <w:iCs w:val="0"/>
          <w:color w:val="auto"/>
          <w:kern w:val="0"/>
          <w:sz w:val="30"/>
          <w:szCs w:val="30"/>
          <w:highlight w:val="none"/>
          <w:u w:val="none"/>
          <w:lang w:val="en-US" w:eastAsia="zh-CN" w:bidi="ar"/>
        </w:rPr>
      </w:pPr>
    </w:p>
    <w:p w14:paraId="5D24F91F">
      <w:pPr>
        <w:rPr>
          <w:rFonts w:hint="eastAsia"/>
          <w:lang w:val="en-US" w:eastAsia="zh-CN"/>
        </w:rPr>
      </w:pPr>
    </w:p>
    <w:p w14:paraId="3909839F">
      <w:pPr>
        <w:keepNext w:val="0"/>
        <w:keepLines w:val="0"/>
        <w:pageBreakBefore w:val="0"/>
        <w:widowControl/>
        <w:suppressLineNumbers w:val="0"/>
        <w:kinsoku/>
        <w:wordWrap/>
        <w:overflowPunct/>
        <w:topLinePunct w:val="0"/>
        <w:autoSpaceDE/>
        <w:autoSpaceDN/>
        <w:bidi w:val="0"/>
        <w:adjustRightInd w:val="0"/>
        <w:snapToGrid/>
        <w:ind w:firstLine="0" w:firstLineChars="0"/>
        <w:jc w:val="center"/>
        <w:textAlignment w:val="center"/>
        <w:rPr>
          <w:rFonts w:hint="eastAsia" w:ascii="宋体" w:hAnsi="宋体" w:cs="宋体"/>
          <w:b/>
          <w:bCs/>
          <w:i w:val="0"/>
          <w:iCs w:val="0"/>
          <w:color w:val="auto"/>
          <w:kern w:val="0"/>
          <w:sz w:val="30"/>
          <w:szCs w:val="30"/>
          <w:highlight w:val="none"/>
          <w:u w:val="none"/>
          <w:lang w:val="en-US" w:eastAsia="zh-CN" w:bidi="ar"/>
        </w:rPr>
      </w:pPr>
      <w:r>
        <w:rPr>
          <w:rFonts w:hint="eastAsia" w:ascii="宋体" w:hAnsi="宋体" w:cs="宋体"/>
          <w:b/>
          <w:bCs/>
          <w:i w:val="0"/>
          <w:iCs w:val="0"/>
          <w:color w:val="auto"/>
          <w:kern w:val="0"/>
          <w:sz w:val="30"/>
          <w:szCs w:val="30"/>
          <w:highlight w:val="none"/>
          <w:u w:val="none"/>
          <w:lang w:val="en-US" w:eastAsia="zh-CN" w:bidi="ar"/>
        </w:rPr>
        <w:t>陆川县人民医院精致饮片采购需求</w:t>
      </w:r>
    </w:p>
    <w:tbl>
      <w:tblPr>
        <w:tblStyle w:val="4"/>
        <w:tblW w:w="526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8"/>
        <w:gridCol w:w="1111"/>
        <w:gridCol w:w="197"/>
        <w:gridCol w:w="766"/>
        <w:gridCol w:w="808"/>
        <w:gridCol w:w="576"/>
        <w:gridCol w:w="808"/>
        <w:gridCol w:w="892"/>
        <w:gridCol w:w="1169"/>
        <w:gridCol w:w="3596"/>
      </w:tblGrid>
      <w:tr w14:paraId="3E8D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0" w:type="pct"/>
            <w:tcBorders>
              <w:top w:val="single" w:color="000000" w:sz="4" w:space="0"/>
              <w:left w:val="single" w:color="000000" w:sz="4" w:space="0"/>
              <w:bottom w:val="single" w:color="000000" w:sz="4" w:space="0"/>
              <w:right w:val="single" w:color="000000" w:sz="4" w:space="0"/>
            </w:tcBorders>
            <w:noWrap/>
            <w:vAlign w:val="center"/>
          </w:tcPr>
          <w:p w14:paraId="6A37C65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819FB58">
            <w:pPr>
              <w:keepNext w:val="0"/>
              <w:keepLines w:val="0"/>
              <w:widowControl/>
              <w:suppressLineNumbers w:val="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cs="宋体"/>
                <w:b/>
                <w:bCs/>
                <w:i w:val="0"/>
                <w:iCs w:val="0"/>
                <w:color w:val="auto"/>
                <w:kern w:val="0"/>
                <w:sz w:val="21"/>
                <w:szCs w:val="21"/>
                <w:highlight w:val="none"/>
                <w:u w:val="none"/>
                <w:lang w:val="en-US" w:eastAsia="zh-CN" w:bidi="ar"/>
              </w:rPr>
              <w:t>标的名称</w:t>
            </w:r>
          </w:p>
        </w:tc>
        <w:tc>
          <w:tcPr>
            <w:tcW w:w="463" w:type="pct"/>
            <w:gridSpan w:val="2"/>
            <w:tcBorders>
              <w:top w:val="single" w:color="000000" w:sz="4" w:space="0"/>
              <w:left w:val="single" w:color="000000" w:sz="4" w:space="0"/>
              <w:bottom w:val="single" w:color="000000" w:sz="4" w:space="0"/>
              <w:right w:val="single" w:color="000000" w:sz="4" w:space="0"/>
            </w:tcBorders>
            <w:noWrap w:val="0"/>
            <w:vAlign w:val="center"/>
          </w:tcPr>
          <w:p w14:paraId="798D0F14">
            <w:pPr>
              <w:keepNext w:val="0"/>
              <w:keepLines w:val="0"/>
              <w:widowControl/>
              <w:suppressLineNumbers w:val="0"/>
              <w:jc w:val="center"/>
              <w:textAlignment w:val="center"/>
              <w:rPr>
                <w:rFonts w:hint="eastAsia"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标的所属行业</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5B86292">
            <w:pPr>
              <w:keepNext w:val="0"/>
              <w:keepLines w:val="0"/>
              <w:widowControl/>
              <w:suppressLineNumbers w:val="0"/>
              <w:jc w:val="center"/>
              <w:textAlignment w:val="center"/>
              <w:rPr>
                <w:rFonts w:hint="eastAsia"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规格</w:t>
            </w:r>
          </w:p>
          <w:p w14:paraId="63AFDB0F">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型号</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CE3F46C">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单位</w:t>
            </w:r>
          </w:p>
        </w:tc>
        <w:tc>
          <w:tcPr>
            <w:tcW w:w="389"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78E9E2D">
            <w:pPr>
              <w:keepNext w:val="0"/>
              <w:keepLines w:val="0"/>
              <w:widowControl/>
              <w:suppressLineNumbers w:val="0"/>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采购</w:t>
            </w:r>
          </w:p>
          <w:p w14:paraId="2B33858D">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cs="宋体"/>
                <w:b/>
                <w:bCs/>
                <w:i w:val="0"/>
                <w:iCs w:val="0"/>
                <w:color w:val="auto"/>
                <w:sz w:val="21"/>
                <w:szCs w:val="21"/>
                <w:highlight w:val="none"/>
                <w:u w:val="none"/>
                <w:lang w:val="en-US" w:eastAsia="zh-CN"/>
              </w:rPr>
              <w:t>数量</w:t>
            </w:r>
          </w:p>
        </w:tc>
        <w:tc>
          <w:tcPr>
            <w:tcW w:w="429" w:type="pct"/>
            <w:tcBorders>
              <w:top w:val="single" w:color="000000" w:sz="4" w:space="0"/>
              <w:left w:val="single" w:color="auto" w:sz="4" w:space="0"/>
              <w:bottom w:val="single" w:color="000000" w:sz="4" w:space="0"/>
              <w:right w:val="single" w:color="auto" w:sz="4" w:space="0"/>
            </w:tcBorders>
            <w:noWrap w:val="0"/>
            <w:vAlign w:val="center"/>
          </w:tcPr>
          <w:p w14:paraId="290CC425">
            <w:pPr>
              <w:keepNext w:val="0"/>
              <w:keepLines w:val="0"/>
              <w:widowControl/>
              <w:suppressLineNumbers w:val="0"/>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最高限制单价（元）</w:t>
            </w:r>
          </w:p>
        </w:tc>
        <w:tc>
          <w:tcPr>
            <w:tcW w:w="563" w:type="pct"/>
            <w:tcBorders>
              <w:top w:val="single" w:color="000000" w:sz="4" w:space="0"/>
              <w:left w:val="single" w:color="auto" w:sz="4" w:space="0"/>
              <w:bottom w:val="single" w:color="000000" w:sz="4" w:space="0"/>
              <w:right w:val="single" w:color="auto" w:sz="4" w:space="0"/>
            </w:tcBorders>
            <w:noWrap w:val="0"/>
            <w:vAlign w:val="center"/>
          </w:tcPr>
          <w:p w14:paraId="4E31D561">
            <w:pPr>
              <w:keepNext w:val="0"/>
              <w:keepLines w:val="0"/>
              <w:widowControl/>
              <w:suppressLineNumbers w:val="0"/>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金额</w:t>
            </w:r>
          </w:p>
          <w:p w14:paraId="1072FFE3">
            <w:pPr>
              <w:keepNext w:val="0"/>
              <w:keepLines w:val="0"/>
              <w:widowControl/>
              <w:suppressLineNumbers w:val="0"/>
              <w:jc w:val="center"/>
              <w:textAlignment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（元）</w:t>
            </w:r>
          </w:p>
        </w:tc>
        <w:tc>
          <w:tcPr>
            <w:tcW w:w="1732" w:type="pct"/>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35385C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sz w:val="21"/>
                <w:szCs w:val="21"/>
                <w:highlight w:val="none"/>
                <w:u w:val="none"/>
                <w:lang w:val="en-US" w:eastAsia="zh-CN"/>
              </w:rPr>
              <w:t>采购品项技术参数要求</w:t>
            </w:r>
          </w:p>
        </w:tc>
      </w:tr>
      <w:tr w14:paraId="68B1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20" w:type="pct"/>
            <w:tcBorders>
              <w:top w:val="single" w:color="000000" w:sz="4" w:space="0"/>
              <w:left w:val="single" w:color="000000" w:sz="4" w:space="0"/>
              <w:bottom w:val="single" w:color="000000" w:sz="4" w:space="0"/>
              <w:right w:val="single" w:color="000000" w:sz="4" w:space="0"/>
            </w:tcBorders>
            <w:noWrap/>
            <w:vAlign w:val="center"/>
          </w:tcPr>
          <w:p w14:paraId="3686BA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B2BC7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鱼腥草破壁饮片</w:t>
            </w:r>
          </w:p>
        </w:tc>
        <w:tc>
          <w:tcPr>
            <w:tcW w:w="463" w:type="pct"/>
            <w:gridSpan w:val="2"/>
            <w:tcBorders>
              <w:top w:val="single" w:color="000000" w:sz="4" w:space="0"/>
              <w:left w:val="single" w:color="000000" w:sz="4" w:space="0"/>
              <w:bottom w:val="single" w:color="000000" w:sz="4" w:space="0"/>
              <w:right w:val="single" w:color="000000" w:sz="4" w:space="0"/>
            </w:tcBorders>
            <w:noWrap w:val="0"/>
            <w:vAlign w:val="center"/>
          </w:tcPr>
          <w:p w14:paraId="0E754E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u w:val="none"/>
              </w:rPr>
              <w:t>工业</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制造业</w:t>
            </w:r>
            <w:r>
              <w:rPr>
                <w:rFonts w:hint="eastAsia" w:ascii="宋体" w:hAnsi="宋体" w:cs="宋体"/>
                <w:color w:val="auto"/>
                <w:highlight w:val="none"/>
                <w:u w:val="none"/>
                <w:lang w:eastAsia="zh-CN"/>
              </w:rPr>
              <w:t>）</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A97D2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g</w:t>
            </w:r>
            <w:r>
              <w:rPr>
                <w:rFonts w:hint="eastAsia" w:ascii="宋体" w:hAnsi="宋体" w:eastAsia="宋体" w:cs="宋体"/>
                <w:i w:val="0"/>
                <w:iCs w:val="0"/>
                <w:color w:val="auto"/>
                <w:kern w:val="0"/>
                <w:sz w:val="21"/>
                <w:szCs w:val="21"/>
                <w:highlight w:val="none"/>
                <w:u w:val="none"/>
                <w:lang w:val="en-US" w:eastAsia="zh-CN" w:bidi="ar"/>
              </w:rPr>
              <w:t>/包</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4A94B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包</w:t>
            </w:r>
          </w:p>
        </w:tc>
        <w:tc>
          <w:tcPr>
            <w:tcW w:w="389" w:type="pct"/>
            <w:tcBorders>
              <w:top w:val="single" w:color="000000" w:sz="4" w:space="0"/>
              <w:left w:val="single" w:color="000000" w:sz="4" w:space="0"/>
              <w:bottom w:val="single" w:color="auto" w:sz="4" w:space="0"/>
              <w:right w:val="single" w:color="auto" w:sz="4" w:space="0"/>
            </w:tcBorders>
            <w:shd w:val="clear" w:color="auto" w:fill="auto"/>
            <w:noWrap w:val="0"/>
            <w:vAlign w:val="center"/>
          </w:tcPr>
          <w:p w14:paraId="40A8F9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17380</w:t>
            </w:r>
          </w:p>
        </w:tc>
        <w:tc>
          <w:tcPr>
            <w:tcW w:w="429" w:type="pct"/>
            <w:tcBorders>
              <w:top w:val="single" w:color="000000" w:sz="4" w:space="0"/>
              <w:left w:val="single" w:color="auto" w:sz="4" w:space="0"/>
              <w:bottom w:val="single" w:color="auto" w:sz="4" w:space="0"/>
              <w:right w:val="single" w:color="auto" w:sz="4" w:space="0"/>
            </w:tcBorders>
            <w:noWrap w:val="0"/>
            <w:vAlign w:val="center"/>
          </w:tcPr>
          <w:p w14:paraId="131D9B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10.00</w:t>
            </w:r>
          </w:p>
        </w:tc>
        <w:tc>
          <w:tcPr>
            <w:tcW w:w="563" w:type="pct"/>
            <w:tcBorders>
              <w:top w:val="single" w:color="000000" w:sz="4" w:space="0"/>
              <w:left w:val="single" w:color="auto" w:sz="4" w:space="0"/>
              <w:bottom w:val="single" w:color="auto" w:sz="4" w:space="0"/>
              <w:right w:val="single" w:color="auto" w:sz="4" w:space="0"/>
            </w:tcBorders>
            <w:noWrap w:val="0"/>
            <w:vAlign w:val="center"/>
          </w:tcPr>
          <w:p w14:paraId="6C223C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173800.00</w:t>
            </w:r>
          </w:p>
        </w:tc>
        <w:tc>
          <w:tcPr>
            <w:tcW w:w="1732" w:type="pct"/>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0E6120B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癸酰乙醛≥0.050%，挥发油≥0.05%</w:t>
            </w:r>
          </w:p>
          <w:p w14:paraId="2E0620A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≤9.0%</w:t>
            </w:r>
          </w:p>
          <w:p w14:paraId="1D29C00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5D9E7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220" w:type="pct"/>
            <w:tcBorders>
              <w:top w:val="single" w:color="000000" w:sz="4" w:space="0"/>
              <w:left w:val="single" w:color="000000" w:sz="4" w:space="0"/>
              <w:bottom w:val="single" w:color="000000" w:sz="4" w:space="0"/>
              <w:right w:val="single" w:color="000000" w:sz="4" w:space="0"/>
            </w:tcBorders>
            <w:noWrap/>
            <w:vAlign w:val="center"/>
          </w:tcPr>
          <w:p w14:paraId="1B5A8C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0010B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黄芪破壁饮片</w:t>
            </w:r>
          </w:p>
        </w:tc>
        <w:tc>
          <w:tcPr>
            <w:tcW w:w="463" w:type="pct"/>
            <w:gridSpan w:val="2"/>
            <w:tcBorders>
              <w:top w:val="single" w:color="000000" w:sz="4" w:space="0"/>
              <w:left w:val="single" w:color="000000" w:sz="4" w:space="0"/>
              <w:bottom w:val="single" w:color="000000" w:sz="4" w:space="0"/>
              <w:right w:val="single" w:color="000000" w:sz="4" w:space="0"/>
            </w:tcBorders>
            <w:noWrap w:val="0"/>
            <w:vAlign w:val="center"/>
          </w:tcPr>
          <w:p w14:paraId="24FF84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u w:val="none"/>
              </w:rPr>
              <w:t>工业</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制造业</w:t>
            </w:r>
            <w:r>
              <w:rPr>
                <w:rFonts w:hint="eastAsia" w:ascii="宋体" w:hAnsi="宋体" w:cs="宋体"/>
                <w:color w:val="auto"/>
                <w:highlight w:val="none"/>
                <w:u w:val="none"/>
                <w:lang w:eastAsia="zh-CN"/>
              </w:rPr>
              <w:t>）</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FB827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2g/包</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95621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389"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7E592D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287</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49A58A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10.00</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60D9D3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2870.00</w:t>
            </w:r>
          </w:p>
        </w:tc>
        <w:tc>
          <w:tcPr>
            <w:tcW w:w="173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32E88D7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黄芪甲苷≥0.040%，毛蕊异黄酮葡萄糖苷≥0.020%</w:t>
            </w:r>
          </w:p>
          <w:p w14:paraId="2ED455A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≤10.0%</w:t>
            </w:r>
          </w:p>
          <w:p w14:paraId="1C87346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70DA5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220" w:type="pct"/>
            <w:tcBorders>
              <w:top w:val="single" w:color="000000" w:sz="4" w:space="0"/>
              <w:left w:val="single" w:color="000000" w:sz="4" w:space="0"/>
              <w:bottom w:val="single" w:color="000000" w:sz="4" w:space="0"/>
              <w:right w:val="single" w:color="000000" w:sz="4" w:space="0"/>
            </w:tcBorders>
            <w:noWrap/>
            <w:vAlign w:val="center"/>
          </w:tcPr>
          <w:p w14:paraId="610F8F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90F67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桔梗破壁饮片</w:t>
            </w:r>
          </w:p>
        </w:tc>
        <w:tc>
          <w:tcPr>
            <w:tcW w:w="463" w:type="pct"/>
            <w:gridSpan w:val="2"/>
            <w:tcBorders>
              <w:top w:val="single" w:color="000000" w:sz="4" w:space="0"/>
              <w:left w:val="single" w:color="000000" w:sz="4" w:space="0"/>
              <w:bottom w:val="single" w:color="000000" w:sz="4" w:space="0"/>
              <w:right w:val="single" w:color="000000" w:sz="4" w:space="0"/>
            </w:tcBorders>
            <w:noWrap w:val="0"/>
            <w:vAlign w:val="center"/>
          </w:tcPr>
          <w:p w14:paraId="163605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u w:val="none"/>
              </w:rPr>
              <w:t>工业</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制造业</w:t>
            </w:r>
            <w:r>
              <w:rPr>
                <w:rFonts w:hint="eastAsia" w:ascii="宋体" w:hAnsi="宋体" w:cs="宋体"/>
                <w:color w:val="auto"/>
                <w:highlight w:val="none"/>
                <w:u w:val="none"/>
                <w:lang w:eastAsia="zh-CN"/>
              </w:rPr>
              <w:t>）</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5652C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g</w:t>
            </w:r>
            <w:r>
              <w:rPr>
                <w:rFonts w:hint="eastAsia" w:ascii="宋体" w:hAnsi="宋体" w:eastAsia="宋体" w:cs="宋体"/>
                <w:i w:val="0"/>
                <w:iCs w:val="0"/>
                <w:color w:val="auto"/>
                <w:kern w:val="0"/>
                <w:sz w:val="21"/>
                <w:szCs w:val="21"/>
                <w:highlight w:val="none"/>
                <w:u w:val="none"/>
                <w:lang w:val="en-US" w:eastAsia="zh-CN" w:bidi="ar"/>
              </w:rPr>
              <w:t>/包</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45701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389"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5369E5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8477</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3E967A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12.00</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52E142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101724.00</w:t>
            </w:r>
          </w:p>
        </w:tc>
        <w:tc>
          <w:tcPr>
            <w:tcW w:w="173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6C30A95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桔梗皂苷 D ≥0.10%</w:t>
            </w:r>
          </w:p>
          <w:p w14:paraId="71E917A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≤12.0%</w:t>
            </w:r>
          </w:p>
          <w:p w14:paraId="348EE1B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2D071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20" w:type="pct"/>
            <w:tcBorders>
              <w:top w:val="single" w:color="000000" w:sz="4" w:space="0"/>
              <w:left w:val="single" w:color="000000" w:sz="4" w:space="0"/>
              <w:bottom w:val="single" w:color="000000" w:sz="4" w:space="0"/>
              <w:right w:val="single" w:color="000000" w:sz="4" w:space="0"/>
            </w:tcBorders>
            <w:noWrap/>
            <w:vAlign w:val="center"/>
          </w:tcPr>
          <w:p w14:paraId="6EC516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59BA0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当归破壁饮片</w:t>
            </w:r>
          </w:p>
        </w:tc>
        <w:tc>
          <w:tcPr>
            <w:tcW w:w="463" w:type="pct"/>
            <w:gridSpan w:val="2"/>
            <w:tcBorders>
              <w:top w:val="single" w:color="000000" w:sz="4" w:space="0"/>
              <w:left w:val="single" w:color="000000" w:sz="4" w:space="0"/>
              <w:bottom w:val="single" w:color="000000" w:sz="4" w:space="0"/>
              <w:right w:val="single" w:color="000000" w:sz="4" w:space="0"/>
            </w:tcBorders>
            <w:noWrap/>
            <w:vAlign w:val="center"/>
          </w:tcPr>
          <w:p w14:paraId="603163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u w:val="none"/>
              </w:rPr>
              <w:t>工业</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制造业</w:t>
            </w:r>
            <w:r>
              <w:rPr>
                <w:rFonts w:hint="eastAsia" w:ascii="宋体" w:hAnsi="宋体" w:cs="宋体"/>
                <w:color w:val="auto"/>
                <w:highlight w:val="none"/>
                <w:u w:val="none"/>
                <w:lang w:eastAsia="zh-CN"/>
              </w:rPr>
              <w:t>）</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4C1CD0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2g/包</w:t>
            </w:r>
          </w:p>
        </w:tc>
        <w:tc>
          <w:tcPr>
            <w:tcW w:w="277" w:type="pct"/>
            <w:tcBorders>
              <w:top w:val="single" w:color="000000" w:sz="4" w:space="0"/>
              <w:left w:val="single" w:color="000000" w:sz="4" w:space="0"/>
              <w:bottom w:val="single" w:color="000000" w:sz="4" w:space="0"/>
              <w:right w:val="single" w:color="000000" w:sz="4" w:space="0"/>
            </w:tcBorders>
            <w:noWrap/>
            <w:vAlign w:val="center"/>
          </w:tcPr>
          <w:p w14:paraId="417B63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389" w:type="pct"/>
            <w:tcBorders>
              <w:top w:val="single" w:color="auto" w:sz="4" w:space="0"/>
              <w:left w:val="single" w:color="000000" w:sz="4" w:space="0"/>
              <w:bottom w:val="single" w:color="auto" w:sz="4" w:space="0"/>
              <w:right w:val="single" w:color="auto" w:sz="4" w:space="0"/>
            </w:tcBorders>
            <w:shd w:val="clear" w:color="auto" w:fill="auto"/>
            <w:noWrap/>
            <w:vAlign w:val="center"/>
          </w:tcPr>
          <w:p w14:paraId="1543FC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985</w:t>
            </w:r>
          </w:p>
        </w:tc>
        <w:tc>
          <w:tcPr>
            <w:tcW w:w="429" w:type="pct"/>
            <w:tcBorders>
              <w:top w:val="single" w:color="auto" w:sz="4" w:space="0"/>
              <w:left w:val="single" w:color="auto" w:sz="4" w:space="0"/>
              <w:bottom w:val="single" w:color="auto" w:sz="4" w:space="0"/>
              <w:right w:val="single" w:color="auto" w:sz="4" w:space="0"/>
            </w:tcBorders>
            <w:noWrap/>
            <w:vAlign w:val="center"/>
          </w:tcPr>
          <w:p w14:paraId="269A98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12.00</w:t>
            </w:r>
          </w:p>
        </w:tc>
        <w:tc>
          <w:tcPr>
            <w:tcW w:w="563" w:type="pct"/>
            <w:tcBorders>
              <w:top w:val="single" w:color="auto" w:sz="4" w:space="0"/>
              <w:left w:val="single" w:color="auto" w:sz="4" w:space="0"/>
              <w:bottom w:val="single" w:color="auto" w:sz="4" w:space="0"/>
              <w:right w:val="single" w:color="auto" w:sz="4" w:space="0"/>
            </w:tcBorders>
            <w:noWrap/>
            <w:vAlign w:val="center"/>
          </w:tcPr>
          <w:p w14:paraId="335B46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t>11820.00</w:t>
            </w:r>
          </w:p>
        </w:tc>
        <w:tc>
          <w:tcPr>
            <w:tcW w:w="1732"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649E8AC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阿魏酸≥0.050%，挥发油≥0.4%</w:t>
            </w:r>
          </w:p>
          <w:p w14:paraId="252767D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≤15.0%</w:t>
            </w:r>
          </w:p>
          <w:p w14:paraId="0080578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7A39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220" w:type="pct"/>
            <w:tcBorders>
              <w:top w:val="single" w:color="000000" w:sz="4" w:space="0"/>
              <w:left w:val="single" w:color="000000" w:sz="4" w:space="0"/>
              <w:bottom w:val="single" w:color="000000" w:sz="4" w:space="0"/>
              <w:right w:val="single" w:color="000000" w:sz="4" w:space="0"/>
            </w:tcBorders>
            <w:noWrap/>
            <w:vAlign w:val="center"/>
          </w:tcPr>
          <w:p w14:paraId="7C11EB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43B37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山楂破壁饮片</w:t>
            </w:r>
          </w:p>
        </w:tc>
        <w:tc>
          <w:tcPr>
            <w:tcW w:w="463" w:type="pct"/>
            <w:gridSpan w:val="2"/>
            <w:tcBorders>
              <w:top w:val="single" w:color="000000" w:sz="4" w:space="0"/>
              <w:left w:val="single" w:color="000000" w:sz="4" w:space="0"/>
              <w:bottom w:val="single" w:color="000000" w:sz="4" w:space="0"/>
              <w:right w:val="single" w:color="000000" w:sz="4" w:space="0"/>
            </w:tcBorders>
            <w:noWrap w:val="0"/>
            <w:vAlign w:val="center"/>
          </w:tcPr>
          <w:p w14:paraId="7EFBB1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u w:val="none"/>
              </w:rPr>
              <w:t>工业</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制造业</w:t>
            </w:r>
            <w:r>
              <w:rPr>
                <w:rFonts w:hint="eastAsia" w:ascii="宋体" w:hAnsi="宋体" w:cs="宋体"/>
                <w:color w:val="auto"/>
                <w:highlight w:val="none"/>
                <w:u w:val="none"/>
                <w:lang w:eastAsia="zh-CN"/>
              </w:rPr>
              <w:t>）</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49142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g</w:t>
            </w:r>
            <w:r>
              <w:rPr>
                <w:rFonts w:hint="eastAsia" w:ascii="宋体" w:hAnsi="宋体" w:eastAsia="宋体" w:cs="宋体"/>
                <w:i w:val="0"/>
                <w:iCs w:val="0"/>
                <w:color w:val="auto"/>
                <w:kern w:val="0"/>
                <w:sz w:val="21"/>
                <w:szCs w:val="21"/>
                <w:highlight w:val="none"/>
                <w:u w:val="none"/>
                <w:lang w:val="en-US" w:eastAsia="zh-CN" w:bidi="ar"/>
              </w:rPr>
              <w:t>/包</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28282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389"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69B232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180</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741778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10.00</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16E4F3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1800.00</w:t>
            </w:r>
          </w:p>
        </w:tc>
        <w:tc>
          <w:tcPr>
            <w:tcW w:w="173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0968C2A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有机酸（以枸橼酸计）≥4.0%</w:t>
            </w:r>
          </w:p>
          <w:p w14:paraId="6E26A69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≤12.0%，总灰分≤3.0%</w:t>
            </w:r>
          </w:p>
          <w:p w14:paraId="7BFB132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55AB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220" w:type="pct"/>
            <w:tcBorders>
              <w:top w:val="single" w:color="000000" w:sz="4" w:space="0"/>
              <w:left w:val="single" w:color="000000" w:sz="4" w:space="0"/>
              <w:bottom w:val="single" w:color="000000" w:sz="4" w:space="0"/>
              <w:right w:val="single" w:color="000000" w:sz="4" w:space="0"/>
            </w:tcBorders>
            <w:noWrap/>
            <w:vAlign w:val="center"/>
          </w:tcPr>
          <w:p w14:paraId="265A8B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470C3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川芎破壁饮片</w:t>
            </w:r>
          </w:p>
        </w:tc>
        <w:tc>
          <w:tcPr>
            <w:tcW w:w="463" w:type="pct"/>
            <w:gridSpan w:val="2"/>
            <w:tcBorders>
              <w:top w:val="single" w:color="000000" w:sz="4" w:space="0"/>
              <w:left w:val="single" w:color="000000" w:sz="4" w:space="0"/>
              <w:bottom w:val="single" w:color="000000" w:sz="4" w:space="0"/>
              <w:right w:val="single" w:color="000000" w:sz="4" w:space="0"/>
            </w:tcBorders>
            <w:noWrap w:val="0"/>
            <w:vAlign w:val="center"/>
          </w:tcPr>
          <w:p w14:paraId="0149E4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u w:val="none"/>
              </w:rPr>
              <w:t>工业</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制造业</w:t>
            </w:r>
            <w:r>
              <w:rPr>
                <w:rFonts w:hint="eastAsia" w:ascii="宋体" w:hAnsi="宋体" w:cs="宋体"/>
                <w:color w:val="auto"/>
                <w:highlight w:val="none"/>
                <w:u w:val="none"/>
                <w:lang w:eastAsia="zh-CN"/>
              </w:rPr>
              <w:t>）</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4DB1C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2g/包</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7640AA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389"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5BC325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548</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5DA5EA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12.00</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1F27F0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6576.00</w:t>
            </w:r>
          </w:p>
        </w:tc>
        <w:tc>
          <w:tcPr>
            <w:tcW w:w="173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2ED2404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阿魏酸≥0.10%，藁本内酯≥0.60%</w:t>
            </w:r>
          </w:p>
          <w:p w14:paraId="57BD43F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≤12.0%</w:t>
            </w:r>
          </w:p>
          <w:p w14:paraId="1E4E7F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粒度：D₉₀＜45μm，破壁率≥95%</w:t>
            </w:r>
          </w:p>
        </w:tc>
      </w:tr>
      <w:tr w14:paraId="7FD44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220" w:type="pct"/>
            <w:tcBorders>
              <w:top w:val="single" w:color="000000" w:sz="4" w:space="0"/>
              <w:left w:val="single" w:color="000000" w:sz="4" w:space="0"/>
              <w:bottom w:val="single" w:color="000000" w:sz="4" w:space="0"/>
              <w:right w:val="single" w:color="000000" w:sz="4" w:space="0"/>
            </w:tcBorders>
            <w:noWrap/>
            <w:vAlign w:val="center"/>
          </w:tcPr>
          <w:p w14:paraId="6DD3BD7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565A4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阿胶珠</w:t>
            </w:r>
          </w:p>
        </w:tc>
        <w:tc>
          <w:tcPr>
            <w:tcW w:w="463" w:type="pct"/>
            <w:gridSpan w:val="2"/>
            <w:tcBorders>
              <w:top w:val="single" w:color="000000" w:sz="4" w:space="0"/>
              <w:left w:val="single" w:color="000000" w:sz="4" w:space="0"/>
              <w:bottom w:val="single" w:color="000000" w:sz="4" w:space="0"/>
              <w:right w:val="single" w:color="000000" w:sz="4" w:space="0"/>
            </w:tcBorders>
            <w:noWrap w:val="0"/>
            <w:vAlign w:val="center"/>
          </w:tcPr>
          <w:p w14:paraId="08CA64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u w:val="none"/>
              </w:rPr>
              <w:t>工业</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制造业</w:t>
            </w:r>
            <w:r>
              <w:rPr>
                <w:rFonts w:hint="eastAsia" w:ascii="宋体" w:hAnsi="宋体" w:cs="宋体"/>
                <w:color w:val="auto"/>
                <w:highlight w:val="none"/>
                <w:u w:val="none"/>
                <w:lang w:eastAsia="zh-CN"/>
              </w:rPr>
              <w:t>）</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59A823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3g/袋</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A3332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389"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342F44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12096</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6D4741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19.92</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61CD46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240952.00</w:t>
            </w:r>
          </w:p>
        </w:tc>
        <w:tc>
          <w:tcPr>
            <w:tcW w:w="173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663B983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驴源特征多肽 a₁+a₂≥0.17%</w:t>
            </w:r>
          </w:p>
          <w:p w14:paraId="4150EDC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≤10.0%，总灰分≤4.0%</w:t>
            </w:r>
          </w:p>
        </w:tc>
      </w:tr>
      <w:tr w14:paraId="2CE4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220" w:type="pct"/>
            <w:tcBorders>
              <w:top w:val="single" w:color="000000" w:sz="4" w:space="0"/>
              <w:left w:val="single" w:color="000000" w:sz="4" w:space="0"/>
              <w:bottom w:val="single" w:color="000000" w:sz="4" w:space="0"/>
              <w:right w:val="single" w:color="000000" w:sz="4" w:space="0"/>
            </w:tcBorders>
            <w:noWrap/>
            <w:vAlign w:val="center"/>
          </w:tcPr>
          <w:p w14:paraId="7CA59A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E8836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烫水蛭</w:t>
            </w:r>
          </w:p>
        </w:tc>
        <w:tc>
          <w:tcPr>
            <w:tcW w:w="463" w:type="pct"/>
            <w:gridSpan w:val="2"/>
            <w:tcBorders>
              <w:top w:val="single" w:color="000000" w:sz="4" w:space="0"/>
              <w:left w:val="single" w:color="000000" w:sz="4" w:space="0"/>
              <w:bottom w:val="single" w:color="000000" w:sz="4" w:space="0"/>
              <w:right w:val="single" w:color="000000" w:sz="4" w:space="0"/>
            </w:tcBorders>
            <w:noWrap w:val="0"/>
            <w:vAlign w:val="center"/>
          </w:tcPr>
          <w:p w14:paraId="34EADC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u w:val="none"/>
              </w:rPr>
              <w:t>工业</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制造业</w:t>
            </w:r>
            <w:r>
              <w:rPr>
                <w:rFonts w:hint="eastAsia" w:ascii="宋体" w:hAnsi="宋体" w:cs="宋体"/>
                <w:color w:val="auto"/>
                <w:highlight w:val="none"/>
                <w:u w:val="none"/>
                <w:lang w:eastAsia="zh-CN"/>
              </w:rPr>
              <w:t>）</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718E0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1g/瓶</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039B27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瓶</w:t>
            </w:r>
          </w:p>
        </w:tc>
        <w:tc>
          <w:tcPr>
            <w:tcW w:w="389"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3EE334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2520</w:t>
            </w:r>
          </w:p>
        </w:tc>
        <w:tc>
          <w:tcPr>
            <w:tcW w:w="429" w:type="pct"/>
            <w:tcBorders>
              <w:top w:val="single" w:color="auto" w:sz="4" w:space="0"/>
              <w:left w:val="single" w:color="auto" w:sz="4" w:space="0"/>
              <w:bottom w:val="single" w:color="auto" w:sz="4" w:space="0"/>
              <w:right w:val="single" w:color="auto" w:sz="4" w:space="0"/>
            </w:tcBorders>
            <w:noWrap w:val="0"/>
            <w:vAlign w:val="center"/>
          </w:tcPr>
          <w:p w14:paraId="26D44E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2.46</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29F1DE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6199.00</w:t>
            </w:r>
          </w:p>
        </w:tc>
        <w:tc>
          <w:tcPr>
            <w:tcW w:w="173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4E31C7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水蛭 ≥16.0U/g</w:t>
            </w:r>
          </w:p>
          <w:p w14:paraId="32F47F0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蚂蟥 / 柳叶蚂蟥 ≥3.0U/g</w:t>
            </w:r>
          </w:p>
          <w:p w14:paraId="1C5C592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水分 ≤14.0%</w:t>
            </w:r>
          </w:p>
        </w:tc>
      </w:tr>
      <w:tr w14:paraId="705D3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220" w:type="pct"/>
            <w:tcBorders>
              <w:top w:val="single" w:color="000000" w:sz="4" w:space="0"/>
              <w:left w:val="single" w:color="000000" w:sz="4" w:space="0"/>
              <w:bottom w:val="single" w:color="000000" w:sz="4" w:space="0"/>
              <w:right w:val="single" w:color="000000" w:sz="4" w:space="0"/>
            </w:tcBorders>
            <w:noWrap/>
            <w:vAlign w:val="center"/>
          </w:tcPr>
          <w:p w14:paraId="7E92F0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9</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47476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三七粉</w:t>
            </w:r>
          </w:p>
        </w:tc>
        <w:tc>
          <w:tcPr>
            <w:tcW w:w="463" w:type="pct"/>
            <w:gridSpan w:val="2"/>
            <w:tcBorders>
              <w:top w:val="single" w:color="000000" w:sz="4" w:space="0"/>
              <w:left w:val="single" w:color="000000" w:sz="4" w:space="0"/>
              <w:bottom w:val="single" w:color="000000" w:sz="4" w:space="0"/>
              <w:right w:val="single" w:color="000000" w:sz="4" w:space="0"/>
            </w:tcBorders>
            <w:noWrap w:val="0"/>
            <w:vAlign w:val="center"/>
          </w:tcPr>
          <w:p w14:paraId="6C914B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u w:val="none"/>
              </w:rPr>
              <w:t>工业</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制造业</w:t>
            </w:r>
            <w:r>
              <w:rPr>
                <w:rFonts w:hint="eastAsia" w:ascii="宋体" w:hAnsi="宋体" w:cs="宋体"/>
                <w:color w:val="auto"/>
                <w:highlight w:val="none"/>
                <w:u w:val="none"/>
                <w:lang w:eastAsia="zh-CN"/>
              </w:rPr>
              <w:t>）</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9BB3C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2g/袋</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1A2C49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袋</w:t>
            </w:r>
          </w:p>
        </w:tc>
        <w:tc>
          <w:tcPr>
            <w:tcW w:w="389" w:type="pct"/>
            <w:tcBorders>
              <w:top w:val="single" w:color="auto" w:sz="4" w:space="0"/>
              <w:left w:val="single" w:color="000000" w:sz="4" w:space="0"/>
              <w:bottom w:val="single" w:color="auto" w:sz="4" w:space="0"/>
              <w:right w:val="single" w:color="auto" w:sz="4" w:space="0"/>
            </w:tcBorders>
            <w:shd w:val="clear" w:color="auto" w:fill="auto"/>
            <w:noWrap w:val="0"/>
            <w:vAlign w:val="center"/>
          </w:tcPr>
          <w:p w14:paraId="159B4F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8529</w:t>
            </w:r>
          </w:p>
        </w:tc>
        <w:tc>
          <w:tcPr>
            <w:tcW w:w="42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6F6A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2.74</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2BA8F2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23369.00</w:t>
            </w:r>
          </w:p>
        </w:tc>
        <w:tc>
          <w:tcPr>
            <w:tcW w:w="1732" w:type="pct"/>
            <w:tcBorders>
              <w:top w:val="single" w:color="auto" w:sz="4" w:space="0"/>
              <w:left w:val="single" w:color="auto" w:sz="4" w:space="0"/>
              <w:bottom w:val="single" w:color="auto" w:sz="4" w:space="0"/>
              <w:right w:val="single" w:color="000000" w:sz="4" w:space="0"/>
            </w:tcBorders>
            <w:shd w:val="clear" w:color="auto" w:fill="auto"/>
            <w:noWrap w:val="0"/>
            <w:vAlign w:val="center"/>
          </w:tcPr>
          <w:p w14:paraId="5F860D8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人参皂苷 Rg₁≥0.25%</w:t>
            </w:r>
          </w:p>
          <w:p w14:paraId="6336121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Rb₁≥0.20%</w:t>
            </w:r>
          </w:p>
          <w:p w14:paraId="5C88A6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三七皂苷 R₁≥0.10%</w:t>
            </w:r>
          </w:p>
          <w:p w14:paraId="4924854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三者合计≥0.60%</w:t>
            </w:r>
          </w:p>
        </w:tc>
      </w:tr>
      <w:tr w14:paraId="3F005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220" w:type="pct"/>
            <w:tcBorders>
              <w:top w:val="single" w:color="000000" w:sz="4" w:space="0"/>
              <w:left w:val="single" w:color="000000" w:sz="4" w:space="0"/>
              <w:bottom w:val="single" w:color="000000" w:sz="4" w:space="0"/>
              <w:right w:val="single" w:color="000000" w:sz="4" w:space="0"/>
            </w:tcBorders>
            <w:noWrap/>
            <w:vAlign w:val="center"/>
          </w:tcPr>
          <w:p w14:paraId="5F6C3575">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2347E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鲜竹沥</w:t>
            </w:r>
          </w:p>
        </w:tc>
        <w:tc>
          <w:tcPr>
            <w:tcW w:w="463" w:type="pct"/>
            <w:gridSpan w:val="2"/>
            <w:tcBorders>
              <w:top w:val="single" w:color="000000" w:sz="4" w:space="0"/>
              <w:left w:val="single" w:color="000000" w:sz="4" w:space="0"/>
              <w:bottom w:val="single" w:color="000000" w:sz="4" w:space="0"/>
              <w:right w:val="single" w:color="000000" w:sz="4" w:space="0"/>
            </w:tcBorders>
            <w:noWrap w:val="0"/>
            <w:vAlign w:val="center"/>
          </w:tcPr>
          <w:p w14:paraId="6E6A10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u w:val="none"/>
              </w:rPr>
              <w:t>工业</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制造业</w:t>
            </w:r>
            <w:r>
              <w:rPr>
                <w:rFonts w:hint="eastAsia" w:ascii="宋体" w:hAnsi="宋体" w:cs="宋体"/>
                <w:color w:val="auto"/>
                <w:highlight w:val="none"/>
                <w:u w:val="none"/>
                <w:lang w:eastAsia="zh-CN"/>
              </w:rPr>
              <w:t>）</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D31E4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30ml/瓶</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347E40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瓶</w:t>
            </w:r>
          </w:p>
        </w:tc>
        <w:tc>
          <w:tcPr>
            <w:tcW w:w="389" w:type="pct"/>
            <w:tcBorders>
              <w:top w:val="single" w:color="auto" w:sz="4" w:space="0"/>
              <w:left w:val="single" w:color="000000" w:sz="4" w:space="0"/>
              <w:bottom w:val="single" w:color="000000" w:sz="4" w:space="0"/>
              <w:right w:val="single" w:color="auto" w:sz="4" w:space="0"/>
            </w:tcBorders>
            <w:shd w:val="clear" w:color="auto" w:fill="auto"/>
            <w:noWrap w:val="0"/>
            <w:vAlign w:val="center"/>
          </w:tcPr>
          <w:p w14:paraId="059212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4992</w:t>
            </w:r>
          </w:p>
        </w:tc>
        <w:tc>
          <w:tcPr>
            <w:tcW w:w="429" w:type="pct"/>
            <w:tcBorders>
              <w:top w:val="single" w:color="auto" w:sz="4" w:space="0"/>
              <w:left w:val="single" w:color="auto" w:sz="4" w:space="0"/>
              <w:bottom w:val="single" w:color="000000" w:sz="4" w:space="0"/>
              <w:right w:val="single" w:color="auto" w:sz="4" w:space="0"/>
            </w:tcBorders>
            <w:shd w:val="clear" w:color="auto" w:fill="auto"/>
            <w:noWrap w:val="0"/>
            <w:vAlign w:val="center"/>
          </w:tcPr>
          <w:p w14:paraId="2503A1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26.22</w:t>
            </w:r>
          </w:p>
        </w:tc>
        <w:tc>
          <w:tcPr>
            <w:tcW w:w="563" w:type="pct"/>
            <w:tcBorders>
              <w:top w:val="single" w:color="auto" w:sz="4" w:space="0"/>
              <w:left w:val="single" w:color="auto" w:sz="4" w:space="0"/>
              <w:bottom w:val="single" w:color="000000" w:sz="4" w:space="0"/>
              <w:right w:val="single" w:color="auto" w:sz="4" w:space="0"/>
            </w:tcBorders>
            <w:noWrap w:val="0"/>
            <w:vAlign w:val="center"/>
          </w:tcPr>
          <w:p w14:paraId="79DED5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heme="minorEastAsia" w:hAnsiTheme="minorEastAsia" w:eastAsiaTheme="minorEastAsia" w:cstheme="minorEastAsia"/>
                <w:b w:val="0"/>
                <w:bCs w:val="0"/>
                <w:i w:val="0"/>
                <w:iCs w:val="0"/>
                <w:strike w:val="0"/>
                <w:dstrike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130890.00</w:t>
            </w:r>
          </w:p>
        </w:tc>
        <w:tc>
          <w:tcPr>
            <w:tcW w:w="1732" w:type="pct"/>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48B0F69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愈创木酚≥0.010mg/mL</w:t>
            </w:r>
          </w:p>
          <w:p w14:paraId="6BA6D67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pH </w:t>
            </w:r>
            <w:r>
              <w:rPr>
                <w:rFonts w:hint="eastAsia" w:ascii="宋体" w:hAnsi="宋体" w:cs="宋体"/>
                <w:i w:val="0"/>
                <w:iCs w:val="0"/>
                <w:color w:val="auto"/>
                <w:kern w:val="0"/>
                <w:sz w:val="21"/>
                <w:szCs w:val="21"/>
                <w:highlight w:val="none"/>
                <w:u w:val="none"/>
                <w:lang w:val="en-US" w:eastAsia="zh-CN" w:bidi="ar"/>
              </w:rPr>
              <w:t>4.4</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5.5</w:t>
            </w:r>
            <w:r>
              <w:rPr>
                <w:rFonts w:hint="eastAsia" w:ascii="宋体" w:hAnsi="宋体" w:eastAsia="宋体" w:cs="宋体"/>
                <w:i w:val="0"/>
                <w:iCs w:val="0"/>
                <w:color w:val="auto"/>
                <w:kern w:val="0"/>
                <w:sz w:val="21"/>
                <w:szCs w:val="21"/>
                <w:highlight w:val="none"/>
                <w:u w:val="none"/>
                <w:lang w:val="en-US" w:eastAsia="zh-CN" w:bidi="ar"/>
              </w:rPr>
              <w:t>，相对密度≥1.00</w:t>
            </w:r>
          </w:p>
        </w:tc>
      </w:tr>
      <w:tr w14:paraId="739D7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noWrap/>
            <w:vAlign w:val="center"/>
          </w:tcPr>
          <w:p w14:paraId="4A38E7E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采购预算金额人民币大写：</w:t>
            </w:r>
            <w:r>
              <w:rPr>
                <w:rFonts w:hint="eastAsia" w:ascii="宋体" w:hAnsi="宋体" w:cs="宋体"/>
                <w:i w:val="0"/>
                <w:iCs w:val="0"/>
                <w:color w:val="auto"/>
                <w:sz w:val="21"/>
                <w:szCs w:val="21"/>
                <w:highlight w:val="none"/>
                <w:u w:val="single"/>
                <w:lang w:val="en-US" w:eastAsia="zh-CN"/>
              </w:rPr>
              <w:t>柒拾万元整（</w:t>
            </w:r>
            <w:r>
              <w:rPr>
                <w:rFonts w:hint="default" w:ascii="宋体" w:hAnsi="宋体" w:cs="宋体"/>
                <w:i w:val="0"/>
                <w:iCs w:val="0"/>
                <w:color w:val="auto"/>
                <w:sz w:val="21"/>
                <w:szCs w:val="21"/>
                <w:highlight w:val="none"/>
                <w:u w:val="single"/>
                <w:lang w:val="en-US" w:eastAsia="zh-CN"/>
              </w:rPr>
              <w:t>¥</w:t>
            </w:r>
            <w:r>
              <w:rPr>
                <w:rFonts w:hint="eastAsia" w:ascii="宋体" w:hAnsi="宋体" w:cs="宋体"/>
                <w:i w:val="0"/>
                <w:iCs w:val="0"/>
                <w:color w:val="auto"/>
                <w:sz w:val="21"/>
                <w:szCs w:val="21"/>
                <w:highlight w:val="none"/>
                <w:u w:val="single"/>
                <w:lang w:val="en-US" w:eastAsia="zh-CN"/>
              </w:rPr>
              <w:t>：700000.00元）</w:t>
            </w:r>
          </w:p>
        </w:tc>
      </w:tr>
      <w:tr w14:paraId="1443A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14:paraId="69DF038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商务条款</w:t>
            </w:r>
          </w:p>
        </w:tc>
      </w:tr>
      <w:tr w14:paraId="4E37C4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50" w:type="pct"/>
            <w:gridSpan w:val="3"/>
            <w:tcBorders>
              <w:top w:val="single" w:color="auto" w:sz="4" w:space="0"/>
              <w:left w:val="single" w:color="auto" w:sz="4" w:space="0"/>
              <w:bottom w:val="single" w:color="auto" w:sz="4" w:space="0"/>
              <w:right w:val="single" w:color="auto" w:sz="4" w:space="0"/>
            </w:tcBorders>
            <w:noWrap w:val="0"/>
            <w:vAlign w:val="center"/>
          </w:tcPr>
          <w:p w14:paraId="76A4FC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合同签订期</w:t>
            </w:r>
          </w:p>
        </w:tc>
        <w:tc>
          <w:tcPr>
            <w:tcW w:w="4149" w:type="pct"/>
            <w:gridSpan w:val="7"/>
            <w:tcBorders>
              <w:top w:val="single" w:color="auto" w:sz="4" w:space="0"/>
              <w:left w:val="single" w:color="auto" w:sz="4" w:space="0"/>
              <w:bottom w:val="single" w:color="auto" w:sz="4" w:space="0"/>
              <w:right w:val="single" w:color="auto" w:sz="4" w:space="0"/>
            </w:tcBorders>
            <w:noWrap w:val="0"/>
            <w:vAlign w:val="center"/>
          </w:tcPr>
          <w:p w14:paraId="0BF46C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b w:val="0"/>
                <w:bCs w:val="0"/>
                <w:color w:val="auto"/>
                <w:kern w:val="2"/>
                <w:sz w:val="21"/>
                <w:szCs w:val="21"/>
                <w:highlight w:val="none"/>
                <w:lang w:val="en-US" w:eastAsia="zh-CN" w:bidi="ar-SA"/>
              </w:rPr>
              <w:t>自成交通知书发出之日起 25 日内，成交供应商与采购人签订采购合同。</w:t>
            </w:r>
          </w:p>
        </w:tc>
      </w:tr>
      <w:tr w14:paraId="7B2F1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50" w:type="pct"/>
            <w:gridSpan w:val="3"/>
            <w:tcBorders>
              <w:top w:val="single" w:color="auto" w:sz="4" w:space="0"/>
              <w:left w:val="single" w:color="auto" w:sz="4" w:space="0"/>
              <w:bottom w:val="single" w:color="auto" w:sz="4" w:space="0"/>
              <w:right w:val="single" w:color="auto" w:sz="4" w:space="0"/>
            </w:tcBorders>
            <w:noWrap w:val="0"/>
            <w:vAlign w:val="center"/>
          </w:tcPr>
          <w:p w14:paraId="59DF37EE">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服务期</w:t>
            </w:r>
          </w:p>
        </w:tc>
        <w:tc>
          <w:tcPr>
            <w:tcW w:w="4149" w:type="pct"/>
            <w:gridSpan w:val="7"/>
            <w:tcBorders>
              <w:top w:val="single" w:color="auto" w:sz="4" w:space="0"/>
              <w:left w:val="single" w:color="auto" w:sz="4" w:space="0"/>
              <w:bottom w:val="single" w:color="auto" w:sz="4" w:space="0"/>
              <w:right w:val="single" w:color="auto" w:sz="4" w:space="0"/>
            </w:tcBorders>
            <w:noWrap w:val="0"/>
            <w:vAlign w:val="center"/>
          </w:tcPr>
          <w:p w14:paraId="4E0B78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1.合同签订之日起1年，或采购预算金额使用完毕止，两者以先到者为准。</w:t>
            </w:r>
          </w:p>
          <w:p w14:paraId="4920735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2.服务期内，采购人可根据临床需求调整采购数量，成交供应商不得拒绝，价格按成交单价执行。</w:t>
            </w:r>
          </w:p>
        </w:tc>
      </w:tr>
      <w:tr w14:paraId="06673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50" w:type="pct"/>
            <w:gridSpan w:val="3"/>
            <w:tcBorders>
              <w:top w:val="single" w:color="auto" w:sz="4" w:space="0"/>
              <w:left w:val="single" w:color="auto" w:sz="4" w:space="0"/>
              <w:bottom w:val="single" w:color="auto" w:sz="4" w:space="0"/>
              <w:right w:val="single" w:color="auto" w:sz="4" w:space="0"/>
            </w:tcBorders>
            <w:noWrap w:val="0"/>
            <w:vAlign w:val="center"/>
          </w:tcPr>
          <w:p w14:paraId="361BDBAA">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交货时间</w:t>
            </w:r>
          </w:p>
        </w:tc>
        <w:tc>
          <w:tcPr>
            <w:tcW w:w="4149" w:type="pct"/>
            <w:gridSpan w:val="7"/>
            <w:tcBorders>
              <w:top w:val="single" w:color="auto" w:sz="4" w:space="0"/>
              <w:left w:val="single" w:color="auto" w:sz="4" w:space="0"/>
              <w:bottom w:val="single" w:color="auto" w:sz="4" w:space="0"/>
              <w:right w:val="single" w:color="auto" w:sz="4" w:space="0"/>
            </w:tcBorders>
            <w:noWrap w:val="0"/>
            <w:vAlign w:val="center"/>
          </w:tcPr>
          <w:p w14:paraId="07EECA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1.合同签订生效后，</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应自收到采购人订单通知起配送供货：</w:t>
            </w:r>
          </w:p>
          <w:p w14:paraId="258398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急救、急用（特殊订单或紧急订单，含急诊抢救、手术应急、突发公共卫生事件用药）药品：原则上3小时内送达；一般药品（普通订单，常规门诊 / 住院用药）：96小时内送达；不能一次完成订单配送的，剩余部分须在7天内（含第一次配送时间）完成配送，且每日向采购人反馈配送进度。</w:t>
            </w:r>
          </w:p>
          <w:p w14:paraId="3AF3D9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2.配送须由</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自有专业物流完成，不得转包、分包，否则采购人有权解除合同并追究违约责任。</w:t>
            </w:r>
          </w:p>
          <w:p w14:paraId="5A1F630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3.接到采购人《发货通知书》4 日内，完成供货、安装调试（如有）并验收合格。</w:t>
            </w:r>
          </w:p>
        </w:tc>
      </w:tr>
      <w:tr w14:paraId="24C09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50" w:type="pct"/>
            <w:gridSpan w:val="3"/>
            <w:tcBorders>
              <w:top w:val="single" w:color="auto" w:sz="4" w:space="0"/>
              <w:left w:val="single" w:color="auto" w:sz="4" w:space="0"/>
              <w:bottom w:val="single" w:color="auto" w:sz="4" w:space="0"/>
              <w:right w:val="single" w:color="auto" w:sz="4" w:space="0"/>
            </w:tcBorders>
            <w:noWrap w:val="0"/>
            <w:vAlign w:val="center"/>
          </w:tcPr>
          <w:p w14:paraId="3FA6BF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w:t>
            </w:r>
            <w:r>
              <w:rPr>
                <w:rFonts w:hint="eastAsia" w:ascii="宋体" w:hAnsi="宋体" w:eastAsia="宋体" w:cs="宋体"/>
                <w:color w:val="auto"/>
                <w:sz w:val="21"/>
                <w:szCs w:val="21"/>
                <w:highlight w:val="none"/>
              </w:rPr>
              <w:t>地点</w:t>
            </w:r>
          </w:p>
        </w:tc>
        <w:tc>
          <w:tcPr>
            <w:tcW w:w="4149" w:type="pct"/>
            <w:gridSpan w:val="7"/>
            <w:tcBorders>
              <w:top w:val="single" w:color="auto" w:sz="4" w:space="0"/>
              <w:left w:val="single" w:color="auto" w:sz="4" w:space="0"/>
              <w:bottom w:val="single" w:color="auto" w:sz="4" w:space="0"/>
              <w:right w:val="single" w:color="auto" w:sz="4" w:space="0"/>
            </w:tcBorders>
            <w:noWrap w:val="0"/>
            <w:vAlign w:val="center"/>
          </w:tcPr>
          <w:p w14:paraId="0725D07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采购人指定地点（ 陆川县人民医院指定药库）。</w:t>
            </w:r>
          </w:p>
        </w:tc>
      </w:tr>
      <w:tr w14:paraId="3BF08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5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53BE9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验收标准、规范</w:t>
            </w:r>
          </w:p>
        </w:tc>
        <w:tc>
          <w:tcPr>
            <w:tcW w:w="4149" w:type="pct"/>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14:paraId="582F45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验收须符合国家标准、行业标准、地方标准或其他标准、规范，同时执行《药品经营质量管理规范（GSP）》。</w:t>
            </w:r>
          </w:p>
          <w:p w14:paraId="0E19BAD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验收内容包括：药品外观、包装、标签、说明书、有效期、检验报告等。</w:t>
            </w:r>
          </w:p>
          <w:p w14:paraId="611129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到货验收时，药品剩余有效期不得少于 12个月；有效期不足 6 个月的药品，采购人有权拒收，</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需无条件退换货并承担相关费用。</w:t>
            </w:r>
          </w:p>
          <w:p w14:paraId="1E410D4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验收不合格的药品，采购人有权拒收，</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需在 24 小时内完成退换货，造成的损失由</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承担。</w:t>
            </w:r>
          </w:p>
        </w:tc>
      </w:tr>
      <w:tr w14:paraId="4354A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5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811FD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售后服务要求</w:t>
            </w:r>
          </w:p>
        </w:tc>
        <w:tc>
          <w:tcPr>
            <w:tcW w:w="4149" w:type="pct"/>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14:paraId="5F4E25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质保期：自验收小组验收合格之日起 1年，换新货物后的质保期从换新完毕并验收合格之日起计算。</w:t>
            </w:r>
          </w:p>
          <w:p w14:paraId="30161A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响应时间：服务期内，一般问题（如包装破损、数量不符）2 小时内响应，24 小时内完成退换货；重大问题（如质量不合格、假药劣药）12 小时内到场处置，48 小时内完成召回与退换货；远程无法或不便解决的问题，经双方核实确认后，24 小时内到达现场解决。</w:t>
            </w:r>
          </w:p>
          <w:p w14:paraId="35464E5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召回责任：</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需建立药品召回制度，在接到采购人召回通知后 24 小时内完成召回，承担全部召回费用与相关损失。</w:t>
            </w:r>
          </w:p>
          <w:p w14:paraId="4C2F580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质量责任：因药品质量问题造成的医疗风险、经济损失，由</w:t>
            </w:r>
            <w:r>
              <w:rPr>
                <w:rFonts w:hint="eastAsia" w:asciiTheme="minorEastAsia" w:hAnsiTheme="minorEastAsia" w:eastAsiaTheme="minorEastAsia" w:cstheme="minorEastAsia"/>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lang w:val="en-US" w:eastAsia="zh-CN"/>
              </w:rPr>
              <w:t>承担全部责任。</w:t>
            </w:r>
          </w:p>
        </w:tc>
      </w:tr>
      <w:tr w14:paraId="4FBEE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50" w:type="pct"/>
            <w:gridSpan w:val="3"/>
            <w:tcBorders>
              <w:top w:val="single" w:color="auto" w:sz="4" w:space="0"/>
              <w:left w:val="single" w:color="auto" w:sz="4" w:space="0"/>
              <w:bottom w:val="single" w:color="auto" w:sz="4" w:space="0"/>
              <w:right w:val="single" w:color="auto" w:sz="4" w:space="0"/>
            </w:tcBorders>
            <w:noWrap w:val="0"/>
            <w:vAlign w:val="center"/>
          </w:tcPr>
          <w:p w14:paraId="32ABD8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付款方式</w:t>
            </w:r>
          </w:p>
        </w:tc>
        <w:tc>
          <w:tcPr>
            <w:tcW w:w="4149" w:type="pct"/>
            <w:gridSpan w:val="7"/>
            <w:tcBorders>
              <w:top w:val="single" w:color="auto" w:sz="4" w:space="0"/>
              <w:left w:val="single" w:color="auto" w:sz="4" w:space="0"/>
              <w:bottom w:val="single" w:color="auto" w:sz="4" w:space="0"/>
              <w:right w:val="single" w:color="auto" w:sz="4" w:space="0"/>
            </w:tcBorders>
            <w:noWrap w:val="0"/>
            <w:vAlign w:val="center"/>
          </w:tcPr>
          <w:p w14:paraId="70E292F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医院向成交供应商支付货款的时间为经双方进行货款结算核对无误且医院收到成交供应商开具的正式发票起6个月（或自行协商）。如有特殊情况导致发票时间滞后错月，成交供应商必须提供《发票滞后说明函》，医院按接收发票时间统一进行排款支付。</w:t>
            </w:r>
          </w:p>
        </w:tc>
      </w:tr>
      <w:tr w14:paraId="56F24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50" w:type="pct"/>
            <w:gridSpan w:val="3"/>
            <w:tcBorders>
              <w:top w:val="single" w:color="auto" w:sz="4" w:space="0"/>
              <w:left w:val="single" w:color="auto" w:sz="4" w:space="0"/>
              <w:bottom w:val="single" w:color="auto" w:sz="4" w:space="0"/>
              <w:right w:val="single" w:color="auto" w:sz="4" w:space="0"/>
            </w:tcBorders>
            <w:noWrap w:val="0"/>
            <w:vAlign w:val="center"/>
          </w:tcPr>
          <w:p w14:paraId="673FC1B2">
            <w:pPr>
              <w:keepNext w:val="0"/>
              <w:keepLines w:val="0"/>
              <w:pageBreakBefore w:val="0"/>
              <w:widowControl w:val="0"/>
              <w:kinsoku/>
              <w:wordWrap/>
              <w:overflowPunct/>
              <w:topLinePunct w:val="0"/>
              <w:autoSpaceDE/>
              <w:autoSpaceDN/>
              <w:bidi w:val="0"/>
              <w:adjustRightInd/>
              <w:snapToGrid/>
              <w:spacing w:line="336" w:lineRule="auto"/>
              <w:ind w:firstLine="210" w:firstLineChars="1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报价要求</w:t>
            </w:r>
          </w:p>
        </w:tc>
        <w:tc>
          <w:tcPr>
            <w:tcW w:w="4149" w:type="pct"/>
            <w:gridSpan w:val="7"/>
            <w:tcBorders>
              <w:top w:val="single" w:color="auto" w:sz="4" w:space="0"/>
              <w:left w:val="single" w:color="auto" w:sz="4" w:space="0"/>
              <w:bottom w:val="single" w:color="auto" w:sz="4" w:space="0"/>
              <w:right w:val="single" w:color="auto" w:sz="4" w:space="0"/>
            </w:tcBorders>
            <w:noWrap w:val="0"/>
            <w:vAlign w:val="center"/>
          </w:tcPr>
          <w:p w14:paraId="3EAAEB8E">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default"/>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1.报价须包含产品价格、包装费、检测费、运费、保险费、各项税金及合同实施所需的一切相关费用，为固定单价，报价不得高于</w:t>
            </w:r>
            <w:r>
              <w:rPr>
                <w:rFonts w:hint="eastAsia" w:ascii="宋体" w:hAnsi="宋体" w:cs="宋体"/>
                <w:b/>
                <w:bCs/>
                <w:i w:val="0"/>
                <w:iCs w:val="0"/>
                <w:color w:val="auto"/>
                <w:sz w:val="21"/>
                <w:szCs w:val="21"/>
                <w:highlight w:val="none"/>
                <w:u w:val="none"/>
                <w:lang w:val="en-US" w:eastAsia="zh-CN"/>
              </w:rPr>
              <w:t>最高限制单价</w:t>
            </w:r>
            <w:r>
              <w:rPr>
                <w:rFonts w:hint="eastAsia" w:asciiTheme="minorEastAsia" w:hAnsiTheme="minorEastAsia" w:eastAsiaTheme="minorEastAsia" w:cstheme="minorEastAsia"/>
                <w:b w:val="0"/>
                <w:bCs w:val="0"/>
                <w:color w:val="auto"/>
                <w:kern w:val="2"/>
                <w:sz w:val="21"/>
                <w:szCs w:val="21"/>
                <w:highlight w:val="none"/>
                <w:lang w:val="en-US" w:eastAsia="zh-CN" w:bidi="ar-SA"/>
              </w:rPr>
              <w:t>。</w:t>
            </w:r>
          </w:p>
        </w:tc>
      </w:tr>
      <w:tr w14:paraId="0BCB5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50" w:type="pct"/>
            <w:gridSpan w:val="3"/>
            <w:tcBorders>
              <w:top w:val="single" w:color="auto" w:sz="4" w:space="0"/>
              <w:left w:val="single" w:color="auto" w:sz="4" w:space="0"/>
              <w:bottom w:val="single" w:color="auto" w:sz="4" w:space="0"/>
              <w:right w:val="single" w:color="auto" w:sz="4" w:space="0"/>
            </w:tcBorders>
            <w:noWrap w:val="0"/>
            <w:vAlign w:val="center"/>
          </w:tcPr>
          <w:p w14:paraId="7E1DC0BC">
            <w:pPr>
              <w:keepNext w:val="0"/>
              <w:keepLines w:val="0"/>
              <w:pageBreakBefore w:val="0"/>
              <w:widowControl w:val="0"/>
              <w:kinsoku/>
              <w:wordWrap/>
              <w:overflowPunct/>
              <w:topLinePunct w:val="0"/>
              <w:autoSpaceDE/>
              <w:autoSpaceDN/>
              <w:bidi w:val="0"/>
              <w:adjustRightInd/>
              <w:snapToGrid/>
              <w:spacing w:line="336" w:lineRule="auto"/>
              <w:ind w:firstLine="210" w:firstLineChars="100"/>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报价说明</w:t>
            </w:r>
          </w:p>
        </w:tc>
        <w:tc>
          <w:tcPr>
            <w:tcW w:w="4149" w:type="pct"/>
            <w:gridSpan w:val="7"/>
            <w:tcBorders>
              <w:top w:val="single" w:color="auto" w:sz="4" w:space="0"/>
              <w:left w:val="single" w:color="auto" w:sz="4" w:space="0"/>
              <w:bottom w:val="single" w:color="auto" w:sz="4" w:space="0"/>
              <w:right w:val="single" w:color="auto" w:sz="4" w:space="0"/>
            </w:tcBorders>
            <w:noWrap w:val="0"/>
            <w:vAlign w:val="center"/>
          </w:tcPr>
          <w:p w14:paraId="1061AB80">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1.供应商应针对所有货物进行统一</w:t>
            </w:r>
            <w:r>
              <w:rPr>
                <w:rFonts w:hint="eastAsia" w:ascii="宋体" w:hAnsi="宋体" w:cs="宋体"/>
                <w:b w:val="0"/>
                <w:bCs w:val="0"/>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报价，竞标报价的</w:t>
            </w:r>
            <w:r>
              <w:rPr>
                <w:rFonts w:hint="eastAsia" w:ascii="宋体" w:hAnsi="宋体" w:cs="宋体"/>
                <w:b w:val="0"/>
                <w:bCs w:val="0"/>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价范围为0%≤</w:t>
            </w:r>
            <w:r>
              <w:rPr>
                <w:rFonts w:hint="eastAsia" w:ascii="宋体" w:hAnsi="宋体" w:cs="宋体"/>
                <w:b w:val="0"/>
                <w:bCs w:val="0"/>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报价≤100%，</w:t>
            </w:r>
            <w:r>
              <w:rPr>
                <w:rFonts w:hint="eastAsia" w:ascii="宋体" w:hAnsi="宋体" w:cs="宋体"/>
                <w:b w:val="0"/>
                <w:bCs w:val="0"/>
                <w:i w:val="0"/>
                <w:iCs w:val="0"/>
                <w:color w:val="auto"/>
                <w:sz w:val="21"/>
                <w:szCs w:val="21"/>
                <w:highlight w:val="none"/>
                <w:u w:val="none"/>
                <w:lang w:val="en-US" w:eastAsia="zh-CN"/>
              </w:rPr>
              <w:t>折扣率</w:t>
            </w:r>
            <w:r>
              <w:rPr>
                <w:rFonts w:hint="eastAsia" w:asciiTheme="minorEastAsia" w:hAnsiTheme="minorEastAsia" w:eastAsiaTheme="minorEastAsia" w:cstheme="minorEastAsia"/>
                <w:b w:val="0"/>
                <w:bCs w:val="0"/>
                <w:color w:val="auto"/>
                <w:kern w:val="2"/>
                <w:sz w:val="21"/>
                <w:szCs w:val="21"/>
                <w:highlight w:val="none"/>
                <w:lang w:val="en-US" w:eastAsia="zh-CN" w:bidi="ar-SA"/>
              </w:rPr>
              <w:t>报价超出报价范围的，按将无效竞标处理。</w:t>
            </w:r>
          </w:p>
          <w:p w14:paraId="67D344D5">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2.供应商必须就《陆川县人民医院精致饮片采购需求》中的所有货物在《竞标报价明细表》进行唯一、完整的单价报价，即</w:t>
            </w:r>
            <w:r>
              <w:rPr>
                <w:rFonts w:hint="eastAsia" w:asciiTheme="minorEastAsia" w:hAnsiTheme="minorEastAsia" w:eastAsiaTheme="minorEastAsia" w:cstheme="minorEastAsia"/>
                <w:b/>
                <w:bCs/>
                <w:color w:val="auto"/>
                <w:kern w:val="2"/>
                <w:sz w:val="21"/>
                <w:szCs w:val="21"/>
                <w:highlight w:val="none"/>
                <w:u w:val="single"/>
                <w:lang w:val="en-US" w:eastAsia="zh-CN" w:bidi="ar-SA"/>
              </w:rPr>
              <w:t>竞</w:t>
            </w:r>
            <w:r>
              <w:rPr>
                <w:rFonts w:hint="eastAsia" w:ascii="宋体" w:hAnsi="宋体" w:cs="宋体"/>
                <w:b/>
                <w:bCs/>
                <w:color w:val="auto"/>
                <w:szCs w:val="21"/>
                <w:highlight w:val="none"/>
                <w:u w:val="single"/>
              </w:rPr>
              <w:t>标</w:t>
            </w:r>
            <w:r>
              <w:rPr>
                <w:rFonts w:hint="eastAsia" w:ascii="宋体" w:hAnsi="宋体" w:cs="宋体"/>
                <w:b/>
                <w:bCs/>
                <w:color w:val="auto"/>
                <w:szCs w:val="21"/>
                <w:highlight w:val="none"/>
                <w:u w:val="single"/>
                <w:lang w:val="en-US" w:eastAsia="zh-CN"/>
              </w:rPr>
              <w:t>折扣</w:t>
            </w:r>
            <w:r>
              <w:rPr>
                <w:rFonts w:hint="eastAsia" w:ascii="宋体" w:hAnsi="宋体" w:eastAsia="宋体" w:cs="宋体"/>
                <w:b/>
                <w:bCs/>
                <w:color w:val="auto"/>
                <w:sz w:val="21"/>
                <w:szCs w:val="21"/>
                <w:highlight w:val="none"/>
                <w:u w:val="single"/>
                <w:lang w:val="en-US" w:eastAsia="zh-CN"/>
              </w:rPr>
              <w:t>率</w:t>
            </w:r>
            <w:r>
              <w:rPr>
                <w:rFonts w:hint="eastAsia" w:ascii="宋体" w:hAnsi="宋体" w:cs="宋体"/>
                <w:b/>
                <w:bCs/>
                <w:color w:val="auto"/>
                <w:szCs w:val="21"/>
                <w:highlight w:val="none"/>
                <w:u w:val="single"/>
              </w:rPr>
              <w:t>报价*</w:t>
            </w:r>
            <w:r>
              <w:rPr>
                <w:rFonts w:hint="eastAsia" w:ascii="宋体" w:hAnsi="宋体" w:cs="宋体"/>
                <w:b/>
                <w:bCs/>
                <w:color w:val="auto"/>
                <w:szCs w:val="21"/>
                <w:highlight w:val="none"/>
                <w:u w:val="single"/>
                <w:lang w:val="en-US" w:eastAsia="zh-CN"/>
              </w:rPr>
              <w:t>最高限制单价</w:t>
            </w:r>
            <w:r>
              <w:rPr>
                <w:rFonts w:hint="eastAsia" w:ascii="宋体" w:hAnsi="宋体" w:cs="宋体"/>
                <w:b/>
                <w:bCs/>
                <w:color w:val="auto"/>
                <w:szCs w:val="21"/>
                <w:highlight w:val="none"/>
                <w:u w:val="single"/>
              </w:rPr>
              <w:t>作为</w:t>
            </w:r>
            <w:r>
              <w:rPr>
                <w:rFonts w:hint="eastAsia" w:ascii="宋体" w:hAnsi="宋体" w:cs="宋体"/>
                <w:b/>
                <w:bCs/>
                <w:color w:val="auto"/>
                <w:szCs w:val="21"/>
                <w:highlight w:val="none"/>
                <w:u w:val="single"/>
                <w:lang w:val="en-US" w:eastAsia="zh-CN"/>
              </w:rPr>
              <w:t>竞标单价</w:t>
            </w:r>
            <w:r>
              <w:rPr>
                <w:rFonts w:hint="eastAsia" w:ascii="宋体" w:hAnsi="宋体" w:cs="宋体"/>
                <w:b/>
                <w:bCs/>
                <w:color w:val="auto"/>
                <w:szCs w:val="21"/>
                <w:highlight w:val="none"/>
                <w:u w:val="single"/>
                <w:lang w:eastAsia="zh-CN"/>
              </w:rPr>
              <w:t>报价</w:t>
            </w:r>
            <w:r>
              <w:rPr>
                <w:rFonts w:hint="eastAsia" w:asciiTheme="minorEastAsia" w:hAnsiTheme="minorEastAsia" w:eastAsiaTheme="minorEastAsia" w:cstheme="minorEastAsia"/>
                <w:b w:val="0"/>
                <w:bCs w:val="0"/>
                <w:color w:val="auto"/>
                <w:kern w:val="2"/>
                <w:sz w:val="21"/>
                <w:szCs w:val="21"/>
                <w:highlight w:val="none"/>
                <w:lang w:val="en-US" w:eastAsia="zh-CN" w:bidi="ar-SA"/>
              </w:rPr>
              <w:t>，不允许选择性报价或漏报，否则按无效竞标处理。</w:t>
            </w:r>
          </w:p>
          <w:p w14:paraId="7CC1BD25">
            <w:pPr>
              <w:wordWrap w:val="0"/>
              <w:spacing w:line="320" w:lineRule="exac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各</w:t>
            </w:r>
            <w:r>
              <w:rPr>
                <w:rFonts w:hint="eastAsia" w:asciiTheme="minorEastAsia" w:hAnsiTheme="minorEastAsia" w:eastAsiaTheme="minorEastAsia" w:cstheme="minorEastAsia"/>
                <w:b w:val="0"/>
                <w:bCs w:val="0"/>
                <w:color w:val="auto"/>
                <w:kern w:val="2"/>
                <w:sz w:val="21"/>
                <w:szCs w:val="21"/>
                <w:highlight w:val="none"/>
                <w:lang w:val="en-US" w:eastAsia="zh-CN" w:bidi="ar-SA"/>
              </w:rPr>
              <w:t>供应商</w:t>
            </w:r>
            <w:r>
              <w:rPr>
                <w:rFonts w:hint="eastAsia" w:ascii="宋体" w:hAnsi="宋体" w:cs="宋体"/>
                <w:b w:val="0"/>
                <w:bCs w:val="0"/>
                <w:color w:val="auto"/>
                <w:szCs w:val="21"/>
                <w:highlight w:val="none"/>
              </w:rPr>
              <w:t>请根据自身供货能力情况进行报价，如出现</w:t>
            </w:r>
            <w:r>
              <w:rPr>
                <w:rFonts w:hint="eastAsia" w:ascii="宋体" w:hAnsi="宋体" w:cs="宋体"/>
                <w:b w:val="0"/>
                <w:bCs w:val="0"/>
                <w:color w:val="auto"/>
                <w:szCs w:val="21"/>
                <w:highlight w:val="none"/>
                <w:lang w:val="en-US" w:eastAsia="zh-CN"/>
              </w:rPr>
              <w:t>成交人</w:t>
            </w:r>
            <w:r>
              <w:rPr>
                <w:rFonts w:hint="eastAsia" w:ascii="宋体" w:hAnsi="宋体" w:cs="宋体"/>
                <w:b w:val="0"/>
                <w:bCs w:val="0"/>
                <w:color w:val="auto"/>
                <w:szCs w:val="21"/>
                <w:highlight w:val="none"/>
              </w:rPr>
              <w:t>不能按所报价格供货的情况，采购人有权采取暂停供货或解除合同等措施维护自身权益。</w:t>
            </w:r>
          </w:p>
          <w:p w14:paraId="2C677B27">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4.</w:t>
            </w:r>
            <w:r>
              <w:rPr>
                <w:rFonts w:hint="eastAsia" w:asciiTheme="minorEastAsia" w:hAnsiTheme="minorEastAsia" w:eastAsiaTheme="minorEastAsia" w:cstheme="minorEastAsia"/>
                <w:b w:val="0"/>
                <w:bCs w:val="0"/>
                <w:color w:val="auto"/>
                <w:kern w:val="2"/>
                <w:sz w:val="21"/>
                <w:szCs w:val="21"/>
                <w:highlight w:val="none"/>
                <w:lang w:val="en-US" w:eastAsia="zh-CN" w:bidi="ar-SA"/>
              </w:rPr>
              <w:t>供应商</w:t>
            </w:r>
            <w:r>
              <w:rPr>
                <w:rFonts w:hint="eastAsia" w:ascii="宋体" w:hAnsi="宋体" w:cs="宋体"/>
                <w:b w:val="0"/>
                <w:bCs w:val="0"/>
                <w:color w:val="auto"/>
                <w:szCs w:val="21"/>
                <w:highlight w:val="none"/>
              </w:rPr>
              <w:t>各项药品的</w:t>
            </w:r>
            <w:r>
              <w:rPr>
                <w:rFonts w:hint="eastAsia" w:asciiTheme="minorEastAsia" w:hAnsiTheme="minorEastAsia" w:eastAsiaTheme="minorEastAsia" w:cstheme="minorEastAsia"/>
                <w:b w:val="0"/>
                <w:bCs w:val="0"/>
                <w:color w:val="auto"/>
                <w:kern w:val="2"/>
                <w:sz w:val="21"/>
                <w:szCs w:val="21"/>
                <w:highlight w:val="none"/>
                <w:lang w:val="en-US" w:eastAsia="zh-CN" w:bidi="ar-SA"/>
              </w:rPr>
              <w:t>竞</w:t>
            </w:r>
            <w:r>
              <w:rPr>
                <w:rFonts w:hint="eastAsia" w:ascii="宋体" w:hAnsi="宋体" w:cs="宋体"/>
                <w:b w:val="0"/>
                <w:bCs w:val="0"/>
                <w:color w:val="auto"/>
                <w:szCs w:val="21"/>
                <w:highlight w:val="none"/>
              </w:rPr>
              <w:t>标报价单价不能高于采购人的</w:t>
            </w:r>
            <w:r>
              <w:rPr>
                <w:rFonts w:hint="eastAsia" w:ascii="宋体" w:hAnsi="宋体" w:cs="宋体"/>
                <w:b w:val="0"/>
                <w:bCs w:val="0"/>
                <w:i w:val="0"/>
                <w:iCs w:val="0"/>
                <w:color w:val="auto"/>
                <w:sz w:val="21"/>
                <w:szCs w:val="21"/>
                <w:highlight w:val="none"/>
                <w:u w:val="none"/>
                <w:lang w:val="en-US" w:eastAsia="zh-CN"/>
              </w:rPr>
              <w:t>最高限制单价</w:t>
            </w:r>
            <w:r>
              <w:rPr>
                <w:rFonts w:hint="eastAsia" w:ascii="宋体" w:hAnsi="宋体" w:cs="宋体"/>
                <w:b w:val="0"/>
                <w:bCs w:val="0"/>
                <w:color w:val="auto"/>
                <w:szCs w:val="21"/>
                <w:highlight w:val="none"/>
              </w:rPr>
              <w:t>，否则按无效</w:t>
            </w:r>
            <w:r>
              <w:rPr>
                <w:rFonts w:hint="eastAsia" w:asciiTheme="minorEastAsia" w:hAnsiTheme="minorEastAsia" w:eastAsiaTheme="minorEastAsia" w:cstheme="minorEastAsia"/>
                <w:b w:val="0"/>
                <w:bCs w:val="0"/>
                <w:color w:val="auto"/>
                <w:kern w:val="2"/>
                <w:sz w:val="21"/>
                <w:szCs w:val="21"/>
                <w:highlight w:val="none"/>
                <w:lang w:val="en-US" w:eastAsia="zh-CN" w:bidi="ar-SA"/>
              </w:rPr>
              <w:t>竞</w:t>
            </w:r>
            <w:r>
              <w:rPr>
                <w:rFonts w:hint="eastAsia" w:ascii="宋体" w:hAnsi="宋体" w:cs="宋体"/>
                <w:b w:val="0"/>
                <w:bCs w:val="0"/>
                <w:color w:val="auto"/>
                <w:szCs w:val="21"/>
                <w:highlight w:val="none"/>
              </w:rPr>
              <w:t>标处理。</w:t>
            </w:r>
          </w:p>
          <w:p w14:paraId="33A6C6D0">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5.所有供应商必须就以上要求，进行竞标报价。以竞标</w:t>
            </w:r>
            <w:r>
              <w:rPr>
                <w:rFonts w:hint="eastAsia" w:ascii="宋体" w:hAnsi="宋体" w:cs="宋体"/>
                <w:b w:val="0"/>
                <w:bCs w:val="0"/>
                <w:i w:val="0"/>
                <w:iCs w:val="0"/>
                <w:color w:val="auto"/>
                <w:sz w:val="21"/>
                <w:szCs w:val="21"/>
                <w:highlight w:val="none"/>
                <w:u w:val="none"/>
                <w:lang w:val="en-US" w:eastAsia="zh-CN"/>
              </w:rPr>
              <w:t>折扣率报价</w:t>
            </w:r>
            <w:r>
              <w:rPr>
                <w:rFonts w:hint="eastAsia" w:asciiTheme="minorEastAsia" w:hAnsiTheme="minorEastAsia" w:eastAsiaTheme="minorEastAsia" w:cstheme="minorEastAsia"/>
                <w:b w:val="0"/>
                <w:bCs w:val="0"/>
                <w:color w:val="auto"/>
                <w:kern w:val="2"/>
                <w:sz w:val="21"/>
                <w:szCs w:val="21"/>
                <w:highlight w:val="none"/>
                <w:lang w:val="en-US" w:eastAsia="zh-CN" w:bidi="ar-SA"/>
              </w:rPr>
              <w:t>作为报价评审的评定依据。</w:t>
            </w:r>
          </w:p>
        </w:tc>
      </w:tr>
      <w:tr w14:paraId="17E48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14:paraId="540F4825">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rPr>
              <w:t>其他要求</w:t>
            </w:r>
          </w:p>
        </w:tc>
      </w:tr>
      <w:tr w14:paraId="2D2853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0" w:type="pct"/>
            <w:gridSpan w:val="3"/>
            <w:tcBorders>
              <w:top w:val="single" w:color="auto" w:sz="4" w:space="0"/>
              <w:left w:val="single" w:color="auto" w:sz="4" w:space="0"/>
              <w:bottom w:val="single" w:color="auto" w:sz="4" w:space="0"/>
              <w:right w:val="single" w:color="auto" w:sz="4" w:space="0"/>
            </w:tcBorders>
            <w:noWrap w:val="0"/>
            <w:vAlign w:val="center"/>
          </w:tcPr>
          <w:p w14:paraId="252D8B4C">
            <w:pPr>
              <w:tabs>
                <w:tab w:val="left" w:pos="180"/>
                <w:tab w:val="left" w:pos="1620"/>
              </w:tabs>
              <w:spacing w:line="360" w:lineRule="exact"/>
              <w:jc w:val="center"/>
              <w:rPr>
                <w:rFonts w:hint="default"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进口产品要求</w:t>
            </w:r>
          </w:p>
        </w:tc>
        <w:tc>
          <w:tcPr>
            <w:tcW w:w="4149" w:type="pct"/>
            <w:gridSpan w:val="7"/>
            <w:tcBorders>
              <w:top w:val="single" w:color="auto" w:sz="4" w:space="0"/>
              <w:left w:val="single" w:color="auto" w:sz="4" w:space="0"/>
              <w:bottom w:val="single" w:color="auto" w:sz="4" w:space="0"/>
              <w:right w:val="single" w:color="auto" w:sz="4" w:space="0"/>
            </w:tcBorders>
            <w:noWrap w:val="0"/>
            <w:vAlign w:val="top"/>
          </w:tcPr>
          <w:p w14:paraId="46B796E8">
            <w:pPr>
              <w:tabs>
                <w:tab w:val="left" w:pos="180"/>
                <w:tab w:val="left" w:pos="1620"/>
              </w:tabs>
              <w:spacing w:line="360" w:lineRule="exact"/>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本项目所涉及的货物均为国产药品（通过中国海关报关验放进入中国境内且产自中国境外的产品除外），不接受进口产品参与竞标。</w:t>
            </w:r>
          </w:p>
        </w:tc>
      </w:tr>
    </w:tbl>
    <w:p w14:paraId="1B10CB57"/>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271239"/>
    <w:rsid w:val="684F7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6">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2614</Words>
  <Characters>2992</Characters>
  <Lines>0</Lines>
  <Paragraphs>0</Paragraphs>
  <TotalTime>4</TotalTime>
  <ScaleCrop>false</ScaleCrop>
  <LinksUpToDate>false</LinksUpToDate>
  <CharactersWithSpaces>3038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2026-07-03T00:34:00Z</dcterms:created>
  <dc:creator>Administrator</dc:creator>
  <cp:lastModifiedBy>Administrator</cp:lastModifiedBy>
  <dcterms:modified xsi:type="dcterms:W3CDTF">2026-07-03T00:39:23Z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eyJoZGlkIjoiZmFiNzgwYWQ5YWQwY2UzOGQ0NTQyM2JmMmZlYmRkMDkiLCJ1c2VySWQiOiI0MDMzNzI1MTYifQ==</vt:lpwstr>
  </property>
  <property fmtid="{D5CDD505-2E9C-101B-9397-08002B2CF9AE}" pid="4" name="ICV">
    <vt:lpwstr>C446AE7C7C1D49BCA616A5B203B89470_12</vt:lpwstr>
  </property>
</Properties>
</file>