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D09EF">
      <w:pPr>
        <w:jc w:val="center"/>
        <w:rPr>
          <w:rFonts w:hint="eastAsia" w:ascii="宋体" w:hAnsi="宋体" w:eastAsia="宋体" w:cs="宋体"/>
          <w:b/>
          <w:bCs/>
          <w:color w:val="auto"/>
          <w:sz w:val="48"/>
          <w:szCs w:val="48"/>
          <w:highlight w:val="none"/>
          <w:lang w:eastAsia="zh-CN"/>
        </w:rPr>
      </w:pPr>
      <w:bookmarkStart w:id="142" w:name="_GoBack"/>
      <w:bookmarkEnd w:id="142"/>
    </w:p>
    <w:p w14:paraId="2E9165B7">
      <w:pPr>
        <w:jc w:val="center"/>
        <w:outlineLvl w:val="9"/>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t>广西建汇工程咨询有限公司</w:t>
      </w:r>
    </w:p>
    <w:p w14:paraId="0CE16F11">
      <w:pPr>
        <w:jc w:val="center"/>
        <w:rPr>
          <w:rFonts w:hint="eastAsia" w:ascii="宋体" w:hAnsi="宋体" w:eastAsia="宋体" w:cs="宋体"/>
          <w:b/>
          <w:bCs/>
          <w:color w:val="auto"/>
          <w:sz w:val="48"/>
          <w:szCs w:val="48"/>
          <w:highlight w:val="none"/>
          <w:lang w:eastAsia="zh-CN"/>
        </w:rPr>
      </w:pPr>
    </w:p>
    <w:p w14:paraId="157ECC1A">
      <w:pPr>
        <w:jc w:val="center"/>
        <w:rPr>
          <w:rFonts w:hint="eastAsia" w:asciiTheme="majorEastAsia" w:hAnsiTheme="majorEastAsia" w:eastAsiaTheme="majorEastAsia" w:cstheme="majorEastAsia"/>
          <w:color w:val="auto"/>
          <w:sz w:val="84"/>
          <w:szCs w:val="84"/>
          <w:highlight w:val="none"/>
        </w:rPr>
      </w:pPr>
      <w:bookmarkStart w:id="0" w:name="_Toc12839"/>
      <w:bookmarkStart w:id="1" w:name="_Toc8546"/>
      <w:r>
        <w:rPr>
          <w:rFonts w:hint="eastAsia" w:ascii="宋体" w:hAnsi="宋体" w:cs="宋体"/>
          <w:bCs w:val="0"/>
          <w:iCs/>
          <w:color w:val="auto"/>
          <w:sz w:val="48"/>
          <w:szCs w:val="48"/>
          <w:highlight w:val="none"/>
          <w:lang w:eastAsia="zh-CN"/>
        </w:rPr>
        <w:drawing>
          <wp:inline distT="0" distB="0" distL="114300" distR="114300">
            <wp:extent cx="1640205" cy="1140460"/>
            <wp:effectExtent l="0" t="0" r="17145" b="2540"/>
            <wp:docPr id="1" name="图片 1" descr="72e7eabc668db03e627e8490b74e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e7eabc668db03e627e8490b74e2c7"/>
                    <pic:cNvPicPr>
                      <a:picLocks noChangeAspect="1"/>
                    </pic:cNvPicPr>
                  </pic:nvPicPr>
                  <pic:blipFill>
                    <a:blip r:embed="rId9"/>
                    <a:stretch>
                      <a:fillRect/>
                    </a:stretch>
                  </pic:blipFill>
                  <pic:spPr>
                    <a:xfrm>
                      <a:off x="0" y="0"/>
                      <a:ext cx="1640205" cy="1140460"/>
                    </a:xfrm>
                    <a:prstGeom prst="rect">
                      <a:avLst/>
                    </a:prstGeom>
                  </pic:spPr>
                </pic:pic>
              </a:graphicData>
            </a:graphic>
          </wp:inline>
        </w:drawing>
      </w:r>
      <w:bookmarkEnd w:id="0"/>
      <w:bookmarkEnd w:id="1"/>
    </w:p>
    <w:p w14:paraId="7C41D250">
      <w:pPr>
        <w:jc w:val="center"/>
        <w:rPr>
          <w:rFonts w:hint="eastAsia" w:asciiTheme="majorEastAsia" w:hAnsiTheme="majorEastAsia" w:eastAsiaTheme="majorEastAsia" w:cstheme="majorEastAsia"/>
          <w:color w:val="auto"/>
          <w:sz w:val="84"/>
          <w:szCs w:val="84"/>
          <w:highlight w:val="none"/>
        </w:rPr>
      </w:pPr>
    </w:p>
    <w:p w14:paraId="0214DA82">
      <w:pPr>
        <w:jc w:val="center"/>
        <w:outlineLvl w:val="9"/>
        <w:rPr>
          <w:rFonts w:hint="eastAsia" w:asciiTheme="majorEastAsia" w:hAnsiTheme="majorEastAsia" w:eastAsiaTheme="majorEastAsia" w:cstheme="majorEastAsia"/>
          <w:color w:val="auto"/>
          <w:sz w:val="84"/>
          <w:szCs w:val="84"/>
          <w:highlight w:val="none"/>
        </w:rPr>
      </w:pPr>
      <w:bookmarkStart w:id="2" w:name="_Toc30928"/>
      <w:r>
        <w:rPr>
          <w:rFonts w:hint="eastAsia" w:asciiTheme="majorEastAsia" w:hAnsiTheme="majorEastAsia" w:eastAsiaTheme="majorEastAsia" w:cstheme="majorEastAsia"/>
          <w:color w:val="auto"/>
          <w:sz w:val="84"/>
          <w:szCs w:val="84"/>
          <w:highlight w:val="none"/>
        </w:rPr>
        <w:t>竞争性</w:t>
      </w:r>
      <w:r>
        <w:rPr>
          <w:rFonts w:hint="eastAsia" w:asciiTheme="majorEastAsia" w:hAnsiTheme="majorEastAsia" w:eastAsiaTheme="majorEastAsia" w:cstheme="majorEastAsia"/>
          <w:color w:val="auto"/>
          <w:sz w:val="84"/>
          <w:szCs w:val="84"/>
          <w:highlight w:val="none"/>
          <w:lang w:val="en-US" w:eastAsia="zh-CN"/>
        </w:rPr>
        <w:t>谈判</w:t>
      </w:r>
      <w:r>
        <w:rPr>
          <w:rFonts w:hint="eastAsia" w:asciiTheme="majorEastAsia" w:hAnsiTheme="majorEastAsia" w:eastAsiaTheme="majorEastAsia" w:cstheme="majorEastAsia"/>
          <w:color w:val="auto"/>
          <w:sz w:val="84"/>
          <w:szCs w:val="84"/>
          <w:highlight w:val="none"/>
        </w:rPr>
        <w:t>文件</w:t>
      </w:r>
      <w:bookmarkEnd w:id="2"/>
    </w:p>
    <w:p w14:paraId="3F08FEE8">
      <w:pPr>
        <w:snapToGrid w:val="0"/>
        <w:spacing w:before="120" w:beforeLines="50" w:line="360" w:lineRule="auto"/>
        <w:outlineLvl w:val="9"/>
        <w:rPr>
          <w:rFonts w:hint="eastAsia" w:asciiTheme="majorEastAsia" w:hAnsiTheme="majorEastAsia" w:eastAsiaTheme="majorEastAsia" w:cstheme="majorEastAsia"/>
          <w:b/>
          <w:color w:val="auto"/>
          <w:sz w:val="32"/>
          <w:szCs w:val="32"/>
          <w:highlight w:val="none"/>
          <w14:shadow w14:blurRad="50800" w14:dist="38100" w14:dir="2700000" w14:sx="100000" w14:sy="100000" w14:kx="0" w14:ky="0" w14:algn="tl">
            <w14:srgbClr w14:val="000000">
              <w14:alpha w14:val="60000"/>
            </w14:srgbClr>
          </w14:shadow>
        </w:rPr>
      </w:pPr>
      <w:r>
        <w:rPr>
          <w:rFonts w:hint="eastAsia" w:asciiTheme="majorEastAsia" w:hAnsiTheme="majorEastAsia" w:eastAsiaTheme="majorEastAsia" w:cstheme="majorEastAsia"/>
          <w:b/>
          <w:bCs/>
          <w:color w:val="auto"/>
          <w:sz w:val="84"/>
          <w:szCs w:val="84"/>
          <w:highlight w:val="none"/>
        </w:rPr>
        <w:t xml:space="preserve"> </w:t>
      </w:r>
    </w:p>
    <w:p w14:paraId="461E42F9">
      <w:pPr>
        <w:outlineLvl w:val="9"/>
        <w:rPr>
          <w:rFonts w:hint="eastAsia" w:asciiTheme="majorEastAsia" w:hAnsiTheme="majorEastAsia" w:eastAsiaTheme="majorEastAsia" w:cstheme="majorEastAsia"/>
          <w:b/>
          <w:bCs/>
          <w:color w:val="auto"/>
          <w:sz w:val="32"/>
          <w:szCs w:val="32"/>
          <w:highlight w:val="none"/>
        </w:rPr>
      </w:pPr>
    </w:p>
    <w:p w14:paraId="5E11F6B5">
      <w:pPr>
        <w:ind w:firstLine="1280" w:firstLineChars="400"/>
        <w:outlineLvl w:val="9"/>
        <w:rPr>
          <w:rFonts w:hint="eastAsia" w:asciiTheme="majorEastAsia" w:hAnsiTheme="majorEastAsia" w:eastAsiaTheme="majorEastAsia" w:cstheme="majorEastAsia"/>
          <w:b/>
          <w:bCs/>
          <w:color w:val="auto"/>
          <w:sz w:val="32"/>
          <w:szCs w:val="32"/>
          <w:highlight w:val="none"/>
        </w:rPr>
      </w:pPr>
    </w:p>
    <w:p w14:paraId="04B65680">
      <w:pPr>
        <w:ind w:firstLine="960" w:firstLineChars="300"/>
        <w:outlineLvl w:val="9"/>
        <w:rPr>
          <w:rFonts w:hint="eastAsia" w:asciiTheme="majorEastAsia" w:hAnsiTheme="majorEastAsia" w:eastAsiaTheme="majorEastAsia" w:cstheme="majorEastAsia"/>
          <w:b/>
          <w:bCs/>
          <w:color w:val="auto"/>
          <w:sz w:val="32"/>
          <w:szCs w:val="32"/>
          <w:highlight w:val="none"/>
          <w:lang w:eastAsia="zh-CN"/>
        </w:rPr>
      </w:pPr>
      <w:r>
        <w:rPr>
          <w:rFonts w:hint="eastAsia" w:asciiTheme="majorEastAsia" w:hAnsiTheme="majorEastAsia" w:eastAsiaTheme="majorEastAsia" w:cstheme="majorEastAsia"/>
          <w:b/>
          <w:bCs/>
          <w:color w:val="auto"/>
          <w:sz w:val="32"/>
          <w:szCs w:val="32"/>
          <w:highlight w:val="none"/>
        </w:rPr>
        <w:t>项目名称</w:t>
      </w:r>
      <w:r>
        <w:rPr>
          <w:rFonts w:hint="eastAsia" w:asciiTheme="majorEastAsia" w:hAnsiTheme="majorEastAsia" w:eastAsiaTheme="majorEastAsia" w:cstheme="majorEastAsia"/>
          <w:b/>
          <w:bCs/>
          <w:color w:val="auto"/>
          <w:sz w:val="32"/>
          <w:szCs w:val="32"/>
          <w:highlight w:val="none"/>
          <w:lang w:eastAsia="zh-CN"/>
        </w:rPr>
        <w:t>：脊柱微创手术系统</w:t>
      </w:r>
    </w:p>
    <w:p w14:paraId="021B6C60">
      <w:pPr>
        <w:ind w:firstLine="960" w:firstLineChars="300"/>
        <w:outlineLvl w:val="9"/>
        <w:rPr>
          <w:rFonts w:hint="default" w:asciiTheme="majorEastAsia" w:hAnsiTheme="majorEastAsia" w:eastAsiaTheme="majorEastAsia" w:cstheme="majorEastAsia"/>
          <w:b/>
          <w:bCs/>
          <w:color w:val="auto"/>
          <w:sz w:val="32"/>
          <w:szCs w:val="32"/>
          <w:highlight w:val="none"/>
          <w:lang w:val="en-US" w:eastAsia="zh-CN"/>
        </w:rPr>
      </w:pPr>
      <w:r>
        <w:rPr>
          <w:rFonts w:hint="eastAsia" w:asciiTheme="majorEastAsia" w:hAnsiTheme="majorEastAsia" w:eastAsiaTheme="majorEastAsia" w:cstheme="majorEastAsia"/>
          <w:b/>
          <w:bCs/>
          <w:color w:val="auto"/>
          <w:sz w:val="32"/>
          <w:szCs w:val="32"/>
          <w:highlight w:val="none"/>
        </w:rPr>
        <w:t>项目编号：</w:t>
      </w:r>
      <w:r>
        <w:rPr>
          <w:rFonts w:hint="eastAsia" w:asciiTheme="majorEastAsia" w:hAnsiTheme="majorEastAsia" w:eastAsiaTheme="majorEastAsia" w:cstheme="majorEastAsia"/>
          <w:b/>
          <w:bCs/>
          <w:color w:val="auto"/>
          <w:sz w:val="32"/>
          <w:szCs w:val="32"/>
          <w:highlight w:val="none"/>
          <w:lang w:eastAsia="zh-CN"/>
        </w:rPr>
        <w:t>YLZC2026-J1-220148-GXJH</w:t>
      </w:r>
      <w:r>
        <w:rPr>
          <w:rFonts w:hint="eastAsia" w:asciiTheme="majorEastAsia" w:hAnsiTheme="majorEastAsia" w:eastAsiaTheme="majorEastAsia" w:cstheme="majorEastAsia"/>
          <w:b/>
          <w:bCs/>
          <w:color w:val="auto"/>
          <w:sz w:val="32"/>
          <w:szCs w:val="32"/>
          <w:highlight w:val="none"/>
          <w:lang w:val="en-US" w:eastAsia="zh-CN"/>
        </w:rPr>
        <w:t xml:space="preserve"> </w:t>
      </w:r>
    </w:p>
    <w:p w14:paraId="057A83D6">
      <w:pPr>
        <w:ind w:firstLine="1400" w:firstLineChars="500"/>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 xml:space="preserve">                                                                        </w:t>
      </w:r>
    </w:p>
    <w:p w14:paraId="7C2B9506">
      <w:pPr>
        <w:ind w:firstLine="1600" w:firstLineChars="500"/>
        <w:rPr>
          <w:rFonts w:hint="eastAsia" w:asciiTheme="majorEastAsia" w:hAnsiTheme="majorEastAsia" w:eastAsiaTheme="majorEastAsia" w:cstheme="majorEastAsia"/>
          <w:b/>
          <w:bCs/>
          <w:color w:val="auto"/>
          <w:kern w:val="0"/>
          <w:sz w:val="32"/>
          <w:szCs w:val="32"/>
          <w:highlight w:val="none"/>
          <w:lang w:val="en-US" w:eastAsia="zh-CN" w:bidi="ar-SA"/>
        </w:rPr>
      </w:pPr>
    </w:p>
    <w:p w14:paraId="2DD4ABDC">
      <w:pPr>
        <w:pStyle w:val="2"/>
        <w:rPr>
          <w:rFonts w:hint="eastAsia"/>
          <w:color w:val="auto"/>
          <w:highlight w:val="none"/>
          <w:lang w:val="en-US" w:eastAsia="zh-CN"/>
        </w:rPr>
      </w:pPr>
    </w:p>
    <w:p w14:paraId="0207BBE4">
      <w:pPr>
        <w:ind w:firstLine="960" w:firstLineChars="300"/>
        <w:rPr>
          <w:rFonts w:hint="eastAsia" w:asciiTheme="majorEastAsia" w:hAnsiTheme="majorEastAsia" w:eastAsiaTheme="majorEastAsia" w:cstheme="majorEastAsia"/>
          <w:b/>
          <w:bCs/>
          <w:color w:val="auto"/>
          <w:kern w:val="0"/>
          <w:sz w:val="32"/>
          <w:szCs w:val="32"/>
          <w:highlight w:val="none"/>
          <w:lang w:val="en-US" w:eastAsia="zh-CN" w:bidi="ar-SA"/>
        </w:rPr>
      </w:pPr>
      <w:r>
        <w:rPr>
          <w:rFonts w:hint="eastAsia" w:asciiTheme="majorEastAsia" w:hAnsiTheme="majorEastAsia" w:eastAsiaTheme="majorEastAsia" w:cstheme="majorEastAsia"/>
          <w:b/>
          <w:bCs/>
          <w:color w:val="auto"/>
          <w:kern w:val="0"/>
          <w:sz w:val="32"/>
          <w:szCs w:val="32"/>
          <w:highlight w:val="none"/>
          <w:lang w:val="en-US" w:eastAsia="zh-CN" w:bidi="ar-SA"/>
        </w:rPr>
        <w:t>采购人：陆川县中西医结合骨科医院</w:t>
      </w:r>
    </w:p>
    <w:p w14:paraId="01D8CEAC">
      <w:pPr>
        <w:pStyle w:val="2"/>
        <w:rPr>
          <w:rFonts w:hint="eastAsia" w:asciiTheme="majorEastAsia" w:hAnsiTheme="majorEastAsia" w:eastAsiaTheme="majorEastAsia" w:cstheme="majorEastAsia"/>
          <w:b/>
          <w:bCs/>
          <w:color w:val="auto"/>
          <w:kern w:val="0"/>
          <w:sz w:val="32"/>
          <w:szCs w:val="32"/>
          <w:highlight w:val="none"/>
          <w:lang w:val="en-US" w:eastAsia="zh-CN" w:bidi="ar-SA"/>
        </w:rPr>
      </w:pPr>
    </w:p>
    <w:p w14:paraId="0EC94834">
      <w:pPr>
        <w:ind w:firstLine="960" w:firstLineChars="300"/>
        <w:rPr>
          <w:rFonts w:hint="eastAsia" w:asciiTheme="majorEastAsia" w:hAnsiTheme="majorEastAsia" w:eastAsiaTheme="majorEastAsia" w:cstheme="majorEastAsia"/>
          <w:b/>
          <w:bCs/>
          <w:color w:val="auto"/>
          <w:kern w:val="0"/>
          <w:sz w:val="32"/>
          <w:szCs w:val="32"/>
          <w:highlight w:val="none"/>
          <w:lang w:val="en-US" w:eastAsia="zh-CN" w:bidi="ar-SA"/>
        </w:rPr>
      </w:pPr>
      <w:r>
        <w:rPr>
          <w:rFonts w:hint="eastAsia" w:asciiTheme="majorEastAsia" w:hAnsiTheme="majorEastAsia" w:eastAsiaTheme="majorEastAsia" w:cstheme="majorEastAsia"/>
          <w:b/>
          <w:bCs/>
          <w:color w:val="auto"/>
          <w:kern w:val="0"/>
          <w:sz w:val="32"/>
          <w:szCs w:val="32"/>
          <w:highlight w:val="none"/>
          <w:lang w:val="en-US" w:eastAsia="zh-CN" w:bidi="ar-SA"/>
        </w:rPr>
        <w:t>采购代理机构：</w:t>
      </w:r>
      <w:r>
        <w:rPr>
          <w:rFonts w:hint="eastAsia" w:ascii="宋体" w:hAnsi="宋体" w:eastAsia="宋体" w:cs="宋体"/>
          <w:b/>
          <w:bCs/>
          <w:color w:val="auto"/>
          <w:kern w:val="0"/>
          <w:sz w:val="32"/>
          <w:szCs w:val="32"/>
          <w:highlight w:val="none"/>
          <w:lang w:val="en-US" w:eastAsia="zh-CN" w:bidi="ar-SA"/>
        </w:rPr>
        <w:t>广西建汇工程咨询有限公司</w:t>
      </w:r>
    </w:p>
    <w:p w14:paraId="63CFB56E">
      <w:pPr>
        <w:pStyle w:val="13"/>
        <w:spacing w:before="120" w:after="120" w:line="360" w:lineRule="auto"/>
        <w:ind w:firstLine="3920" w:firstLineChars="1400"/>
        <w:jc w:val="both"/>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lang w:val="en-US" w:eastAsia="zh-CN"/>
        </w:rPr>
        <w:t>2026年8月</w:t>
      </w:r>
    </w:p>
    <w:p w14:paraId="721B2BAE">
      <w:pPr>
        <w:pStyle w:val="13"/>
        <w:spacing w:before="120" w:after="120" w:line="360" w:lineRule="auto"/>
        <w:jc w:val="both"/>
        <w:rPr>
          <w:rFonts w:hint="eastAsia" w:asciiTheme="majorEastAsia" w:hAnsiTheme="majorEastAsia" w:eastAsiaTheme="majorEastAsia" w:cstheme="majorEastAsia"/>
          <w:b/>
          <w:bCs/>
          <w:color w:val="auto"/>
          <w:sz w:val="28"/>
          <w:szCs w:val="28"/>
          <w:highlight w:val="none"/>
          <w:lang w:val="en-US" w:eastAsia="zh-CN"/>
        </w:rPr>
        <w:sectPr>
          <w:headerReference r:id="rId4" w:type="first"/>
          <w:headerReference r:id="rId3" w:type="default"/>
          <w:pgSz w:w="11906" w:h="16838"/>
          <w:pgMar w:top="1134" w:right="1134" w:bottom="1134" w:left="1134" w:header="709" w:footer="709" w:gutter="0"/>
          <w:pgNumType w:fmt="decimal" w:start="1"/>
          <w:cols w:space="720" w:num="1"/>
          <w:titlePg/>
          <w:docGrid w:type="linesAndChars" w:linePitch="312" w:charSpace="0"/>
        </w:sectPr>
      </w:pPr>
    </w:p>
    <w:sdt>
      <w:sdtPr>
        <w:rPr>
          <w:rFonts w:ascii="宋体" w:hAnsi="宋体" w:eastAsia="宋体" w:cs="Times New Roman"/>
          <w:color w:val="auto"/>
          <w:kern w:val="2"/>
          <w:sz w:val="24"/>
          <w:szCs w:val="24"/>
          <w:highlight w:val="none"/>
          <w:lang w:val="en-US" w:eastAsia="zh-CN" w:bidi="ar-SA"/>
        </w:rPr>
        <w:id w:val="147458180"/>
        <w15:color w:val="DBDBDB"/>
        <w:docPartObj>
          <w:docPartGallery w:val="Table of Contents"/>
          <w:docPartUnique/>
        </w:docPartObj>
      </w:sdtPr>
      <w:sdtEndPr>
        <w:rPr>
          <w:rFonts w:hint="eastAsia" w:ascii="Times New Roman" w:hAnsi="Times New Roman" w:eastAsia="宋体" w:cs="Times New Roman"/>
          <w:color w:val="auto"/>
          <w:kern w:val="2"/>
          <w:sz w:val="24"/>
          <w:szCs w:val="24"/>
          <w:highlight w:val="none"/>
          <w:lang w:val="en-US" w:eastAsia="zh-CN" w:bidi="ar-SA"/>
        </w:rPr>
      </w:sdtEndPr>
      <w:sdtContent>
        <w:p w14:paraId="320B146C">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highlight w:val="none"/>
              <w:lang w:val="en-US" w:eastAsia="zh-CN" w:bidi="ar-SA"/>
            </w:rPr>
          </w:pPr>
        </w:p>
        <w:p w14:paraId="2A6FBEFA">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highlight w:val="none"/>
              <w:lang w:val="en-US" w:eastAsia="zh-CN" w:bidi="ar-SA"/>
            </w:rPr>
          </w:pPr>
        </w:p>
        <w:p w14:paraId="7E7BA224">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4"/>
              <w:szCs w:val="24"/>
              <w:highlight w:val="none"/>
              <w:lang w:val="en-US" w:eastAsia="zh-CN" w:bidi="ar-SA"/>
            </w:rPr>
          </w:pPr>
        </w:p>
        <w:p w14:paraId="063BF964">
          <w:pPr>
            <w:spacing w:before="0" w:beforeLines="0" w:after="0" w:afterLines="0" w:line="240" w:lineRule="auto"/>
            <w:ind w:left="0" w:leftChars="0" w:right="0" w:rightChars="0" w:firstLine="0" w:firstLineChars="0"/>
            <w:jc w:val="center"/>
            <w:rPr>
              <w:rFonts w:ascii="宋体" w:hAnsi="宋体" w:eastAsia="宋体"/>
              <w:color w:val="auto"/>
              <w:sz w:val="48"/>
              <w:szCs w:val="48"/>
              <w:highlight w:val="none"/>
            </w:rPr>
          </w:pPr>
          <w:r>
            <w:rPr>
              <w:rFonts w:ascii="宋体" w:hAnsi="宋体" w:eastAsia="宋体"/>
              <w:color w:val="auto"/>
              <w:sz w:val="48"/>
              <w:szCs w:val="48"/>
              <w:highlight w:val="none"/>
            </w:rPr>
            <w:t>目</w:t>
          </w:r>
          <w:r>
            <w:rPr>
              <w:rFonts w:hint="eastAsia" w:ascii="宋体" w:hAnsi="宋体"/>
              <w:color w:val="auto"/>
              <w:sz w:val="48"/>
              <w:szCs w:val="48"/>
              <w:highlight w:val="none"/>
              <w:lang w:val="en-US" w:eastAsia="zh-CN"/>
            </w:rPr>
            <w:t xml:space="preserve"> </w:t>
          </w:r>
          <w:r>
            <w:rPr>
              <w:rFonts w:ascii="宋体" w:hAnsi="宋体" w:eastAsia="宋体"/>
              <w:color w:val="auto"/>
              <w:sz w:val="48"/>
              <w:szCs w:val="48"/>
              <w:highlight w:val="none"/>
            </w:rPr>
            <w:t>录</w:t>
          </w:r>
        </w:p>
        <w:p w14:paraId="3CC19320">
          <w:pPr>
            <w:keepNext w:val="0"/>
            <w:keepLines w:val="0"/>
            <w:pageBreakBefore w:val="0"/>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p w14:paraId="6E531347">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TOC \o "1-1" \h \u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_Toc1821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color w:val="auto"/>
              <w:kern w:val="44"/>
              <w:sz w:val="24"/>
              <w:szCs w:val="24"/>
              <w:highlight w:val="none"/>
              <w:lang w:val="en-US" w:eastAsia="zh-CN" w:bidi="ar-SA"/>
            </w:rPr>
            <w:t xml:space="preserve">第一章 </w:t>
          </w:r>
          <w:r>
            <w:rPr>
              <w:rFonts w:hint="eastAsia" w:ascii="宋体" w:hAnsi="宋体" w:eastAsia="宋体" w:cs="宋体"/>
              <w:color w:val="auto"/>
              <w:sz w:val="24"/>
              <w:szCs w:val="24"/>
              <w:highlight w:val="none"/>
            </w:rPr>
            <w:t>竞争性谈判公告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23560425">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_Toc10522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_Toc10522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2450F144">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_Toc16307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3A91A4BB">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_Toc21292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第四章 评审程序和评定成交的标准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_Toc21292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3AE8084C">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_Toc27683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color w:val="auto"/>
              <w:kern w:val="0"/>
              <w:sz w:val="24"/>
              <w:szCs w:val="24"/>
              <w:highlight w:val="none"/>
              <w:lang w:val="en-US" w:eastAsia="zh-CN" w:bidi="ar"/>
            </w:rPr>
            <w:t>第五章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_Toc27683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793FB230">
          <w:pPr>
            <w:pStyle w:val="16"/>
            <w:keepNext w:val="0"/>
            <w:keepLines w:val="0"/>
            <w:pageBreakBefore w:val="0"/>
            <w:tabs>
              <w:tab w:val="right" w:leader="dot" w:pos="9637"/>
            </w:tabs>
            <w:kinsoku/>
            <w:wordWrap/>
            <w:overflowPunct/>
            <w:topLinePunct w:val="0"/>
            <w:autoSpaceDE/>
            <w:autoSpaceDN/>
            <w:bidi w:val="0"/>
            <w:adjustRightInd/>
            <w:snapToGrid/>
            <w:spacing w:line="5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_Toc23433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val="0"/>
              <w:color w:val="auto"/>
              <w:kern w:val="2"/>
              <w:sz w:val="24"/>
              <w:szCs w:val="24"/>
              <w:highlight w:val="none"/>
              <w:lang w:val="en-US" w:eastAsia="zh-CN" w:bidi="ar-SA"/>
            </w:rPr>
            <w:t>第六章 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_Toc23433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14:paraId="2A1FC47E">
          <w:pPr>
            <w:pStyle w:val="27"/>
            <w:keepNext w:val="0"/>
            <w:keepLines w:val="0"/>
            <w:pageBreakBefore w:val="0"/>
            <w:tabs>
              <w:tab w:val="right" w:leader="dot" w:pos="9626"/>
            </w:tabs>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color w:val="auto"/>
              <w:sz w:val="20"/>
              <w:szCs w:val="24"/>
              <w:highlight w:val="none"/>
              <w:lang w:val="en-US" w:eastAsia="zh-CN"/>
            </w:rPr>
          </w:pPr>
          <w:r>
            <w:rPr>
              <w:rFonts w:hint="eastAsia" w:ascii="宋体" w:hAnsi="宋体" w:eastAsia="宋体" w:cs="宋体"/>
              <w:color w:val="auto"/>
              <w:sz w:val="24"/>
              <w:szCs w:val="24"/>
              <w:highlight w:val="none"/>
              <w:lang w:val="en-US" w:eastAsia="zh-CN"/>
            </w:rPr>
            <w:fldChar w:fldCharType="end"/>
          </w:r>
        </w:p>
      </w:sdtContent>
    </w:sdt>
    <w:p w14:paraId="64A58345">
      <w:pPr>
        <w:pStyle w:val="27"/>
        <w:keepNext w:val="0"/>
        <w:keepLines w:val="0"/>
        <w:pageBreakBefore w:val="0"/>
        <w:tabs>
          <w:tab w:val="right" w:leader="dot" w:pos="9626"/>
        </w:tabs>
        <w:kinsoku/>
        <w:wordWrap/>
        <w:overflowPunct/>
        <w:topLinePunct w:val="0"/>
        <w:bidi w:val="0"/>
        <w:snapToGrid/>
        <w:spacing w:line="360" w:lineRule="auto"/>
        <w:textAlignment w:val="auto"/>
        <w:rPr>
          <w:rFonts w:hint="eastAsia" w:ascii="Times New Roman" w:hAnsi="Times New Roman" w:eastAsia="宋体" w:cs="Times New Roman"/>
          <w:color w:val="auto"/>
          <w:sz w:val="20"/>
          <w:szCs w:val="24"/>
          <w:highlight w:val="none"/>
          <w:lang w:val="en-US" w:eastAsia="zh-CN"/>
        </w:rPr>
      </w:pPr>
    </w:p>
    <w:p w14:paraId="7C975A33">
      <w:pPr>
        <w:keepNext w:val="0"/>
        <w:keepLines w:val="0"/>
        <w:widowControl/>
        <w:suppressLineNumbers w:val="0"/>
        <w:ind w:firstLine="620" w:firstLineChars="200"/>
        <w:jc w:val="left"/>
        <w:rPr>
          <w:rFonts w:hint="eastAsia" w:ascii="宋体" w:hAnsi="宋体" w:eastAsia="宋体" w:cs="宋体"/>
          <w:color w:val="auto"/>
          <w:kern w:val="0"/>
          <w:sz w:val="31"/>
          <w:szCs w:val="31"/>
          <w:highlight w:val="none"/>
          <w:lang w:val="en-US" w:eastAsia="zh-CN" w:bidi="ar"/>
        </w:rPr>
      </w:pPr>
    </w:p>
    <w:p w14:paraId="74E0104D">
      <w:pPr>
        <w:bidi w:val="0"/>
        <w:rPr>
          <w:rFonts w:hint="default"/>
          <w:color w:val="auto"/>
          <w:highlight w:val="none"/>
          <w:lang w:val="en-US" w:eastAsia="zh-CN"/>
        </w:rPr>
      </w:pPr>
    </w:p>
    <w:p w14:paraId="3DD1902B">
      <w:pPr>
        <w:bidi w:val="0"/>
        <w:rPr>
          <w:rFonts w:hint="default"/>
          <w:color w:val="auto"/>
          <w:highlight w:val="none"/>
          <w:lang w:val="en-US" w:eastAsia="zh-CN"/>
        </w:rPr>
      </w:pPr>
    </w:p>
    <w:p w14:paraId="1DC93FDB">
      <w:pPr>
        <w:bidi w:val="0"/>
        <w:rPr>
          <w:rFonts w:hint="default"/>
          <w:color w:val="auto"/>
          <w:highlight w:val="none"/>
          <w:lang w:val="en-US" w:eastAsia="zh-CN"/>
        </w:rPr>
      </w:pPr>
    </w:p>
    <w:p w14:paraId="1B59ECAD">
      <w:pPr>
        <w:bidi w:val="0"/>
        <w:rPr>
          <w:rFonts w:hint="default"/>
          <w:color w:val="auto"/>
          <w:highlight w:val="none"/>
          <w:lang w:val="en-US" w:eastAsia="zh-CN"/>
        </w:rPr>
      </w:pPr>
    </w:p>
    <w:p w14:paraId="605AE928">
      <w:pPr>
        <w:bidi w:val="0"/>
        <w:rPr>
          <w:rFonts w:hint="default"/>
          <w:color w:val="auto"/>
          <w:highlight w:val="none"/>
          <w:lang w:val="en-US" w:eastAsia="zh-CN"/>
        </w:rPr>
      </w:pPr>
    </w:p>
    <w:p w14:paraId="22C7498E">
      <w:pPr>
        <w:bidi w:val="0"/>
        <w:rPr>
          <w:rFonts w:hint="default"/>
          <w:color w:val="auto"/>
          <w:highlight w:val="none"/>
          <w:lang w:val="en-US" w:eastAsia="zh-CN"/>
        </w:rPr>
      </w:pPr>
    </w:p>
    <w:p w14:paraId="3CADF93A">
      <w:pPr>
        <w:bidi w:val="0"/>
        <w:rPr>
          <w:rFonts w:hint="default"/>
          <w:color w:val="auto"/>
          <w:highlight w:val="none"/>
          <w:lang w:val="en-US" w:eastAsia="zh-CN"/>
        </w:rPr>
      </w:pPr>
    </w:p>
    <w:p w14:paraId="61AE71D2">
      <w:pPr>
        <w:bidi w:val="0"/>
        <w:rPr>
          <w:rFonts w:hint="default"/>
          <w:color w:val="auto"/>
          <w:highlight w:val="none"/>
          <w:lang w:val="en-US" w:eastAsia="zh-CN"/>
        </w:rPr>
      </w:pPr>
    </w:p>
    <w:p w14:paraId="0078E3F7">
      <w:pPr>
        <w:bidi w:val="0"/>
        <w:rPr>
          <w:rFonts w:hint="default"/>
          <w:color w:val="auto"/>
          <w:highlight w:val="none"/>
          <w:lang w:val="en-US" w:eastAsia="zh-CN"/>
        </w:rPr>
      </w:pPr>
    </w:p>
    <w:p w14:paraId="280DE7CA">
      <w:pPr>
        <w:bidi w:val="0"/>
        <w:rPr>
          <w:rFonts w:hint="default"/>
          <w:color w:val="auto"/>
          <w:highlight w:val="none"/>
          <w:lang w:val="en-US" w:eastAsia="zh-CN"/>
        </w:rPr>
      </w:pPr>
    </w:p>
    <w:p w14:paraId="52E5D89C">
      <w:pPr>
        <w:bidi w:val="0"/>
        <w:rPr>
          <w:rFonts w:hint="default"/>
          <w:color w:val="auto"/>
          <w:highlight w:val="none"/>
          <w:lang w:val="en-US" w:eastAsia="zh-CN"/>
        </w:rPr>
      </w:pPr>
    </w:p>
    <w:p w14:paraId="7E343FBB">
      <w:pPr>
        <w:bidi w:val="0"/>
        <w:rPr>
          <w:rFonts w:hint="default"/>
          <w:color w:val="auto"/>
          <w:highlight w:val="none"/>
          <w:lang w:val="en-US" w:eastAsia="zh-CN"/>
        </w:rPr>
      </w:pPr>
    </w:p>
    <w:p w14:paraId="25DA5C5C">
      <w:pPr>
        <w:bidi w:val="0"/>
        <w:rPr>
          <w:rFonts w:hint="default"/>
          <w:color w:val="auto"/>
          <w:highlight w:val="none"/>
          <w:lang w:val="en-US" w:eastAsia="zh-CN"/>
        </w:rPr>
      </w:pPr>
    </w:p>
    <w:p w14:paraId="79B67416">
      <w:pPr>
        <w:bidi w:val="0"/>
        <w:rPr>
          <w:rFonts w:hint="default"/>
          <w:color w:val="auto"/>
          <w:highlight w:val="none"/>
          <w:lang w:val="en-US" w:eastAsia="zh-CN"/>
        </w:rPr>
      </w:pPr>
    </w:p>
    <w:p w14:paraId="2713F0B3">
      <w:pPr>
        <w:bidi w:val="0"/>
        <w:rPr>
          <w:rFonts w:hint="default"/>
          <w:color w:val="auto"/>
          <w:highlight w:val="none"/>
          <w:lang w:val="en-US" w:eastAsia="zh-CN"/>
        </w:rPr>
      </w:pPr>
    </w:p>
    <w:p w14:paraId="263B43ED">
      <w:pPr>
        <w:bidi w:val="0"/>
        <w:rPr>
          <w:rFonts w:hint="default"/>
          <w:color w:val="auto"/>
          <w:highlight w:val="none"/>
          <w:lang w:val="en-US" w:eastAsia="zh-CN"/>
        </w:rPr>
      </w:pPr>
    </w:p>
    <w:p w14:paraId="630445E2">
      <w:pPr>
        <w:bidi w:val="0"/>
        <w:rPr>
          <w:rFonts w:hint="default"/>
          <w:color w:val="auto"/>
          <w:highlight w:val="none"/>
          <w:lang w:val="en-US" w:eastAsia="zh-CN"/>
        </w:rPr>
      </w:pPr>
    </w:p>
    <w:p w14:paraId="3D822A29">
      <w:pPr>
        <w:bidi w:val="0"/>
        <w:rPr>
          <w:rFonts w:hint="default"/>
          <w:color w:val="auto"/>
          <w:highlight w:val="none"/>
          <w:lang w:val="en-US" w:eastAsia="zh-CN"/>
        </w:rPr>
      </w:pPr>
    </w:p>
    <w:p w14:paraId="03BCB2C7">
      <w:pPr>
        <w:bidi w:val="0"/>
        <w:rPr>
          <w:rFonts w:hint="default"/>
          <w:color w:val="auto"/>
          <w:highlight w:val="none"/>
          <w:lang w:val="en-US" w:eastAsia="zh-CN"/>
        </w:rPr>
      </w:pPr>
    </w:p>
    <w:p w14:paraId="4756CE62">
      <w:pPr>
        <w:bidi w:val="0"/>
        <w:rPr>
          <w:rFonts w:hint="default"/>
          <w:color w:val="auto"/>
          <w:highlight w:val="none"/>
          <w:lang w:val="en-US" w:eastAsia="zh-CN"/>
        </w:rPr>
      </w:pPr>
    </w:p>
    <w:p w14:paraId="1D830508">
      <w:pPr>
        <w:bidi w:val="0"/>
        <w:jc w:val="both"/>
        <w:rPr>
          <w:rFonts w:hint="default"/>
          <w:color w:val="auto"/>
          <w:highlight w:val="none"/>
          <w:lang w:val="en-US" w:eastAsia="zh-CN"/>
        </w:rPr>
        <w:sectPr>
          <w:footerReference r:id="rId5" w:type="default"/>
          <w:footnotePr>
            <w:numFmt w:val="decimal"/>
          </w:footnotePr>
          <w:pgSz w:w="11905" w:h="16838"/>
          <w:pgMar w:top="1134" w:right="1134" w:bottom="1134" w:left="1134" w:header="720" w:footer="720" w:gutter="0"/>
          <w:pgNumType w:fmt="decimal" w:start="2"/>
          <w:cols w:space="720" w:num="1"/>
          <w:rtlGutter w:val="0"/>
          <w:docGrid w:type="lines" w:linePitch="332" w:charSpace="0"/>
        </w:sectPr>
      </w:pPr>
    </w:p>
    <w:p w14:paraId="1FBE4827">
      <w:pPr>
        <w:pStyle w:val="3"/>
        <w:numPr>
          <w:ilvl w:val="0"/>
          <w:numId w:val="0"/>
        </w:numPr>
        <w:spacing w:before="0" w:after="0" w:line="240" w:lineRule="auto"/>
        <w:jc w:val="center"/>
        <w:outlineLvl w:val="0"/>
        <w:rPr>
          <w:rFonts w:hint="eastAsia"/>
          <w:color w:val="auto"/>
          <w:sz w:val="30"/>
          <w:szCs w:val="30"/>
          <w:highlight w:val="none"/>
        </w:rPr>
      </w:pPr>
      <w:bookmarkStart w:id="3" w:name="_Toc1821"/>
      <w:r>
        <w:rPr>
          <w:rFonts w:hint="eastAsia"/>
          <w:b/>
          <w:bCs/>
          <w:color w:val="auto"/>
          <w:kern w:val="44"/>
          <w:sz w:val="30"/>
          <w:szCs w:val="30"/>
          <w:highlight w:val="none"/>
          <w:lang w:val="en-US" w:eastAsia="zh-CN" w:bidi="ar-SA"/>
        </w:rPr>
        <w:t xml:space="preserve">第一章 </w:t>
      </w:r>
      <w:r>
        <w:rPr>
          <w:rFonts w:hint="eastAsia"/>
          <w:color w:val="auto"/>
          <w:sz w:val="30"/>
          <w:szCs w:val="30"/>
          <w:highlight w:val="none"/>
        </w:rPr>
        <w:t>竞争性谈判公告</w:t>
      </w:r>
      <w:bookmarkEnd w:id="3"/>
      <w:bookmarkStart w:id="4" w:name="_Toc44229878"/>
      <w:bookmarkStart w:id="5" w:name="_Toc35393629"/>
      <w:bookmarkStart w:id="6" w:name="_Toc28359012"/>
      <w:bookmarkStart w:id="7" w:name="_Toc28359089"/>
      <w:bookmarkStart w:id="8" w:name="_Toc35393798"/>
      <w:bookmarkStart w:id="9" w:name="_Toc28359004"/>
      <w:bookmarkStart w:id="10" w:name="_Toc35393623"/>
      <w:bookmarkStart w:id="11" w:name="_Toc35393792"/>
      <w:bookmarkStart w:id="12" w:name="_Toc28359081"/>
    </w:p>
    <w:p w14:paraId="00EF49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脊柱微创手术系统</w:t>
      </w:r>
    </w:p>
    <w:p w14:paraId="2E3CE1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color w:val="auto"/>
          <w:highlight w:val="none"/>
        </w:rPr>
      </w:pPr>
      <w:r>
        <w:rPr>
          <w:rFonts w:hint="eastAsia" w:asciiTheme="majorEastAsia" w:hAnsiTheme="majorEastAsia" w:eastAsiaTheme="majorEastAsia" w:cstheme="majorEastAsia"/>
          <w:b/>
          <w:bCs/>
          <w:color w:val="auto"/>
          <w:sz w:val="28"/>
          <w:szCs w:val="28"/>
          <w:highlight w:val="none"/>
          <w:lang w:eastAsia="zh-CN"/>
        </w:rPr>
        <w:t>竞争性</w:t>
      </w:r>
      <w:r>
        <w:rPr>
          <w:rFonts w:hint="eastAsia" w:asciiTheme="majorEastAsia" w:hAnsiTheme="majorEastAsia" w:eastAsiaTheme="majorEastAsia" w:cstheme="majorEastAsia"/>
          <w:b/>
          <w:bCs/>
          <w:color w:val="auto"/>
          <w:sz w:val="28"/>
          <w:szCs w:val="28"/>
          <w:highlight w:val="none"/>
          <w:lang w:val="en-US" w:eastAsia="zh-CN"/>
        </w:rPr>
        <w:t>谈判</w:t>
      </w:r>
      <w:r>
        <w:rPr>
          <w:rFonts w:hint="eastAsia" w:asciiTheme="majorEastAsia" w:hAnsiTheme="majorEastAsia" w:eastAsiaTheme="majorEastAsia" w:cstheme="majorEastAsia"/>
          <w:b/>
          <w:bCs/>
          <w:color w:val="auto"/>
          <w:sz w:val="28"/>
          <w:szCs w:val="28"/>
          <w:highlight w:val="none"/>
          <w:lang w:eastAsia="zh-CN"/>
        </w:rPr>
        <w:t>公告</w:t>
      </w:r>
    </w:p>
    <w:p w14:paraId="604EA710">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6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项目概况</w:t>
      </w:r>
    </w:p>
    <w:p w14:paraId="5226A18C">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Theme="majorEastAsia" w:hAnsiTheme="majorEastAsia" w:eastAsiaTheme="majorEastAsia" w:cstheme="majorEastAsia"/>
          <w:color w:val="auto"/>
          <w:sz w:val="21"/>
          <w:szCs w:val="21"/>
          <w:highlight w:val="none"/>
          <w:u w:val="single"/>
          <w:lang w:eastAsia="zh-CN"/>
        </w:rPr>
        <w:t>脊柱微创手术系统</w:t>
      </w:r>
      <w:r>
        <w:rPr>
          <w:rFonts w:hint="eastAsia" w:asciiTheme="majorEastAsia" w:hAnsiTheme="majorEastAsia" w:eastAsiaTheme="majorEastAsia" w:cstheme="majorEastAsia"/>
          <w:color w:val="auto"/>
          <w:sz w:val="21"/>
          <w:szCs w:val="21"/>
          <w:highlight w:val="none"/>
          <w:u w:val="none"/>
        </w:rPr>
        <w:t>的</w:t>
      </w:r>
      <w:r>
        <w:rPr>
          <w:rFonts w:hint="eastAsia" w:asciiTheme="majorEastAsia" w:hAnsiTheme="majorEastAsia" w:eastAsiaTheme="majorEastAsia" w:cstheme="majorEastAsia"/>
          <w:color w:val="auto"/>
          <w:sz w:val="21"/>
          <w:szCs w:val="21"/>
          <w:highlight w:val="none"/>
        </w:rPr>
        <w:t>潜在供应商应在</w:t>
      </w:r>
      <w:r>
        <w:rPr>
          <w:rFonts w:hint="eastAsia" w:asciiTheme="majorEastAsia" w:hAnsiTheme="majorEastAsia" w:eastAsiaTheme="majorEastAsia" w:cstheme="majorEastAsia"/>
          <w:color w:val="auto"/>
          <w:sz w:val="21"/>
          <w:szCs w:val="21"/>
          <w:highlight w:val="none"/>
          <w:u w:val="single"/>
        </w:rPr>
        <w:t>广西政府采购云平台</w:t>
      </w:r>
      <w:r>
        <w:rPr>
          <w:rFonts w:hint="eastAsia" w:asciiTheme="majorEastAsia" w:hAnsiTheme="majorEastAsia" w:eastAsiaTheme="majorEastAsia" w:cstheme="majorEastAsia"/>
          <w:color w:val="auto"/>
          <w:sz w:val="21"/>
          <w:szCs w:val="21"/>
          <w:highlight w:val="none"/>
          <w:u w:val="single"/>
          <w:lang w:val="en-US" w:eastAsia="zh-CN"/>
        </w:rPr>
        <w:t>（https://www.gcy.zfcg.gxzf.gov.cn/）</w:t>
      </w:r>
      <w:r>
        <w:rPr>
          <w:rFonts w:hint="eastAsia" w:asciiTheme="majorEastAsia" w:hAnsiTheme="majorEastAsia" w:eastAsiaTheme="majorEastAsia" w:cstheme="majorEastAsia"/>
          <w:color w:val="auto"/>
          <w:sz w:val="21"/>
          <w:szCs w:val="21"/>
          <w:highlight w:val="none"/>
        </w:rPr>
        <w:t>获取竞争性</w:t>
      </w:r>
      <w:r>
        <w:rPr>
          <w:rFonts w:hint="eastAsia" w:asciiTheme="majorEastAsia" w:hAnsiTheme="majorEastAsia" w:eastAsiaTheme="majorEastAsia" w:cstheme="majorEastAsia"/>
          <w:color w:val="auto"/>
          <w:sz w:val="21"/>
          <w:szCs w:val="21"/>
          <w:highlight w:val="none"/>
          <w:lang w:val="en-US" w:eastAsia="zh-CN"/>
        </w:rPr>
        <w:t>谈判</w:t>
      </w:r>
      <w:r>
        <w:rPr>
          <w:rFonts w:hint="eastAsia" w:asciiTheme="majorEastAsia" w:hAnsiTheme="majorEastAsia" w:eastAsiaTheme="majorEastAsia" w:cstheme="majorEastAsia"/>
          <w:color w:val="auto"/>
          <w:sz w:val="21"/>
          <w:szCs w:val="21"/>
          <w:highlight w:val="none"/>
        </w:rPr>
        <w:t>文件，并于</w:t>
      </w:r>
      <w:r>
        <w:rPr>
          <w:rFonts w:hint="eastAsia" w:asciiTheme="majorEastAsia" w:hAnsiTheme="majorEastAsia" w:eastAsiaTheme="majorEastAsia" w:cstheme="majorEastAsia"/>
          <w:color w:val="auto"/>
          <w:sz w:val="21"/>
          <w:szCs w:val="21"/>
          <w:highlight w:val="none"/>
          <w:u w:val="single"/>
          <w:lang w:val="en-US" w:eastAsia="zh-CN"/>
        </w:rPr>
        <w:t>2026年8月14日09</w:t>
      </w:r>
      <w:r>
        <w:rPr>
          <w:rFonts w:hint="eastAsia" w:asciiTheme="majorEastAsia" w:hAnsiTheme="majorEastAsia" w:eastAsiaTheme="majorEastAsia" w:cstheme="majorEastAsia"/>
          <w:color w:val="auto"/>
          <w:sz w:val="21"/>
          <w:szCs w:val="21"/>
          <w:highlight w:val="none"/>
          <w:u w:val="single"/>
        </w:rPr>
        <w:t>时</w:t>
      </w:r>
      <w:r>
        <w:rPr>
          <w:rFonts w:hint="eastAsia" w:asciiTheme="majorEastAsia" w:hAnsiTheme="majorEastAsia" w:eastAsiaTheme="majorEastAsia" w:cstheme="majorEastAsia"/>
          <w:color w:val="auto"/>
          <w:sz w:val="21"/>
          <w:szCs w:val="21"/>
          <w:highlight w:val="none"/>
          <w:u w:val="single"/>
          <w:lang w:val="en-US" w:eastAsia="zh-CN"/>
        </w:rPr>
        <w:t>00</w:t>
      </w:r>
      <w:r>
        <w:rPr>
          <w:rFonts w:hint="eastAsia" w:asciiTheme="majorEastAsia" w:hAnsiTheme="majorEastAsia" w:eastAsiaTheme="majorEastAsia" w:cstheme="majorEastAsia"/>
          <w:color w:val="auto"/>
          <w:sz w:val="21"/>
          <w:szCs w:val="21"/>
          <w:highlight w:val="none"/>
          <w:u w:val="single"/>
        </w:rPr>
        <w:t>分</w:t>
      </w:r>
      <w:r>
        <w:rPr>
          <w:rFonts w:hint="eastAsia" w:asciiTheme="majorEastAsia" w:hAnsiTheme="majorEastAsia" w:eastAsiaTheme="majorEastAsia" w:cstheme="majorEastAsia"/>
          <w:color w:val="auto"/>
          <w:sz w:val="21"/>
          <w:szCs w:val="21"/>
          <w:highlight w:val="none"/>
        </w:rPr>
        <w:t>（北京时间）前提交响应文件。</w:t>
      </w:r>
    </w:p>
    <w:p w14:paraId="1AA38AE9">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一、项目基本情况</w:t>
      </w:r>
      <w:bookmarkEnd w:id="4"/>
      <w:bookmarkEnd w:id="5"/>
      <w:bookmarkEnd w:id="6"/>
      <w:bookmarkEnd w:id="7"/>
      <w:bookmarkEnd w:id="8"/>
    </w:p>
    <w:p w14:paraId="6E7369B3">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YLZC2026-J1-220148-GXJH</w:t>
      </w:r>
      <w:r>
        <w:rPr>
          <w:rFonts w:hint="eastAsia" w:ascii="宋体" w:hAnsi="宋体" w:cs="宋体"/>
          <w:color w:val="auto"/>
          <w:sz w:val="21"/>
          <w:szCs w:val="21"/>
          <w:highlight w:val="none"/>
          <w:lang w:val="en-US" w:eastAsia="zh-CN"/>
        </w:rPr>
        <w:t xml:space="preserve"> </w:t>
      </w:r>
    </w:p>
    <w:p w14:paraId="23879296">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脊柱微创手术系统</w:t>
      </w:r>
    </w:p>
    <w:p w14:paraId="52084BEB">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预算</w:t>
      </w:r>
      <w:r>
        <w:rPr>
          <w:rFonts w:hint="eastAsia" w:ascii="宋体" w:hAnsi="宋体" w:cs="宋体"/>
          <w:color w:val="auto"/>
          <w:sz w:val="21"/>
          <w:szCs w:val="21"/>
          <w:highlight w:val="none"/>
          <w:lang w:val="en-US" w:eastAsia="zh-CN"/>
        </w:rPr>
        <w:t>总</w:t>
      </w:r>
      <w:r>
        <w:rPr>
          <w:rFonts w:hint="eastAsia" w:ascii="宋体" w:hAnsi="宋体" w:eastAsia="宋体" w:cs="宋体"/>
          <w:color w:val="auto"/>
          <w:sz w:val="21"/>
          <w:szCs w:val="21"/>
          <w:highlight w:val="none"/>
        </w:rPr>
        <w:t>金额</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元）</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1800000.00</w:t>
      </w:r>
    </w:p>
    <w:p w14:paraId="58D3FBEE">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p w14:paraId="6118693D">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u w:val="none"/>
          <w:lang w:eastAsia="zh-CN"/>
        </w:rPr>
        <w:t>标项名称:</w:t>
      </w:r>
      <w:r>
        <w:rPr>
          <w:rFonts w:hint="eastAsia" w:ascii="宋体" w:hAnsi="宋体" w:cs="宋体"/>
          <w:color w:val="auto"/>
          <w:sz w:val="21"/>
          <w:szCs w:val="21"/>
          <w:highlight w:val="none"/>
          <w:lang w:eastAsia="zh-CN"/>
        </w:rPr>
        <w:t>脊柱微创手术系统</w:t>
      </w:r>
    </w:p>
    <w:p w14:paraId="1D813615">
      <w:pPr>
        <w:keepNext w:val="0"/>
        <w:keepLines w:val="0"/>
        <w:pageBreakBefore w:val="0"/>
        <w:kinsoku/>
        <w:wordWrap/>
        <w:overflowPunct/>
        <w:topLinePunct w:val="0"/>
        <w:autoSpaceDE/>
        <w:autoSpaceDN/>
        <w:bidi w:val="0"/>
        <w:adjustRightInd/>
        <w:spacing w:line="460" w:lineRule="exact"/>
        <w:ind w:left="420" w:leftChars="200" w:firstLine="0" w:firstLineChars="0"/>
        <w:textAlignment w:val="auto"/>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u w:val="none"/>
          <w:lang w:eastAsia="zh-CN"/>
        </w:rPr>
        <w:t>数量:1</w:t>
      </w:r>
      <w:r>
        <w:rPr>
          <w:rFonts w:hint="eastAsia" w:asciiTheme="majorEastAsia" w:hAnsiTheme="majorEastAsia" w:eastAsiaTheme="majorEastAsia" w:cstheme="majorEastAsia"/>
          <w:color w:val="auto"/>
          <w:sz w:val="21"/>
          <w:szCs w:val="21"/>
          <w:highlight w:val="none"/>
          <w:u w:val="none"/>
          <w:lang w:val="en-US" w:eastAsia="zh-CN"/>
        </w:rPr>
        <w:t>台</w:t>
      </w:r>
      <w:r>
        <w:rPr>
          <w:rFonts w:hint="eastAsia" w:asciiTheme="majorEastAsia" w:hAnsiTheme="majorEastAsia" w:eastAsiaTheme="majorEastAsia" w:cstheme="majorEastAsia"/>
          <w:color w:val="auto"/>
          <w:sz w:val="21"/>
          <w:szCs w:val="21"/>
          <w:highlight w:val="none"/>
          <w:u w:val="none"/>
          <w:lang w:eastAsia="zh-CN"/>
        </w:rPr>
        <w:br w:type="textWrapping"/>
      </w:r>
      <w:r>
        <w:rPr>
          <w:rFonts w:hint="eastAsia" w:asciiTheme="majorEastAsia" w:hAnsiTheme="majorEastAsia" w:eastAsiaTheme="majorEastAsia" w:cstheme="majorEastAsia"/>
          <w:color w:val="auto"/>
          <w:sz w:val="21"/>
          <w:szCs w:val="21"/>
          <w:highlight w:val="none"/>
          <w:u w:val="none"/>
          <w:lang w:eastAsia="zh-CN"/>
        </w:rPr>
        <w:t>预算金额（元）:</w:t>
      </w:r>
      <w:r>
        <w:rPr>
          <w:rFonts w:hint="eastAsia" w:asciiTheme="majorEastAsia" w:hAnsiTheme="majorEastAsia" w:eastAsiaTheme="majorEastAsia" w:cstheme="majorEastAsia"/>
          <w:color w:val="auto"/>
          <w:sz w:val="21"/>
          <w:szCs w:val="21"/>
          <w:highlight w:val="none"/>
          <w:u w:val="none"/>
          <w:lang w:val="en-US" w:eastAsia="zh-CN"/>
        </w:rPr>
        <w:t>1800000.00</w:t>
      </w:r>
      <w:r>
        <w:rPr>
          <w:rFonts w:hint="eastAsia" w:asciiTheme="majorEastAsia" w:hAnsiTheme="majorEastAsia" w:eastAsiaTheme="majorEastAsia" w:cstheme="majorEastAsia"/>
          <w:color w:val="auto"/>
          <w:sz w:val="21"/>
          <w:szCs w:val="21"/>
          <w:highlight w:val="none"/>
          <w:u w:val="none"/>
          <w:lang w:eastAsia="zh-CN"/>
        </w:rPr>
        <w:br w:type="textWrapping"/>
      </w:r>
      <w:r>
        <w:rPr>
          <w:rFonts w:hint="eastAsia" w:asciiTheme="majorEastAsia" w:hAnsiTheme="majorEastAsia" w:eastAsiaTheme="majorEastAsia" w:cstheme="majorEastAsia"/>
          <w:color w:val="auto"/>
          <w:sz w:val="21"/>
          <w:szCs w:val="21"/>
          <w:highlight w:val="none"/>
          <w:u w:val="none"/>
          <w:lang w:eastAsia="zh-CN"/>
        </w:rPr>
        <w:t>简要规格描述或项目基本概况介绍、用途：脊柱微创手术系统</w:t>
      </w:r>
      <w:r>
        <w:rPr>
          <w:rFonts w:hint="eastAsia" w:asciiTheme="majorEastAsia" w:hAnsiTheme="majorEastAsia" w:eastAsiaTheme="majorEastAsia" w:cstheme="majorEastAsia"/>
          <w:color w:val="auto"/>
          <w:sz w:val="21"/>
          <w:szCs w:val="21"/>
          <w:highlight w:val="none"/>
          <w:u w:val="none"/>
          <w:lang w:val="en-US" w:eastAsia="zh-CN"/>
        </w:rPr>
        <w:t>1台，如需进一步了解详细内容，详见竞争性谈判文件。</w:t>
      </w:r>
    </w:p>
    <w:p w14:paraId="5527367D">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u w:val="none"/>
          <w:lang w:eastAsia="zh-CN"/>
        </w:rPr>
        <w:t>最高限价（元）：</w:t>
      </w:r>
      <w:r>
        <w:rPr>
          <w:rFonts w:hint="eastAsia" w:asciiTheme="majorEastAsia" w:hAnsiTheme="majorEastAsia" w:eastAsiaTheme="majorEastAsia" w:cstheme="majorEastAsia"/>
          <w:color w:val="auto"/>
          <w:sz w:val="21"/>
          <w:szCs w:val="21"/>
          <w:highlight w:val="none"/>
          <w:u w:val="none"/>
          <w:lang w:val="en-US" w:eastAsia="zh-CN"/>
        </w:rPr>
        <w:t>/</w:t>
      </w:r>
      <w:r>
        <w:rPr>
          <w:rFonts w:hint="eastAsia" w:asciiTheme="majorEastAsia" w:hAnsiTheme="majorEastAsia" w:eastAsiaTheme="majorEastAsia" w:cstheme="majorEastAsia"/>
          <w:color w:val="auto"/>
          <w:sz w:val="21"/>
          <w:szCs w:val="21"/>
          <w:highlight w:val="none"/>
          <w:u w:val="none"/>
          <w:lang w:eastAsia="zh-CN"/>
        </w:rPr>
        <w:t> </w:t>
      </w:r>
    </w:p>
    <w:p w14:paraId="709F7CFC">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u w:val="none"/>
          <w:lang w:eastAsia="zh-CN"/>
        </w:rPr>
        <w:t>合同履约期限：</w:t>
      </w:r>
      <w:r>
        <w:rPr>
          <w:rFonts w:hint="eastAsia" w:ascii="宋体" w:hAnsi="宋体" w:cs="宋体"/>
          <w:color w:val="auto"/>
          <w:sz w:val="21"/>
          <w:szCs w:val="21"/>
          <w:highlight w:val="none"/>
          <w:lang w:val="en-US" w:eastAsia="zh-CN"/>
        </w:rPr>
        <w:t>自签订合同之日起30个日历日内安装调试完毕。</w:t>
      </w:r>
    </w:p>
    <w:p w14:paraId="2E42F7AB">
      <w:pPr>
        <w:keepNext w:val="0"/>
        <w:keepLines w:val="0"/>
        <w:pageBreakBefore w:val="0"/>
        <w:kinsoku/>
        <w:wordWrap/>
        <w:overflowPunct/>
        <w:topLinePunct w:val="0"/>
        <w:autoSpaceDE/>
        <w:autoSpaceDN/>
        <w:bidi w:val="0"/>
        <w:adjustRightInd/>
        <w:spacing w:line="460" w:lineRule="exact"/>
        <w:ind w:left="420" w:leftChars="200" w:firstLine="0" w:firstLineChars="0"/>
        <w:textAlignment w:val="auto"/>
        <w:rPr>
          <w:rFonts w:hint="default" w:asciiTheme="majorEastAsia" w:hAnsiTheme="majorEastAsia" w:eastAsiaTheme="majorEastAsia" w:cstheme="majorEastAsia"/>
          <w:color w:val="auto"/>
          <w:sz w:val="21"/>
          <w:szCs w:val="21"/>
          <w:highlight w:val="none"/>
          <w:u w:val="none"/>
          <w:lang w:val="en-US" w:eastAsia="zh-CN"/>
        </w:rPr>
      </w:pPr>
      <w:r>
        <w:rPr>
          <w:rFonts w:hint="eastAsia" w:asciiTheme="majorEastAsia" w:hAnsiTheme="majorEastAsia" w:eastAsiaTheme="majorEastAsia" w:cstheme="majorEastAsia"/>
          <w:color w:val="auto"/>
          <w:sz w:val="21"/>
          <w:szCs w:val="21"/>
          <w:highlight w:val="none"/>
          <w:u w:val="none"/>
          <w:lang w:eastAsia="zh-CN"/>
        </w:rPr>
        <w:t>本标项（否）接受联合体投标</w:t>
      </w:r>
      <w:r>
        <w:rPr>
          <w:rFonts w:hint="eastAsia" w:asciiTheme="majorEastAsia" w:hAnsiTheme="majorEastAsia" w:eastAsiaTheme="majorEastAsia" w:cstheme="majorEastAsia"/>
          <w:color w:val="auto"/>
          <w:sz w:val="21"/>
          <w:szCs w:val="21"/>
          <w:highlight w:val="none"/>
          <w:u w:val="none"/>
          <w:lang w:eastAsia="zh-CN"/>
        </w:rPr>
        <w:br w:type="textWrapping"/>
      </w:r>
      <w:r>
        <w:rPr>
          <w:rFonts w:hint="eastAsia" w:asciiTheme="majorEastAsia" w:hAnsiTheme="majorEastAsia" w:eastAsiaTheme="majorEastAsia" w:cstheme="majorEastAsia"/>
          <w:color w:val="auto"/>
          <w:sz w:val="21"/>
          <w:szCs w:val="21"/>
          <w:highlight w:val="none"/>
          <w:u w:val="none"/>
          <w:lang w:eastAsia="zh-CN"/>
        </w:rPr>
        <w:t>备注：</w:t>
      </w:r>
      <w:r>
        <w:rPr>
          <w:rFonts w:hint="eastAsia" w:asciiTheme="majorEastAsia" w:hAnsiTheme="majorEastAsia" w:eastAsiaTheme="majorEastAsia" w:cstheme="majorEastAsia"/>
          <w:color w:val="auto"/>
          <w:sz w:val="21"/>
          <w:szCs w:val="21"/>
          <w:highlight w:val="none"/>
          <w:u w:val="none"/>
          <w:lang w:val="en-US" w:eastAsia="zh-CN"/>
        </w:rPr>
        <w:t>/</w:t>
      </w:r>
    </w:p>
    <w:p w14:paraId="1F4D57C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bookmarkStart w:id="13" w:name="_Toc44229879"/>
      <w:bookmarkStart w:id="14" w:name="_Toc35393799"/>
      <w:bookmarkStart w:id="15" w:name="_Toc28359013"/>
      <w:bookmarkStart w:id="16" w:name="_Toc35393630"/>
      <w:bookmarkStart w:id="17" w:name="_Toc28359090"/>
      <w:r>
        <w:rPr>
          <w:rFonts w:hint="eastAsia" w:ascii="宋体" w:hAnsi="宋体" w:eastAsia="宋体" w:cs="宋体"/>
          <w:b/>
          <w:bCs w:val="0"/>
          <w:color w:val="auto"/>
          <w:sz w:val="21"/>
          <w:szCs w:val="21"/>
          <w:highlight w:val="none"/>
        </w:rPr>
        <w:t>二、供应商的资格条件</w:t>
      </w:r>
      <w:bookmarkEnd w:id="13"/>
      <w:bookmarkEnd w:id="14"/>
      <w:bookmarkEnd w:id="15"/>
      <w:bookmarkEnd w:id="16"/>
      <w:bookmarkEnd w:id="17"/>
    </w:p>
    <w:p w14:paraId="7CC23645">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FF69F20">
      <w:pPr>
        <w:pStyle w:val="8"/>
        <w:keepNext w:val="0"/>
        <w:keepLines w:val="0"/>
        <w:pageBreakBefore w:val="0"/>
        <w:numPr>
          <w:ilvl w:val="0"/>
          <w:numId w:val="0"/>
        </w:numPr>
        <w:kinsoku/>
        <w:wordWrap/>
        <w:overflowPunct/>
        <w:topLinePunct w:val="0"/>
        <w:autoSpaceDE/>
        <w:autoSpaceDN/>
        <w:bidi w:val="0"/>
        <w:adjustRightInd/>
        <w:spacing w:line="460" w:lineRule="exact"/>
        <w:ind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专门面向</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小企业采购的项目</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产品制造商</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为</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小微企业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监狱企业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残疾人福利</w:t>
      </w:r>
      <w:r>
        <w:rPr>
          <w:rFonts w:hint="eastAsia" w:ascii="宋体" w:hAnsi="宋体" w:cs="宋体"/>
          <w:color w:val="auto"/>
          <w:sz w:val="21"/>
          <w:szCs w:val="21"/>
          <w:highlight w:val="none"/>
          <w:lang w:eastAsia="zh-CN"/>
        </w:rPr>
        <w:t>单位</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032CB16A">
      <w:pPr>
        <w:pStyle w:val="8"/>
        <w:keepNext w:val="0"/>
        <w:keepLines w:val="0"/>
        <w:pageBreakBefore w:val="0"/>
        <w:numPr>
          <w:ilvl w:val="0"/>
          <w:numId w:val="0"/>
        </w:numPr>
        <w:kinsoku/>
        <w:wordWrap/>
        <w:overflowPunct/>
        <w:topLinePunct w:val="0"/>
        <w:autoSpaceDE/>
        <w:autoSpaceDN/>
        <w:bidi w:val="0"/>
        <w:adjustRightInd/>
        <w:spacing w:line="460" w:lineRule="exact"/>
        <w:ind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p>
    <w:p w14:paraId="1276EDB1">
      <w:pPr>
        <w:pStyle w:val="8"/>
        <w:keepNext w:val="0"/>
        <w:keepLines w:val="0"/>
        <w:pageBreakBefore w:val="0"/>
        <w:numPr>
          <w:ilvl w:val="0"/>
          <w:numId w:val="0"/>
        </w:numPr>
        <w:kinsoku/>
        <w:wordWrap/>
        <w:overflowPunct/>
        <w:topLinePunct w:val="0"/>
        <w:autoSpaceDE/>
        <w:autoSpaceDN/>
        <w:bidi w:val="0"/>
        <w:adjustRightInd/>
        <w:spacing w:line="46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若为非生产厂家则必须提供有效期内的医疗器械经营许可证或备案证明（竞标产品若为三类医疗器械，请提供医疗器械经营许可证。若为需经营备案的二类医疗器械，请提供相应经营备案证明；若为不需经营备案的二类医疗器械，请提供相关的免备案证明）；</w:t>
      </w:r>
    </w:p>
    <w:p w14:paraId="1DEA3781">
      <w:pPr>
        <w:pStyle w:val="8"/>
        <w:keepNext w:val="0"/>
        <w:keepLines w:val="0"/>
        <w:pageBreakBefore w:val="0"/>
        <w:numPr>
          <w:ilvl w:val="0"/>
          <w:numId w:val="0"/>
        </w:numPr>
        <w:kinsoku/>
        <w:wordWrap/>
        <w:overflowPunct/>
        <w:topLinePunct w:val="0"/>
        <w:autoSpaceDE/>
        <w:autoSpaceDN/>
        <w:bidi w:val="0"/>
        <w:adjustRightInd/>
        <w:spacing w:line="460" w:lineRule="exact"/>
        <w:ind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（2）供应商若为竞标产品制造商则应提供有效期内的医疗器械生产许可证或生产备案证明（竞标产品若为二类、三类医疗器械，请提供医疗器械生产许可证。若为一类医疗器械，请提供生产备案证明）。</w:t>
      </w:r>
    </w:p>
    <w:p w14:paraId="4A00F1FF">
      <w:pPr>
        <w:keepNext w:val="0"/>
        <w:keepLines w:val="0"/>
        <w:pageBreakBefore w:val="0"/>
        <w:kinsoku/>
        <w:wordWrap/>
        <w:overflowPunct/>
        <w:topLinePunct w:val="0"/>
        <w:autoSpaceDE/>
        <w:autoSpaceDN/>
        <w:bidi w:val="0"/>
        <w:adjustRightInd/>
        <w:spacing w:line="460" w:lineRule="exact"/>
        <w:ind w:firstLine="422"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三、获取竞争性谈判文件</w:t>
      </w:r>
      <w:bookmarkEnd w:id="9"/>
      <w:bookmarkEnd w:id="10"/>
      <w:bookmarkEnd w:id="11"/>
      <w:bookmarkEnd w:id="12"/>
    </w:p>
    <w:p w14:paraId="7D81F88F">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color w:val="auto"/>
          <w:sz w:val="21"/>
          <w:szCs w:val="21"/>
          <w:highlight w:val="none"/>
          <w:lang w:eastAsia="zh-CN"/>
        </w:rPr>
      </w:pPr>
      <w:bookmarkStart w:id="18" w:name="_Toc35393632"/>
      <w:bookmarkStart w:id="19" w:name="_Toc28359092"/>
      <w:bookmarkStart w:id="20" w:name="_Toc35393801"/>
      <w:bookmarkStart w:id="21" w:name="_Toc28359015"/>
      <w:bookmarkStart w:id="22" w:name="_Toc35393793"/>
      <w:bookmarkStart w:id="23" w:name="_Toc28359082"/>
      <w:bookmarkStart w:id="24" w:name="_Toc28359005"/>
      <w:bookmarkStart w:id="25" w:name="_Toc35393624"/>
      <w:r>
        <w:rPr>
          <w:rFonts w:hint="eastAsia" w:ascii="宋体" w:hAnsi="宋体" w:eastAsia="宋体" w:cs="宋体"/>
          <w:b w:val="0"/>
          <w:bCs/>
          <w:color w:val="auto"/>
          <w:sz w:val="21"/>
          <w:szCs w:val="21"/>
          <w:highlight w:val="none"/>
          <w:lang w:eastAsia="zh-CN"/>
        </w:rPr>
        <w:t>时间：</w:t>
      </w:r>
      <w:r>
        <w:rPr>
          <w:rFonts w:hint="eastAsia" w:ascii="宋体" w:hAnsi="宋体" w:eastAsia="宋体" w:cs="宋体"/>
          <w:b w:val="0"/>
          <w:bCs/>
          <w:color w:val="auto"/>
          <w:sz w:val="21"/>
          <w:szCs w:val="21"/>
          <w:highlight w:val="none"/>
          <w:lang w:val="en-US" w:eastAsia="zh-CN"/>
        </w:rPr>
        <w:t>202</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年</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月</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日</w:t>
      </w:r>
      <w:r>
        <w:rPr>
          <w:rFonts w:hint="eastAsia" w:ascii="宋体" w:hAnsi="宋体" w:eastAsia="宋体" w:cs="宋体"/>
          <w:b w:val="0"/>
          <w:bCs/>
          <w:color w:val="auto"/>
          <w:sz w:val="21"/>
          <w:szCs w:val="21"/>
          <w:highlight w:val="none"/>
          <w:lang w:eastAsia="zh-CN"/>
        </w:rPr>
        <w:t>至202</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年</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eastAsia="zh-CN"/>
        </w:rPr>
        <w:t>月</w:t>
      </w:r>
      <w:r>
        <w:rPr>
          <w:rFonts w:hint="eastAsia" w:ascii="宋体" w:hAnsi="宋体" w:cs="宋体"/>
          <w:b w:val="0"/>
          <w:bCs/>
          <w:color w:val="auto"/>
          <w:sz w:val="21"/>
          <w:szCs w:val="21"/>
          <w:highlight w:val="none"/>
          <w:lang w:val="en-US" w:eastAsia="zh-CN"/>
        </w:rPr>
        <w:t>13</w:t>
      </w:r>
      <w:r>
        <w:rPr>
          <w:rFonts w:hint="eastAsia" w:ascii="宋体" w:hAnsi="宋体" w:eastAsia="宋体" w:cs="宋体"/>
          <w:b w:val="0"/>
          <w:bCs/>
          <w:color w:val="auto"/>
          <w:sz w:val="21"/>
          <w:szCs w:val="21"/>
          <w:highlight w:val="none"/>
          <w:lang w:eastAsia="zh-CN"/>
        </w:rPr>
        <w:t>日，每天上午08:00</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eastAsia="zh-CN"/>
        </w:rPr>
        <w:t>12:00，下午</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eastAsia="zh-CN"/>
        </w:rPr>
        <w:t>:00</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:00（北京时间，法定节假日除外）</w:t>
      </w:r>
    </w:p>
    <w:p w14:paraId="3034E2EB">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地点：</w:t>
      </w:r>
      <w:bookmarkEnd w:id="18"/>
      <w:bookmarkEnd w:id="19"/>
      <w:bookmarkEnd w:id="20"/>
      <w:bookmarkEnd w:id="21"/>
      <w:r>
        <w:rPr>
          <w:rFonts w:hint="eastAsia" w:ascii="宋体" w:hAnsi="宋体" w:eastAsia="宋体" w:cs="宋体"/>
          <w:b w:val="0"/>
          <w:bCs/>
          <w:color w:val="auto"/>
          <w:sz w:val="21"/>
          <w:szCs w:val="21"/>
          <w:highlight w:val="none"/>
          <w:lang w:val="en-US" w:eastAsia="zh-CN"/>
        </w:rPr>
        <w:t>广西政府采购云平台（https://www.gcy.zfcg.gxzf.gov.cn/）</w:t>
      </w:r>
    </w:p>
    <w:p w14:paraId="61FC4FC2">
      <w:pPr>
        <w:keepNext w:val="0"/>
        <w:keepLines w:val="0"/>
        <w:pageBreakBefore w:val="0"/>
        <w:tabs>
          <w:tab w:val="left" w:pos="284"/>
        </w:tabs>
        <w:kinsoku/>
        <w:wordWrap/>
        <w:overflowPunct/>
        <w:topLinePunct w:val="0"/>
        <w:autoSpaceDE/>
        <w:autoSpaceDN/>
        <w:bidi w:val="0"/>
        <w:adjustRightInd/>
        <w:snapToGrid/>
        <w:spacing w:line="460" w:lineRule="exact"/>
        <w:ind w:left="0" w:leftChars="0" w:right="0" w:firstLine="396" w:firstLineChars="200"/>
        <w:textAlignment w:val="auto"/>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方式：网上下载。本项目不提供纸质文件，潜在供应商需使用账号登录或者使用 CA 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0BB1E94C">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039571A4">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四、</w:t>
      </w:r>
      <w:bookmarkEnd w:id="22"/>
      <w:bookmarkEnd w:id="23"/>
      <w:bookmarkEnd w:id="24"/>
      <w:bookmarkEnd w:id="25"/>
      <w:r>
        <w:rPr>
          <w:rFonts w:hint="eastAsia" w:ascii="宋体" w:hAnsi="宋体" w:eastAsia="宋体" w:cs="宋体"/>
          <w:b/>
          <w:bCs w:val="0"/>
          <w:color w:val="auto"/>
          <w:sz w:val="21"/>
          <w:szCs w:val="21"/>
          <w:highlight w:val="none"/>
        </w:rPr>
        <w:t>响应文件提交</w:t>
      </w:r>
    </w:p>
    <w:p w14:paraId="58C31280">
      <w:pPr>
        <w:keepNext w:val="0"/>
        <w:keepLines w:val="0"/>
        <w:pageBreakBefore w:val="0"/>
        <w:numPr>
          <w:ilvl w:val="0"/>
          <w:numId w:val="0"/>
        </w:numPr>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1.首次响应文件提交截止时间</w:t>
      </w:r>
      <w:r>
        <w:rPr>
          <w:rFonts w:hint="eastAsia" w:ascii="宋体" w:hAnsi="宋体" w:eastAsia="宋体" w:cs="宋体"/>
          <w:bCs/>
          <w:color w:val="auto"/>
          <w:sz w:val="21"/>
          <w:szCs w:val="21"/>
          <w:highlight w:val="none"/>
          <w:u w:val="single"/>
        </w:rPr>
        <w:t>：202</w:t>
      </w:r>
      <w:r>
        <w:rPr>
          <w:rFonts w:hint="eastAsia" w:ascii="宋体" w:hAnsi="宋体" w:cs="宋体"/>
          <w:bCs/>
          <w:color w:val="auto"/>
          <w:sz w:val="21"/>
          <w:szCs w:val="21"/>
          <w:highlight w:val="none"/>
          <w:u w:val="single"/>
          <w:lang w:val="en-US" w:eastAsia="zh-CN"/>
        </w:rPr>
        <w:t>6年8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14</w:t>
      </w:r>
      <w:r>
        <w:rPr>
          <w:rFonts w:hint="eastAsia" w:ascii="宋体" w:hAnsi="宋体" w:eastAsia="宋体" w:cs="宋体"/>
          <w:bCs/>
          <w:color w:val="auto"/>
          <w:sz w:val="21"/>
          <w:szCs w:val="21"/>
          <w:highlight w:val="none"/>
          <w:u w:val="single"/>
        </w:rPr>
        <w:t>日</w:t>
      </w:r>
      <w:r>
        <w:rPr>
          <w:rFonts w:hint="eastAsia" w:ascii="宋体" w:hAnsi="宋体" w:eastAsia="宋体" w:cs="宋体"/>
          <w:bCs/>
          <w:color w:val="auto"/>
          <w:sz w:val="21"/>
          <w:szCs w:val="21"/>
          <w:highlight w:val="none"/>
          <w:u w:val="single"/>
          <w:lang w:val="en-US" w:eastAsia="zh-CN"/>
        </w:rPr>
        <w:t>09</w:t>
      </w:r>
      <w:r>
        <w:rPr>
          <w:rFonts w:hint="eastAsia" w:ascii="宋体" w:hAnsi="宋体" w:eastAsia="宋体" w:cs="宋体"/>
          <w:bCs/>
          <w:color w:val="auto"/>
          <w:sz w:val="21"/>
          <w:szCs w:val="21"/>
          <w:highlight w:val="none"/>
          <w:u w:val="single"/>
        </w:rPr>
        <w:t>时</w:t>
      </w:r>
      <w:r>
        <w:rPr>
          <w:rFonts w:hint="eastAsia" w:ascii="宋体" w:hAnsi="宋体" w:eastAsia="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u w:val="single"/>
        </w:rPr>
        <w:t>0分</w:t>
      </w:r>
      <w:r>
        <w:rPr>
          <w:rFonts w:hint="eastAsia" w:ascii="宋体" w:hAnsi="宋体" w:eastAsia="宋体" w:cs="宋体"/>
          <w:bCs/>
          <w:color w:val="auto"/>
          <w:sz w:val="21"/>
          <w:szCs w:val="21"/>
          <w:highlight w:val="none"/>
        </w:rPr>
        <w:t>（北京时间）</w:t>
      </w:r>
      <w:r>
        <w:rPr>
          <w:rFonts w:hint="eastAsia" w:ascii="宋体" w:hAnsi="宋体" w:eastAsia="宋体" w:cs="宋体"/>
          <w:bCs/>
          <w:color w:val="auto"/>
          <w:sz w:val="21"/>
          <w:szCs w:val="21"/>
          <w:highlight w:val="none"/>
          <w:lang w:val="en-US" w:eastAsia="zh-CN"/>
        </w:rPr>
        <w:tab/>
      </w:r>
    </w:p>
    <w:p w14:paraId="06EA528E">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color w:val="auto"/>
          <w:sz w:val="21"/>
          <w:szCs w:val="21"/>
          <w:highlight w:val="none"/>
        </w:rPr>
        <w:t>首次响应文件提交地点</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广西政府采购云平台（https://www.gcy.zfcg.gxzf.gov.cn/）</w:t>
      </w:r>
      <w:r>
        <w:rPr>
          <w:rFonts w:hint="eastAsia" w:ascii="宋体" w:hAnsi="宋体" w:eastAsia="宋体" w:cs="宋体"/>
          <w:b w:val="0"/>
          <w:bCs w:val="0"/>
          <w:color w:val="auto"/>
          <w:sz w:val="21"/>
          <w:szCs w:val="21"/>
          <w:highlight w:val="none"/>
        </w:rPr>
        <w:t> </w:t>
      </w:r>
    </w:p>
    <w:p w14:paraId="5C48DFAE">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right="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color w:val="auto"/>
          <w:kern w:val="2"/>
          <w:sz w:val="21"/>
          <w:szCs w:val="21"/>
          <w:highlight w:val="none"/>
          <w:lang w:val="en-US" w:eastAsia="zh-CN" w:bidi="ar-SA"/>
        </w:rPr>
        <w:t>五、响应文件开启</w:t>
      </w:r>
    </w:p>
    <w:p w14:paraId="0E26E0D6">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.开标时间</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u w:val="single"/>
        </w:rPr>
        <w:t>202</w:t>
      </w:r>
      <w:r>
        <w:rPr>
          <w:rFonts w:hint="eastAsia" w:ascii="宋体" w:hAnsi="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8月14</w:t>
      </w:r>
      <w:r>
        <w:rPr>
          <w:rFonts w:hint="eastAsia" w:ascii="宋体" w:hAnsi="宋体" w:eastAsia="宋体" w:cs="宋体"/>
          <w:bCs/>
          <w:color w:val="auto"/>
          <w:sz w:val="21"/>
          <w:szCs w:val="21"/>
          <w:highlight w:val="none"/>
          <w:u w:val="single"/>
        </w:rPr>
        <w:t>日</w:t>
      </w:r>
      <w:r>
        <w:rPr>
          <w:rFonts w:hint="eastAsia" w:ascii="宋体" w:hAnsi="宋体" w:eastAsia="宋体" w:cs="宋体"/>
          <w:bCs/>
          <w:color w:val="auto"/>
          <w:sz w:val="21"/>
          <w:szCs w:val="21"/>
          <w:highlight w:val="none"/>
          <w:u w:val="single"/>
          <w:lang w:val="en-US" w:eastAsia="zh-CN"/>
        </w:rPr>
        <w:t>09</w:t>
      </w:r>
      <w:r>
        <w:rPr>
          <w:rFonts w:hint="eastAsia" w:ascii="宋体" w:hAnsi="宋体" w:eastAsia="宋体" w:cs="宋体"/>
          <w:bCs/>
          <w:color w:val="auto"/>
          <w:sz w:val="21"/>
          <w:szCs w:val="21"/>
          <w:highlight w:val="none"/>
          <w:u w:val="single"/>
        </w:rPr>
        <w:t>时</w:t>
      </w:r>
      <w:r>
        <w:rPr>
          <w:rFonts w:hint="eastAsia" w:ascii="宋体" w:hAnsi="宋体" w:eastAsia="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u w:val="single"/>
        </w:rPr>
        <w:t>0分</w:t>
      </w:r>
      <w:r>
        <w:rPr>
          <w:rFonts w:hint="eastAsia" w:ascii="宋体" w:hAnsi="宋体" w:eastAsia="宋体" w:cs="宋体"/>
          <w:bCs/>
          <w:color w:val="auto"/>
          <w:sz w:val="21"/>
          <w:szCs w:val="21"/>
          <w:highlight w:val="none"/>
        </w:rPr>
        <w:t>（北京时间）</w:t>
      </w:r>
    </w:p>
    <w:p w14:paraId="1A8E518F">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.开标地点：广西政府采购云平台（https://www.gcy.zfcg.gxzf.gov.cn/）</w:t>
      </w:r>
    </w:p>
    <w:p w14:paraId="1B0C3CC6">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bookmarkStart w:id="26" w:name="_Toc28359084"/>
      <w:bookmarkStart w:id="27" w:name="_Toc35393625"/>
      <w:bookmarkStart w:id="28" w:name="_Toc35393794"/>
      <w:bookmarkStart w:id="29" w:name="_Toc28359007"/>
      <w:r>
        <w:rPr>
          <w:rFonts w:hint="eastAsia" w:ascii="宋体" w:hAnsi="宋体" w:eastAsia="宋体" w:cs="宋体"/>
          <w:b/>
          <w:bCs w:val="0"/>
          <w:color w:val="auto"/>
          <w:sz w:val="21"/>
          <w:szCs w:val="21"/>
          <w:highlight w:val="none"/>
        </w:rPr>
        <w:t>六、公告期限</w:t>
      </w:r>
      <w:bookmarkEnd w:id="26"/>
      <w:bookmarkEnd w:id="27"/>
      <w:bookmarkEnd w:id="28"/>
      <w:bookmarkEnd w:id="29"/>
    </w:p>
    <w:p w14:paraId="4BA3B66F">
      <w:pPr>
        <w:keepNext w:val="0"/>
        <w:keepLines w:val="0"/>
        <w:pageBreakBefore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17CDD9FE">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bookmarkStart w:id="30" w:name="_Toc35393626"/>
      <w:bookmarkStart w:id="31" w:name="_Toc35393795"/>
      <w:r>
        <w:rPr>
          <w:rFonts w:hint="eastAsia" w:ascii="宋体" w:hAnsi="宋体" w:eastAsia="宋体" w:cs="宋体"/>
          <w:b/>
          <w:bCs w:val="0"/>
          <w:color w:val="auto"/>
          <w:sz w:val="21"/>
          <w:szCs w:val="21"/>
          <w:highlight w:val="none"/>
        </w:rPr>
        <w:t>七、其他补充事宜</w:t>
      </w:r>
      <w:bookmarkEnd w:id="30"/>
      <w:bookmarkEnd w:id="31"/>
    </w:p>
    <w:p w14:paraId="5ACBA05A">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rPr>
      </w:pPr>
      <w:bookmarkStart w:id="32" w:name="_Hlk37429585"/>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w:t>
      </w:r>
      <w:bookmarkStart w:id="33" w:name="_Hlk37429595"/>
      <w:r>
        <w:rPr>
          <w:rFonts w:hint="eastAsia" w:ascii="宋体" w:hAnsi="宋体" w:eastAsia="宋体" w:cs="宋体"/>
          <w:color w:val="auto"/>
          <w:kern w:val="0"/>
          <w:sz w:val="21"/>
          <w:szCs w:val="21"/>
          <w:highlight w:val="none"/>
          <w:lang w:val="en-US" w:eastAsia="zh-CN"/>
        </w:rPr>
        <w:t>竞标</w:t>
      </w:r>
      <w:r>
        <w:rPr>
          <w:rFonts w:hint="eastAsia" w:ascii="宋体" w:hAnsi="宋体" w:eastAsia="宋体" w:cs="宋体"/>
          <w:color w:val="auto"/>
          <w:kern w:val="0"/>
          <w:sz w:val="21"/>
          <w:szCs w:val="21"/>
          <w:highlight w:val="none"/>
        </w:rPr>
        <w:t>保证金：按人民币</w:t>
      </w:r>
      <w:r>
        <w:rPr>
          <w:rFonts w:hint="eastAsia" w:ascii="宋体" w:hAnsi="宋体" w:cs="宋体"/>
          <w:color w:val="auto"/>
          <w:kern w:val="0"/>
          <w:sz w:val="21"/>
          <w:szCs w:val="21"/>
          <w:highlight w:val="none"/>
          <w:lang w:val="en-US" w:eastAsia="zh-CN"/>
        </w:rPr>
        <w:t>壹万捌仟元整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18000.00</w:t>
      </w:r>
      <w:r>
        <w:rPr>
          <w:rFonts w:hint="eastAsia" w:ascii="宋体" w:hAnsi="宋体" w:eastAsia="宋体" w:cs="宋体"/>
          <w:color w:val="auto"/>
          <w:kern w:val="0"/>
          <w:sz w:val="21"/>
          <w:szCs w:val="21"/>
          <w:highlight w:val="none"/>
        </w:rPr>
        <w:t>元）交纳。</w:t>
      </w:r>
    </w:p>
    <w:p w14:paraId="0B53B3E1">
      <w:pPr>
        <w:keepNext w:val="0"/>
        <w:keepLines w:val="0"/>
        <w:pageBreakBefore w:val="0"/>
        <w:kinsoku/>
        <w:wordWrap/>
        <w:overflowPunct/>
        <w:topLinePunct w:val="0"/>
        <w:autoSpaceDE/>
        <w:autoSpaceDN/>
        <w:bidi w:val="0"/>
        <w:adjustRightInd/>
        <w:snapToGrid/>
        <w:spacing w:line="460" w:lineRule="exact"/>
        <w:ind w:left="0" w:leftChars="0" w:right="0" w:firstLine="396"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spacing w:val="-6"/>
          <w:kern w:val="0"/>
          <w:sz w:val="21"/>
          <w:szCs w:val="21"/>
          <w:highlight w:val="none"/>
          <w:lang w:val="en-US" w:eastAsia="zh-CN"/>
        </w:rPr>
        <w:t>2.</w:t>
      </w:r>
      <w:r>
        <w:rPr>
          <w:rFonts w:hint="eastAsia" w:ascii="宋体" w:hAnsi="宋体" w:eastAsia="宋体" w:cs="宋体"/>
          <w:color w:val="auto"/>
          <w:spacing w:val="-6"/>
          <w:kern w:val="0"/>
          <w:sz w:val="21"/>
          <w:szCs w:val="21"/>
          <w:highlight w:val="none"/>
        </w:rPr>
        <w:t>网上查询地址</w:t>
      </w:r>
      <w:bookmarkEnd w:id="32"/>
      <w:bookmarkEnd w:id="33"/>
      <w:r>
        <w:rPr>
          <w:rFonts w:hint="eastAsia" w:ascii="宋体" w:hAnsi="宋体" w:eastAsia="宋体" w:cs="宋体"/>
          <w:color w:val="auto"/>
          <w:spacing w:val="-6"/>
          <w:kern w:val="0"/>
          <w:sz w:val="21"/>
          <w:szCs w:val="21"/>
          <w:highlight w:val="none"/>
          <w:lang w:eastAsia="zh-CN"/>
        </w:rPr>
        <w:t>：中国政府采购网（http://www.ccgp.gov.cn ）、广西政府采购网（http://zfcg.gxzf.gov.cn）、全国公共资源交易平台（广西•</w:t>
      </w:r>
      <w:r>
        <w:rPr>
          <w:rFonts w:hint="eastAsia" w:ascii="宋体" w:hAnsi="宋体" w:cs="宋体"/>
          <w:color w:val="auto"/>
          <w:spacing w:val="-6"/>
          <w:kern w:val="0"/>
          <w:sz w:val="21"/>
          <w:szCs w:val="21"/>
          <w:highlight w:val="none"/>
          <w:lang w:val="en-US" w:eastAsia="zh-CN"/>
        </w:rPr>
        <w:t>陆川</w:t>
      </w:r>
      <w:r>
        <w:rPr>
          <w:rFonts w:hint="eastAsia" w:ascii="宋体" w:hAnsi="宋体" w:eastAsia="宋体" w:cs="宋体"/>
          <w:color w:val="auto"/>
          <w:spacing w:val="-6"/>
          <w:kern w:val="0"/>
          <w:sz w:val="21"/>
          <w:szCs w:val="21"/>
          <w:highlight w:val="none"/>
          <w:lang w:eastAsia="zh-CN"/>
        </w:rPr>
        <w:t>）（http://ggzy.jgswj.gxzf.gov.cn/lcggzy/）、广西玉林陆川县人民政府门户网站（http://www.luchuan.gov.cn/）</w:t>
      </w:r>
      <w:r>
        <w:rPr>
          <w:rFonts w:hint="eastAsia" w:ascii="宋体" w:hAnsi="宋体" w:cs="宋体"/>
          <w:color w:val="auto"/>
          <w:spacing w:val="-6"/>
          <w:kern w:val="0"/>
          <w:sz w:val="21"/>
          <w:szCs w:val="21"/>
          <w:highlight w:val="none"/>
          <w:lang w:eastAsia="zh-CN"/>
        </w:rPr>
        <w:t>。</w:t>
      </w:r>
    </w:p>
    <w:p w14:paraId="649B440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.本项目需要落实的政府采购政策</w:t>
      </w:r>
    </w:p>
    <w:p w14:paraId="22FF706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（1）政府采购促进中小企业发展。</w:t>
      </w:r>
    </w:p>
    <w:p w14:paraId="7E77C2F8">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2）政府采购支持采用本国产品的政策。</w:t>
      </w:r>
    </w:p>
    <w:p w14:paraId="1AB65803">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（3）强制采购节能产品；优先采购节能产品、环境标志产品。</w:t>
      </w:r>
    </w:p>
    <w:p w14:paraId="375C20E7">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（4）政府采购促进残疾人就业政策。</w:t>
      </w:r>
    </w:p>
    <w:p w14:paraId="1387C73B">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（5）政府采购支持监狱企业发展。</w:t>
      </w:r>
    </w:p>
    <w:p w14:paraId="5A3C625A">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406F04C">
      <w:pPr>
        <w:keepNext w:val="0"/>
        <w:keepLines w:val="0"/>
        <w:pageBreakBefore w:val="0"/>
        <w:kinsoku/>
        <w:wordWrap/>
        <w:overflowPunct/>
        <w:topLinePunct w:val="0"/>
        <w:autoSpaceDE/>
        <w:autoSpaceDN/>
        <w:bidi w:val="0"/>
        <w:adjustRightInd/>
        <w:snapToGrid w:val="0"/>
        <w:spacing w:line="4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61EB588">
      <w:pPr>
        <w:keepNext w:val="0"/>
        <w:keepLines w:val="0"/>
        <w:pageBreakBefore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 xml:space="preserve">.监督部门：陆川县财政局政府采购监督管理股  电话：0775-7235528  </w:t>
      </w:r>
    </w:p>
    <w:p w14:paraId="60E89374">
      <w:pPr>
        <w:keepNext w:val="0"/>
        <w:keepLines w:val="0"/>
        <w:pageBreakBefore w:val="0"/>
        <w:kinsoku/>
        <w:wordWrap/>
        <w:overflowPunct/>
        <w:topLinePunct w:val="0"/>
        <w:autoSpaceDE/>
        <w:autoSpaceDN/>
        <w:bidi w:val="0"/>
        <w:adjustRightInd/>
        <w:spacing w:line="460" w:lineRule="exact"/>
        <w:ind w:firstLine="420" w:firstLineChars="200"/>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rPr>
        <w:t>7.</w:t>
      </w:r>
      <w:r>
        <w:rPr>
          <w:rFonts w:hint="eastAsia" w:ascii="宋体" w:hAnsi="宋体" w:eastAsia="宋体" w:cs="宋体"/>
          <w:color w:val="auto"/>
          <w:kern w:val="0"/>
          <w:szCs w:val="21"/>
          <w:highlight w:val="none"/>
          <w:lang w:val="en-US" w:eastAsia="zh-CN"/>
        </w:rPr>
        <w:t>本项目为远程异地全流程电子评标。</w:t>
      </w:r>
      <w:r>
        <w:rPr>
          <w:rFonts w:hint="eastAsia" w:ascii="宋体" w:hAnsi="宋体" w:cs="宋体"/>
          <w:color w:val="auto"/>
          <w:kern w:val="0"/>
          <w:szCs w:val="21"/>
          <w:highlight w:val="none"/>
          <w:lang w:val="en-US" w:eastAsia="zh-CN"/>
        </w:rPr>
        <w:t xml:space="preserve"> </w:t>
      </w:r>
    </w:p>
    <w:p w14:paraId="4AC034A0">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八、凡对本次采购提出询问，请按以下方式联系</w:t>
      </w:r>
    </w:p>
    <w:p w14:paraId="1FF9BA42">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1.采购人信息</w:t>
      </w:r>
    </w:p>
    <w:p w14:paraId="7909B34D">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eastAsia="zh-CN"/>
        </w:rPr>
        <w:t>名称：陆川县中西医结合骨科医院　</w:t>
      </w:r>
      <w:r>
        <w:rPr>
          <w:rFonts w:hint="eastAsia" w:ascii="宋体" w:hAnsi="宋体"/>
          <w:color w:val="auto"/>
          <w:szCs w:val="21"/>
          <w:highlight w:val="none"/>
          <w:lang w:val="en-US" w:eastAsia="zh-CN"/>
        </w:rPr>
        <w:t xml:space="preserve"> </w:t>
      </w:r>
    </w:p>
    <w:p w14:paraId="2564EC1E">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地址：陆川县峨眉街30号　　　　　　　　　</w:t>
      </w:r>
    </w:p>
    <w:p w14:paraId="204CD3A7">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联系人：江伟金</w:t>
      </w:r>
    </w:p>
    <w:p w14:paraId="4CEE5703">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联系方式：</w:t>
      </w:r>
      <w:r>
        <w:rPr>
          <w:rFonts w:hint="eastAsia" w:ascii="宋体" w:hAnsi="宋体" w:eastAsia="宋体" w:cs="Times New Roman"/>
          <w:color w:val="auto"/>
          <w:kern w:val="2"/>
          <w:sz w:val="21"/>
          <w:szCs w:val="21"/>
          <w:highlight w:val="none"/>
          <w:lang w:val="en-US" w:eastAsia="zh-CN" w:bidi="ar-SA"/>
        </w:rPr>
        <w:t>0775-7210801</w:t>
      </w:r>
      <w:r>
        <w:rPr>
          <w:rFonts w:hint="eastAsia" w:ascii="宋体" w:hAnsi="宋体"/>
          <w:color w:val="auto"/>
          <w:szCs w:val="21"/>
          <w:highlight w:val="none"/>
          <w:lang w:eastAsia="zh-CN"/>
        </w:rPr>
        <w:t xml:space="preserve">                      　 </w:t>
      </w:r>
    </w:p>
    <w:p w14:paraId="26D5EE43">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bookmarkStart w:id="34" w:name="_Toc13134"/>
      <w:bookmarkStart w:id="35" w:name="_Toc35393807"/>
      <w:bookmarkStart w:id="36" w:name="_Toc25561"/>
      <w:bookmarkStart w:id="37" w:name="_Toc17087"/>
      <w:bookmarkStart w:id="38" w:name="_Toc28359020"/>
      <w:bookmarkStart w:id="39" w:name="_Toc21999"/>
      <w:bookmarkStart w:id="40" w:name="_Toc35393638"/>
      <w:bookmarkStart w:id="41" w:name="_Toc18378"/>
      <w:bookmarkStart w:id="42" w:name="_Toc28359097"/>
      <w:r>
        <w:rPr>
          <w:rFonts w:hint="eastAsia" w:ascii="宋体" w:hAnsi="宋体"/>
          <w:color w:val="auto"/>
          <w:szCs w:val="21"/>
          <w:highlight w:val="none"/>
          <w:lang w:eastAsia="zh-CN"/>
        </w:rPr>
        <w:t>2.采购代理机构信息</w:t>
      </w:r>
      <w:bookmarkEnd w:id="34"/>
      <w:bookmarkEnd w:id="35"/>
      <w:bookmarkEnd w:id="36"/>
      <w:bookmarkEnd w:id="37"/>
      <w:bookmarkEnd w:id="38"/>
      <w:bookmarkEnd w:id="39"/>
      <w:bookmarkEnd w:id="40"/>
      <w:bookmarkEnd w:id="41"/>
      <w:bookmarkEnd w:id="42"/>
    </w:p>
    <w:p w14:paraId="6106FBA8">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名称：广西建汇工程咨询有限公司　　　　　　　　　　　</w:t>
      </w:r>
    </w:p>
    <w:p w14:paraId="125D38D9">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地址：</w:t>
      </w:r>
      <w:r>
        <w:rPr>
          <w:rFonts w:hint="eastAsia" w:ascii="宋体" w:hAnsi="宋体"/>
          <w:color w:val="auto"/>
          <w:szCs w:val="21"/>
          <w:highlight w:val="none"/>
          <w:lang w:val="en-US" w:eastAsia="zh-CN"/>
        </w:rPr>
        <w:t>玉林市玉州区江滨路东55号山水名城8栋10号商铺</w:t>
      </w:r>
      <w:r>
        <w:rPr>
          <w:rFonts w:hint="eastAsia" w:ascii="宋体" w:hAnsi="宋体"/>
          <w:color w:val="auto"/>
          <w:szCs w:val="21"/>
          <w:highlight w:val="none"/>
          <w:lang w:eastAsia="zh-CN"/>
        </w:rPr>
        <w:t>　　　　　　　　　　　</w:t>
      </w:r>
    </w:p>
    <w:p w14:paraId="316A077A">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 xml:space="preserve">联系方式：0775-2698633                        </w:t>
      </w:r>
    </w:p>
    <w:p w14:paraId="3D579474">
      <w:pPr>
        <w:keepNext w:val="0"/>
        <w:keepLines w:val="0"/>
        <w:pageBreakBefore w:val="0"/>
        <w:widowControl w:val="0"/>
        <w:kinsoku/>
        <w:wordWrap/>
        <w:overflowPunct/>
        <w:topLinePunct w:val="0"/>
        <w:autoSpaceDE/>
        <w:autoSpaceDN/>
        <w:bidi w:val="0"/>
        <w:adjustRightInd/>
        <w:snapToGrid/>
        <w:spacing w:line="460" w:lineRule="exact"/>
        <w:ind w:left="0" w:leftChars="0" w:right="0"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 xml:space="preserve">项目联系人：梁妮 </w:t>
      </w:r>
      <w:r>
        <w:rPr>
          <w:rFonts w:hint="eastAsia" w:ascii="宋体" w:hAnsi="宋体"/>
          <w:color w:val="auto"/>
          <w:szCs w:val="21"/>
          <w:highlight w:val="none"/>
        </w:rPr>
        <w:t xml:space="preserve">  </w:t>
      </w:r>
    </w:p>
    <w:p w14:paraId="41B38ED5">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w:t>
      </w:r>
    </w:p>
    <w:p w14:paraId="58C75708">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 xml:space="preserve">   </w:t>
      </w:r>
    </w:p>
    <w:p w14:paraId="3E36C80B">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 xml:space="preserve">                            </w:t>
      </w:r>
    </w:p>
    <w:p w14:paraId="49F12398">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ascii="宋体" w:hAnsi="宋体"/>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 xml:space="preserve">   广西建汇工程咨询有限公司</w:t>
      </w:r>
    </w:p>
    <w:p w14:paraId="3C40DC70">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 xml:space="preserve">  </w:t>
      </w:r>
      <w:r>
        <w:rPr>
          <w:rFonts w:hint="eastAsia" w:ascii="宋体" w:hAnsi="宋体"/>
          <w:bCs/>
          <w:color w:val="auto"/>
          <w:szCs w:val="21"/>
          <w:highlight w:val="none"/>
          <w:lang w:val="en-US" w:eastAsia="zh-CN"/>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w:t>
      </w:r>
    </w:p>
    <w:p w14:paraId="34DD4CAE">
      <w:pPr>
        <w:rPr>
          <w:color w:val="auto"/>
          <w:highlight w:val="none"/>
        </w:rPr>
      </w:pPr>
    </w:p>
    <w:p w14:paraId="426D509A">
      <w:pPr>
        <w:rPr>
          <w:color w:val="auto"/>
          <w:highlight w:val="none"/>
        </w:rPr>
      </w:pPr>
    </w:p>
    <w:p w14:paraId="78ED31EF">
      <w:pPr>
        <w:rPr>
          <w:color w:val="auto"/>
          <w:highlight w:val="none"/>
        </w:rPr>
      </w:pPr>
    </w:p>
    <w:p w14:paraId="5690BF0D">
      <w:pPr>
        <w:rPr>
          <w:color w:val="auto"/>
          <w:highlight w:val="none"/>
        </w:rPr>
      </w:pPr>
    </w:p>
    <w:p w14:paraId="72D115AC">
      <w:pPr>
        <w:rPr>
          <w:color w:val="auto"/>
          <w:highlight w:val="none"/>
        </w:rPr>
      </w:pPr>
    </w:p>
    <w:p w14:paraId="134A30A1">
      <w:pPr>
        <w:rPr>
          <w:color w:val="auto"/>
          <w:highlight w:val="none"/>
        </w:rPr>
      </w:pPr>
    </w:p>
    <w:p w14:paraId="6A1DC064">
      <w:pPr>
        <w:rPr>
          <w:color w:val="auto"/>
          <w:highlight w:val="none"/>
        </w:rPr>
      </w:pPr>
    </w:p>
    <w:p w14:paraId="7C0D3A78">
      <w:pPr>
        <w:rPr>
          <w:color w:val="auto"/>
          <w:highlight w:val="none"/>
        </w:rPr>
      </w:pPr>
    </w:p>
    <w:p w14:paraId="534E513E">
      <w:pPr>
        <w:rPr>
          <w:color w:val="auto"/>
          <w:highlight w:val="none"/>
        </w:rPr>
      </w:pPr>
    </w:p>
    <w:p w14:paraId="58AE8427">
      <w:pPr>
        <w:rPr>
          <w:color w:val="auto"/>
          <w:highlight w:val="none"/>
        </w:rPr>
      </w:pPr>
    </w:p>
    <w:p w14:paraId="7DE88715">
      <w:pPr>
        <w:rPr>
          <w:color w:val="auto"/>
          <w:highlight w:val="none"/>
        </w:rPr>
      </w:pPr>
    </w:p>
    <w:p w14:paraId="7F329A98">
      <w:pPr>
        <w:rPr>
          <w:color w:val="auto"/>
          <w:highlight w:val="none"/>
        </w:rPr>
      </w:pPr>
    </w:p>
    <w:p w14:paraId="27D8494C">
      <w:pPr>
        <w:rPr>
          <w:color w:val="auto"/>
          <w:highlight w:val="none"/>
        </w:rPr>
      </w:pPr>
    </w:p>
    <w:p w14:paraId="48E636C8">
      <w:pPr>
        <w:rPr>
          <w:color w:val="auto"/>
          <w:highlight w:val="none"/>
        </w:rPr>
      </w:pPr>
    </w:p>
    <w:p w14:paraId="60AD4FAB">
      <w:pPr>
        <w:rPr>
          <w:color w:val="auto"/>
          <w:highlight w:val="none"/>
        </w:rPr>
      </w:pPr>
    </w:p>
    <w:p w14:paraId="07AEA98A">
      <w:pPr>
        <w:rPr>
          <w:color w:val="auto"/>
          <w:highlight w:val="none"/>
        </w:rPr>
      </w:pPr>
    </w:p>
    <w:p w14:paraId="6C296A8A">
      <w:pPr>
        <w:jc w:val="center"/>
        <w:outlineLvl w:val="0"/>
        <w:rPr>
          <w:rFonts w:hint="eastAsia" w:asciiTheme="majorEastAsia" w:hAnsiTheme="majorEastAsia" w:eastAsiaTheme="majorEastAsia" w:cstheme="majorEastAsia"/>
          <w:b/>
          <w:color w:val="auto"/>
          <w:sz w:val="32"/>
          <w:highlight w:val="none"/>
        </w:rPr>
      </w:pPr>
      <w:bookmarkStart w:id="43" w:name="_Toc4173"/>
      <w:bookmarkStart w:id="44" w:name="_Toc10522"/>
      <w:r>
        <w:rPr>
          <w:rFonts w:hint="eastAsia" w:asciiTheme="majorEastAsia" w:hAnsiTheme="majorEastAsia" w:eastAsiaTheme="majorEastAsia" w:cstheme="majorEastAsia"/>
          <w:b/>
          <w:color w:val="auto"/>
          <w:sz w:val="32"/>
          <w:highlight w:val="none"/>
        </w:rPr>
        <w:t>第二章 供应商须知</w:t>
      </w:r>
      <w:bookmarkEnd w:id="43"/>
      <w:bookmarkEnd w:id="44"/>
    </w:p>
    <w:p w14:paraId="40CF25AF">
      <w:pPr>
        <w:jc w:val="center"/>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供应商须知前附表</w:t>
      </w:r>
    </w:p>
    <w:p w14:paraId="256E673F">
      <w:pPr>
        <w:rPr>
          <w:rFonts w:hint="eastAsia"/>
          <w:color w:val="auto"/>
          <w:highlight w:val="none"/>
        </w:rPr>
      </w:pPr>
    </w:p>
    <w:tbl>
      <w:tblPr>
        <w:tblStyle w:val="20"/>
        <w:tblW w:w="93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8"/>
        <w:gridCol w:w="8351"/>
      </w:tblGrid>
      <w:tr w14:paraId="0A124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top"/>
          </w:tcPr>
          <w:p w14:paraId="4736BA7D">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51" w:type="dxa"/>
            <w:tcBorders>
              <w:top w:val="single" w:color="000000" w:sz="4" w:space="0"/>
              <w:left w:val="single" w:color="000000" w:sz="4" w:space="0"/>
              <w:bottom w:val="single" w:color="000000" w:sz="4" w:space="0"/>
              <w:right w:val="single" w:color="000000" w:sz="4" w:space="0"/>
            </w:tcBorders>
            <w:noWrap w:val="0"/>
            <w:vAlign w:val="top"/>
          </w:tcPr>
          <w:p w14:paraId="51FD9238">
            <w:pPr>
              <w:spacing w:line="360" w:lineRule="auto"/>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内容</w:t>
            </w:r>
          </w:p>
        </w:tc>
      </w:tr>
      <w:tr w14:paraId="6B74A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top"/>
          </w:tcPr>
          <w:p w14:paraId="117A112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8351" w:type="dxa"/>
            <w:tcBorders>
              <w:top w:val="single" w:color="000000" w:sz="4" w:space="0"/>
              <w:left w:val="single" w:color="000000" w:sz="4" w:space="0"/>
              <w:bottom w:val="single" w:color="000000" w:sz="4" w:space="0"/>
              <w:right w:val="single" w:color="000000" w:sz="4" w:space="0"/>
            </w:tcBorders>
            <w:noWrap w:val="0"/>
            <w:vAlign w:val="top"/>
          </w:tcPr>
          <w:p w14:paraId="3D2EC06B">
            <w:pPr>
              <w:spacing w:line="40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供应商资格条件</w:t>
            </w:r>
            <w:r>
              <w:rPr>
                <w:rFonts w:hint="eastAsia" w:ascii="宋体" w:hAnsi="宋体" w:cs="宋体"/>
                <w:color w:val="auto"/>
                <w:szCs w:val="21"/>
                <w:highlight w:val="none"/>
                <w:lang w:eastAsia="zh-CN"/>
              </w:rPr>
              <w:t>：</w:t>
            </w:r>
            <w:r>
              <w:rPr>
                <w:rFonts w:hint="eastAsia" w:ascii="宋体" w:hAnsi="宋体"/>
                <w:color w:val="auto"/>
                <w:szCs w:val="21"/>
                <w:highlight w:val="none"/>
              </w:rPr>
              <w:t>供应商资格条件要求详见公告</w:t>
            </w:r>
            <w:r>
              <w:rPr>
                <w:rFonts w:hint="eastAsia" w:ascii="宋体" w:hAnsi="宋体"/>
                <w:color w:val="auto"/>
                <w:szCs w:val="21"/>
                <w:highlight w:val="none"/>
                <w:lang w:eastAsia="zh-CN"/>
              </w:rPr>
              <w:t>。</w:t>
            </w:r>
          </w:p>
        </w:tc>
      </w:tr>
      <w:tr w14:paraId="68383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19AC0F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FC4466F">
            <w:pPr>
              <w:spacing w:line="360" w:lineRule="auto"/>
              <w:rPr>
                <w:rFonts w:hint="eastAsia" w:ascii="宋体" w:hAnsi="宋体" w:cs="宋体"/>
                <w:color w:val="auto"/>
                <w:szCs w:val="21"/>
                <w:highlight w:val="none"/>
              </w:rPr>
            </w:pPr>
            <w:bookmarkStart w:id="45" w:name="PO_3000001871_PM007_1"/>
            <w:r>
              <w:rPr>
                <w:rFonts w:hint="eastAsia" w:ascii="宋体" w:hAnsi="宋体" w:cs="宋体"/>
                <w:color w:val="auto"/>
                <w:szCs w:val="21"/>
                <w:highlight w:val="none"/>
              </w:rPr>
              <w:t>是否接受联合体竞标</w:t>
            </w:r>
            <w:r>
              <w:rPr>
                <w:rFonts w:hint="eastAsia" w:ascii="宋体" w:hAnsi="宋体" w:cs="宋体"/>
                <w:color w:val="auto"/>
                <w:szCs w:val="21"/>
                <w:highlight w:val="none"/>
                <w:lang w:eastAsia="zh-CN"/>
              </w:rPr>
              <w:t>：</w:t>
            </w:r>
            <w:r>
              <w:rPr>
                <w:rFonts w:hint="eastAsia" w:ascii="宋体" w:hAnsi="宋体"/>
                <w:color w:val="auto"/>
                <w:szCs w:val="21"/>
                <w:highlight w:val="none"/>
              </w:rPr>
              <w:t>不允许联合体投标</w:t>
            </w:r>
            <w:bookmarkEnd w:id="45"/>
            <w:r>
              <w:rPr>
                <w:rFonts w:hint="eastAsia" w:ascii="宋体" w:hAnsi="宋体"/>
                <w:color w:val="auto"/>
                <w:szCs w:val="21"/>
                <w:highlight w:val="none"/>
              </w:rPr>
              <w:t>。</w:t>
            </w:r>
          </w:p>
        </w:tc>
      </w:tr>
      <w:tr w14:paraId="2EFB9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897191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274C0E6">
            <w:pPr>
              <w:pStyle w:val="8"/>
              <w:spacing w:line="380" w:lineRule="exact"/>
              <w:rPr>
                <w:rFonts w:hint="eastAsia" w:ascii="宋体" w:hAnsi="宋体" w:cs="宋体"/>
                <w:color w:val="auto"/>
                <w:szCs w:val="21"/>
                <w:highlight w:val="none"/>
              </w:rPr>
            </w:pPr>
            <w:r>
              <w:rPr>
                <w:rFonts w:hint="eastAsia" w:ascii="宋体" w:hAnsi="宋体"/>
                <w:color w:val="auto"/>
                <w:szCs w:val="21"/>
                <w:highlight w:val="none"/>
              </w:rPr>
              <w:t>联合体竞标要求</w:t>
            </w:r>
            <w:r>
              <w:rPr>
                <w:rFonts w:hint="eastAsia" w:ascii="宋体" w:hAnsi="宋体"/>
                <w:color w:val="auto"/>
                <w:szCs w:val="21"/>
                <w:highlight w:val="none"/>
                <w:lang w:eastAsia="zh-CN"/>
              </w:rPr>
              <w:t>：</w:t>
            </w:r>
            <w:r>
              <w:rPr>
                <w:rFonts w:hint="eastAsia" w:ascii="宋体" w:hAnsi="宋体"/>
                <w:color w:val="auto"/>
                <w:szCs w:val="21"/>
                <w:highlight w:val="none"/>
              </w:rPr>
              <w:t>无</w:t>
            </w:r>
          </w:p>
        </w:tc>
      </w:tr>
      <w:tr w14:paraId="75DA1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410DE9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081E5A2B">
            <w:pPr>
              <w:pStyle w:val="8"/>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是否允许分包</w:t>
            </w:r>
            <w:r>
              <w:rPr>
                <w:rFonts w:hint="eastAsia" w:ascii="宋体" w:hAnsi="宋体" w:cs="宋体"/>
                <w:color w:val="auto"/>
                <w:szCs w:val="21"/>
                <w:highlight w:val="none"/>
                <w:lang w:eastAsia="zh-CN"/>
              </w:rPr>
              <w:t>：</w:t>
            </w:r>
            <w:r>
              <w:rPr>
                <w:rFonts w:hint="eastAsia" w:ascii="宋体" w:hAnsi="宋体"/>
                <w:color w:val="auto"/>
                <w:szCs w:val="21"/>
                <w:highlight w:val="none"/>
                <w:lang w:eastAsia="zh-CN"/>
              </w:rPr>
              <w:t>☑</w:t>
            </w:r>
            <w:r>
              <w:rPr>
                <w:rFonts w:hint="eastAsia" w:ascii="宋体" w:hAnsi="宋体"/>
                <w:color w:val="auto"/>
                <w:szCs w:val="21"/>
                <w:highlight w:val="none"/>
              </w:rPr>
              <w:t>不允许分包</w:t>
            </w:r>
          </w:p>
        </w:tc>
      </w:tr>
      <w:tr w14:paraId="48B35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B7C931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3E272121">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260AB2B">
            <w:pPr>
              <w:pStyle w:val="8"/>
              <w:keepNext w:val="0"/>
              <w:keepLines w:val="0"/>
              <w:pageBreakBefore w:val="0"/>
              <w:widowControl w:val="0"/>
              <w:numPr>
                <w:ilvl w:val="0"/>
                <w:numId w:val="0"/>
              </w:numPr>
              <w:kinsoku/>
              <w:wordWrap/>
              <w:overflowPunct/>
              <w:topLinePunct w:val="0"/>
              <w:bidi w:val="0"/>
              <w:spacing w:line="440" w:lineRule="exact"/>
              <w:ind w:leftChars="0"/>
              <w:rPr>
                <w:rFonts w:hint="eastAsia" w:ascii="宋体" w:hAnsi="宋体" w:cs="宋体"/>
                <w:b/>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5FCF799">
            <w:pPr>
              <w:pStyle w:val="8"/>
              <w:keepNext w:val="0"/>
              <w:keepLines w:val="0"/>
              <w:pageBreakBefore w:val="0"/>
              <w:widowControl w:val="0"/>
              <w:numPr>
                <w:ilvl w:val="0"/>
                <w:numId w:val="0"/>
              </w:numPr>
              <w:kinsoku/>
              <w:wordWrap/>
              <w:overflowPunct/>
              <w:topLinePunct w:val="0"/>
              <w:bidi w:val="0"/>
              <w:spacing w:line="440" w:lineRule="exact"/>
              <w:rPr>
                <w:rFonts w:hint="eastAsia" w:ascii="宋体" w:hAnsi="宋体" w:eastAsia="宋体" w:cs="Times New Roman"/>
                <w:i w:val="0"/>
                <w:iCs w:val="0"/>
                <w:color w:val="auto"/>
                <w:szCs w:val="21"/>
                <w:highlight w:val="none"/>
                <w:u w:val="none"/>
                <w:lang w:eastAsia="zh-CN"/>
              </w:rPr>
            </w:pPr>
            <w:r>
              <w:rPr>
                <w:rFonts w:hint="eastAsia" w:ascii="宋体" w:hAnsi="宋体" w:cs="Times New Roman"/>
                <w:i w:val="0"/>
                <w:iCs w:val="0"/>
                <w:color w:val="auto"/>
                <w:szCs w:val="21"/>
                <w:highlight w:val="none"/>
                <w:u w:val="none"/>
                <w:lang w:val="en-US" w:eastAsia="zh-CN"/>
              </w:rPr>
              <w:t>2.</w:t>
            </w:r>
            <w:r>
              <w:rPr>
                <w:rFonts w:hint="eastAsia" w:ascii="宋体" w:hAnsi="宋体" w:eastAsia="宋体" w:cs="Times New Roman"/>
                <w:i w:val="0"/>
                <w:iCs w:val="0"/>
                <w:color w:val="auto"/>
                <w:szCs w:val="21"/>
                <w:highlight w:val="none"/>
                <w:u w:val="none"/>
                <w:lang w:val="en-US" w:eastAsia="zh-CN"/>
              </w:rPr>
              <w:t>供应商</w:t>
            </w:r>
            <w:r>
              <w:rPr>
                <w:rFonts w:hint="eastAsia" w:ascii="宋体" w:hAnsi="宋体" w:eastAsia="宋体" w:cs="Times New Roman"/>
                <w:i w:val="0"/>
                <w:iCs w:val="0"/>
                <w:color w:val="auto"/>
                <w:szCs w:val="21"/>
                <w:highlight w:val="none"/>
                <w:u w:val="none"/>
                <w:lang w:eastAsia="zh-CN"/>
              </w:rPr>
              <w:t>特定资格要求的资格证明材料</w:t>
            </w:r>
            <w:r>
              <w:rPr>
                <w:rFonts w:hint="eastAsia" w:ascii="宋体" w:hAnsi="宋体" w:eastAsia="宋体" w:cs="Times New Roman"/>
                <w:b/>
                <w:bCs/>
                <w:i w:val="0"/>
                <w:iCs w:val="0"/>
                <w:color w:val="auto"/>
                <w:szCs w:val="21"/>
                <w:highlight w:val="none"/>
                <w:u w:val="none"/>
                <w:lang w:eastAsia="zh-CN"/>
              </w:rPr>
              <w:t>（必须提供，否则响应文件按无效响应处理）</w:t>
            </w:r>
            <w:r>
              <w:rPr>
                <w:rFonts w:hint="eastAsia" w:ascii="宋体" w:hAnsi="宋体" w:eastAsia="宋体" w:cs="Times New Roman"/>
                <w:i w:val="0"/>
                <w:iCs w:val="0"/>
                <w:color w:val="auto"/>
                <w:szCs w:val="21"/>
                <w:highlight w:val="none"/>
                <w:u w:val="none"/>
                <w:lang w:eastAsia="zh-CN"/>
              </w:rPr>
              <w:t>：</w:t>
            </w:r>
          </w:p>
          <w:p w14:paraId="161C69BD">
            <w:pPr>
              <w:pStyle w:val="8"/>
              <w:keepNext w:val="0"/>
              <w:keepLines w:val="0"/>
              <w:pageBreakBefore w:val="0"/>
              <w:numPr>
                <w:ilvl w:val="0"/>
                <w:numId w:val="0"/>
              </w:numPr>
              <w:kinsoku/>
              <w:wordWrap/>
              <w:overflowPunct/>
              <w:topLinePunct w:val="0"/>
              <w:autoSpaceDE/>
              <w:autoSpaceDN/>
              <w:bidi w:val="0"/>
              <w:adjustRightInd/>
              <w:spacing w:line="4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若为非生产厂家则必须提供有效期内的医疗器械经营许可证或备案证明（竞标产品若为三类医疗器械，请提供医疗器械经营许可证。若为需经营备案的二类医疗器械，请提供相应经营备案证明；若为不需经营备案的二类医疗器械，请提供相关的免备案证明）；</w:t>
            </w:r>
          </w:p>
          <w:p w14:paraId="3EAB51A3">
            <w:pPr>
              <w:pStyle w:val="8"/>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（2）供应商若为竞标产品制造商则应提供有效期内的医疗器械生产许可证或生产备案证明（竞标产品若为二类、三类医疗器械，请提供医疗器械生产许可证。若为一类医疗器械，请提供生产备案证明）。</w:t>
            </w:r>
          </w:p>
          <w:p w14:paraId="6F7C91CB">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2</w:t>
            </w:r>
            <w:r>
              <w:rPr>
                <w:rFonts w:hint="eastAsia" w:ascii="宋体" w:hAnsi="宋体" w:cs="宋体"/>
                <w:color w:val="auto"/>
                <w:szCs w:val="21"/>
                <w:highlight w:val="none"/>
              </w:rPr>
              <w:t>月至</w:t>
            </w:r>
            <w:r>
              <w:rPr>
                <w:rFonts w:hint="eastAsia" w:ascii="宋体" w:hAnsi="宋体" w:cs="宋体"/>
                <w:color w:val="auto"/>
                <w:szCs w:val="21"/>
                <w:highlight w:val="none"/>
                <w:lang w:val="en-US" w:eastAsia="zh-CN"/>
              </w:rPr>
              <w:t>响应文件递交截止时间前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30FED6C">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2</w:t>
            </w:r>
            <w:r>
              <w:rPr>
                <w:rFonts w:hint="eastAsia" w:ascii="宋体" w:hAnsi="宋体" w:cs="宋体"/>
                <w:color w:val="auto"/>
                <w:szCs w:val="21"/>
                <w:highlight w:val="none"/>
              </w:rPr>
              <w:t>月至</w:t>
            </w:r>
            <w:r>
              <w:rPr>
                <w:rFonts w:hint="eastAsia" w:ascii="宋体" w:hAnsi="宋体" w:cs="宋体"/>
                <w:color w:val="auto"/>
                <w:szCs w:val="21"/>
                <w:highlight w:val="none"/>
                <w:lang w:val="en-US" w:eastAsia="zh-CN"/>
              </w:rPr>
              <w:t>响应文件递交截止时间前</w:t>
            </w:r>
            <w:r>
              <w:rPr>
                <w:rFonts w:hint="eastAsia" w:ascii="宋体" w:hAnsi="宋体" w:cs="宋体"/>
                <w:color w:val="auto"/>
                <w:szCs w:val="21"/>
                <w:highlight w:val="none"/>
                <w:lang w:eastAsia="zh-CN"/>
              </w:rPr>
              <w:t>连续</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个月的依法缴纳社会保障资金的缴费凭证复印件；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6C91157">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w:t>
            </w:r>
            <w:r>
              <w:rPr>
                <w:rFonts w:hint="eastAsia"/>
                <w:color w:val="auto"/>
                <w:szCs w:val="21"/>
                <w:highlight w:val="none"/>
              </w:rPr>
              <w:t>财务状况报告</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rPr>
              <w:t>年度</w:t>
            </w:r>
            <w:r>
              <w:rPr>
                <w:rFonts w:hint="eastAsia"/>
                <w:color w:val="auto"/>
                <w:szCs w:val="21"/>
                <w:highlight w:val="none"/>
              </w:rPr>
              <w:t>财务报表复印件（</w:t>
            </w:r>
            <w:r>
              <w:rPr>
                <w:rFonts w:hint="eastAsia" w:ascii="宋体" w:hAnsi="宋体" w:cs="宋体"/>
                <w:color w:val="auto"/>
                <w:szCs w:val="21"/>
                <w:highlight w:val="none"/>
              </w:rPr>
              <w:t>资产负债表、利润表和现金流量表）</w:t>
            </w:r>
            <w:r>
              <w:rPr>
                <w:rFonts w:hint="eastAsia"/>
                <w:color w:val="auto"/>
                <w:szCs w:val="21"/>
                <w:highlight w:val="none"/>
              </w:rPr>
              <w:t>或者银行出具的资信证明或</w:t>
            </w:r>
            <w:r>
              <w:rPr>
                <w:rFonts w:hint="eastAsia" w:ascii="宋体" w:hAnsi="宋体" w:cs="宋体"/>
                <w:color w:val="auto"/>
                <w:szCs w:val="21"/>
                <w:highlight w:val="none"/>
              </w:rPr>
              <w:t>经第三方审计的财务报告</w:t>
            </w:r>
            <w:r>
              <w:rPr>
                <w:rFonts w:hint="eastAsia"/>
                <w:color w:val="auto"/>
                <w:szCs w:val="21"/>
                <w:highlight w:val="none"/>
              </w:rPr>
              <w:t>；供应商属于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作无效</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处理</w:t>
            </w:r>
            <w:r>
              <w:rPr>
                <w:rFonts w:hint="eastAsia" w:ascii="宋体" w:hAnsi="宋体" w:cs="宋体"/>
                <w:color w:val="auto"/>
                <w:szCs w:val="21"/>
                <w:highlight w:val="none"/>
              </w:rPr>
              <w:t>）</w:t>
            </w:r>
          </w:p>
          <w:p w14:paraId="62F61802">
            <w:pPr>
              <w:keepNext w:val="0"/>
              <w:keepLines w:val="0"/>
              <w:pageBreakBefore w:val="0"/>
              <w:widowControl w:val="0"/>
              <w:kinsoku/>
              <w:wordWrap/>
              <w:overflowPunct/>
              <w:topLinePunct w:val="0"/>
              <w:bidi w:val="0"/>
              <w:snapToGrid w:val="0"/>
              <w:spacing w:line="44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CA0BFD">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AD5FB48">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货物制造商为中小微企业或者监狱企业或者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声明函格式后附）</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7D04C9D">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除谈判文件规定必须提供以外，供应商认为需要提供的其他证明材料</w:t>
            </w:r>
            <w:r>
              <w:rPr>
                <w:rFonts w:hint="eastAsia" w:ascii="宋体" w:hAnsi="宋体" w:cs="宋体"/>
                <w:color w:val="auto"/>
                <w:szCs w:val="21"/>
                <w:highlight w:val="none"/>
                <w:lang w:eastAsia="zh-CN"/>
              </w:rPr>
              <w:t>。</w:t>
            </w:r>
          </w:p>
          <w:p w14:paraId="5BDA0642">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84F5DC0">
            <w:pPr>
              <w:keepNext w:val="0"/>
              <w:keepLines w:val="0"/>
              <w:pageBreakBefore w:val="0"/>
              <w:widowControl w:val="0"/>
              <w:kinsoku/>
              <w:wordWrap/>
              <w:overflowPunct/>
              <w:topLinePunct w:val="0"/>
              <w:bidi w:val="0"/>
              <w:snapToGrid w:val="0"/>
              <w:spacing w:line="44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 xml:space="preserve"> </w:t>
            </w:r>
            <w:r>
              <w:rPr>
                <w:rFonts w:hint="eastAsia" w:ascii="宋体" w:hAnsi="宋体" w:cs="宋体"/>
                <w:b/>
                <w:bCs/>
                <w:color w:val="auto"/>
                <w:szCs w:val="21"/>
                <w:highlight w:val="none"/>
              </w:rPr>
              <w:t>以上标明“必须提供”的材料属于复印件的扫描件的</w:t>
            </w:r>
            <w:r>
              <w:rPr>
                <w:rFonts w:hint="eastAsia" w:ascii="宋体" w:hAnsi="宋体"/>
                <w:b/>
                <w:bCs/>
                <w:color w:val="auto"/>
                <w:szCs w:val="21"/>
                <w:highlight w:val="none"/>
              </w:rPr>
              <w:t>，</w:t>
            </w:r>
            <w:r>
              <w:rPr>
                <w:rFonts w:hint="eastAsia" w:ascii="宋体" w:hAnsi="宋体" w:eastAsia="宋体" w:cs="宋体"/>
                <w:b/>
                <w:bCs/>
                <w:color w:val="auto"/>
                <w:szCs w:val="21"/>
                <w:highlight w:val="none"/>
              </w:rPr>
              <w:t>必须加盖</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电子公章</w:t>
            </w:r>
            <w:r>
              <w:rPr>
                <w:rFonts w:hint="eastAsia" w:ascii="宋体" w:hAnsi="宋体"/>
                <w:b/>
                <w:bCs/>
                <w:color w:val="auto"/>
                <w:szCs w:val="21"/>
                <w:highlight w:val="none"/>
              </w:rPr>
              <w:t>，否则</w:t>
            </w:r>
            <w:r>
              <w:rPr>
                <w:rFonts w:hint="eastAsia" w:ascii="宋体" w:hAnsi="宋体" w:cs="Courier New"/>
                <w:b/>
                <w:color w:val="auto"/>
                <w:szCs w:val="21"/>
                <w:highlight w:val="none"/>
              </w:rPr>
              <w:t>作无</w:t>
            </w:r>
            <w:r>
              <w:rPr>
                <w:rFonts w:hint="eastAsia" w:ascii="宋体" w:hAnsi="宋体"/>
                <w:b/>
                <w:bCs/>
                <w:color w:val="auto"/>
                <w:szCs w:val="21"/>
                <w:highlight w:val="none"/>
              </w:rPr>
              <w:t>效</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处理。</w:t>
            </w:r>
          </w:p>
          <w:p w14:paraId="593CA65E">
            <w:pPr>
              <w:keepNext w:val="0"/>
              <w:keepLines w:val="0"/>
              <w:pageBreakBefore w:val="0"/>
              <w:widowControl w:val="0"/>
              <w:kinsoku/>
              <w:wordWrap/>
              <w:overflowPunct/>
              <w:topLinePunct w:val="0"/>
              <w:bidi w:val="0"/>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竞标声明必须由法定代表人在规定签章处签字</w:t>
            </w:r>
            <w:r>
              <w:rPr>
                <w:rFonts w:hint="eastAsia" w:ascii="宋体" w:hAnsi="宋体" w:cs="宋体"/>
                <w:b/>
                <w:color w:val="auto"/>
                <w:szCs w:val="21"/>
                <w:highlight w:val="none"/>
                <w:lang w:val="en-US" w:eastAsia="zh-CN"/>
              </w:rPr>
              <w:t>或盖章或电子签名</w:t>
            </w:r>
            <w:r>
              <w:rPr>
                <w:rFonts w:hint="eastAsia" w:ascii="宋体" w:hAnsi="宋体" w:cs="宋体"/>
                <w:b/>
                <w:color w:val="auto"/>
                <w:szCs w:val="21"/>
                <w:highlight w:val="none"/>
              </w:rPr>
              <w:t>并加盖供应商</w:t>
            </w:r>
            <w:r>
              <w:rPr>
                <w:rFonts w:hint="eastAsia" w:ascii="宋体" w:hAnsi="宋体" w:cs="宋体"/>
                <w:b/>
                <w:color w:val="auto"/>
                <w:szCs w:val="21"/>
                <w:highlight w:val="none"/>
                <w:lang w:eastAsia="zh-CN"/>
              </w:rPr>
              <w:t>电子</w:t>
            </w:r>
            <w:r>
              <w:rPr>
                <w:rFonts w:hint="eastAsia" w:ascii="宋体" w:hAnsi="宋体" w:cs="宋体"/>
                <w:b/>
                <w:color w:val="auto"/>
                <w:szCs w:val="21"/>
                <w:highlight w:val="none"/>
              </w:rPr>
              <w:t>公章，否则响应文件按无效响应处理。</w:t>
            </w:r>
          </w:p>
        </w:tc>
      </w:tr>
      <w:tr w14:paraId="5AB3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0A7D7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FC79EF9">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报价文件</w:t>
            </w:r>
          </w:p>
          <w:p w14:paraId="4AFC8A08">
            <w:pPr>
              <w:keepNext w:val="0"/>
              <w:keepLines w:val="0"/>
              <w:pageBreakBefore w:val="0"/>
              <w:widowControl w:val="0"/>
              <w:numPr>
                <w:ilvl w:val="0"/>
                <w:numId w:val="0"/>
              </w:numPr>
              <w:kinsoku/>
              <w:wordWrap/>
              <w:overflowPunct/>
              <w:topLinePunct w:val="0"/>
              <w:bidi w:val="0"/>
              <w:snapToGrid/>
              <w:spacing w:line="440" w:lineRule="exact"/>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1.竞标报价表（格式后附）；</w:t>
            </w:r>
            <w:r>
              <w:rPr>
                <w:rFonts w:hint="eastAsia" w:ascii="宋体" w:hAnsi="宋体" w:eastAsia="宋体" w:cs="宋体"/>
                <w:b/>
                <w:bCs w:val="0"/>
                <w:color w:val="auto"/>
                <w:kern w:val="2"/>
                <w:sz w:val="21"/>
                <w:szCs w:val="21"/>
                <w:highlight w:val="none"/>
                <w:lang w:val="en-US" w:eastAsia="zh-CN" w:bidi="ar-SA"/>
              </w:rPr>
              <w:t xml:space="preserve">（必须提供，否则响应文件按无效响应处理） </w:t>
            </w:r>
          </w:p>
          <w:p w14:paraId="21A70FAB">
            <w:pPr>
              <w:pStyle w:val="2"/>
              <w:keepNext w:val="0"/>
              <w:keepLines w:val="0"/>
              <w:pageBreakBefore w:val="0"/>
              <w:widowControl w:val="0"/>
              <w:numPr>
                <w:ilvl w:val="0"/>
                <w:numId w:val="0"/>
              </w:numPr>
              <w:kinsoku/>
              <w:wordWrap/>
              <w:overflowPunct/>
              <w:topLinePunct w:val="0"/>
              <w:bidi w:val="0"/>
              <w:snapToGrid/>
              <w:spacing w:line="440" w:lineRule="exac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2.《关于符合本国产品标准的声明函》或者财政部会同有关部门规定的有关证明文件（供应商根据自身响应情况出具）；</w:t>
            </w:r>
          </w:p>
          <w:p w14:paraId="55FBA7B6">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b/>
                <w:color w:val="auto"/>
                <w:szCs w:val="21"/>
                <w:highlight w:val="none"/>
              </w:rPr>
            </w:pPr>
            <w:r>
              <w:rPr>
                <w:rFonts w:hint="eastAsia" w:ascii="宋体" w:hAnsi="宋体" w:eastAsia="宋体" w:cs="宋体"/>
                <w:b w:val="0"/>
                <w:bCs/>
                <w:color w:val="auto"/>
                <w:kern w:val="2"/>
                <w:sz w:val="21"/>
                <w:szCs w:val="21"/>
                <w:highlight w:val="none"/>
                <w:lang w:val="en-US" w:eastAsia="zh-CN" w:bidi="ar-SA"/>
              </w:rPr>
              <w:t>3. 供应商认为需要提供的其他有关资料。（如有请提供）</w:t>
            </w:r>
          </w:p>
        </w:tc>
      </w:tr>
      <w:tr w14:paraId="16E80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823C049">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w:t>
            </w:r>
            <w:r>
              <w:rPr>
                <w:rFonts w:hint="eastAsia" w:ascii="宋体" w:hAnsi="宋体" w:cs="宋体"/>
                <w:color w:val="auto"/>
                <w:szCs w:val="21"/>
                <w:highlight w:val="none"/>
                <w:lang w:val="en-US" w:eastAsia="zh-CN"/>
              </w:rPr>
              <w:t>3</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F843695">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 xml:space="preserve">商务技术文件 </w:t>
            </w:r>
          </w:p>
          <w:p w14:paraId="312925CF">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1.无串通竞标行为的承诺函（格式后附）；</w:t>
            </w:r>
            <w:r>
              <w:rPr>
                <w:rFonts w:hint="eastAsia" w:ascii="宋体" w:hAnsi="宋体" w:cs="宋体"/>
                <w:b/>
                <w:bCs/>
                <w:color w:val="auto"/>
                <w:szCs w:val="21"/>
                <w:highlight w:val="none"/>
                <w:lang w:val="en-US" w:eastAsia="zh-CN"/>
              </w:rPr>
              <w:t xml:space="preserve">（必须提供，否则响应文件作无效处理） </w:t>
            </w:r>
          </w:p>
          <w:p w14:paraId="5395BF42">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2.法定代表人身份证明书及法定代表人有效身份证正反面复印件（格式后附）；</w:t>
            </w:r>
            <w:r>
              <w:rPr>
                <w:rFonts w:hint="eastAsia" w:ascii="宋体" w:hAnsi="宋体" w:cs="宋体"/>
                <w:b/>
                <w:bCs/>
                <w:color w:val="auto"/>
                <w:szCs w:val="21"/>
                <w:highlight w:val="none"/>
                <w:lang w:val="en-US" w:eastAsia="zh-CN"/>
              </w:rPr>
              <w:t>（除自然人竞标外必须提供，否则响应文件作无效处理）</w:t>
            </w:r>
            <w:r>
              <w:rPr>
                <w:rFonts w:hint="eastAsia" w:ascii="宋体" w:hAnsi="宋体" w:cs="宋体"/>
                <w:color w:val="auto"/>
                <w:szCs w:val="21"/>
                <w:highlight w:val="none"/>
                <w:lang w:val="en-US" w:eastAsia="zh-CN"/>
              </w:rPr>
              <w:t xml:space="preserve"> </w:t>
            </w:r>
          </w:p>
          <w:p w14:paraId="4FCB248E">
            <w:pPr>
              <w:keepNext w:val="0"/>
              <w:keepLines w:val="0"/>
              <w:pageBreakBefore w:val="0"/>
              <w:widowControl w:val="0"/>
              <w:kinsoku/>
              <w:wordWrap/>
              <w:overflowPunct/>
              <w:topLinePunct w:val="0"/>
              <w:bidi w:val="0"/>
              <w:spacing w:line="440" w:lineRule="exac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3.法定代表人授权委托书及委托代理人有效身份证正反面复印件（格式后附）；</w:t>
            </w:r>
            <w:r>
              <w:rPr>
                <w:rFonts w:hint="eastAsia" w:ascii="宋体" w:hAnsi="宋体" w:cs="宋体"/>
                <w:b/>
                <w:bCs/>
                <w:color w:val="auto"/>
                <w:szCs w:val="21"/>
                <w:highlight w:val="none"/>
                <w:lang w:val="en-US" w:eastAsia="zh-CN"/>
              </w:rPr>
              <w:t>（委托时必须提供，否则响应文件作无效处理）</w:t>
            </w:r>
          </w:p>
          <w:p w14:paraId="05F593CC">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4.竞标保证金交纳凭证；</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作无效</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处理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 </w:t>
            </w:r>
          </w:p>
          <w:p w14:paraId="5FBE2F73">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5.商务条款偏离表（格式后附）；</w:t>
            </w:r>
            <w:r>
              <w:rPr>
                <w:rFonts w:hint="eastAsia" w:ascii="宋体" w:hAnsi="宋体" w:cs="宋体"/>
                <w:b/>
                <w:bCs/>
                <w:color w:val="auto"/>
                <w:szCs w:val="21"/>
                <w:highlight w:val="none"/>
                <w:lang w:val="en-US" w:eastAsia="zh-CN"/>
              </w:rPr>
              <w:t xml:space="preserve">（必须提供，否则响应文件作无效处理） </w:t>
            </w:r>
          </w:p>
          <w:p w14:paraId="5768E2E0">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6.售后服务承诺；</w:t>
            </w:r>
            <w:r>
              <w:rPr>
                <w:rFonts w:hint="eastAsia" w:ascii="宋体" w:hAnsi="宋体" w:cs="宋体"/>
                <w:b/>
                <w:bCs/>
                <w:color w:val="auto"/>
                <w:szCs w:val="21"/>
                <w:highlight w:val="none"/>
                <w:lang w:val="en-US" w:eastAsia="zh-CN"/>
              </w:rPr>
              <w:t>（必须提供，否则响应文件作无效处理）</w:t>
            </w:r>
            <w:r>
              <w:rPr>
                <w:rFonts w:hint="eastAsia" w:ascii="宋体" w:hAnsi="宋体" w:cs="宋体"/>
                <w:color w:val="auto"/>
                <w:szCs w:val="21"/>
                <w:highlight w:val="none"/>
                <w:lang w:val="en-US" w:eastAsia="zh-CN"/>
              </w:rPr>
              <w:t xml:space="preserve"> </w:t>
            </w:r>
          </w:p>
          <w:p w14:paraId="27E9FF97">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7.货物配置清单（均不含报价）（格式后附）；（</w:t>
            </w:r>
            <w:r>
              <w:rPr>
                <w:rFonts w:hint="eastAsia" w:ascii="宋体" w:hAnsi="宋体" w:cs="宋体"/>
                <w:b/>
                <w:bCs/>
                <w:color w:val="auto"/>
                <w:szCs w:val="21"/>
                <w:highlight w:val="none"/>
                <w:lang w:val="en-US" w:eastAsia="zh-CN"/>
              </w:rPr>
              <w:t>必须提供，否则响应文件作无效处理）</w:t>
            </w:r>
            <w:r>
              <w:rPr>
                <w:rFonts w:hint="eastAsia" w:ascii="宋体" w:hAnsi="宋体" w:cs="宋体"/>
                <w:color w:val="auto"/>
                <w:szCs w:val="21"/>
                <w:highlight w:val="none"/>
                <w:lang w:val="en-US" w:eastAsia="zh-CN"/>
              </w:rPr>
              <w:t xml:space="preserve"> </w:t>
            </w:r>
          </w:p>
          <w:p w14:paraId="5CB37E14">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8.技术需求偏离表（格式后附）；</w:t>
            </w:r>
            <w:r>
              <w:rPr>
                <w:rFonts w:hint="eastAsia" w:ascii="宋体" w:hAnsi="宋体" w:cs="宋体"/>
                <w:b/>
                <w:bCs/>
                <w:color w:val="auto"/>
                <w:szCs w:val="21"/>
                <w:highlight w:val="none"/>
                <w:lang w:val="en-US" w:eastAsia="zh-CN"/>
              </w:rPr>
              <w:t>（必须提供，否则响应文件作无效处理）</w:t>
            </w:r>
            <w:r>
              <w:rPr>
                <w:rFonts w:hint="eastAsia" w:ascii="宋体" w:hAnsi="宋体" w:cs="宋体"/>
                <w:color w:val="auto"/>
                <w:szCs w:val="21"/>
                <w:highlight w:val="none"/>
                <w:lang w:val="en-US" w:eastAsia="zh-CN"/>
              </w:rPr>
              <w:t xml:space="preserve"> </w:t>
            </w:r>
          </w:p>
          <w:p w14:paraId="4A54B29C">
            <w:pPr>
              <w:keepNext w:val="0"/>
              <w:keepLines w:val="0"/>
              <w:pageBreakBefore w:val="0"/>
              <w:widowControl w:val="0"/>
              <w:kinsoku/>
              <w:wordWrap/>
              <w:overflowPunct/>
              <w:topLinePunct w:val="0"/>
              <w:bidi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3EB02681">
            <w:pPr>
              <w:keepNext w:val="0"/>
              <w:keepLines w:val="0"/>
              <w:pageBreakBefore w:val="0"/>
              <w:widowControl w:val="0"/>
              <w:kinsoku/>
              <w:wordWrap/>
              <w:overflowPunct/>
              <w:topLinePunct w:val="0"/>
              <w:bidi w:val="0"/>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2FD9754">
            <w:pPr>
              <w:keepNext w:val="0"/>
              <w:keepLines w:val="0"/>
              <w:pageBreakBefore w:val="0"/>
              <w:widowControl w:val="0"/>
              <w:kinsoku/>
              <w:wordWrap/>
              <w:overflowPunct/>
              <w:topLinePunct w:val="0"/>
              <w:bidi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1.法定代表人授权委托书必须由法定代表人签字</w:t>
            </w:r>
            <w:r>
              <w:rPr>
                <w:rFonts w:hint="eastAsia" w:ascii="宋体" w:hAnsi="宋体" w:cs="宋体"/>
                <w:b/>
                <w:color w:val="auto"/>
                <w:szCs w:val="21"/>
                <w:highlight w:val="none"/>
                <w:lang w:val="en-US" w:eastAsia="zh-CN"/>
              </w:rPr>
              <w:t>或盖章或电子签名</w:t>
            </w:r>
            <w:r>
              <w:rPr>
                <w:rFonts w:hint="eastAsia" w:ascii="宋体" w:hAnsi="宋体" w:cs="宋体"/>
                <w:b/>
                <w:color w:val="auto"/>
                <w:szCs w:val="21"/>
                <w:highlight w:val="none"/>
              </w:rPr>
              <w:t>及委托代理人签字</w:t>
            </w:r>
            <w:r>
              <w:rPr>
                <w:rFonts w:hint="eastAsia" w:ascii="宋体" w:hAnsi="宋体" w:cs="宋体"/>
                <w:b/>
                <w:color w:val="auto"/>
                <w:szCs w:val="21"/>
                <w:highlight w:val="none"/>
                <w:lang w:val="en-US" w:eastAsia="zh-CN"/>
              </w:rPr>
              <w:t>或电子签名</w:t>
            </w:r>
            <w:r>
              <w:rPr>
                <w:rFonts w:hint="eastAsia" w:ascii="宋体" w:hAnsi="宋体" w:cs="宋体"/>
                <w:b/>
                <w:color w:val="auto"/>
                <w:szCs w:val="21"/>
                <w:highlight w:val="none"/>
              </w:rPr>
              <w:t>，并加盖供应商公章，否则响应文件按无效响应处理。</w:t>
            </w:r>
          </w:p>
          <w:p w14:paraId="6E6B84CA">
            <w:pPr>
              <w:keepNext w:val="0"/>
              <w:keepLines w:val="0"/>
              <w:pageBreakBefore w:val="0"/>
              <w:widowControl w:val="0"/>
              <w:kinsoku/>
              <w:wordWrap/>
              <w:overflowPunct/>
              <w:topLinePunct w:val="0"/>
              <w:bidi w:val="0"/>
              <w:spacing w:line="440" w:lineRule="exact"/>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01AD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724DC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3A4BEB3D">
            <w:pPr>
              <w:snapToGrid w:val="0"/>
              <w:spacing w:line="360" w:lineRule="auto"/>
              <w:ind w:right="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供应商所提供的总报价需包含货物、货物标准附件、备品备件、专用工具、设备安装辅材、包装、运输、装卸、保险、货到就位的各种费用、税金、售后服务、技术培训、验收等所有成本费用的总和。供应商须自行考虑完成项目所需的全部内容中产生的所有费用，合同实施阶段，采购人不再支付任何费用。（</w:t>
            </w:r>
            <w:r>
              <w:rPr>
                <w:rFonts w:hint="eastAsia" w:ascii="宋体" w:hAnsi="宋体" w:cs="宋体"/>
                <w:color w:val="auto"/>
                <w:szCs w:val="21"/>
                <w:highlight w:val="none"/>
                <w:lang w:val="en-US" w:eastAsia="zh-CN"/>
              </w:rPr>
              <w:t>采购需求另有规定的，按其规定</w:t>
            </w:r>
            <w:r>
              <w:rPr>
                <w:rFonts w:hint="eastAsia" w:ascii="宋体" w:hAnsi="宋体" w:cs="宋体"/>
                <w:color w:val="auto"/>
                <w:szCs w:val="21"/>
                <w:highlight w:val="none"/>
                <w:lang w:eastAsia="zh-CN"/>
              </w:rPr>
              <w:t>）</w:t>
            </w:r>
          </w:p>
        </w:tc>
      </w:tr>
      <w:tr w14:paraId="7411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A5CE15C">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295B9CFC">
            <w:pPr>
              <w:keepNext w:val="0"/>
              <w:keepLines w:val="0"/>
              <w:pageBreakBefore w:val="0"/>
              <w:widowControl w:val="0"/>
              <w:kinsoku/>
              <w:wordWrap/>
              <w:overflowPunct/>
              <w:topLinePunct w:val="0"/>
              <w:autoSpaceDE w:val="0"/>
              <w:autoSpaceDN w:val="0"/>
              <w:bidi w:val="0"/>
              <w:snapToGrid w:val="0"/>
              <w:spacing w:line="440" w:lineRule="exact"/>
              <w:textAlignment w:val="bottom"/>
              <w:rPr>
                <w:rFonts w:hint="eastAsia" w:ascii="宋体" w:hAnsi="宋体"/>
                <w:color w:val="auto"/>
                <w:szCs w:val="21"/>
                <w:highlight w:val="none"/>
              </w:rPr>
            </w:pP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标有效期：自首次响应文件提交截止之日起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60</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tc>
      </w:tr>
      <w:tr w14:paraId="7D0B3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614781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7915F49">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本项目不收取</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保证金。</w:t>
            </w:r>
          </w:p>
          <w:p w14:paraId="7488A4FA">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本项目收取</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保证金，具体规定如下</w:t>
            </w:r>
            <w:r>
              <w:rPr>
                <w:rFonts w:hint="eastAsia" w:ascii="宋体" w:hAnsi="宋体" w:cs="宋体"/>
                <w:color w:val="auto"/>
                <w:szCs w:val="21"/>
                <w:highlight w:val="none"/>
                <w:lang w:eastAsia="zh-CN"/>
              </w:rPr>
              <w:t>：</w:t>
            </w:r>
          </w:p>
          <w:p w14:paraId="17C3DBDA">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eastAsia="zh-CN"/>
              </w:rPr>
              <w:t>保证金：按人民币</w:t>
            </w:r>
            <w:r>
              <w:rPr>
                <w:rFonts w:hint="eastAsia" w:ascii="宋体" w:hAnsi="宋体" w:cs="宋体"/>
                <w:color w:val="auto"/>
                <w:szCs w:val="21"/>
                <w:highlight w:val="none"/>
                <w:lang w:val="en-US" w:eastAsia="zh-CN"/>
              </w:rPr>
              <w:t>壹万捌仟元整</w:t>
            </w:r>
            <w:r>
              <w:rPr>
                <w:rFonts w:hint="eastAsia" w:ascii="宋体" w:hAnsi="宋体" w:cs="宋体"/>
                <w:color w:val="auto"/>
                <w:szCs w:val="21"/>
                <w:highlight w:val="none"/>
                <w:lang w:eastAsia="zh-CN"/>
              </w:rPr>
              <w:t>（</w:t>
            </w:r>
            <w:r>
              <w:rPr>
                <w:rFonts w:hint="default" w:ascii="宋体" w:hAnsi="宋体" w:cs="宋体"/>
                <w:color w:val="auto"/>
                <w:szCs w:val="21"/>
                <w:highlight w:val="none"/>
                <w:lang w:eastAsia="zh-CN"/>
              </w:rPr>
              <w:t>¥</w:t>
            </w:r>
            <w:r>
              <w:rPr>
                <w:rFonts w:hint="eastAsia" w:ascii="宋体" w:hAnsi="宋体" w:cs="宋体"/>
                <w:color w:val="auto"/>
                <w:szCs w:val="21"/>
                <w:highlight w:val="none"/>
                <w:lang w:val="en-US" w:eastAsia="zh-CN"/>
              </w:rPr>
              <w:t>18000.00</w:t>
            </w:r>
            <w:r>
              <w:rPr>
                <w:rFonts w:hint="eastAsia" w:ascii="宋体" w:hAnsi="宋体" w:cs="宋体"/>
                <w:color w:val="auto"/>
                <w:szCs w:val="21"/>
                <w:highlight w:val="none"/>
                <w:lang w:eastAsia="zh-CN"/>
              </w:rPr>
              <w:t>元）交纳。</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eastAsia="zh-CN"/>
              </w:rPr>
              <w:t>保证金的交纳方式：银行转账、支票、汇票、本票或者银行、保险机构出具的保函，禁止采用现钞方式。采用银行转账方式的，在响应文件提交截止时间前交至指定账户并且到账（账户名称：</w:t>
            </w:r>
            <w:r>
              <w:rPr>
                <w:rFonts w:hint="eastAsia" w:ascii="宋体" w:hAnsi="宋体" w:cs="宋体"/>
                <w:color w:val="auto"/>
                <w:szCs w:val="21"/>
                <w:highlight w:val="none"/>
                <w:lang w:val="en-US" w:eastAsia="zh-CN"/>
              </w:rPr>
              <w:t>广西建汇工程咨询有限公司玉林分公司；</w:t>
            </w:r>
            <w:r>
              <w:rPr>
                <w:rFonts w:hint="eastAsia" w:ascii="宋体" w:hAnsi="宋体" w:cs="宋体"/>
                <w:color w:val="auto"/>
                <w:szCs w:val="21"/>
                <w:highlight w:val="none"/>
                <w:lang w:eastAsia="zh-CN"/>
              </w:rPr>
              <w:t>开户银行：</w:t>
            </w:r>
            <w:r>
              <w:rPr>
                <w:rFonts w:hint="eastAsia" w:ascii="宋体" w:hAnsi="宋体" w:cs="宋体"/>
                <w:color w:val="auto"/>
                <w:szCs w:val="21"/>
                <w:highlight w:val="none"/>
                <w:lang w:val="en-US" w:eastAsia="zh-CN"/>
              </w:rPr>
              <w:t>广西北部湾银行玉林分行；</w:t>
            </w:r>
            <w:r>
              <w:rPr>
                <w:rFonts w:hint="eastAsia" w:ascii="宋体" w:hAnsi="宋体" w:cs="宋体"/>
                <w:color w:val="auto"/>
                <w:szCs w:val="21"/>
                <w:highlight w:val="none"/>
                <w:lang w:eastAsia="zh-CN"/>
              </w:rPr>
              <w:t>银行账号：</w:t>
            </w:r>
            <w:r>
              <w:rPr>
                <w:rFonts w:hint="eastAsia" w:ascii="宋体" w:hAnsi="宋体" w:cs="宋体"/>
                <w:color w:val="auto"/>
                <w:szCs w:val="21"/>
                <w:highlight w:val="none"/>
                <w:lang w:val="en-US" w:eastAsia="zh-CN"/>
              </w:rPr>
              <w:t>800126930200014</w:t>
            </w:r>
            <w:r>
              <w:rPr>
                <w:rFonts w:hint="eastAsia" w:ascii="宋体" w:hAnsi="宋体" w:cs="宋体"/>
                <w:color w:val="auto"/>
                <w:szCs w:val="21"/>
                <w:highlight w:val="none"/>
                <w:lang w:eastAsia="zh-CN"/>
              </w:rPr>
              <w:t>）</w:t>
            </w:r>
          </w:p>
          <w:p w14:paraId="0F104A3D">
            <w:pPr>
              <w:keepNext w:val="0"/>
              <w:keepLines w:val="0"/>
              <w:pageBreakBefore w:val="0"/>
              <w:widowControl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相关要求:</w:t>
            </w:r>
          </w:p>
          <w:p w14:paraId="2CF502AD">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1.竞标</w:t>
            </w:r>
            <w:r>
              <w:rPr>
                <w:rFonts w:hint="eastAsia" w:ascii="宋体" w:hAnsi="宋体" w:cs="宋体"/>
                <w:color w:val="auto"/>
                <w:szCs w:val="21"/>
                <w:highlight w:val="none"/>
                <w:lang w:eastAsia="zh-CN"/>
              </w:rPr>
              <w:t>保证金采用银行转账交纳方式，在响应文件提交截止时间前交至指定账户并且到账</w:t>
            </w:r>
            <w:r>
              <w:rPr>
                <w:rFonts w:hint="eastAsia" w:ascii="宋体" w:hAnsi="宋体" w:cs="宋体"/>
                <w:color w:val="auto"/>
                <w:szCs w:val="21"/>
                <w:highlight w:val="none"/>
                <w:lang w:val="en-US" w:eastAsia="zh-CN"/>
              </w:rPr>
              <w:t>供</w:t>
            </w:r>
            <w:r>
              <w:rPr>
                <w:rFonts w:hint="eastAsia" w:ascii="宋体" w:hAnsi="宋体" w:cs="宋体"/>
                <w:color w:val="auto"/>
                <w:szCs w:val="21"/>
                <w:highlight w:val="none"/>
                <w:lang w:eastAsia="zh-CN"/>
              </w:rPr>
              <w:t>应商应将银行转账底单的复印件作为</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eastAsia="zh-CN"/>
              </w:rPr>
              <w:t>保证金提交凭证，放于商务及技术文件中，</w:t>
            </w:r>
            <w:r>
              <w:rPr>
                <w:rFonts w:hint="eastAsia" w:ascii="宋体" w:hAnsi="宋体" w:cs="宋体"/>
                <w:b/>
                <w:bCs/>
                <w:color w:val="auto"/>
                <w:szCs w:val="21"/>
                <w:highlight w:val="none"/>
                <w:lang w:eastAsia="zh-CN"/>
              </w:rPr>
              <w:t>否则竞标无效</w:t>
            </w:r>
            <w:r>
              <w:rPr>
                <w:rFonts w:hint="eastAsia" w:ascii="宋体" w:hAnsi="宋体" w:cs="宋体"/>
                <w:color w:val="auto"/>
                <w:szCs w:val="21"/>
                <w:highlight w:val="none"/>
                <w:lang w:eastAsia="zh-CN"/>
              </w:rPr>
              <w:t>。</w:t>
            </w:r>
          </w:p>
          <w:p w14:paraId="6A968B91">
            <w:pPr>
              <w:keepNext w:val="0"/>
              <w:keepLines w:val="0"/>
              <w:pageBreakBefore w:val="0"/>
              <w:widowControl w:val="0"/>
              <w:kinsoku/>
              <w:wordWrap/>
              <w:overflowPunct/>
              <w:topLinePunct w:val="0"/>
              <w:autoSpaceDE w:val="0"/>
              <w:autoSpaceDN w:val="0"/>
              <w:bidi w:val="0"/>
              <w:adjustRightInd/>
              <w:snapToGrid w:val="0"/>
              <w:spacing w:line="440" w:lineRule="exact"/>
              <w:ind w:firstLine="420" w:firstLineChars="200"/>
              <w:textAlignment w:val="bottom"/>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2.竞标保证金采用支票、汇票、本票或者银行、保险机构出具的保函(包含电子保函)交纳方式的，供应商应将支票、汇票、本票或者银行、保险机构出具的保函(包含电子保函)的复印件作为竞标保证金提交凭证，放置于商务及技术文件中，</w:t>
            </w:r>
            <w:r>
              <w:rPr>
                <w:rFonts w:hint="eastAsia" w:ascii="宋体" w:hAnsi="宋体" w:cs="宋体"/>
                <w:b/>
                <w:bCs/>
                <w:color w:val="auto"/>
                <w:szCs w:val="21"/>
                <w:highlight w:val="none"/>
                <w:lang w:val="en-US" w:eastAsia="zh-CN"/>
              </w:rPr>
              <w:t>否则竞标无效。</w:t>
            </w:r>
            <w:r>
              <w:rPr>
                <w:rFonts w:hint="eastAsia" w:ascii="宋体" w:hAnsi="宋体" w:cs="宋体"/>
                <w:color w:val="auto"/>
                <w:szCs w:val="21"/>
                <w:highlight w:val="none"/>
              </w:rPr>
              <w:t>供应商必须</w:t>
            </w:r>
            <w:r>
              <w:rPr>
                <w:rFonts w:hint="eastAsia" w:ascii="宋体" w:hAnsi="宋体" w:cs="宋体"/>
                <w:color w:val="auto"/>
                <w:highlight w:val="none"/>
              </w:rPr>
              <w:t>在响应文件提交截止时间前采用现场或邮寄方式（现场提交地址：</w:t>
            </w:r>
            <w:r>
              <w:rPr>
                <w:rFonts w:hint="eastAsia" w:ascii="宋体" w:hAnsi="宋体" w:cs="宋体"/>
                <w:color w:val="auto"/>
                <w:szCs w:val="21"/>
                <w:highlight w:val="none"/>
                <w:u w:val="single"/>
                <w:lang w:val="en-US" w:eastAsia="zh-CN"/>
              </w:rPr>
              <w:t>广西建汇工程咨询有限公司玉林分公司</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玉林市玉州区江滨路东55号山水名城8栋10号商铺</w:t>
            </w:r>
            <w:r>
              <w:rPr>
                <w:rFonts w:hint="eastAsia" w:ascii="宋体" w:hAnsi="宋体" w:cs="宋体"/>
                <w:color w:val="auto"/>
                <w:szCs w:val="21"/>
                <w:highlight w:val="none"/>
                <w:u w:val="single"/>
              </w:rPr>
              <w:t>)</w:t>
            </w:r>
            <w:r>
              <w:rPr>
                <w:rFonts w:hint="eastAsia" w:ascii="宋体" w:hAnsi="宋体" w:cs="宋体"/>
                <w:color w:val="auto"/>
                <w:highlight w:val="none"/>
              </w:rPr>
              <w:t>；邮寄地址：</w:t>
            </w:r>
            <w:r>
              <w:rPr>
                <w:rFonts w:hint="eastAsia" w:ascii="宋体" w:hAnsi="宋体" w:cs="宋体"/>
                <w:color w:val="auto"/>
                <w:highlight w:val="none"/>
                <w:u w:val="single"/>
                <w:lang w:val="en-US" w:eastAsia="zh-CN"/>
              </w:rPr>
              <w:t>玉林市玉州区江滨路东55号山水名城8栋10号商铺</w:t>
            </w:r>
            <w:r>
              <w:rPr>
                <w:rFonts w:hint="eastAsia" w:ascii="宋体" w:hAnsi="宋体" w:cs="宋体"/>
                <w:color w:val="auto"/>
                <w:highlight w:val="none"/>
              </w:rPr>
              <w:t>，收件人：</w:t>
            </w:r>
            <w:r>
              <w:rPr>
                <w:rFonts w:hint="eastAsia" w:ascii="宋体" w:hAnsi="宋体" w:cs="宋体"/>
                <w:color w:val="auto"/>
                <w:kern w:val="0"/>
                <w:szCs w:val="21"/>
                <w:highlight w:val="none"/>
                <w:u w:val="single"/>
                <w:lang w:val="en-US" w:eastAsia="zh-CN"/>
              </w:rPr>
              <w:t>梁妮</w:t>
            </w:r>
            <w:r>
              <w:rPr>
                <w:rFonts w:hint="eastAsia" w:ascii="宋体" w:hAnsi="宋体" w:cs="宋体"/>
                <w:color w:val="auto"/>
                <w:highlight w:val="none"/>
              </w:rPr>
              <w:t>，联系方式：</w:t>
            </w:r>
            <w:r>
              <w:rPr>
                <w:rFonts w:hint="eastAsia" w:ascii="宋体" w:hAnsi="宋体" w:cs="宋体"/>
                <w:color w:val="auto"/>
                <w:kern w:val="0"/>
                <w:szCs w:val="21"/>
                <w:highlight w:val="none"/>
                <w:u w:val="single"/>
              </w:rPr>
              <w:t>0775-</w:t>
            </w:r>
            <w:r>
              <w:rPr>
                <w:rFonts w:hint="eastAsia" w:ascii="宋体" w:hAnsi="宋体" w:cs="宋体"/>
                <w:color w:val="auto"/>
                <w:kern w:val="0"/>
                <w:szCs w:val="21"/>
                <w:highlight w:val="none"/>
                <w:u w:val="single"/>
                <w:lang w:val="en-US" w:eastAsia="zh-CN"/>
              </w:rPr>
              <w:t>2698633</w:t>
            </w:r>
            <w:r>
              <w:rPr>
                <w:rFonts w:hint="eastAsia" w:ascii="宋体" w:hAnsi="宋体" w:cs="宋体"/>
                <w:color w:val="auto"/>
                <w:highlight w:val="none"/>
              </w:rPr>
              <w:t>）</w:t>
            </w:r>
            <w:r>
              <w:rPr>
                <w:rFonts w:hint="eastAsia" w:ascii="宋体" w:hAnsi="宋体" w:cs="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s="宋体"/>
                <w:color w:val="auto"/>
                <w:szCs w:val="21"/>
                <w:highlight w:val="none"/>
              </w:rPr>
              <w:t>支票、汇票、本票或者银行、保险机构出具的保函原件提交给采购代理机构，由采购代理机构向供应商出具回执（邮寄方式的除外），并妥善保管。</w:t>
            </w:r>
          </w:p>
          <w:p w14:paraId="67187FC3">
            <w:pPr>
              <w:keepNext w:val="0"/>
              <w:keepLines w:val="0"/>
              <w:pageBreakBefore w:val="0"/>
              <w:widowControl w:val="0"/>
              <w:kinsoku/>
              <w:wordWrap/>
              <w:overflowPunct/>
              <w:topLinePunct w:val="0"/>
              <w:autoSpaceDE w:val="0"/>
              <w:autoSpaceDN w:val="0"/>
              <w:bidi w:val="0"/>
              <w:snapToGrid w:val="0"/>
              <w:spacing w:line="440" w:lineRule="exact"/>
              <w:ind w:firstLine="420" w:firstLineChars="200"/>
              <w:textAlignment w:val="bottom"/>
              <w:rPr>
                <w:rFonts w:hint="default"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3.供应商</w:t>
            </w:r>
            <w:r>
              <w:rPr>
                <w:rFonts w:hint="default" w:ascii="宋体" w:hAnsi="宋体" w:cs="宋体"/>
                <w:b w:val="0"/>
                <w:bCs w:val="0"/>
                <w:color w:val="auto"/>
                <w:szCs w:val="21"/>
                <w:highlight w:val="none"/>
                <w:lang w:val="en-US" w:eastAsia="zh-CN"/>
              </w:rPr>
              <w:t>为联合体的，可以由联合体中的一方或者多方共同交纳竞标保证金，其交纳的保证金对联合体各方均具有约束力。</w:t>
            </w:r>
          </w:p>
        </w:tc>
      </w:tr>
      <w:tr w14:paraId="1BAE0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5862645">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37B68C8">
            <w:pPr>
              <w:keepNext w:val="0"/>
              <w:keepLines w:val="0"/>
              <w:pageBreakBefore w:val="0"/>
              <w:widowControl w:val="0"/>
              <w:kinsoku/>
              <w:wordWrap/>
              <w:overflowPunct/>
              <w:topLinePunct w:val="0"/>
              <w:autoSpaceDE w:val="0"/>
              <w:autoSpaceDN w:val="0"/>
              <w:bidi w:val="0"/>
              <w:snapToGrid w:val="0"/>
              <w:spacing w:line="44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val="en-US" w:eastAsia="zh-CN"/>
              </w:rPr>
              <w:t>本项目不接受电子备份响应文件。</w:t>
            </w:r>
          </w:p>
        </w:tc>
      </w:tr>
      <w:tr w14:paraId="3468B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76470A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C25D475">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u w:val="none"/>
              </w:rPr>
            </w:pPr>
            <w:r>
              <w:rPr>
                <w:rFonts w:hint="eastAsia" w:ascii="宋体" w:hAnsi="宋体" w:cs="宋体"/>
                <w:color w:val="auto"/>
                <w:szCs w:val="21"/>
                <w:highlight w:val="none"/>
                <w:u w:val="none"/>
                <w:lang w:val="en-US" w:eastAsia="zh-CN"/>
              </w:rPr>
              <w:t xml:space="preserve">首次响应文件提交截止时间：详见竞争性谈判公告。 </w:t>
            </w:r>
          </w:p>
          <w:p w14:paraId="13D9327E">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none"/>
                <w:lang w:val="en-US" w:eastAsia="zh-CN"/>
              </w:rPr>
              <w:t xml:space="preserve">首次响应文件提交地点：详见竞争性谈判公告。  </w:t>
            </w:r>
          </w:p>
        </w:tc>
      </w:tr>
      <w:tr w14:paraId="056A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AF327EC">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7207406E">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谈判小组的人数： 3 人以上单数。</w:t>
            </w:r>
          </w:p>
        </w:tc>
      </w:tr>
      <w:tr w14:paraId="569B5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292D9293">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2863B705">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 xml:space="preserve">首次响应文件开启时间详见“竞争性谈判公告” </w:t>
            </w:r>
          </w:p>
          <w:p w14:paraId="467CD633">
            <w:pPr>
              <w:keepNext w:val="0"/>
              <w:keepLines w:val="0"/>
              <w:pageBreakBefore w:val="0"/>
              <w:widowControl w:val="0"/>
              <w:kinsoku/>
              <w:wordWrap/>
              <w:overflowPunct/>
              <w:topLinePunct w:val="0"/>
              <w:bidi w:val="0"/>
              <w:snapToGrid w:val="0"/>
              <w:spacing w:line="440" w:lineRule="exact"/>
              <w:jc w:val="left"/>
              <w:rPr>
                <w:rFonts w:hint="eastAsia"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首次响应文件解密时间：30 分钟</w:t>
            </w:r>
          </w:p>
        </w:tc>
      </w:tr>
      <w:tr w14:paraId="59326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1048"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3147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BC92FF7">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w:t>
            </w:r>
            <w:r>
              <w:rPr>
                <w:rFonts w:hint="eastAsia" w:ascii="宋体" w:hAnsi="宋体" w:cs="宋体"/>
                <w:color w:val="auto"/>
                <w:szCs w:val="21"/>
                <w:highlight w:val="none"/>
              </w:rPr>
              <w:t>项。</w:t>
            </w:r>
          </w:p>
          <w:p w14:paraId="08F33C69">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cs="宋体"/>
                <w:color w:val="auto"/>
                <w:szCs w:val="21"/>
                <w:highlight w:val="none"/>
              </w:rPr>
              <w:t>需求评审中允许负偏离的条款数</w:t>
            </w:r>
            <w:r>
              <w:rPr>
                <w:rFonts w:hint="eastAsia" w:ascii="宋体" w:hAnsi="宋体" w:cs="宋体"/>
                <w:color w:val="auto"/>
                <w:szCs w:val="21"/>
                <w:highlight w:val="none"/>
                <w:lang w:val="en-US" w:eastAsia="zh-CN"/>
              </w:rPr>
              <w:t>为</w:t>
            </w:r>
            <w:r>
              <w:rPr>
                <w:rFonts w:hint="eastAsia" w:ascii="宋体" w:hAnsi="宋体" w:eastAsia="宋体" w:cs="宋体"/>
                <w:color w:val="auto"/>
                <w:szCs w:val="21"/>
                <w:highlight w:val="none"/>
                <w:lang w:val="en-US" w:eastAsia="zh-CN"/>
              </w:rPr>
              <w:t>的</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3</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rPr>
              <w:t>项</w:t>
            </w:r>
            <w:r>
              <w:rPr>
                <w:rFonts w:hint="eastAsia" w:ascii="宋体" w:hAnsi="宋体" w:cs="宋体"/>
                <w:b w:val="0"/>
                <w:bCs w:val="0"/>
                <w:color w:val="auto"/>
                <w:szCs w:val="21"/>
                <w:highlight w:val="none"/>
              </w:rPr>
              <w:t>。</w:t>
            </w:r>
          </w:p>
        </w:tc>
      </w:tr>
      <w:tr w14:paraId="74308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9" w:hRule="atLeast"/>
          <w:jc w:val="center"/>
        </w:trPr>
        <w:tc>
          <w:tcPr>
            <w:tcW w:w="10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C3289">
            <w:pPr>
              <w:widowControl/>
              <w:jc w:val="left"/>
              <w:rPr>
                <w:rFonts w:ascii="宋体" w:hAnsi="宋体" w:cs="宋体"/>
                <w:color w:val="auto"/>
                <w:szCs w:val="21"/>
                <w:highlight w:val="none"/>
              </w:rPr>
            </w:pP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B550A94">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最后报价相同时，按节能、环保产品累计金额由高到低顺序依次推荐；节能、环保产品累计金额也相同时，按以下原则确定成交候选人的顺序： </w:t>
            </w:r>
          </w:p>
          <w:p w14:paraId="5286CF36">
            <w:pPr>
              <w:keepNext w:val="0"/>
              <w:keepLines w:val="0"/>
              <w:pageBreakBefore w:val="0"/>
              <w:widowControl w:val="0"/>
              <w:kinsoku/>
              <w:wordWrap/>
              <w:overflowPunct/>
              <w:topLinePunct w:val="0"/>
              <w:bidi w:val="0"/>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带“▲”的实质性要求正偏离项数多的优先、均无正偏离或者正偏离项数一致时负偏离项数少的优先、保修期长优先、交货期短优先、故障响应时间短优先的顺序推荐。</w:t>
            </w:r>
          </w:p>
        </w:tc>
      </w:tr>
      <w:tr w14:paraId="0A8B0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1ED27A61">
            <w:pPr>
              <w:widowControl/>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28</w:t>
            </w:r>
            <w:r>
              <w:rPr>
                <w:rFonts w:hint="eastAsia" w:ascii="宋体" w:hAnsi="宋体" w:cs="宋体"/>
                <w:color w:val="auto"/>
                <w:szCs w:val="21"/>
                <w:highlight w:val="none"/>
                <w:lang w:val="en-US" w:eastAsia="zh-CN"/>
              </w:rPr>
              <w:t>.1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73732D29">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履约保证金金额：</w:t>
            </w:r>
          </w:p>
          <w:p w14:paraId="2015F0BD">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本项目不收取履约保证金 </w:t>
            </w:r>
          </w:p>
          <w:p w14:paraId="1F1228F4">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本项目收取履约保证金，相关要求如下： </w:t>
            </w:r>
          </w:p>
          <w:p w14:paraId="55C6CF5C">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 xml:space="preserve"> 2% </w:t>
            </w:r>
            <w:r>
              <w:rPr>
                <w:rFonts w:hint="eastAsia" w:ascii="宋体" w:hAnsi="宋体" w:eastAsia="宋体" w:cs="宋体"/>
                <w:color w:val="auto"/>
                <w:szCs w:val="21"/>
                <w:highlight w:val="none"/>
              </w:rPr>
              <w:t>向采购人缴纳。</w:t>
            </w:r>
          </w:p>
          <w:p w14:paraId="710D6A3E">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履约保证金递交方式：支票、汇票、本票或者金融、担保机构出具的保函等非现金方式（参照竞标保证金）。</w:t>
            </w:r>
          </w:p>
          <w:p w14:paraId="4A2686B7">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履约保证金退付方式、时间及条件：履行完合同约定的权利及义务之日止由成交供应商向履约保证金收取单位提供《采购项目</w:t>
            </w:r>
            <w:r>
              <w:rPr>
                <w:rFonts w:hint="eastAsia" w:ascii="宋体" w:hAnsi="宋体" w:cs="宋体"/>
                <w:color w:val="auto"/>
                <w:szCs w:val="21"/>
                <w:highlight w:val="none"/>
                <w:lang w:val="en-US" w:eastAsia="zh-CN"/>
              </w:rPr>
              <w:t>合同</w:t>
            </w:r>
            <w:r>
              <w:rPr>
                <w:rFonts w:hint="eastAsia" w:ascii="宋体" w:hAnsi="宋体" w:eastAsia="宋体" w:cs="宋体"/>
                <w:color w:val="auto"/>
                <w:szCs w:val="21"/>
                <w:highlight w:val="none"/>
              </w:rPr>
              <w:t>验收书》（详见附件1）及《采购项目履约保证金退付意见书》（详见附件2），保证金收取单位在收到合格材料后5个工作日内办理退还手续（不计利息）。</w:t>
            </w:r>
          </w:p>
          <w:p w14:paraId="19C3A08D">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宋体" w:hAnsi="宋体"/>
                <w:b/>
                <w:bCs/>
                <w:color w:val="auto"/>
                <w:szCs w:val="21"/>
                <w:highlight w:val="none"/>
              </w:rPr>
            </w:pPr>
            <w:r>
              <w:rPr>
                <w:rFonts w:hint="eastAsia" w:ascii="宋体" w:hAnsi="宋体"/>
                <w:b/>
                <w:bCs/>
                <w:color w:val="auto"/>
                <w:szCs w:val="21"/>
                <w:highlight w:val="none"/>
              </w:rPr>
              <w:t xml:space="preserve">备注： </w:t>
            </w:r>
          </w:p>
          <w:p w14:paraId="4CFBF8D7">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 xml:space="preserve">1.根据《广西壮族自治区财政厅关于贯彻落实政府采购优化营商环境百日攻坚行动 方案的通知》（桂财采〔2020〕49 号）、《广西壮族自治区财政厅关于进一步发挥政府采购政策功能促进企业发展的通知》（桂财采〔2022〕30 号）规定，鼓励采购人在与成交供应商签订政府采购合同时，减少或免于收取履约保证金，有必要收取履约保证金的，收取的履约保证金不得超过采购合同金额的 5%，对中小企业收取的履约保证金数额不得超过政府采购合同金额的 2%。 </w:t>
            </w:r>
          </w:p>
          <w:p w14:paraId="20F237BE">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 xml:space="preserve">2.履约保证金不足额缴纳的，或者金融、担保机构出具的保函额度不足的或者保函有效期低于合同履行期限（即签订采购合同之日起至履行完合同约定的权利及义务之日止）的，不予签订合同。 </w:t>
            </w:r>
          </w:p>
          <w:p w14:paraId="3B7BDAEA">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 xml:space="preserve">3.采用金融、担保机构出具的保函的，必须为无条件保函，否则不予签订合同。 </w:t>
            </w:r>
          </w:p>
          <w:p w14:paraId="0FE6F093">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color w:val="auto"/>
                <w:szCs w:val="21"/>
                <w:highlight w:val="none"/>
              </w:rPr>
            </w:pPr>
            <w:r>
              <w:rPr>
                <w:rFonts w:hint="eastAsia" w:ascii="宋体" w:hAnsi="宋体" w:cs="宋体"/>
                <w:b/>
                <w:bCs/>
                <w:color w:val="auto"/>
                <w:szCs w:val="21"/>
                <w:highlight w:val="none"/>
              </w:rPr>
              <w:t>4.供应商为联合体的，由联合体任意一方按规定提交的履约保证金，视为有效履约保证金。</w:t>
            </w:r>
            <w:r>
              <w:rPr>
                <w:rFonts w:hint="eastAsia" w:ascii="宋体" w:hAnsi="宋体"/>
                <w:color w:val="auto"/>
                <w:szCs w:val="21"/>
                <w:highlight w:val="none"/>
              </w:rPr>
              <w:t xml:space="preserve"> </w:t>
            </w:r>
          </w:p>
        </w:tc>
      </w:tr>
      <w:tr w14:paraId="1A0A2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7E5A51D">
            <w:pPr>
              <w:widowControl/>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6F90FFD3">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61F0965">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广西建汇工程咨询有限公司</w:t>
            </w:r>
            <w:r>
              <w:rPr>
                <w:rFonts w:hint="eastAsia" w:ascii="宋体" w:hAnsi="宋体"/>
                <w:color w:val="auto"/>
                <w:szCs w:val="21"/>
                <w:highlight w:val="none"/>
              </w:rPr>
              <w:t>，联系电话：0775-2698633，通讯地址：</w:t>
            </w:r>
            <w:r>
              <w:rPr>
                <w:rFonts w:hint="eastAsia" w:ascii="宋体" w:hAnsi="宋体"/>
                <w:color w:val="auto"/>
                <w:szCs w:val="21"/>
                <w:highlight w:val="none"/>
                <w:lang w:val="en-US" w:eastAsia="zh-CN"/>
              </w:rPr>
              <w:t>玉林市玉州区江滨路东55号山水名城8栋10号商铺</w:t>
            </w:r>
          </w:p>
          <w:p w14:paraId="25762C49">
            <w:pPr>
              <w:keepNext w:val="0"/>
              <w:keepLines w:val="0"/>
              <w:pageBreakBefore w:val="0"/>
              <w:widowControl w:val="0"/>
              <w:kinsoku/>
              <w:wordWrap/>
              <w:overflowPunct/>
              <w:topLinePunct w:val="0"/>
              <w:bidi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业务时间：上午8时00分到12时00分，下午</w:t>
            </w:r>
            <w:r>
              <w:rPr>
                <w:rFonts w:hint="eastAsia" w:ascii="宋体" w:hAnsi="宋体"/>
                <w:color w:val="auto"/>
                <w:szCs w:val="21"/>
                <w:highlight w:val="none"/>
                <w:lang w:val="en-US" w:eastAsia="zh-CN"/>
              </w:rPr>
              <w:t>3</w:t>
            </w:r>
            <w:r>
              <w:rPr>
                <w:rFonts w:hint="eastAsia" w:ascii="宋体" w:hAnsi="宋体"/>
                <w:color w:val="auto"/>
                <w:szCs w:val="21"/>
                <w:highlight w:val="none"/>
              </w:rPr>
              <w:t>时00分到</w:t>
            </w:r>
            <w:r>
              <w:rPr>
                <w:rFonts w:hint="eastAsia" w:ascii="宋体" w:hAnsi="宋体"/>
                <w:color w:val="auto"/>
                <w:szCs w:val="21"/>
                <w:highlight w:val="none"/>
                <w:lang w:val="en-US" w:eastAsia="zh-CN"/>
              </w:rPr>
              <w:t>6</w:t>
            </w:r>
            <w:r>
              <w:rPr>
                <w:rFonts w:hint="eastAsia" w:ascii="宋体" w:hAnsi="宋体"/>
                <w:color w:val="auto"/>
                <w:szCs w:val="21"/>
                <w:highlight w:val="none"/>
              </w:rPr>
              <w:t>时00分，业务时间以外、双休日和法定节假日不办理业务。</w:t>
            </w:r>
          </w:p>
        </w:tc>
      </w:tr>
      <w:tr w14:paraId="4C27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FCAA571">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4A966D27">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1.采购代理费：本项目代理服务费由成交供应商在领取成交通知书前，一次性向采购代理机构支付。 </w:t>
            </w:r>
          </w:p>
          <w:p w14:paraId="2F525DC5">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2.采购代理费收取标准：代理服务费参照桂价费〔2011〕55号文件“货物类”收费标准采用差额定率累进法计算收取</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由成交供应商向采购代理机构支付。 </w:t>
            </w:r>
          </w:p>
          <w:p w14:paraId="51825103">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3.采购代理费收取银行账户 </w:t>
            </w:r>
          </w:p>
          <w:p w14:paraId="2DE22C97">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开户名称：广西建汇工程咨询有限公司玉林分公司   </w:t>
            </w:r>
          </w:p>
          <w:p w14:paraId="499CD0B0">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开户银行：广西北部湾银行玉林分行       </w:t>
            </w:r>
          </w:p>
          <w:p w14:paraId="66077CA2">
            <w:pPr>
              <w:pStyle w:val="13"/>
              <w:keepNext w:val="0"/>
              <w:keepLines w:val="0"/>
              <w:pageBreakBefore w:val="0"/>
              <w:widowControl w:val="0"/>
              <w:kinsoku/>
              <w:wordWrap/>
              <w:overflowPunct/>
              <w:topLinePunct w:val="0"/>
              <w:bidi w:val="0"/>
              <w:snapToGrid w:val="0"/>
              <w:spacing w:line="4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银行账号：8001 2693 0200 014</w:t>
            </w:r>
          </w:p>
        </w:tc>
      </w:tr>
      <w:tr w14:paraId="58AAF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7"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335850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1FB9DF39">
            <w:pPr>
              <w:pStyle w:val="13"/>
              <w:keepNext w:val="0"/>
              <w:keepLines w:val="0"/>
              <w:pageBreakBefore w:val="0"/>
              <w:widowControl w:val="0"/>
              <w:kinsoku/>
              <w:wordWrap/>
              <w:overflowPunct/>
              <w:topLinePunct w:val="0"/>
              <w:bidi w:val="0"/>
              <w:snapToGrid w:val="0"/>
              <w:spacing w:line="440" w:lineRule="exact"/>
              <w:rPr>
                <w:rFonts w:hint="eastAsia" w:hAnsi="宋体"/>
                <w:b/>
                <w:color w:val="auto"/>
                <w:sz w:val="21"/>
                <w:highlight w:val="none"/>
              </w:rPr>
            </w:pPr>
            <w:r>
              <w:rPr>
                <w:rFonts w:hint="eastAsia" w:hAnsi="宋体"/>
                <w:color w:val="auto"/>
                <w:sz w:val="21"/>
                <w:highlight w:val="none"/>
              </w:rPr>
              <w:t>解释权：</w:t>
            </w:r>
            <w:r>
              <w:rPr>
                <w:rFonts w:hAnsi="宋体"/>
                <w:color w:val="auto"/>
                <w:sz w:val="21"/>
                <w:highlight w:val="none"/>
              </w:rPr>
              <w:t>构成本</w:t>
            </w:r>
            <w:r>
              <w:rPr>
                <w:rFonts w:hint="eastAsia" w:hAnsi="宋体"/>
                <w:color w:val="auto"/>
                <w:sz w:val="21"/>
                <w:highlight w:val="none"/>
              </w:rPr>
              <w:t>谈判文件</w:t>
            </w:r>
            <w:r>
              <w:rPr>
                <w:rFonts w:hAnsi="宋体"/>
                <w:color w:val="auto"/>
                <w:sz w:val="21"/>
                <w:highlight w:val="none"/>
              </w:rPr>
              <w:t>的各个组成文件应互为解释，互为说明；除</w:t>
            </w:r>
            <w:r>
              <w:rPr>
                <w:rFonts w:hint="eastAsia" w:hAnsi="宋体"/>
                <w:color w:val="auto"/>
                <w:sz w:val="21"/>
                <w:highlight w:val="none"/>
              </w:rPr>
              <w:t>谈判文件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竞争性谈判</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谈判文件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w:t>
            </w:r>
            <w:r>
              <w:rPr>
                <w:rFonts w:hAnsi="宋体"/>
                <w:b/>
                <w:color w:val="auto"/>
                <w:sz w:val="21"/>
                <w:highlight w:val="none"/>
              </w:rPr>
              <w:t>由</w:t>
            </w:r>
            <w:r>
              <w:rPr>
                <w:rFonts w:hint="eastAsia" w:hAnsi="宋体"/>
                <w:b/>
                <w:color w:val="auto"/>
                <w:sz w:val="21"/>
                <w:highlight w:val="none"/>
              </w:rPr>
              <w:t>采购</w:t>
            </w:r>
            <w:r>
              <w:rPr>
                <w:rFonts w:hAnsi="宋体"/>
                <w:b/>
                <w:color w:val="auto"/>
                <w:sz w:val="21"/>
                <w:highlight w:val="none"/>
              </w:rPr>
              <w:t>人</w:t>
            </w:r>
            <w:r>
              <w:rPr>
                <w:rFonts w:hint="eastAsia" w:hAnsi="宋体"/>
                <w:b/>
                <w:color w:val="auto"/>
                <w:sz w:val="21"/>
                <w:highlight w:val="none"/>
              </w:rPr>
              <w:t>或者采购代理机构</w:t>
            </w:r>
            <w:r>
              <w:rPr>
                <w:rFonts w:hAnsi="宋体"/>
                <w:b/>
                <w:color w:val="auto"/>
                <w:sz w:val="21"/>
                <w:highlight w:val="none"/>
              </w:rPr>
              <w:t>负责解释。</w:t>
            </w:r>
          </w:p>
          <w:p w14:paraId="3E87209F">
            <w:pPr>
              <w:keepNext w:val="0"/>
              <w:keepLines w:val="0"/>
              <w:pageBreakBefore w:val="0"/>
              <w:widowControl w:val="0"/>
              <w:kinsoku/>
              <w:wordWrap/>
              <w:overflowPunct/>
              <w:topLinePunct w:val="0"/>
              <w:bidi w:val="0"/>
              <w:spacing w:line="440" w:lineRule="exact"/>
              <w:rPr>
                <w:rFonts w:hint="eastAsia" w:ascii="宋体" w:hAnsi="宋体" w:cs="宋体"/>
                <w:color w:val="auto"/>
                <w:highlight w:val="none"/>
              </w:rPr>
            </w:pPr>
            <w:r>
              <w:rPr>
                <w:rFonts w:hint="eastAsia" w:ascii="宋体" w:hAnsi="宋体"/>
                <w:color w:val="auto"/>
                <w:kern w:val="0"/>
                <w:szCs w:val="21"/>
                <w:highlight w:val="none"/>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6A19D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048" w:type="dxa"/>
            <w:tcBorders>
              <w:top w:val="single" w:color="000000" w:sz="4" w:space="0"/>
              <w:left w:val="single" w:color="000000" w:sz="4" w:space="0"/>
              <w:bottom w:val="single" w:color="000000" w:sz="4" w:space="0"/>
              <w:right w:val="single" w:color="000000" w:sz="4" w:space="0"/>
            </w:tcBorders>
            <w:noWrap w:val="0"/>
            <w:vAlign w:val="center"/>
          </w:tcPr>
          <w:p w14:paraId="09B662A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.2</w:t>
            </w:r>
          </w:p>
        </w:tc>
        <w:tc>
          <w:tcPr>
            <w:tcW w:w="8351" w:type="dxa"/>
            <w:tcBorders>
              <w:top w:val="single" w:color="000000" w:sz="4" w:space="0"/>
              <w:left w:val="single" w:color="000000" w:sz="4" w:space="0"/>
              <w:bottom w:val="single" w:color="000000" w:sz="4" w:space="0"/>
              <w:right w:val="single" w:color="000000" w:sz="4" w:space="0"/>
            </w:tcBorders>
            <w:noWrap w:val="0"/>
            <w:vAlign w:val="center"/>
          </w:tcPr>
          <w:p w14:paraId="50B19EB6">
            <w:pPr>
              <w:pStyle w:val="13"/>
              <w:keepNext w:val="0"/>
              <w:keepLines w:val="0"/>
              <w:pageBreakBefore w:val="0"/>
              <w:widowControl w:val="0"/>
              <w:kinsoku/>
              <w:wordWrap/>
              <w:overflowPunct/>
              <w:topLinePunct w:val="0"/>
              <w:bidi w:val="0"/>
              <w:snapToGrid w:val="0"/>
              <w:spacing w:line="440" w:lineRule="exact"/>
              <w:rPr>
                <w:rFonts w:hint="eastAsia" w:hAnsi="宋体" w:cs="宋体"/>
                <w:color w:val="auto"/>
                <w:sz w:val="21"/>
                <w:highlight w:val="none"/>
              </w:rPr>
            </w:pPr>
            <w:r>
              <w:rPr>
                <w:rFonts w:hint="eastAsia" w:hAnsi="宋体" w:cs="宋体"/>
                <w:color w:val="auto"/>
                <w:sz w:val="21"/>
                <w:highlight w:val="none"/>
              </w:rPr>
              <w:t>1.本谈判文件中描述供应商的“公章”是指供应商通过指定电子化政府采购平台办理数字证书（CA认证）获得的以法定主体行为名称制作的电子印章。</w:t>
            </w:r>
          </w:p>
          <w:p w14:paraId="52D095A4">
            <w:pPr>
              <w:pStyle w:val="13"/>
              <w:keepNext w:val="0"/>
              <w:keepLines w:val="0"/>
              <w:pageBreakBefore w:val="0"/>
              <w:widowControl w:val="0"/>
              <w:kinsoku/>
              <w:wordWrap/>
              <w:overflowPunct/>
              <w:topLinePunct w:val="0"/>
              <w:bidi w:val="0"/>
              <w:snapToGrid w:val="0"/>
              <w:spacing w:line="440" w:lineRule="exact"/>
              <w:rPr>
                <w:rFonts w:hAnsi="宋体" w:cs="宋体"/>
                <w:color w:val="auto"/>
                <w:sz w:val="21"/>
                <w:highlight w:val="none"/>
              </w:rPr>
            </w:pPr>
            <w:r>
              <w:rPr>
                <w:rFonts w:hint="eastAsia" w:hAnsi="宋体" w:cs="宋体"/>
                <w:color w:val="auto"/>
                <w:sz w:val="21"/>
                <w:highlight w:val="none"/>
              </w:rPr>
              <w:t>2.本谈判文件中描述供应商的“签字”是指供应商通过指定电子化政府采购平台办理数字证书（CA认证）获得的以供应商法定代表人或者委托代理人姓名制作的电子印章或手写签字。</w:t>
            </w:r>
          </w:p>
          <w:p w14:paraId="013DFCF3">
            <w:pPr>
              <w:pStyle w:val="13"/>
              <w:keepNext w:val="0"/>
              <w:keepLines w:val="0"/>
              <w:pageBreakBefore w:val="0"/>
              <w:widowControl w:val="0"/>
              <w:kinsoku/>
              <w:wordWrap/>
              <w:overflowPunct/>
              <w:topLinePunct w:val="0"/>
              <w:bidi w:val="0"/>
              <w:snapToGrid w:val="0"/>
              <w:spacing w:line="440" w:lineRule="exact"/>
              <w:rPr>
                <w:rFonts w:hint="eastAsia" w:hAnsi="宋体" w:cs="宋体"/>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FF95525">
            <w:pPr>
              <w:pStyle w:val="13"/>
              <w:keepNext w:val="0"/>
              <w:keepLines w:val="0"/>
              <w:pageBreakBefore w:val="0"/>
              <w:widowControl w:val="0"/>
              <w:kinsoku/>
              <w:wordWrap/>
              <w:overflowPunct/>
              <w:topLinePunct w:val="0"/>
              <w:bidi w:val="0"/>
              <w:snapToGrid w:val="0"/>
              <w:spacing w:line="440" w:lineRule="exact"/>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自然人竞标的，谈判文件规定盖公章处由自然人摁手指指印。</w:t>
            </w:r>
          </w:p>
          <w:p w14:paraId="71BA4F89">
            <w:pPr>
              <w:pStyle w:val="13"/>
              <w:keepNext w:val="0"/>
              <w:keepLines w:val="0"/>
              <w:pageBreakBefore w:val="0"/>
              <w:widowControl w:val="0"/>
              <w:kinsoku/>
              <w:wordWrap/>
              <w:overflowPunct/>
              <w:topLinePunct w:val="0"/>
              <w:bidi w:val="0"/>
              <w:snapToGrid w:val="0"/>
              <w:spacing w:line="440" w:lineRule="exact"/>
              <w:rPr>
                <w:rFonts w:hint="eastAsia"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本谈判文件所称的“以上”“以下”“以内”“届满”，包括本数；所称的“不满”“超过”“以外”，不包括本数。</w:t>
            </w:r>
          </w:p>
        </w:tc>
      </w:tr>
    </w:tbl>
    <w:p w14:paraId="45D5B6EF">
      <w:pPr>
        <w:spacing w:line="400" w:lineRule="exact"/>
        <w:jc w:val="center"/>
        <w:outlineLvl w:val="9"/>
        <w:rPr>
          <w:rFonts w:hint="eastAsia" w:ascii="宋体" w:hAnsi="宋体"/>
          <w:b w:val="0"/>
          <w:color w:val="auto"/>
          <w:highlight w:val="none"/>
        </w:rPr>
      </w:pPr>
      <w:r>
        <w:rPr>
          <w:rFonts w:hint="eastAsia" w:ascii="宋体" w:hAnsi="宋体"/>
          <w:b w:val="0"/>
          <w:color w:val="auto"/>
          <w:highlight w:val="none"/>
        </w:rPr>
        <w:br w:type="page"/>
      </w:r>
    </w:p>
    <w:p w14:paraId="58EC4F6B">
      <w:pPr>
        <w:spacing w:line="400" w:lineRule="exact"/>
        <w:jc w:val="center"/>
        <w:outlineLvl w:val="9"/>
        <w:rPr>
          <w:rFonts w:hint="eastAsia" w:ascii="宋体" w:hAnsi="宋体"/>
          <w:b/>
          <w:color w:val="auto"/>
          <w:sz w:val="32"/>
          <w:szCs w:val="32"/>
          <w:highlight w:val="none"/>
        </w:rPr>
      </w:pPr>
      <w:r>
        <w:rPr>
          <w:rFonts w:hint="eastAsia" w:ascii="宋体" w:hAnsi="宋体"/>
          <w:b/>
          <w:color w:val="auto"/>
          <w:sz w:val="32"/>
          <w:szCs w:val="32"/>
          <w:highlight w:val="none"/>
        </w:rPr>
        <w:t>供应商须知正文</w:t>
      </w:r>
    </w:p>
    <w:p w14:paraId="6395CE35">
      <w:pPr>
        <w:spacing w:line="400" w:lineRule="exact"/>
        <w:jc w:val="center"/>
        <w:rPr>
          <w:rFonts w:hint="eastAsia" w:ascii="宋体" w:hAnsi="宋体"/>
          <w:b/>
          <w:color w:val="auto"/>
          <w:sz w:val="32"/>
          <w:szCs w:val="32"/>
          <w:highlight w:val="none"/>
        </w:rPr>
      </w:pPr>
    </w:p>
    <w:p w14:paraId="37A89860">
      <w:pPr>
        <w:spacing w:line="400" w:lineRule="exact"/>
        <w:jc w:val="center"/>
        <w:outlineLvl w:val="9"/>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5612E836">
      <w:pPr>
        <w:rPr>
          <w:rFonts w:hint="eastAsia" w:ascii="宋体" w:hAnsi="宋体"/>
          <w:b w:val="0"/>
          <w:color w:val="auto"/>
          <w:highlight w:val="none"/>
        </w:rPr>
      </w:pPr>
    </w:p>
    <w:p w14:paraId="3A63BE12">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val="0"/>
          <w:color w:val="auto"/>
          <w:sz w:val="24"/>
          <w:szCs w:val="24"/>
          <w:highlight w:val="none"/>
        </w:rPr>
      </w:pPr>
      <w:r>
        <w:rPr>
          <w:rFonts w:hint="eastAsia" w:ascii="黑体" w:hAnsi="黑体" w:eastAsia="黑体" w:cs="黑体"/>
          <w:b/>
          <w:bCs/>
          <w:color w:val="auto"/>
          <w:sz w:val="24"/>
          <w:szCs w:val="24"/>
          <w:highlight w:val="none"/>
          <w:lang w:val="en-US" w:eastAsia="zh-CN"/>
        </w:rPr>
        <w:t>1. 适用范围</w:t>
      </w:r>
      <w:r>
        <w:rPr>
          <w:rFonts w:hint="eastAsia" w:ascii="黑体" w:hAnsi="黑体" w:eastAsia="黑体" w:cs="黑体"/>
          <w:b w:val="0"/>
          <w:color w:val="auto"/>
          <w:sz w:val="24"/>
          <w:szCs w:val="24"/>
          <w:highlight w:val="none"/>
          <w:lang w:val="en-US" w:eastAsia="zh-CN"/>
        </w:rPr>
        <w:t xml:space="preserve"> </w:t>
      </w:r>
    </w:p>
    <w:p w14:paraId="261B579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1.1 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 </w:t>
      </w:r>
    </w:p>
    <w:p w14:paraId="158731D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1.2 本竞争性谈判文件（以下简称谈判文件）适用于本项目的所有采购程序和环节（法律、法规另有规定的，从其规定）。 </w:t>
      </w:r>
    </w:p>
    <w:p w14:paraId="7548DB6E">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 定义 </w:t>
      </w:r>
    </w:p>
    <w:p w14:paraId="2B434A4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2.1“采购人”是指依法进行采购的国家机关、事业单位、团体组织。 </w:t>
      </w:r>
    </w:p>
    <w:p w14:paraId="62B11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2.2“采购代理机构”是指政府采购集中采购机构和集中采购机构以外的采购代理机构。 </w:t>
      </w:r>
    </w:p>
    <w:p w14:paraId="538C6CF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2.3“供应商”是指向采购人提供货物、工程或者服务的法人、其他组织或者自然人。 </w:t>
      </w:r>
    </w:p>
    <w:p w14:paraId="1756D04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2.4“货物”是指各种形态和种类的物品，包括原材料、燃料、设备、产品等。 </w:t>
      </w:r>
    </w:p>
    <w:p w14:paraId="5DCD43C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2.5“竞标”是指按照本项目竞争性谈判公告或者邀请函规定的方式供应商获取谈判文件、提交响应文件并希望获得标的的行为。 </w:t>
      </w:r>
    </w:p>
    <w:p w14:paraId="02E94C4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2.6“售后服务” 是指包含但不限于供应商须承担的备品备件、包装、运输、装卸、保险、货到就位以及安装、调试、培训、保修和其他类似的义务。 </w:t>
      </w:r>
    </w:p>
    <w:p w14:paraId="65709EA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2.7“书面形式”是指合同书、信件和数据电文（包括电报、电传、传真、电子数据交换和电子邮件）等可以有形地表现所载内容的形式。 </w:t>
      </w:r>
    </w:p>
    <w:p w14:paraId="0CBB75A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2.8“响应文件”是指：供应商根据本谈判文件要求，编制包含资格证明、报价、商务技术等所有内容的文件。 </w:t>
      </w:r>
    </w:p>
    <w:p w14:paraId="45182A8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 “实质性要求”是指采购需求中带“▲”的条款或者不能负偏离的条款或者已经指明不满足按响应文件按无效处理的条款。 </w:t>
      </w:r>
    </w:p>
    <w:p w14:paraId="15EEB71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2.10“正偏离”，是指响应文件对谈判文件“采购需求”中有关条款作出优于条款要求并有利于采购人的响应情形； </w:t>
      </w:r>
    </w:p>
    <w:p w14:paraId="3C644D0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2.11“负偏离”，是指响应文件对谈判文件“采购需求”中有关条款作出的响应不满足条款要求，导致采购人要求不能得到满足的情形。 </w:t>
      </w:r>
    </w:p>
    <w:p w14:paraId="0F941E1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2.12“允许负偏离的条款”是指采购需求中的不属于“实质性要求”的条款。 </w:t>
      </w:r>
    </w:p>
    <w:p w14:paraId="7A8C030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2.13“首次报价”是指供应商提交的首次响应文件中的竞标报价。 </w:t>
      </w:r>
    </w:p>
    <w:p w14:paraId="6605D50E">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bCs/>
          <w:color w:val="auto"/>
          <w:highlight w:val="none"/>
        </w:rPr>
      </w:pPr>
      <w:r>
        <w:rPr>
          <w:rFonts w:hint="eastAsia" w:ascii="黑体" w:hAnsi="黑体" w:eastAsia="黑体" w:cs="黑体"/>
          <w:b/>
          <w:bCs/>
          <w:color w:val="auto"/>
          <w:sz w:val="24"/>
          <w:szCs w:val="24"/>
          <w:highlight w:val="none"/>
          <w:lang w:val="en-US" w:eastAsia="zh-CN"/>
        </w:rPr>
        <w:t>3. 供应商的资格条件</w:t>
      </w:r>
      <w:r>
        <w:rPr>
          <w:rFonts w:hint="eastAsia" w:ascii="宋体" w:hAnsi="宋体"/>
          <w:b/>
          <w:bCs/>
          <w:color w:val="auto"/>
          <w:highlight w:val="none"/>
          <w:lang w:val="en-US" w:eastAsia="zh-CN"/>
        </w:rPr>
        <w:t xml:space="preserve"> </w:t>
      </w:r>
    </w:p>
    <w:p w14:paraId="3225896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供应商的资格条件详见“供应商须知前附表”。 </w:t>
      </w:r>
    </w:p>
    <w:p w14:paraId="068417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val="0"/>
          <w:color w:val="auto"/>
          <w:sz w:val="24"/>
          <w:szCs w:val="24"/>
          <w:highlight w:val="none"/>
        </w:rPr>
      </w:pPr>
      <w:r>
        <w:rPr>
          <w:rFonts w:hint="eastAsia" w:ascii="黑体" w:hAnsi="黑体" w:eastAsia="黑体" w:cs="黑体"/>
          <w:b/>
          <w:bCs/>
          <w:color w:val="auto"/>
          <w:sz w:val="24"/>
          <w:szCs w:val="24"/>
          <w:highlight w:val="none"/>
          <w:lang w:val="en-US" w:eastAsia="zh-CN"/>
        </w:rPr>
        <w:t>4. 竞标费用</w:t>
      </w:r>
      <w:r>
        <w:rPr>
          <w:rFonts w:hint="eastAsia" w:ascii="黑体" w:hAnsi="黑体" w:eastAsia="黑体" w:cs="黑体"/>
          <w:b w:val="0"/>
          <w:color w:val="auto"/>
          <w:sz w:val="24"/>
          <w:szCs w:val="24"/>
          <w:highlight w:val="none"/>
          <w:lang w:val="en-US" w:eastAsia="zh-CN"/>
        </w:rPr>
        <w:t xml:space="preserve"> </w:t>
      </w:r>
    </w:p>
    <w:p w14:paraId="1903AD2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竞标费用：供应商应承担参与本次采购活动有关的所有费用，包括但不限于获取谈判文件、勘查现场、编制和提交响应文件、参加谈判与应答、签订合同等，不论竞标结果如何，均应自行承担。 </w:t>
      </w:r>
    </w:p>
    <w:p w14:paraId="615CC07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val="0"/>
          <w:color w:val="auto"/>
          <w:sz w:val="24"/>
          <w:szCs w:val="24"/>
          <w:highlight w:val="none"/>
        </w:rPr>
      </w:pPr>
      <w:r>
        <w:rPr>
          <w:rFonts w:hint="eastAsia" w:ascii="黑体" w:hAnsi="黑体" w:eastAsia="黑体" w:cs="黑体"/>
          <w:b/>
          <w:bCs/>
          <w:color w:val="auto"/>
          <w:sz w:val="24"/>
          <w:szCs w:val="24"/>
          <w:highlight w:val="none"/>
          <w:lang w:val="en-US" w:eastAsia="zh-CN"/>
        </w:rPr>
        <w:t>5. 联合体竞标</w:t>
      </w:r>
      <w:r>
        <w:rPr>
          <w:rFonts w:hint="eastAsia" w:ascii="黑体" w:hAnsi="黑体" w:eastAsia="黑体" w:cs="黑体"/>
          <w:b w:val="0"/>
          <w:color w:val="auto"/>
          <w:sz w:val="24"/>
          <w:szCs w:val="24"/>
          <w:highlight w:val="none"/>
          <w:lang w:val="en-US" w:eastAsia="zh-CN"/>
        </w:rPr>
        <w:t xml:space="preserve"> </w:t>
      </w:r>
    </w:p>
    <w:p w14:paraId="2A5E878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5.1 本项目是否接受联合体竞标，详见“供应商须知前附表”。 </w:t>
      </w:r>
    </w:p>
    <w:p w14:paraId="6A1A6D9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5.2 如接受联合体竞标，联合体竞标要求详见“供应商须知前附表”。 </w:t>
      </w:r>
    </w:p>
    <w:p w14:paraId="1398ADB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5.3 根据《政府采购促进中小企业发展管理办法》（财库〔2020〕46 号）第九条第二款及有关规定，接受大中型企业与小微企业组成联合体或者允许大中型企业向一家或者多家小微企业分包的采购项目，对于联合协议或者分包意向协议约定小微企业的合同份额占到合同总金额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4%-6%的扣除，用扣除后的价格参加评审。 </w:t>
      </w:r>
    </w:p>
    <w:p w14:paraId="1D46716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6. 转包与分包 </w:t>
      </w:r>
    </w:p>
    <w:p w14:paraId="0F4A74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6.1 本项目不允许转包。 </w:t>
      </w:r>
    </w:p>
    <w:p w14:paraId="15F1073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6.2 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 </w:t>
      </w:r>
    </w:p>
    <w:p w14:paraId="57D3A30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6.3 供应商根据谈判文件的规定和采购项目的实际情况，拟在成交后将成交项目的非主体、非关键性工作分包的，应当在响应文件中载明分包承担主体，分包承担主体应当具备相应资质条件且不得再次分包。 </w:t>
      </w:r>
    </w:p>
    <w:p w14:paraId="669630E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7. 特别说明 </w:t>
      </w:r>
    </w:p>
    <w:p w14:paraId="5CA947B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7.1 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非单一产品采购项目，多家供应商提供的核心产品品牌相同的，按前款规定处理。 </w:t>
      </w:r>
    </w:p>
    <w:p w14:paraId="33A9623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7.2 如果本谈判文件要求提供供应商或制造商的资格、信誉、荣誉、业绩与企业认证等材料的，资格、信誉、荣誉、业绩与企业认证等必须为供应商或者制造商所拥有或自身获得 。 </w:t>
      </w:r>
    </w:p>
    <w:p w14:paraId="38DAD72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7.3 供应商应仔细阅读谈判文件的所有内容，按照谈判文件的要求提交响应文件，并对所提供的全部资料的真实性承担法律责任。 </w:t>
      </w:r>
    </w:p>
    <w:p w14:paraId="3AE9C95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7.4 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 </w:t>
      </w:r>
    </w:p>
    <w:p w14:paraId="602409B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7.5 在政府采购活动中，采购人员及相关人员与供应商有下列利害关系之一的，应当回避： </w:t>
      </w:r>
    </w:p>
    <w:p w14:paraId="20A9939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（1）参加采购活动前 3 年内与供应商存在劳动关系； </w:t>
      </w:r>
    </w:p>
    <w:p w14:paraId="2D00C6B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（2）参加采购活动前 3 年内担任供应商的董事、监事； </w:t>
      </w:r>
    </w:p>
    <w:p w14:paraId="207B9A3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（3）参加采购活动前 3 年内是供应商的控股股东或者实际控制人； </w:t>
      </w:r>
    </w:p>
    <w:p w14:paraId="627D42C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（4）与供应商的法定代表人或者负责人有夫妻、直系血亲、三代以内旁系血亲或者近姻亲关系； </w:t>
      </w:r>
    </w:p>
    <w:p w14:paraId="303DB2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（5）与供应商有其他可能影响政府采购活动公平、公正进行的关系。 </w:t>
      </w:r>
    </w:p>
    <w:p w14:paraId="5AA6F2E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 </w:t>
      </w:r>
    </w:p>
    <w:p w14:paraId="3CEE876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7.6 有下列情形之一的视为供应商相互串通竞标，响应文件将被视为无效： </w:t>
      </w:r>
    </w:p>
    <w:p w14:paraId="508658A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（1）不同供应商的响应文件由同一单位或者个人编制；或者不同供应商报名的IP地址一致的；</w:t>
      </w:r>
    </w:p>
    <w:p w14:paraId="457E45E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（2）不同供应商委托同一单位或者个人办理竞标事宜； </w:t>
      </w:r>
    </w:p>
    <w:p w14:paraId="37CF446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（3）不同的供应商的响应文件载明的项目管理员为同一个人； </w:t>
      </w:r>
    </w:p>
    <w:p w14:paraId="6C1D450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（4）不同供应商的响应文件异常一致或者报价呈规律性差异； </w:t>
      </w:r>
    </w:p>
    <w:p w14:paraId="0875ECC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（5）不同供应商的响应文件相互混装； </w:t>
      </w:r>
    </w:p>
    <w:p w14:paraId="3DCA6C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（6）不同供应商的竞标保证金从同一单位或者个人账户转出。 </w:t>
      </w:r>
    </w:p>
    <w:p w14:paraId="52AF2CC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7.7 供应商有下列情形之一的，属于恶意串通行为，将报同级监督管理部门： </w:t>
      </w:r>
    </w:p>
    <w:p w14:paraId="010BF42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（1）供应商直接或者间接从采购人或者采购代理机构处获得其他供应商的相关信息并修改其响应文件； </w:t>
      </w:r>
    </w:p>
    <w:p w14:paraId="54FA09C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（2）供应商按照采购人或者采购代理机构的授意撤换、修改响应文件； </w:t>
      </w:r>
    </w:p>
    <w:p w14:paraId="512A7F1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（3）供应商之间协商报价、技术方案等响应文件或者响应文件的实质性内容； </w:t>
      </w:r>
    </w:p>
    <w:p w14:paraId="4CCE76E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（4）属于同一集团、协会、商会等组织成员的供应商按照该组织要求协同参加政府采购活动； </w:t>
      </w:r>
    </w:p>
    <w:p w14:paraId="3EEA0D5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（5）供应商之间事先约定一致抬高或者压低报价，或者在政府采购活动中事先约定轮流以高价位或者低价位成交，或者事先约定由某一特定供应商成交，然后再参加竞标； </w:t>
      </w:r>
    </w:p>
    <w:p w14:paraId="1F17666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（6）供应商之间商定部分供应商放弃参加政府采购活动或者放弃成交； </w:t>
      </w:r>
    </w:p>
    <w:p w14:paraId="7E12B20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（7）供应商与采购人或者采购代理机构之间、供应商相互之间，为谋求特定供应商成交或者排斥其他供应商的其他串通行为。 </w:t>
      </w:r>
    </w:p>
    <w:p w14:paraId="3770A84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7.8根据《国务院办公厅关于在政府采购中实施本国产品标准及相关政策的通知》（国办发〔</w:t>
      </w:r>
      <w:r>
        <w:rPr>
          <w:rFonts w:hint="default" w:ascii="宋体" w:hAnsi="宋体"/>
          <w:b w:val="0"/>
          <w:color w:val="auto"/>
          <w:highlight w:val="none"/>
          <w:lang w:val="en-US" w:eastAsia="zh-CN"/>
        </w:rPr>
        <w:t>2025</w:t>
      </w:r>
      <w:r>
        <w:rPr>
          <w:rFonts w:hint="eastAsia" w:ascii="宋体" w:hAnsi="宋体"/>
          <w:b w:val="0"/>
          <w:color w:val="auto"/>
          <w:highlight w:val="none"/>
          <w:lang w:val="en-US" w:eastAsia="zh-CN"/>
        </w:rPr>
        <w:t xml:space="preserve">〕 </w:t>
      </w:r>
    </w:p>
    <w:p w14:paraId="5F1BE38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lang w:val="en-US" w:eastAsia="zh-CN"/>
        </w:rPr>
      </w:pPr>
      <w:r>
        <w:rPr>
          <w:rFonts w:hint="default" w:ascii="宋体" w:hAnsi="宋体"/>
          <w:b w:val="0"/>
          <w:color w:val="auto"/>
          <w:highlight w:val="none"/>
          <w:lang w:val="en-US" w:eastAsia="zh-CN"/>
        </w:rPr>
        <w:t xml:space="preserve">34 </w:t>
      </w:r>
      <w:r>
        <w:rPr>
          <w:rFonts w:hint="eastAsia" w:ascii="宋体" w:hAnsi="宋体"/>
          <w:b w:val="0"/>
          <w:color w:val="auto"/>
          <w:highlight w:val="none"/>
          <w:lang w:val="en-US" w:eastAsia="zh-CN"/>
        </w:rPr>
        <w:t xml:space="preserve">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 </w:t>
      </w:r>
    </w:p>
    <w:p w14:paraId="4A388B9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食品、饮料和烟草原料，无形资产。</w:t>
      </w:r>
    </w:p>
    <w:p w14:paraId="4C07AB5D">
      <w:pPr>
        <w:pStyle w:val="2"/>
        <w:ind w:firstLine="420" w:firstLineChars="200"/>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产品在中国境内生产的组件成本占比应当达到规定比例，计算公式为</w:t>
      </w:r>
    </w:p>
    <w:p w14:paraId="488A1609">
      <w:pPr>
        <w:rPr>
          <w:color w:val="auto"/>
          <w:highlight w:val="none"/>
        </w:rPr>
      </w:pPr>
      <w:r>
        <w:rPr>
          <w:color w:val="auto"/>
          <w:highlight w:val="none"/>
        </w:rPr>
        <w:drawing>
          <wp:inline distT="0" distB="0" distL="114300" distR="114300">
            <wp:extent cx="5445125" cy="705485"/>
            <wp:effectExtent l="0" t="0" r="317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445125" cy="705485"/>
                    </a:xfrm>
                    <a:prstGeom prst="rect">
                      <a:avLst/>
                    </a:prstGeom>
                    <a:noFill/>
                    <a:ln>
                      <a:noFill/>
                    </a:ln>
                  </pic:spPr>
                </pic:pic>
              </a:graphicData>
            </a:graphic>
          </wp:inline>
        </w:drawing>
      </w:r>
    </w:p>
    <w:p w14:paraId="7B9B79D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财政部会同有关行业主管部门，分产品确定在中国境内生产的组件成本占比应当达到的规定比例。在 </w:t>
      </w:r>
    </w:p>
    <w:p w14:paraId="224202E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分产品的中国境内生产的组件成本占比相关要求实施前，符合《国务院办公厅关于在政府采购中实施本国产品标准及相关政策的通知》第一条第（一）项条件的产品在政府采购活动中视同本国产品。 </w:t>
      </w:r>
    </w:p>
    <w:p w14:paraId="4B941FC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政府采购活动中既有本国产品又有非本国产品参与竞争的，依法对本国产品给予价格评审优惠，对本 </w:t>
      </w:r>
    </w:p>
    <w:p w14:paraId="0BED1E4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国产品的报价给予</w:t>
      </w:r>
      <w:r>
        <w:rPr>
          <w:rFonts w:hint="default" w:ascii="宋体" w:hAnsi="宋体"/>
          <w:b w:val="0"/>
          <w:color w:val="auto"/>
          <w:highlight w:val="none"/>
          <w:lang w:val="en-US" w:eastAsia="zh-CN"/>
        </w:rPr>
        <w:t>20%</w:t>
      </w:r>
      <w:r>
        <w:rPr>
          <w:rFonts w:hint="eastAsia" w:ascii="宋体" w:hAnsi="宋体"/>
          <w:b w:val="0"/>
          <w:color w:val="auto"/>
          <w:highlight w:val="none"/>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hint="default" w:ascii="宋体" w:hAnsi="宋体"/>
          <w:b w:val="0"/>
          <w:color w:val="auto"/>
          <w:highlight w:val="none"/>
          <w:lang w:val="en-US" w:eastAsia="zh-CN"/>
        </w:rPr>
        <w:t>80%</w:t>
      </w:r>
      <w:r>
        <w:rPr>
          <w:rFonts w:hint="eastAsia" w:ascii="宋体" w:hAnsi="宋体"/>
          <w:b w:val="0"/>
          <w:color w:val="auto"/>
          <w:highlight w:val="none"/>
          <w:lang w:val="en-US" w:eastAsia="zh-CN"/>
        </w:rPr>
        <w:t xml:space="preserve">以上时，依法对该供应商提供的全部产品给予价格评审优惠，即对该供应商提供的全部产品的总报价给予 </w:t>
      </w:r>
      <w:r>
        <w:rPr>
          <w:rFonts w:hint="default" w:ascii="宋体" w:hAnsi="宋体"/>
          <w:b w:val="0"/>
          <w:color w:val="auto"/>
          <w:highlight w:val="none"/>
          <w:lang w:val="en-US" w:eastAsia="zh-CN"/>
        </w:rPr>
        <w:t>20%</w:t>
      </w:r>
      <w:r>
        <w:rPr>
          <w:rFonts w:hint="eastAsia" w:ascii="宋体" w:hAnsi="宋体"/>
          <w:b w:val="0"/>
          <w:color w:val="auto"/>
          <w:highlight w:val="none"/>
          <w:lang w:val="en-US" w:eastAsia="zh-CN"/>
        </w:rPr>
        <w:t>的价格扣除，用扣除后的价格参与评审。</w:t>
      </w:r>
    </w:p>
    <w:p w14:paraId="2E50B941">
      <w:pPr>
        <w:pStyle w:val="2"/>
        <w:rPr>
          <w:rFonts w:hint="eastAsia"/>
          <w:color w:val="auto"/>
          <w:highlight w:val="none"/>
          <w:lang w:val="en-US" w:eastAsia="zh-CN"/>
        </w:rPr>
      </w:pPr>
    </w:p>
    <w:p w14:paraId="69A38F35">
      <w:pPr>
        <w:pStyle w:val="2"/>
        <w:rPr>
          <w:rFonts w:hint="eastAsia"/>
          <w:color w:val="auto"/>
          <w:highlight w:val="none"/>
          <w:lang w:val="en-US" w:eastAsia="zh-CN"/>
        </w:rPr>
      </w:pPr>
    </w:p>
    <w:p w14:paraId="5A78C042">
      <w:pPr>
        <w:pStyle w:val="2"/>
        <w:rPr>
          <w:rFonts w:hint="default" w:eastAsia="宋体"/>
          <w:color w:val="auto"/>
          <w:highlight w:val="none"/>
          <w:lang w:val="en-US" w:eastAsia="zh-CN"/>
        </w:rPr>
      </w:pPr>
    </w:p>
    <w:p w14:paraId="1ECE7028">
      <w:pPr>
        <w:keepNext w:val="0"/>
        <w:keepLines w:val="0"/>
        <w:pageBreakBefore w:val="0"/>
        <w:widowControl w:val="0"/>
        <w:kinsoku/>
        <w:wordWrap/>
        <w:overflowPunct/>
        <w:topLinePunct w:val="0"/>
        <w:bidi w:val="0"/>
        <w:snapToGrid/>
        <w:spacing w:line="460" w:lineRule="exact"/>
        <w:jc w:val="center"/>
        <w:textAlignment w:val="auto"/>
        <w:outlineLvl w:val="9"/>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lang w:val="en-US" w:eastAsia="zh-CN"/>
        </w:rPr>
        <w:t xml:space="preserve">二、谈判文件 </w:t>
      </w:r>
    </w:p>
    <w:p w14:paraId="6AB215B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8. 谈判文件的构成 </w:t>
      </w:r>
    </w:p>
    <w:p w14:paraId="7751258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（1）竞争性谈判公告； </w:t>
      </w:r>
    </w:p>
    <w:p w14:paraId="2FB146D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（2）供应商须知； </w:t>
      </w:r>
    </w:p>
    <w:p w14:paraId="167FDD4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（3）采购需求； </w:t>
      </w:r>
    </w:p>
    <w:p w14:paraId="568FD5D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（4）响应文件格式 </w:t>
      </w:r>
    </w:p>
    <w:p w14:paraId="1FAAECC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（5）合同文本； </w:t>
      </w:r>
    </w:p>
    <w:p w14:paraId="7B14FB0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（6）评审程序和评定成交的标准。 </w:t>
      </w:r>
    </w:p>
    <w:p w14:paraId="144C36B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9. 供应商的询问 </w:t>
      </w:r>
    </w:p>
    <w:p w14:paraId="655D604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供应商应认真阅读谈判文件的采购需求，如供应商对谈判文件有疑问的，如要求采购人作出澄清或者修改的，供应商尽可能在提交首次响应文件截止之日前，以书面形式向采购人、采购代理机构提出。 </w:t>
      </w:r>
    </w:p>
    <w:p w14:paraId="3CA3742F">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10. 谈判文件的澄清和修改 </w:t>
      </w:r>
    </w:p>
    <w:p w14:paraId="2CBA642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 3 个工作日前，以书面形式通知所有接收谈判文件的供应商，不足 3 个工作日的，应当顺延提交首次响应文件截止之日。 </w:t>
      </w:r>
    </w:p>
    <w:p w14:paraId="1D53BBA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Times New Roman"/>
          <w:b/>
          <w:color w:val="auto"/>
          <w:sz w:val="32"/>
          <w:szCs w:val="32"/>
          <w:highlight w:val="none"/>
          <w:lang w:val="en-US" w:eastAsia="zh-CN"/>
        </w:rPr>
      </w:pPr>
    </w:p>
    <w:p w14:paraId="63787B4E">
      <w:pPr>
        <w:keepNext w:val="0"/>
        <w:keepLines w:val="0"/>
        <w:pageBreakBefore w:val="0"/>
        <w:widowControl w:val="0"/>
        <w:numPr>
          <w:ilvl w:val="0"/>
          <w:numId w:val="2"/>
        </w:numPr>
        <w:kinsoku/>
        <w:wordWrap/>
        <w:overflowPunct/>
        <w:topLinePunct w:val="0"/>
        <w:autoSpaceDE/>
        <w:autoSpaceDN/>
        <w:bidi w:val="0"/>
        <w:adjustRightInd/>
        <w:snapToGrid/>
        <w:spacing w:line="460" w:lineRule="exact"/>
        <w:jc w:val="center"/>
        <w:textAlignment w:val="auto"/>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响应文件的编制</w:t>
      </w:r>
    </w:p>
    <w:p w14:paraId="10868954">
      <w:pPr>
        <w:pStyle w:val="2"/>
        <w:keepNext w:val="0"/>
        <w:keepLines w:val="0"/>
        <w:pageBreakBefore w:val="0"/>
        <w:widowControl w:val="0"/>
        <w:numPr>
          <w:ilvl w:val="0"/>
          <w:numId w:val="0"/>
        </w:numPr>
        <w:kinsoku/>
        <w:wordWrap/>
        <w:overflowPunct/>
        <w:topLinePunct w:val="0"/>
        <w:bidi w:val="0"/>
        <w:snapToGrid/>
        <w:spacing w:line="460" w:lineRule="exact"/>
        <w:textAlignment w:val="auto"/>
        <w:rPr>
          <w:rFonts w:hint="eastAsia"/>
          <w:color w:val="auto"/>
          <w:highlight w:val="none"/>
        </w:rPr>
      </w:pPr>
    </w:p>
    <w:p w14:paraId="69199C4F">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11. 响应文件的编制原则 </w:t>
      </w:r>
    </w:p>
    <w:p w14:paraId="1EC5043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供应商必须按照谈判文件的要求编制响应文件，并对其提交的响应文件的真实性、合法性承担法律责任。响应文件必须对谈判文件作出实质性响应。 </w:t>
      </w:r>
    </w:p>
    <w:p w14:paraId="3C2604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12. 响应文件的组成</w:t>
      </w:r>
      <w:r>
        <w:rPr>
          <w:rFonts w:hint="eastAsia" w:ascii="宋体" w:hAnsi="宋体"/>
          <w:b w:val="0"/>
          <w:color w:val="auto"/>
          <w:highlight w:val="none"/>
          <w:lang w:val="en-US" w:eastAsia="zh-CN"/>
        </w:rPr>
        <w:t xml:space="preserve"> </w:t>
      </w:r>
    </w:p>
    <w:p w14:paraId="7704669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12.1 响应文件由资格证明文件、报价文件、商务技术文件三部分组成。 </w:t>
      </w:r>
    </w:p>
    <w:p w14:paraId="0389AE3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12.1.1 资格证明文件：详见“供应商须知前附表” </w:t>
      </w:r>
    </w:p>
    <w:p w14:paraId="4AEE584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12.1.2 报价文件：详见“供应商须知前附表” </w:t>
      </w:r>
    </w:p>
    <w:p w14:paraId="68366A1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12.1.3 商务技术文件：详见“供应商须知前附表” </w:t>
      </w:r>
    </w:p>
    <w:p w14:paraId="32475DF6">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13. 计量单位</w:t>
      </w:r>
      <w:r>
        <w:rPr>
          <w:rFonts w:hint="eastAsia" w:ascii="宋体" w:hAnsi="宋体"/>
          <w:b w:val="0"/>
          <w:color w:val="auto"/>
          <w:highlight w:val="none"/>
          <w:lang w:val="en-US" w:eastAsia="zh-CN"/>
        </w:rPr>
        <w:t xml:space="preserve"> </w:t>
      </w:r>
    </w:p>
    <w:p w14:paraId="3E141E9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谈判文件已有明确规定的，使用谈判文件规定的计量单位；谈判文件没有规定的，应采用中华人民共和国法定计量单位，货币种类为人民币，否则视同未响应。 </w:t>
      </w:r>
    </w:p>
    <w:p w14:paraId="717323AA">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14. 竞标的风险 </w:t>
      </w:r>
    </w:p>
    <w:p w14:paraId="3AFDD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供应商没有按照谈判文件要求提供全部资料，或者供应商没有对谈判文件在各方面作出实质性响应可能导致其响应文件按无效处理，是供应商应当考虑的风险。 </w:t>
      </w:r>
    </w:p>
    <w:p w14:paraId="47E8EE26">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15. 竞标报价 </w:t>
      </w:r>
    </w:p>
    <w:p w14:paraId="76258FD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15.1 竞标报价应按谈判文件中“竞标报价表”格式填写。 </w:t>
      </w:r>
    </w:p>
    <w:p w14:paraId="604205E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15.2 竞标报价的内容详见“供应商须知前附表”。 </w:t>
      </w:r>
    </w:p>
    <w:p w14:paraId="4009A92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15.3 竞标报价要求 </w:t>
      </w:r>
    </w:p>
    <w:p w14:paraId="16EB848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15.3.1 供应商的竞标报价应符合以下要求，否则响应文件按无效响应处理： </w:t>
      </w:r>
    </w:p>
    <w:p w14:paraId="2DA1437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（1）供应商必须就“采购需求”中所竞标的每个分标的全部内容分别作完整唯一总价报价，不得存在漏项报价； </w:t>
      </w:r>
    </w:p>
    <w:p w14:paraId="68880CA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（2）供应商必须就所竞标的分标的单项内容作唯一报价。 </w:t>
      </w:r>
    </w:p>
    <w:p w14:paraId="4DBB3C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15.3.2 竞标报价（包含首次报价、最后报价）超过所竞标分标规定的采购预算金额或者最高 限价的，其响应文件将按无效处理。 </w:t>
      </w:r>
    </w:p>
    <w:p w14:paraId="5C3486A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15.3.3 竞标报价（包含首次报价、最后报价）超过分项采购预算金额或者最高限价的，其响应文件将按无效处理。 </w:t>
      </w:r>
    </w:p>
    <w:p w14:paraId="1164431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16. 竞标有效期</w:t>
      </w:r>
      <w:r>
        <w:rPr>
          <w:rFonts w:hint="eastAsia" w:ascii="宋体" w:hAnsi="宋体"/>
          <w:b w:val="0"/>
          <w:color w:val="auto"/>
          <w:highlight w:val="none"/>
          <w:lang w:val="en-US" w:eastAsia="zh-CN"/>
        </w:rPr>
        <w:t xml:space="preserve"> </w:t>
      </w:r>
    </w:p>
    <w:p w14:paraId="3A549D5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16.1 竞标有效期是指为保证采购人有足够的时间在提交响应文件后完成评审、确定成交供应商、合同签订等工作而要求供应商提交的响应文件在一定时间内保持有效的期限。 </w:t>
      </w:r>
    </w:p>
    <w:p w14:paraId="67B3E95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16.2 竞标有效期应由供应商按“供应商须知前附表”规定的期限作出响应。 </w:t>
      </w:r>
    </w:p>
    <w:p w14:paraId="74EE724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16.3 供应商的响应文件在竞标有效期内均保持有效。 </w:t>
      </w:r>
    </w:p>
    <w:p w14:paraId="59727EE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17. 竞标保证金 </w:t>
      </w:r>
    </w:p>
    <w:p w14:paraId="464C12E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17.1 供应商须按“供应商须知前附表”的规定提交竞标保证金。 </w:t>
      </w:r>
    </w:p>
    <w:p w14:paraId="7688B03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17.2 竞标保证金的退还 </w:t>
      </w:r>
    </w:p>
    <w:p w14:paraId="375F39D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未成交供应商的竞标保证金自成交通知书发出之日起 5 个工作日内退还；成交供应商的竞标保证金自签订合同之日起 5 个工作日内退还。 </w:t>
      </w:r>
    </w:p>
    <w:p w14:paraId="43E387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17.3 竞标保证金不计息。 </w:t>
      </w:r>
    </w:p>
    <w:p w14:paraId="6C7D053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17.4 供应商有下列情形之一的，竞标保证金将不予退还： </w:t>
      </w:r>
    </w:p>
    <w:p w14:paraId="751EA8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（1）供应商在提交响应文件截止时间后撤回响应文件的； </w:t>
      </w:r>
    </w:p>
    <w:p w14:paraId="77B239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（2）未按规定提交履约保证金的； </w:t>
      </w:r>
    </w:p>
    <w:p w14:paraId="4267660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（3）供应商在响应文件中提供虚假材料的； </w:t>
      </w:r>
    </w:p>
    <w:p w14:paraId="12C9370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（4）除因不可抗力或者谈判文件认可的情形以外，成交供应商不与采购人签订合同的； </w:t>
      </w:r>
    </w:p>
    <w:p w14:paraId="530AF1A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（5）供应商与采购人、其他供应商或者采购代理机构恶意串通的； </w:t>
      </w:r>
    </w:p>
    <w:p w14:paraId="10476F2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（6）法律法规规定的其他情形。 </w:t>
      </w:r>
    </w:p>
    <w:p w14:paraId="07BE175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18. 响应文件编制的要求</w:t>
      </w:r>
      <w:r>
        <w:rPr>
          <w:rFonts w:hint="eastAsia" w:ascii="宋体" w:hAnsi="宋体"/>
          <w:b w:val="0"/>
          <w:color w:val="auto"/>
          <w:highlight w:val="none"/>
          <w:lang w:val="en-US" w:eastAsia="zh-CN"/>
        </w:rPr>
        <w:t xml:space="preserve"> </w:t>
      </w:r>
    </w:p>
    <w:p w14:paraId="0594F68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18.1 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 </w:t>
      </w:r>
    </w:p>
    <w:p w14:paraId="32014BD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18.2 为确保网上操作合法、有效和安全，供应商应当在提交响应文件截止时间前完成在广西政府采购云平台的身份认证，确保在电子竞标过程中能够对相关数据电文进行加密和使用电子签章。 </w:t>
      </w:r>
    </w:p>
    <w:p w14:paraId="1434A8E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18.3 响应文件须由供应商在规定位置签字、盖章（具体以供应商须知前附表或响应文件格式规定为准），否则按无效响应处理。 </w:t>
      </w:r>
    </w:p>
    <w:p w14:paraId="7931611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18.4 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 </w:t>
      </w:r>
    </w:p>
    <w:p w14:paraId="157690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18.5 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 </w:t>
      </w:r>
    </w:p>
    <w:p w14:paraId="33731A4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19. 电子备份响应文件 </w:t>
      </w:r>
    </w:p>
    <w:p w14:paraId="52745F0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电子备份响应文件是指通过“广西政府采购云平台电子投标客户端”在线编制生成且后缀名为“bfbs”的文件，是否接受电子备份响应文件详见在“供应商须知前附表”。 </w:t>
      </w:r>
    </w:p>
    <w:p w14:paraId="156BFD4C">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20. 响应文件的提交</w:t>
      </w:r>
      <w:r>
        <w:rPr>
          <w:rFonts w:hint="eastAsia" w:ascii="宋体" w:hAnsi="宋体"/>
          <w:b w:val="0"/>
          <w:color w:val="auto"/>
          <w:highlight w:val="none"/>
          <w:lang w:val="en-US" w:eastAsia="zh-CN"/>
        </w:rPr>
        <w:t xml:space="preserve"> </w:t>
      </w:r>
    </w:p>
    <w:p w14:paraId="5D82A21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 </w:t>
      </w:r>
    </w:p>
    <w:p w14:paraId="6DE9CFA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20.2 未在规定时间内提交或者未按照谈判文件要求加密的电子响应文件，广西政府采购云平台将拒收。 </w:t>
      </w:r>
    </w:p>
    <w:p w14:paraId="2033D22F">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21. 首次响应文件的补充、修改与撤回 </w:t>
      </w:r>
    </w:p>
    <w:p w14:paraId="56D4E86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录广西政府采购云平台，进入“服务中心”中查看“电子投标文件制作与投送教程”）。 </w:t>
      </w:r>
    </w:p>
    <w:p w14:paraId="541C351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21.2 在提交响应文件截止时间前，除供应商补充、修改或者撤回响应文件外，任何单位和个人不得解密或提取响应文件。 </w:t>
      </w:r>
    </w:p>
    <w:p w14:paraId="06A3B28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22. 响应文件的退回</w:t>
      </w:r>
      <w:r>
        <w:rPr>
          <w:rFonts w:hint="eastAsia" w:ascii="宋体" w:hAnsi="宋体"/>
          <w:b w:val="0"/>
          <w:color w:val="auto"/>
          <w:highlight w:val="none"/>
          <w:lang w:val="en-US" w:eastAsia="zh-CN"/>
        </w:rPr>
        <w:t xml:space="preserve"> </w:t>
      </w:r>
    </w:p>
    <w:p w14:paraId="67D5669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采购人和采购代理机构对已提交的响应文件概不退回。 </w:t>
      </w:r>
    </w:p>
    <w:p w14:paraId="7D92B157">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23. 截止时间后的撤回 </w:t>
      </w:r>
    </w:p>
    <w:p w14:paraId="5A83504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供应商在响应文件提交截止时间后向采购人、采购代理机构书面申请撤回响应文件的，将根据本须知正文第 17.4 条的规定不予退还其竞标保证金。 </w:t>
      </w:r>
    </w:p>
    <w:p w14:paraId="0F15A4F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Times New Roman"/>
          <w:b/>
          <w:color w:val="auto"/>
          <w:sz w:val="32"/>
          <w:szCs w:val="32"/>
          <w:highlight w:val="none"/>
          <w:lang w:val="en-US" w:eastAsia="zh-CN"/>
        </w:rPr>
      </w:pPr>
    </w:p>
    <w:p w14:paraId="5D0E0933">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评审及谈判</w:t>
      </w:r>
    </w:p>
    <w:p w14:paraId="5113D6A8">
      <w:pPr>
        <w:pStyle w:val="2"/>
        <w:keepNext w:val="0"/>
        <w:keepLines w:val="0"/>
        <w:pageBreakBefore w:val="0"/>
        <w:widowControl w:val="0"/>
        <w:numPr>
          <w:ilvl w:val="0"/>
          <w:numId w:val="0"/>
        </w:numPr>
        <w:kinsoku/>
        <w:wordWrap/>
        <w:overflowPunct/>
        <w:topLinePunct w:val="0"/>
        <w:bidi w:val="0"/>
        <w:snapToGrid/>
        <w:spacing w:line="460" w:lineRule="exact"/>
        <w:ind w:leftChars="0"/>
        <w:textAlignment w:val="auto"/>
        <w:rPr>
          <w:rFonts w:hint="eastAsia"/>
          <w:color w:val="auto"/>
          <w:highlight w:val="none"/>
          <w:lang w:val="en-US" w:eastAsia="zh-CN"/>
        </w:rPr>
      </w:pPr>
    </w:p>
    <w:p w14:paraId="4B02ED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24. 谈判小组成立 </w:t>
      </w:r>
    </w:p>
    <w:p w14:paraId="11123BB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24.1 谈判小组由采购人代表和评审专家共 3 人以上单数组成，具体人数详见“供应商须知前附表”，其中评审专家人数不得少于竞争性谈判小组成员总数的 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 5 人以上单数组成。 </w:t>
      </w:r>
    </w:p>
    <w:p w14:paraId="2351C16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24.2 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 1名法律专家。 </w:t>
      </w:r>
    </w:p>
    <w:p w14:paraId="7476173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24.3 采购代理机构应当基于广西政府采购云平台抽（选）取评审专家。 </w:t>
      </w:r>
    </w:p>
    <w:p w14:paraId="05637E21">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25. 首次响应文件的开启和解密</w:t>
      </w:r>
      <w:r>
        <w:rPr>
          <w:rFonts w:hint="eastAsia" w:ascii="宋体" w:hAnsi="宋体"/>
          <w:b w:val="0"/>
          <w:color w:val="auto"/>
          <w:highlight w:val="none"/>
          <w:lang w:val="en-US" w:eastAsia="zh-CN"/>
        </w:rPr>
        <w:t xml:space="preserve"> </w:t>
      </w:r>
    </w:p>
    <w:p w14:paraId="0D4DE1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采购代理机构将在“供应商须知前附表”规定的时间通过电子交易平台组织响应文件开启，供应商的法定代表人或其委托代理人须携带加密时所用的 CA 锁，按平台提示和谈判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 </w:t>
      </w:r>
    </w:p>
    <w:p w14:paraId="3A8FCAC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26. 评审程序和评定成交的标准</w:t>
      </w:r>
      <w:r>
        <w:rPr>
          <w:rFonts w:hint="eastAsia" w:ascii="宋体" w:hAnsi="宋体"/>
          <w:b w:val="0"/>
          <w:color w:val="auto"/>
          <w:highlight w:val="none"/>
          <w:lang w:val="en-US" w:eastAsia="zh-CN"/>
        </w:rPr>
        <w:t xml:space="preserve"> </w:t>
      </w:r>
    </w:p>
    <w:p w14:paraId="471CA8B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26.1 谈判小组按照“第四章 评审程序和评定成交的标准”规定的评审程序对响应文件进行评审，并按照评定成交的标准推荐成交候选供应商。 </w:t>
      </w:r>
    </w:p>
    <w:p w14:paraId="369A263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26.2 商务/技术要求允许负偏离的条款数详见“供应商须知前附表”。 </w:t>
      </w:r>
    </w:p>
    <w:p w14:paraId="22A242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26.3 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 </w:t>
      </w:r>
    </w:p>
    <w:p w14:paraId="1C5509C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26.4 电子交易活动的中止。采购过程中出现以下情形，导致电子交易平台无法正常运行，或者无法保证电子交易的公平、公正和安全时，采购机构可中止电子交易活动： </w:t>
      </w:r>
    </w:p>
    <w:p w14:paraId="501FB33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（1）电子交易平台发生故障而无法登录访问的； </w:t>
      </w:r>
    </w:p>
    <w:p w14:paraId="1510CE1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（2）电子交易平台应用或数据库出现错误，不能进行正常操作的； </w:t>
      </w:r>
    </w:p>
    <w:p w14:paraId="7B66F8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（3）电子交易平台发现严重安全漏洞，有潜在泄密危险的； </w:t>
      </w:r>
    </w:p>
    <w:p w14:paraId="02B42A2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（4）病毒发作导致不能进行正常操作的； </w:t>
      </w:r>
    </w:p>
    <w:p w14:paraId="7D021E0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（5）其他无法保证电子交易的公平、公正和安全的情况。 </w:t>
      </w:r>
    </w:p>
    <w:p w14:paraId="66EF5EE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26.5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 </w:t>
      </w:r>
    </w:p>
    <w:p w14:paraId="630334D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27. 确定成交供应商及结果公告 </w:t>
      </w:r>
    </w:p>
    <w:p w14:paraId="1B37EC6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27.1 采购代理机构应当在评审结束后 2 个工作日内将评审报告送采购人确认。采购人应当在收到评审报告后 5 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 </w:t>
      </w:r>
    </w:p>
    <w:p w14:paraId="1E1324F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成交供应商享受《政府采购促进中小企业发展管理办法》（财库〔2020〕46 号）规定的中小企业扶持政策的，采购人、采购代理机构应当随成交结果公开成交供应商的《中小企业声明函》；享受《国务院办公厅关于在政府采购中实施本国产品标准及相关政策的通知》（国办发〔2025〕34 号）支持政策的， </w:t>
      </w:r>
    </w:p>
    <w:p w14:paraId="7F1890E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 xml:space="preserve">采购人、采购代理机构应当随成交结果公开成交供应商的《关于符合本国产品标准的声明函》或财政部会 </w:t>
      </w:r>
    </w:p>
    <w:p w14:paraId="0F50306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lang w:val="en-US" w:eastAsia="zh-CN"/>
        </w:rPr>
      </w:pPr>
      <w:r>
        <w:rPr>
          <w:rFonts w:hint="eastAsia" w:ascii="宋体" w:hAnsi="宋体"/>
          <w:b w:val="0"/>
          <w:color w:val="auto"/>
          <w:highlight w:val="none"/>
          <w:lang w:val="en-US" w:eastAsia="zh-CN"/>
        </w:rPr>
        <w:t>同有关部门规定的有关证明文件。</w:t>
      </w:r>
    </w:p>
    <w:p w14:paraId="1509D32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27.3 出现下列情形之一的，采购人或者采购代理机构应当终止竞争性谈判采购活动，发布项目终止公告并说明原因，重新开展采购活动： </w:t>
      </w:r>
    </w:p>
    <w:p w14:paraId="0A27D4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（1）因情况变化，不再符合规定的竞争性谈判采购方式适用情形的； </w:t>
      </w:r>
    </w:p>
    <w:p w14:paraId="464A38F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（2）出现影响采购公正的违法、违规行为的； </w:t>
      </w:r>
    </w:p>
    <w:p w14:paraId="13B4B29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（3）在采购过程中符合竞争要求的供应商或者报价未超过采购预算的供应商不足 3 家的，但“第四章 评审程序和评定成交的标准”第 3.7 条规定的情形除外。 </w:t>
      </w:r>
    </w:p>
    <w:p w14:paraId="2C05AF6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27.4 在采购活动中因重大变故，采购任务取消的，采购人或者采购代理机构应当终止采购活动，通知所有参加采购活动的供应商，并将项目实施情况和采购任务取消原因报送本级财政部门。 </w:t>
      </w:r>
    </w:p>
    <w:p w14:paraId="2F86BB7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28. 履约保证金</w:t>
      </w:r>
      <w:r>
        <w:rPr>
          <w:rFonts w:hint="eastAsia" w:ascii="宋体" w:hAnsi="宋体"/>
          <w:b w:val="0"/>
          <w:color w:val="auto"/>
          <w:highlight w:val="none"/>
          <w:lang w:val="en-US" w:eastAsia="zh-CN"/>
        </w:rPr>
        <w:t xml:space="preserve"> </w:t>
      </w:r>
    </w:p>
    <w:p w14:paraId="7991B61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28.1 履约保证金的金额、提交方式、退付的时间和条件详见 “供应商须知前附表”。成交供应商未按规定提交履约保证金的，视为拒绝与采购人签订合同。 </w:t>
      </w:r>
    </w:p>
    <w:p w14:paraId="4E2D3C7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28.2 在履约保证金退还日期前，若成交供应商的开户名称、开户银行、账号有变动的，请以书面形式通知履约保证金收取单位，否则由此产生的后果由成交供应商自负。 </w:t>
      </w:r>
    </w:p>
    <w:p w14:paraId="7552B4F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29. 签订合同 </w:t>
      </w:r>
    </w:p>
    <w:p w14:paraId="2C81AD8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29.1 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 线下签订纸质合同：供应商领取成交通知书后，按“供应商须知前附表”规定向采购人出示相关证明材料，经采购人核验合格后方可签订合同。 </w:t>
      </w:r>
    </w:p>
    <w:p w14:paraId="60FF2FD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29.2 签订合同时间：按成交通知书规定的时间与采购人签订合同。 </w:t>
      </w:r>
    </w:p>
    <w:p w14:paraId="0B18E44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29.3 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 </w:t>
      </w:r>
    </w:p>
    <w:p w14:paraId="6D80045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29.4 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 </w:t>
      </w:r>
    </w:p>
    <w:p w14:paraId="59EF770F">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29.5 采购人或成交供应商不得单方面向合同另一方提出任何谈判文件没有约定的条件或不合理的要求，作为签订合同的条件；也不得协商另行订立背离谈判文件和合同实质性内容的协议。 </w:t>
      </w:r>
    </w:p>
    <w:p w14:paraId="515004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29.6 如签订合同并生效后，供应商无故拒绝或延期，除按照合同条款处理外，将承担相应的法律责任。 </w:t>
      </w:r>
    </w:p>
    <w:p w14:paraId="22D4D26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29.7 政府采购合同履行中，采购人需追加与合同标的相同的货物、工程或者服务的，在不改变合同其他条款的前提下，可以与供应商协商签订补充合同，但所有补充合同的采购金额不得超过原合同采购金额的 10%。 </w:t>
      </w:r>
    </w:p>
    <w:p w14:paraId="46D05795">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30. 政府采购合同公告 </w:t>
      </w:r>
    </w:p>
    <w:p w14:paraId="4D9375B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 </w:t>
      </w:r>
    </w:p>
    <w:p w14:paraId="642390C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b w:val="0"/>
          <w:color w:val="auto"/>
          <w:highlight w:val="none"/>
        </w:rPr>
      </w:pPr>
      <w:r>
        <w:rPr>
          <w:rFonts w:hint="eastAsia" w:ascii="黑体" w:hAnsi="黑体" w:eastAsia="黑体" w:cs="黑体"/>
          <w:b/>
          <w:bCs/>
          <w:color w:val="auto"/>
          <w:sz w:val="24"/>
          <w:szCs w:val="24"/>
          <w:highlight w:val="none"/>
          <w:lang w:val="en-US" w:eastAsia="zh-CN"/>
        </w:rPr>
        <w:t xml:space="preserve">31. 询问、质疑和投诉 </w:t>
      </w:r>
    </w:p>
    <w:p w14:paraId="226C167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31.1 供应商对政府采购活动事项有疑问的，可以向采购人、采购代理机构提出询问，采购人或者采购代理机构应当在 3 个工作日内对供应商依法提出的询问作出答复，但答复的内容不得涉及商业秘密。 </w:t>
      </w:r>
    </w:p>
    <w:p w14:paraId="449EC30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31.2 供应商认为谈判文件、采购过程或者成交结果使自己的合法权益受到损害的，应当在知道或者应知其权益受到损害之日起 7 个工作日内，以书面形式向采购人、采购代理机构提出质疑，接收质疑函的方式、联系部门、联系电话和通讯地址等信息详见“供应商须知前附表”。具体质疑起算时间如下： </w:t>
      </w:r>
    </w:p>
    <w:p w14:paraId="5BA9278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（1）对可以质疑的谈判文件提出质疑的，为获取谈判文件之日； </w:t>
      </w:r>
    </w:p>
    <w:p w14:paraId="6376122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（2）对采购过程提出质疑的，为各采购程序环节结束之日； </w:t>
      </w:r>
    </w:p>
    <w:p w14:paraId="6962953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（3）对成交结果提出质疑的，为成交结果公告期限届满之日。 </w:t>
      </w:r>
    </w:p>
    <w:p w14:paraId="589A56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31.3 供应商提出的询问或者质疑超出采购人对采购代理机构委托授权范围的，采购代理机构应当告知供应商向采购人提出。政府采购评审专家应当配合采购人或者采购代理机构答复供应商的询问和质疑。 </w:t>
      </w:r>
    </w:p>
    <w:p w14:paraId="13B7237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31.4 供应商提出质疑应当提交质疑函和必要的证明材料，针对同一采购程序环节的质疑必须在法定质疑期内一次性提出。质疑函应当包括下列内容（质疑函格式后附）： </w:t>
      </w:r>
    </w:p>
    <w:p w14:paraId="45B13BF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（1）供应商的姓名或者名称、地址、邮编、联系人及联系电话； </w:t>
      </w:r>
    </w:p>
    <w:p w14:paraId="14F571F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（2）质疑项目的名称、编号； </w:t>
      </w:r>
    </w:p>
    <w:p w14:paraId="0AD8A54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（3）具体、明确的质疑事项和与质疑事项相关的请求； </w:t>
      </w:r>
    </w:p>
    <w:p w14:paraId="29C7C73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（4）事实依据； </w:t>
      </w:r>
    </w:p>
    <w:p w14:paraId="0DDEFD3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（5）必要的法律依据； </w:t>
      </w:r>
    </w:p>
    <w:p w14:paraId="72000DE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（6）提出质疑的日期。 </w:t>
      </w:r>
    </w:p>
    <w:p w14:paraId="47C28B8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供应商为自然人的，应当由本人签字；供应商为法人或者其他组织的，应当由法定代表人、主要负责人，或者其委托代理人签字或者盖章，并加盖公章。 </w:t>
      </w:r>
    </w:p>
    <w:p w14:paraId="6628B62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31.5 采购人、采购代理机构认为供应商质疑不成立，或者成立但未对成交结果构成影响的，继续开展采购活动；认为供应商质疑成立且影响或者可能影响成交结果的，按照下列情况处理： </w:t>
      </w:r>
    </w:p>
    <w:p w14:paraId="1CF254A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（一）对采购文件提出的质疑，依法通过澄清或者修改可以继续开展采购活动的，澄清或者修改采购文件后继续开展采购活动；否则应当修改采购文件后重新开展采购活动。 </w:t>
      </w:r>
    </w:p>
    <w:p w14:paraId="3B80FC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二）对采购过程或者成交结果提出的质疑，合格供应商符合法定数量时，可以从合格的成交候选人中另行确定成交供应商的，应当依法另行确定成交供应商；否则应当重新开展采购活动。质疑答复导致成交结果改变的，采购人或者采购代理机构应当将有关情况书面报告本级财政部门。 </w:t>
      </w:r>
    </w:p>
    <w:p w14:paraId="71A1560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31.6 质疑供应商对采购人、采购代理机构的答复不满意，或者采购人、采购代理机构未在规定时间内作出答复的，可以在答复期满后 15 个工作日内向《政府采购质疑和投诉办法》（财政部令第 94 号）第六条规定的财政部门提起投诉（投诉书格式后附）。 </w:t>
      </w:r>
    </w:p>
    <w:p w14:paraId="225EC02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32.其他内容 </w:t>
      </w:r>
    </w:p>
    <w:p w14:paraId="4D6068D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32.1 代理服务收取标准详见“供应商须知前附表”，供应商为联合体的，可以由联合体中的一方或者多方共同交纳代理服务费： </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1948"/>
        <w:gridCol w:w="1799"/>
        <w:gridCol w:w="1815"/>
      </w:tblGrid>
      <w:tr w14:paraId="642E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077" w:type="dxa"/>
            <w:tcBorders>
              <w:tl2br w:val="single" w:color="auto" w:sz="4" w:space="0"/>
            </w:tcBorders>
            <w:noWrap w:val="0"/>
            <w:vAlign w:val="top"/>
          </w:tcPr>
          <w:p w14:paraId="2D9B922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D36D61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948" w:type="dxa"/>
            <w:noWrap w:val="0"/>
            <w:vAlign w:val="center"/>
          </w:tcPr>
          <w:p w14:paraId="452CB61B">
            <w:pPr>
              <w:keepNext w:val="0"/>
              <w:keepLines w:val="0"/>
              <w:pageBreakBefore w:val="0"/>
              <w:widowControl w:val="0"/>
              <w:kinsoku/>
              <w:wordWrap/>
              <w:overflowPunct/>
              <w:topLinePunct w:val="0"/>
              <w:autoSpaceDE/>
              <w:autoSpaceDN/>
              <w:bidi w:val="0"/>
              <w:adjustRightInd/>
              <w:snapToGrid/>
              <w:spacing w:line="46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799" w:type="dxa"/>
            <w:noWrap w:val="0"/>
            <w:vAlign w:val="center"/>
          </w:tcPr>
          <w:p w14:paraId="0850455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815" w:type="dxa"/>
            <w:noWrap w:val="0"/>
            <w:vAlign w:val="center"/>
          </w:tcPr>
          <w:p w14:paraId="7655578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30D7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9C590B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948" w:type="dxa"/>
            <w:noWrap w:val="0"/>
            <w:vAlign w:val="top"/>
          </w:tcPr>
          <w:p w14:paraId="2699A13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799" w:type="dxa"/>
            <w:noWrap w:val="0"/>
            <w:vAlign w:val="top"/>
          </w:tcPr>
          <w:p w14:paraId="2C0284A4">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815" w:type="dxa"/>
            <w:noWrap w:val="0"/>
            <w:vAlign w:val="top"/>
          </w:tcPr>
          <w:p w14:paraId="03E529F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40D0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50A1B2D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948" w:type="dxa"/>
            <w:noWrap w:val="0"/>
            <w:vAlign w:val="top"/>
          </w:tcPr>
          <w:p w14:paraId="6E8670DA">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799" w:type="dxa"/>
            <w:noWrap w:val="0"/>
            <w:vAlign w:val="top"/>
          </w:tcPr>
          <w:p w14:paraId="1A48105D">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815" w:type="dxa"/>
            <w:noWrap w:val="0"/>
            <w:vAlign w:val="top"/>
          </w:tcPr>
          <w:p w14:paraId="7D4BEA3D">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7372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21CA765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948" w:type="dxa"/>
            <w:noWrap w:val="0"/>
            <w:vAlign w:val="top"/>
          </w:tcPr>
          <w:p w14:paraId="35E6E7B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799" w:type="dxa"/>
            <w:noWrap w:val="0"/>
            <w:vAlign w:val="top"/>
          </w:tcPr>
          <w:p w14:paraId="3647D5CB">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815" w:type="dxa"/>
            <w:noWrap w:val="0"/>
            <w:vAlign w:val="top"/>
          </w:tcPr>
          <w:p w14:paraId="70F880B0">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39E0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8CE87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948" w:type="dxa"/>
            <w:noWrap w:val="0"/>
            <w:vAlign w:val="top"/>
          </w:tcPr>
          <w:p w14:paraId="1EF8BA1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799" w:type="dxa"/>
            <w:noWrap w:val="0"/>
            <w:vAlign w:val="top"/>
          </w:tcPr>
          <w:p w14:paraId="58352320">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815" w:type="dxa"/>
            <w:noWrap w:val="0"/>
            <w:vAlign w:val="top"/>
          </w:tcPr>
          <w:p w14:paraId="613675F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5019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029EDB3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948" w:type="dxa"/>
            <w:noWrap w:val="0"/>
            <w:vAlign w:val="top"/>
          </w:tcPr>
          <w:p w14:paraId="0EABE713">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799" w:type="dxa"/>
            <w:noWrap w:val="0"/>
            <w:vAlign w:val="top"/>
          </w:tcPr>
          <w:p w14:paraId="21E0C5E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815" w:type="dxa"/>
            <w:noWrap w:val="0"/>
            <w:vAlign w:val="top"/>
          </w:tcPr>
          <w:p w14:paraId="1FD9B333">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50C7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4A373AB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948" w:type="dxa"/>
            <w:noWrap w:val="0"/>
            <w:vAlign w:val="top"/>
          </w:tcPr>
          <w:p w14:paraId="1610C366">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799" w:type="dxa"/>
            <w:noWrap w:val="0"/>
            <w:vAlign w:val="top"/>
          </w:tcPr>
          <w:p w14:paraId="4E4EDD9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815" w:type="dxa"/>
            <w:noWrap w:val="0"/>
            <w:vAlign w:val="top"/>
          </w:tcPr>
          <w:p w14:paraId="6CEDCF9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49A7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6AB4FE4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948" w:type="dxa"/>
            <w:noWrap w:val="0"/>
            <w:vAlign w:val="top"/>
          </w:tcPr>
          <w:p w14:paraId="1D3E172E">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799" w:type="dxa"/>
            <w:noWrap w:val="0"/>
            <w:vAlign w:val="top"/>
          </w:tcPr>
          <w:p w14:paraId="3A42B5D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815" w:type="dxa"/>
            <w:noWrap w:val="0"/>
            <w:vAlign w:val="top"/>
          </w:tcPr>
          <w:p w14:paraId="4EFBA787">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1D54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3249611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948" w:type="dxa"/>
            <w:noWrap w:val="0"/>
            <w:vAlign w:val="top"/>
          </w:tcPr>
          <w:p w14:paraId="53845FF6">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799" w:type="dxa"/>
            <w:noWrap w:val="0"/>
            <w:vAlign w:val="top"/>
          </w:tcPr>
          <w:p w14:paraId="7886EB9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815" w:type="dxa"/>
            <w:noWrap w:val="0"/>
            <w:vAlign w:val="top"/>
          </w:tcPr>
          <w:p w14:paraId="1B8822FF">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86C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077" w:type="dxa"/>
            <w:noWrap w:val="0"/>
            <w:vAlign w:val="top"/>
          </w:tcPr>
          <w:p w14:paraId="7298B38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948" w:type="dxa"/>
            <w:noWrap w:val="0"/>
            <w:vAlign w:val="top"/>
          </w:tcPr>
          <w:p w14:paraId="38CADB4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799" w:type="dxa"/>
            <w:noWrap w:val="0"/>
            <w:vAlign w:val="top"/>
          </w:tcPr>
          <w:p w14:paraId="36836109">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815" w:type="dxa"/>
            <w:noWrap w:val="0"/>
            <w:vAlign w:val="top"/>
          </w:tcPr>
          <w:p w14:paraId="1A2DA589">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295D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4077" w:type="dxa"/>
            <w:noWrap w:val="0"/>
            <w:vAlign w:val="top"/>
          </w:tcPr>
          <w:p w14:paraId="799C826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948" w:type="dxa"/>
            <w:noWrap w:val="0"/>
            <w:vAlign w:val="top"/>
          </w:tcPr>
          <w:p w14:paraId="58DB40F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799" w:type="dxa"/>
            <w:noWrap w:val="0"/>
            <w:vAlign w:val="top"/>
          </w:tcPr>
          <w:p w14:paraId="079F2A19">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815" w:type="dxa"/>
            <w:noWrap w:val="0"/>
            <w:vAlign w:val="top"/>
          </w:tcPr>
          <w:p w14:paraId="23CE8F0A">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77F77035">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highlight w:val="none"/>
        </w:rPr>
      </w:pPr>
      <w:r>
        <w:rPr>
          <w:rFonts w:hint="eastAsia" w:ascii="宋体" w:hAnsi="宋体"/>
          <w:b w:val="0"/>
          <w:color w:val="auto"/>
          <w:highlight w:val="none"/>
        </w:rPr>
        <w:t xml:space="preserve">注： </w:t>
      </w:r>
    </w:p>
    <w:p w14:paraId="453F45F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highlight w:val="none"/>
        </w:rPr>
      </w:pPr>
      <w:r>
        <w:rPr>
          <w:rFonts w:hint="eastAsia" w:ascii="宋体" w:hAnsi="宋体"/>
          <w:b w:val="0"/>
          <w:color w:val="auto"/>
          <w:highlight w:val="none"/>
        </w:rPr>
        <w:t>（1）按本表费率计算的收费为采购代理的收费基准价格；</w:t>
      </w:r>
    </w:p>
    <w:p w14:paraId="513F144F">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highlight w:val="none"/>
        </w:rPr>
      </w:pPr>
      <w:r>
        <w:rPr>
          <w:rFonts w:hint="eastAsia" w:ascii="宋体" w:hAnsi="宋体"/>
          <w:b w:val="0"/>
          <w:color w:val="auto"/>
          <w:highlight w:val="none"/>
        </w:rPr>
        <w:t>（2）采购代理收费按差额定率累进法计算。</w:t>
      </w:r>
    </w:p>
    <w:p w14:paraId="086B404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b w:val="0"/>
          <w:color w:val="auto"/>
          <w:highlight w:val="none"/>
        </w:rPr>
      </w:pPr>
      <w:r>
        <w:rPr>
          <w:rFonts w:hint="eastAsia" w:ascii="宋体" w:hAnsi="宋体"/>
          <w:b w:val="0"/>
          <w:color w:val="auto"/>
          <w:highlight w:val="none"/>
        </w:rPr>
        <w:t>例如：某货物采购代理业务成交金额或者暂定价为150万元，计算采购代理收费额如下：</w:t>
      </w:r>
    </w:p>
    <w:p w14:paraId="24C98DC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rPr>
        <w:t>100 万元 ×l.5 %＝ 1.5 万元</w:t>
      </w:r>
    </w:p>
    <w:p w14:paraId="62F07150">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rPr>
        <w:t>（ 150 － 100 ）万元 ×1.1%＝ 0.55 万元</w:t>
      </w:r>
    </w:p>
    <w:p w14:paraId="0C689B5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rPr>
        <w:t>合计收费＝ 1.5 ＋ 0.55＝ 2.05 （万元）</w:t>
      </w:r>
    </w:p>
    <w:p w14:paraId="3F52FD7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33. 需要补充的其他内容 </w:t>
      </w:r>
    </w:p>
    <w:p w14:paraId="78D2867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33.1 本谈判文件解释规则详见“供应商须知前附表”。 </w:t>
      </w:r>
    </w:p>
    <w:p w14:paraId="75836C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33.2 其他事项详见“供应商须知前附表”。 </w:t>
      </w:r>
    </w:p>
    <w:p w14:paraId="127DC19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33.3 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 </w:t>
      </w:r>
    </w:p>
    <w:p w14:paraId="3710AFC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（1）在货物采购项目中，货物由中小企业制造，即货物由中小企业生产且使用该中小企业商号或者注册商标，不对其中涉及的工程承建商和服务的承接商作出要求； </w:t>
      </w:r>
    </w:p>
    <w:p w14:paraId="1C9C4F5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val="0"/>
          <w:color w:val="auto"/>
          <w:highlight w:val="none"/>
        </w:rPr>
      </w:pPr>
      <w:r>
        <w:rPr>
          <w:rFonts w:hint="eastAsia" w:ascii="宋体" w:hAnsi="宋体"/>
          <w:b w:val="0"/>
          <w:color w:val="auto"/>
          <w:highlight w:val="none"/>
          <w:lang w:val="en-US" w:eastAsia="zh-CN"/>
        </w:rPr>
        <w:t xml:space="preserve">（2）在工程采购项目中，工程由中小企业承建，即工程施工单位为中小企业，不对其中涉及的货物的制造商和服务的承接商作出要求； </w:t>
      </w:r>
    </w:p>
    <w:p w14:paraId="7BC7D5A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黑体" w:hAnsi="黑体" w:eastAsia="黑体" w:cs="黑体"/>
          <w:bCs/>
          <w:color w:val="auto"/>
          <w:sz w:val="32"/>
          <w:szCs w:val="32"/>
          <w:highlight w:val="none"/>
        </w:rPr>
      </w:pPr>
      <w:r>
        <w:rPr>
          <w:rFonts w:hint="eastAsia" w:ascii="宋体" w:hAnsi="宋体"/>
          <w:b w:val="0"/>
          <w:color w:val="auto"/>
          <w:highlight w:val="none"/>
          <w:lang w:val="en-US" w:eastAsia="zh-CN"/>
        </w:rPr>
        <w:t>（3）在服务采购项目中，服务由中小企业承接，即提供服务的人员为中小企业依照《中华人民共和国劳动合同法》订立劳动合同的从业人员，不对其中涉及的货物的制造商和工程承建商作出要求。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依据本谈判文件规定享受扶持政策获得政府采购合同的，小微企业不得将合同分包给大中型企业，中型企业不得将合同分包给大型企业。</w:t>
      </w:r>
    </w:p>
    <w:tbl>
      <w:tblPr>
        <w:tblStyle w:val="21"/>
        <w:tblpPr w:leftFromText="180" w:rightFromText="180" w:vertAnchor="text" w:tblpX="10879" w:tblpY="3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4549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4C1AA7A8">
            <w:pPr>
              <w:pStyle w:val="26"/>
              <w:jc w:val="both"/>
              <w:rPr>
                <w:rFonts w:hint="eastAsia"/>
                <w:color w:val="auto"/>
                <w:highlight w:val="none"/>
                <w:vertAlign w:val="baseline"/>
                <w:lang w:val="en-US" w:eastAsia="zh-CN"/>
              </w:rPr>
            </w:pPr>
          </w:p>
        </w:tc>
      </w:tr>
    </w:tbl>
    <w:p w14:paraId="1AD7C989">
      <w:pPr>
        <w:pStyle w:val="13"/>
        <w:snapToGrid w:val="0"/>
        <w:spacing w:line="360" w:lineRule="auto"/>
        <w:rPr>
          <w:rFonts w:hint="eastAsia" w:ascii="黑体" w:hAnsi="黑体" w:eastAsia="黑体" w:cs="黑体"/>
          <w:bCs/>
          <w:color w:val="auto"/>
          <w:sz w:val="32"/>
          <w:szCs w:val="32"/>
          <w:highlight w:val="none"/>
        </w:rPr>
      </w:pPr>
      <w:bookmarkStart w:id="46" w:name="_Toc16307"/>
    </w:p>
    <w:p w14:paraId="0E07F883">
      <w:pPr>
        <w:pStyle w:val="13"/>
        <w:snapToGrid w:val="0"/>
        <w:spacing w:line="360" w:lineRule="auto"/>
        <w:rPr>
          <w:rFonts w:hint="eastAsia" w:ascii="黑体" w:hAnsi="黑体" w:eastAsia="黑体" w:cs="黑体"/>
          <w:bCs/>
          <w:color w:val="auto"/>
          <w:sz w:val="32"/>
          <w:szCs w:val="32"/>
          <w:highlight w:val="none"/>
        </w:rPr>
      </w:pPr>
    </w:p>
    <w:p w14:paraId="39E39DE6">
      <w:pPr>
        <w:pStyle w:val="13"/>
        <w:snapToGrid w:val="0"/>
        <w:spacing w:line="360" w:lineRule="auto"/>
        <w:rPr>
          <w:rFonts w:hint="eastAsia" w:ascii="黑体" w:hAnsi="黑体" w:eastAsia="黑体" w:cs="黑体"/>
          <w:bCs/>
          <w:color w:val="auto"/>
          <w:sz w:val="32"/>
          <w:szCs w:val="32"/>
          <w:highlight w:val="none"/>
        </w:rPr>
      </w:pPr>
    </w:p>
    <w:p w14:paraId="44E949B4">
      <w:pPr>
        <w:pStyle w:val="13"/>
        <w:snapToGrid w:val="0"/>
        <w:spacing w:line="360" w:lineRule="auto"/>
        <w:rPr>
          <w:rFonts w:hint="eastAsia" w:hAnsi="宋体"/>
          <w:color w:val="auto"/>
          <w:highlight w:val="none"/>
        </w:rPr>
      </w:pPr>
      <w:r>
        <w:rPr>
          <w:rFonts w:hint="eastAsia" w:ascii="黑体" w:hAnsi="黑体" w:eastAsia="黑体" w:cs="黑体"/>
          <w:bCs/>
          <w:color w:val="auto"/>
          <w:sz w:val="32"/>
          <w:szCs w:val="32"/>
          <w:highlight w:val="none"/>
        </w:rPr>
        <w:t>附件1：</w:t>
      </w:r>
    </w:p>
    <w:p w14:paraId="7922E774">
      <w:pPr>
        <w:widowControl/>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3AB83AE1">
      <w:pPr>
        <w:widowControl/>
        <w:shd w:val="clear" w:color="auto" w:fill="FFFFFF"/>
        <w:snapToGrid w:val="0"/>
        <w:spacing w:line="320" w:lineRule="atLeast"/>
        <w:ind w:firstLine="480"/>
        <w:jc w:val="left"/>
        <w:rPr>
          <w:rFonts w:hint="eastAsia"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2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E7ACB7C">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3910D8BF">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76C504EF">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372E1244">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EA9B31E">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1984160F">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3226D76B">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679CE8D2">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63B275D8">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7326D0A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6EE3329">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1E7FD69">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F514FB7">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75E8496">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3FBF958">
            <w:pPr>
              <w:widowControl/>
              <w:spacing w:before="100" w:beforeAutospacing="1" w:after="100" w:afterAutospacing="1" w:line="240" w:lineRule="atLeast"/>
              <w:jc w:val="center"/>
              <w:rPr>
                <w:rFonts w:ascii="Verdana" w:hAnsi="Verdana" w:cs="宋体"/>
                <w:color w:val="auto"/>
                <w:kern w:val="0"/>
                <w:szCs w:val="21"/>
                <w:highlight w:val="none"/>
              </w:rPr>
            </w:pPr>
          </w:p>
        </w:tc>
      </w:tr>
      <w:tr w14:paraId="29AF202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533F4F0">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5C01DE6">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FA1EF28">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591EB01">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36A6B64">
            <w:pPr>
              <w:widowControl/>
              <w:spacing w:before="100" w:beforeAutospacing="1" w:after="100" w:afterAutospacing="1" w:line="240" w:lineRule="atLeast"/>
              <w:jc w:val="center"/>
              <w:rPr>
                <w:rFonts w:ascii="Verdana" w:hAnsi="Verdana" w:cs="宋体"/>
                <w:color w:val="auto"/>
                <w:kern w:val="0"/>
                <w:szCs w:val="21"/>
                <w:highlight w:val="none"/>
              </w:rPr>
            </w:pPr>
          </w:p>
        </w:tc>
      </w:tr>
      <w:tr w14:paraId="0D8B114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30E8CBA">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AD461AA">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772BD62">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82ACC6C">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C9B2B37">
            <w:pPr>
              <w:widowControl/>
              <w:spacing w:before="100" w:beforeAutospacing="1" w:after="100" w:afterAutospacing="1" w:line="240" w:lineRule="atLeast"/>
              <w:jc w:val="center"/>
              <w:rPr>
                <w:rFonts w:ascii="Verdana" w:hAnsi="Verdana" w:cs="宋体"/>
                <w:color w:val="auto"/>
                <w:kern w:val="0"/>
                <w:szCs w:val="21"/>
                <w:highlight w:val="none"/>
              </w:rPr>
            </w:pPr>
          </w:p>
        </w:tc>
      </w:tr>
      <w:tr w14:paraId="5E7D1F13">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74A60687">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33766">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A0F878B">
            <w:pPr>
              <w:widowControl/>
              <w:spacing w:before="100" w:beforeAutospacing="1" w:after="100" w:afterAutospacing="1" w:line="240" w:lineRule="atLeast"/>
              <w:jc w:val="center"/>
              <w:rPr>
                <w:rFonts w:ascii="Verdana" w:hAnsi="Verdana" w:cs="宋体"/>
                <w:color w:val="auto"/>
                <w:kern w:val="0"/>
                <w:szCs w:val="21"/>
                <w:highlight w:val="none"/>
              </w:rPr>
            </w:pPr>
          </w:p>
        </w:tc>
      </w:tr>
      <w:tr w14:paraId="5CCD1A52">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2E6DCFD0">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14:paraId="7592889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3170560">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67060352">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81A7B18">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062A089A">
            <w:pPr>
              <w:widowControl/>
              <w:spacing w:before="100" w:beforeAutospacing="1" w:after="100" w:afterAutospacing="1" w:line="240" w:lineRule="atLeast"/>
              <w:jc w:val="center"/>
              <w:rPr>
                <w:rFonts w:ascii="Verdana" w:hAnsi="Verdana" w:cs="宋体"/>
                <w:color w:val="auto"/>
                <w:kern w:val="0"/>
                <w:szCs w:val="21"/>
                <w:highlight w:val="none"/>
              </w:rPr>
            </w:pPr>
          </w:p>
        </w:tc>
      </w:tr>
      <w:tr w14:paraId="6340122D">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6688120">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947A0A7">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2D608323">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11426AD6">
            <w:pPr>
              <w:widowControl/>
              <w:spacing w:before="100" w:beforeAutospacing="1" w:after="100" w:afterAutospacing="1" w:line="240" w:lineRule="atLeast"/>
              <w:jc w:val="center"/>
              <w:rPr>
                <w:rFonts w:ascii="Verdana" w:hAnsi="Verdana" w:cs="宋体"/>
                <w:color w:val="auto"/>
                <w:kern w:val="0"/>
                <w:szCs w:val="21"/>
                <w:highlight w:val="none"/>
              </w:rPr>
            </w:pPr>
          </w:p>
        </w:tc>
      </w:tr>
      <w:tr w14:paraId="795BDA96">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ED8E597">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B52B6F">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360E8FD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F3F9D5">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6642A21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2236706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F4711F8">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CFA48E5">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142A75C0">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6D67B03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7E67F7">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5812F71B">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8D782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1A342DED">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43F8F42A">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64121D3">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0E4E092D">
            <w:pPr>
              <w:widowControl/>
              <w:spacing w:before="100" w:beforeAutospacing="1" w:after="100" w:afterAutospacing="1" w:line="320" w:lineRule="atLeast"/>
              <w:jc w:val="left"/>
              <w:rPr>
                <w:rFonts w:ascii="Verdana" w:hAnsi="Verdana" w:cs="宋体"/>
                <w:color w:val="auto"/>
                <w:kern w:val="0"/>
                <w:szCs w:val="21"/>
                <w:highlight w:val="none"/>
              </w:rPr>
            </w:pPr>
          </w:p>
          <w:p w14:paraId="50DB7561">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nil"/>
              <w:bottom w:val="single" w:color="auto" w:sz="8" w:space="0"/>
              <w:right w:val="single" w:color="auto" w:sz="8" w:space="0"/>
            </w:tcBorders>
            <w:noWrap w:val="0"/>
            <w:vAlign w:val="center"/>
          </w:tcPr>
          <w:p w14:paraId="6365A486">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41DE7E58">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72269721">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14:paraId="758DF36E">
      <w:pPr>
        <w:pStyle w:val="13"/>
        <w:snapToGrid w:val="0"/>
        <w:rPr>
          <w:rFonts w:hint="eastAsia" w:hAnsi="宋体" w:cs="黑体"/>
          <w:color w:val="auto"/>
          <w:sz w:val="32"/>
          <w:szCs w:val="32"/>
          <w:highlight w:val="none"/>
        </w:rPr>
      </w:pPr>
    </w:p>
    <w:p w14:paraId="5ED4252F">
      <w:pPr>
        <w:pStyle w:val="13"/>
        <w:snapToGrid w:val="0"/>
        <w:rPr>
          <w:rFonts w:hint="eastAsia" w:hAnsi="宋体" w:cs="黑体"/>
          <w:color w:val="auto"/>
          <w:sz w:val="32"/>
          <w:szCs w:val="32"/>
          <w:highlight w:val="none"/>
        </w:rPr>
      </w:pPr>
    </w:p>
    <w:p w14:paraId="020BDBE3">
      <w:pPr>
        <w:pStyle w:val="13"/>
        <w:snapToGrid w:val="0"/>
        <w:rPr>
          <w:rFonts w:hint="eastAsia" w:hAnsi="宋体" w:cs="黑体"/>
          <w:color w:val="auto"/>
          <w:sz w:val="32"/>
          <w:szCs w:val="32"/>
          <w:highlight w:val="none"/>
        </w:rPr>
      </w:pPr>
    </w:p>
    <w:p w14:paraId="44A9579A">
      <w:pPr>
        <w:pStyle w:val="13"/>
        <w:snapToGrid w:val="0"/>
        <w:rPr>
          <w:rFonts w:hint="eastAsia" w:hAnsi="宋体" w:cs="黑体"/>
          <w:color w:val="auto"/>
          <w:sz w:val="32"/>
          <w:szCs w:val="32"/>
          <w:highlight w:val="none"/>
        </w:rPr>
      </w:pPr>
      <w:r>
        <w:rPr>
          <w:rFonts w:hint="eastAsia" w:hAnsi="宋体" w:cs="黑体"/>
          <w:color w:val="auto"/>
          <w:sz w:val="32"/>
          <w:szCs w:val="32"/>
          <w:highlight w:val="none"/>
        </w:rPr>
        <w:t>附件</w:t>
      </w:r>
      <w:r>
        <w:rPr>
          <w:rFonts w:hint="eastAsia" w:hAnsi="宋体" w:cs="黑体"/>
          <w:color w:val="auto"/>
          <w:sz w:val="32"/>
          <w:szCs w:val="32"/>
          <w:highlight w:val="none"/>
          <w:lang w:val="en-US" w:eastAsia="zh-CN"/>
        </w:rPr>
        <w:t>2</w:t>
      </w:r>
      <w:r>
        <w:rPr>
          <w:rFonts w:hint="eastAsia" w:hAnsi="宋体" w:cs="黑体"/>
          <w:color w:val="auto"/>
          <w:sz w:val="32"/>
          <w:szCs w:val="32"/>
          <w:highlight w:val="none"/>
        </w:rPr>
        <w:t>：</w:t>
      </w:r>
    </w:p>
    <w:p w14:paraId="778138AF">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w:t>
      </w:r>
    </w:p>
    <w:p w14:paraId="72652693">
      <w:pPr>
        <w:jc w:val="center"/>
        <w:rPr>
          <w:rFonts w:hint="eastAsia" w:ascii="宋体" w:hAnsi="宋体"/>
          <w:color w:val="auto"/>
          <w:sz w:val="36"/>
          <w:szCs w:val="36"/>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E85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11E72882">
            <w:pPr>
              <w:jc w:val="center"/>
              <w:rPr>
                <w:rFonts w:hint="eastAsia" w:ascii="宋体" w:hAnsi="宋体"/>
                <w:color w:val="auto"/>
                <w:sz w:val="24"/>
                <w:highlight w:val="none"/>
              </w:rPr>
            </w:pPr>
            <w:r>
              <w:rPr>
                <w:rFonts w:hint="eastAsia" w:ascii="宋体" w:hAnsi="宋体"/>
                <w:color w:val="auto"/>
                <w:sz w:val="24"/>
                <w:highlight w:val="none"/>
              </w:rPr>
              <w:t>供</w:t>
            </w:r>
          </w:p>
          <w:p w14:paraId="5F59CA5F">
            <w:pPr>
              <w:jc w:val="center"/>
              <w:rPr>
                <w:rFonts w:hint="eastAsia" w:ascii="宋体" w:hAnsi="宋体"/>
                <w:color w:val="auto"/>
                <w:sz w:val="24"/>
                <w:highlight w:val="none"/>
              </w:rPr>
            </w:pPr>
            <w:r>
              <w:rPr>
                <w:rFonts w:hint="eastAsia" w:ascii="宋体" w:hAnsi="宋体"/>
                <w:color w:val="auto"/>
                <w:sz w:val="24"/>
                <w:highlight w:val="none"/>
              </w:rPr>
              <w:t>应</w:t>
            </w:r>
          </w:p>
          <w:p w14:paraId="0F502B77">
            <w:pPr>
              <w:jc w:val="center"/>
              <w:rPr>
                <w:rFonts w:hint="eastAsia" w:ascii="宋体" w:hAnsi="宋体"/>
                <w:color w:val="auto"/>
                <w:sz w:val="24"/>
                <w:highlight w:val="none"/>
              </w:rPr>
            </w:pPr>
            <w:r>
              <w:rPr>
                <w:rFonts w:hint="eastAsia" w:ascii="宋体" w:hAnsi="宋体"/>
                <w:color w:val="auto"/>
                <w:sz w:val="24"/>
                <w:highlight w:val="none"/>
              </w:rPr>
              <w:t>商</w:t>
            </w:r>
          </w:p>
          <w:p w14:paraId="31D9C002">
            <w:pPr>
              <w:jc w:val="center"/>
              <w:rPr>
                <w:rFonts w:hint="eastAsia" w:ascii="宋体" w:hAnsi="宋体"/>
                <w:color w:val="auto"/>
                <w:sz w:val="24"/>
                <w:highlight w:val="none"/>
              </w:rPr>
            </w:pPr>
            <w:r>
              <w:rPr>
                <w:rFonts w:hint="eastAsia" w:ascii="宋体" w:hAnsi="宋体"/>
                <w:color w:val="auto"/>
                <w:sz w:val="24"/>
                <w:highlight w:val="none"/>
              </w:rPr>
              <w:t>申</w:t>
            </w:r>
          </w:p>
          <w:p w14:paraId="2ABDEF0D">
            <w:pPr>
              <w:jc w:val="center"/>
              <w:rPr>
                <w:rFonts w:hint="eastAsia" w:ascii="宋体" w:hAnsi="宋体"/>
                <w:color w:val="auto"/>
                <w:sz w:val="24"/>
                <w:highlight w:val="none"/>
              </w:rPr>
            </w:pPr>
            <w:r>
              <w:rPr>
                <w:rFonts w:hint="eastAsia" w:ascii="宋体" w:hAnsi="宋体"/>
                <w:color w:val="auto"/>
                <w:sz w:val="24"/>
                <w:highlight w:val="none"/>
              </w:rPr>
              <w:t>请</w:t>
            </w:r>
          </w:p>
        </w:tc>
        <w:tc>
          <w:tcPr>
            <w:tcW w:w="8009" w:type="dxa"/>
            <w:noWrap w:val="0"/>
            <w:vAlign w:val="center"/>
          </w:tcPr>
          <w:p w14:paraId="540005BE">
            <w:pPr>
              <w:rPr>
                <w:rFonts w:hint="eastAsia" w:ascii="宋体" w:hAnsi="宋体"/>
                <w:color w:val="auto"/>
                <w:sz w:val="24"/>
                <w:highlight w:val="none"/>
              </w:rPr>
            </w:pPr>
            <w:r>
              <w:rPr>
                <w:rFonts w:hint="eastAsia" w:ascii="宋体" w:hAnsi="宋体"/>
                <w:color w:val="auto"/>
                <w:sz w:val="24"/>
                <w:highlight w:val="none"/>
              </w:rPr>
              <w:t>项目编号：</w:t>
            </w:r>
          </w:p>
        </w:tc>
      </w:tr>
      <w:tr w14:paraId="03A3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7948AC23">
            <w:pPr>
              <w:rPr>
                <w:rFonts w:hint="eastAsia" w:ascii="宋体" w:hAnsi="宋体"/>
                <w:color w:val="auto"/>
                <w:sz w:val="24"/>
                <w:highlight w:val="none"/>
              </w:rPr>
            </w:pPr>
          </w:p>
        </w:tc>
        <w:tc>
          <w:tcPr>
            <w:tcW w:w="8009" w:type="dxa"/>
            <w:noWrap w:val="0"/>
            <w:vAlign w:val="center"/>
          </w:tcPr>
          <w:p w14:paraId="1E3BD2DF">
            <w:pPr>
              <w:rPr>
                <w:rFonts w:hint="eastAsia" w:ascii="宋体" w:hAnsi="宋体"/>
                <w:color w:val="auto"/>
                <w:sz w:val="24"/>
                <w:highlight w:val="none"/>
              </w:rPr>
            </w:pPr>
            <w:r>
              <w:rPr>
                <w:rFonts w:hint="eastAsia" w:ascii="宋体" w:hAnsi="宋体"/>
                <w:color w:val="auto"/>
                <w:sz w:val="24"/>
                <w:highlight w:val="none"/>
              </w:rPr>
              <w:t>项目名称：</w:t>
            </w:r>
          </w:p>
        </w:tc>
      </w:tr>
      <w:tr w14:paraId="68B7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34A0D6B2">
            <w:pPr>
              <w:rPr>
                <w:rFonts w:hint="eastAsia" w:ascii="宋体" w:hAnsi="宋体"/>
                <w:color w:val="auto"/>
                <w:sz w:val="24"/>
                <w:highlight w:val="none"/>
              </w:rPr>
            </w:pPr>
          </w:p>
        </w:tc>
        <w:tc>
          <w:tcPr>
            <w:tcW w:w="8009" w:type="dxa"/>
            <w:noWrap w:val="0"/>
            <w:vAlign w:val="top"/>
          </w:tcPr>
          <w:p w14:paraId="2091A807">
            <w:pPr>
              <w:rPr>
                <w:rFonts w:hint="eastAsia" w:ascii="宋体" w:hAnsi="宋体"/>
                <w:color w:val="auto"/>
                <w:sz w:val="24"/>
                <w:highlight w:val="none"/>
              </w:rPr>
            </w:pPr>
            <w:r>
              <w:rPr>
                <w:rFonts w:hint="eastAsia" w:ascii="宋体" w:hAnsi="宋体"/>
                <w:color w:val="auto"/>
                <w:sz w:val="24"/>
                <w:highlight w:val="none"/>
              </w:rPr>
              <w:t xml:space="preserve">  </w:t>
            </w:r>
          </w:p>
          <w:p w14:paraId="2191A9FD">
            <w:pPr>
              <w:ind w:firstLine="480" w:firstLineChars="200"/>
              <w:rPr>
                <w:rFonts w:hint="eastAsia" w:ascii="宋体" w:hAnsi="宋体"/>
                <w:color w:val="auto"/>
                <w:sz w:val="24"/>
                <w:highlight w:val="none"/>
              </w:rPr>
            </w:pPr>
            <w:r>
              <w:rPr>
                <w:rFonts w:hint="eastAsia" w:ascii="宋体" w:hAnsi="宋体"/>
                <w:color w:val="auto"/>
                <w:sz w:val="24"/>
                <w:highlight w:val="none"/>
              </w:rPr>
              <w:t>该项目已于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日验收并交付使用。根据合同规定，该项目的履约保证金期限于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日已满，请将履约保证金</w:t>
            </w:r>
          </w:p>
          <w:p w14:paraId="0EAF71FD">
            <w:pPr>
              <w:rPr>
                <w:rFonts w:hint="eastAsia" w:ascii="宋体" w:hAnsi="宋体"/>
                <w:color w:val="auto"/>
                <w:sz w:val="24"/>
                <w:highlight w:val="none"/>
              </w:rPr>
            </w:pPr>
            <w:r>
              <w:rPr>
                <w:rFonts w:hint="eastAsia" w:ascii="宋体" w:hAnsi="宋体"/>
                <w:color w:val="auto"/>
                <w:sz w:val="24"/>
                <w:highlight w:val="none"/>
              </w:rPr>
              <w:t>（大写）人民币</w:t>
            </w:r>
            <w:r>
              <w:rPr>
                <w:rFonts w:hint="eastAsia" w:ascii="宋体" w:hAnsi="宋体"/>
                <w:color w:val="auto"/>
                <w:sz w:val="24"/>
                <w:highlight w:val="none"/>
                <w:u w:val="single"/>
              </w:rPr>
              <w:t xml:space="preserve">                              </w:t>
            </w: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hint="eastAsia" w:ascii="宋体" w:hAnsi="宋体"/>
                <w:color w:val="auto"/>
                <w:sz w:val="24"/>
                <w:highlight w:val="none"/>
              </w:rPr>
              <w:t>退付到达以下账户。</w:t>
            </w:r>
          </w:p>
          <w:p w14:paraId="5056F13A">
            <w:pPr>
              <w:rPr>
                <w:rFonts w:hint="eastAsia" w:ascii="宋体" w:hAnsi="宋体"/>
                <w:color w:val="auto"/>
                <w:sz w:val="24"/>
                <w:highlight w:val="none"/>
              </w:rPr>
            </w:pPr>
            <w:r>
              <w:rPr>
                <w:rFonts w:hint="eastAsia" w:ascii="宋体" w:hAnsi="宋体"/>
                <w:color w:val="auto"/>
                <w:sz w:val="24"/>
                <w:highlight w:val="none"/>
              </w:rPr>
              <w:t>单位名称：</w:t>
            </w:r>
          </w:p>
          <w:p w14:paraId="4698B24D">
            <w:pPr>
              <w:rPr>
                <w:rFonts w:hint="eastAsia" w:ascii="宋体" w:hAnsi="宋体"/>
                <w:color w:val="auto"/>
                <w:sz w:val="24"/>
                <w:highlight w:val="none"/>
              </w:rPr>
            </w:pPr>
            <w:r>
              <w:rPr>
                <w:rFonts w:hint="eastAsia" w:ascii="宋体" w:hAnsi="宋体"/>
                <w:color w:val="auto"/>
                <w:sz w:val="24"/>
                <w:highlight w:val="none"/>
              </w:rPr>
              <w:t>开户银行：</w:t>
            </w:r>
          </w:p>
          <w:p w14:paraId="58349493">
            <w:pPr>
              <w:rPr>
                <w:rFonts w:hint="eastAsia" w:ascii="宋体" w:hAnsi="宋体"/>
                <w:color w:val="auto"/>
                <w:sz w:val="24"/>
                <w:highlight w:val="none"/>
              </w:rPr>
            </w:pPr>
            <w:r>
              <w:rPr>
                <w:rFonts w:hint="eastAsia" w:ascii="宋体" w:hAnsi="宋体"/>
                <w:color w:val="auto"/>
                <w:sz w:val="24"/>
                <w:highlight w:val="none"/>
              </w:rPr>
              <w:t>账    号：</w:t>
            </w:r>
          </w:p>
          <w:p w14:paraId="26BE07D6">
            <w:pPr>
              <w:rPr>
                <w:rFonts w:hint="eastAsia" w:ascii="宋体" w:hAnsi="宋体"/>
                <w:color w:val="auto"/>
                <w:sz w:val="24"/>
                <w:highlight w:val="none"/>
              </w:rPr>
            </w:pPr>
            <w:r>
              <w:rPr>
                <w:rFonts w:hint="eastAsia" w:ascii="宋体" w:hAnsi="宋体"/>
                <w:color w:val="auto"/>
                <w:sz w:val="24"/>
                <w:highlight w:val="none"/>
              </w:rPr>
              <w:t>联系人及电话：</w:t>
            </w:r>
          </w:p>
          <w:p w14:paraId="52A3FFA9">
            <w:pPr>
              <w:rPr>
                <w:rFonts w:hint="eastAsia" w:ascii="宋体" w:hAnsi="宋体"/>
                <w:color w:val="auto"/>
                <w:sz w:val="24"/>
                <w:highlight w:val="none"/>
              </w:rPr>
            </w:pPr>
          </w:p>
          <w:p w14:paraId="3F44AD0D">
            <w:pPr>
              <w:jc w:val="center"/>
              <w:rPr>
                <w:rFonts w:hint="eastAsia" w:ascii="宋体" w:hAnsi="宋体"/>
                <w:color w:val="auto"/>
                <w:sz w:val="24"/>
                <w:highlight w:val="none"/>
              </w:rPr>
            </w:pPr>
            <w:r>
              <w:rPr>
                <w:rFonts w:hint="eastAsia" w:ascii="宋体" w:hAnsi="宋体"/>
                <w:color w:val="auto"/>
                <w:sz w:val="24"/>
                <w:highlight w:val="none"/>
              </w:rPr>
              <w:t xml:space="preserve">                           供应商签章：</w:t>
            </w:r>
          </w:p>
          <w:p w14:paraId="45ED18A3">
            <w:pPr>
              <w:jc w:val="center"/>
              <w:rPr>
                <w:rFonts w:hint="eastAsia" w:ascii="宋体" w:hAnsi="宋体"/>
                <w:color w:val="auto"/>
                <w:sz w:val="24"/>
                <w:highlight w:val="none"/>
              </w:rPr>
            </w:pPr>
            <w:r>
              <w:rPr>
                <w:rFonts w:hint="eastAsia" w:ascii="宋体" w:hAnsi="宋体"/>
                <w:color w:val="auto"/>
                <w:sz w:val="24"/>
                <w:highlight w:val="none"/>
              </w:rPr>
              <w:t xml:space="preserve">                                                年    月    日</w:t>
            </w:r>
          </w:p>
        </w:tc>
      </w:tr>
      <w:tr w14:paraId="66A9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2D63417A">
            <w:pPr>
              <w:jc w:val="center"/>
              <w:rPr>
                <w:rFonts w:hint="eastAsia" w:ascii="宋体" w:hAnsi="宋体"/>
                <w:color w:val="auto"/>
                <w:sz w:val="24"/>
                <w:highlight w:val="none"/>
              </w:rPr>
            </w:pPr>
            <w:r>
              <w:rPr>
                <w:rFonts w:hint="eastAsia" w:ascii="宋体" w:hAnsi="宋体"/>
                <w:color w:val="auto"/>
                <w:sz w:val="24"/>
                <w:highlight w:val="none"/>
              </w:rPr>
              <w:t>采</w:t>
            </w:r>
          </w:p>
          <w:p w14:paraId="7CE66E98">
            <w:pPr>
              <w:jc w:val="center"/>
              <w:rPr>
                <w:rFonts w:hint="eastAsia" w:ascii="宋体" w:hAnsi="宋体"/>
                <w:color w:val="auto"/>
                <w:sz w:val="24"/>
                <w:highlight w:val="none"/>
              </w:rPr>
            </w:pPr>
            <w:r>
              <w:rPr>
                <w:rFonts w:hint="eastAsia" w:ascii="宋体" w:hAnsi="宋体"/>
                <w:color w:val="auto"/>
                <w:sz w:val="24"/>
                <w:highlight w:val="none"/>
              </w:rPr>
              <w:t>购</w:t>
            </w:r>
          </w:p>
          <w:p w14:paraId="6A60FB7F">
            <w:pPr>
              <w:jc w:val="center"/>
              <w:rPr>
                <w:rFonts w:hint="eastAsia" w:ascii="宋体" w:hAnsi="宋体"/>
                <w:color w:val="auto"/>
                <w:sz w:val="24"/>
                <w:highlight w:val="none"/>
              </w:rPr>
            </w:pPr>
            <w:r>
              <w:rPr>
                <w:rFonts w:hint="eastAsia" w:ascii="宋体" w:hAnsi="宋体"/>
                <w:color w:val="auto"/>
                <w:sz w:val="24"/>
                <w:highlight w:val="none"/>
              </w:rPr>
              <w:t>单</w:t>
            </w:r>
          </w:p>
          <w:p w14:paraId="59201242">
            <w:pPr>
              <w:jc w:val="center"/>
              <w:rPr>
                <w:rFonts w:hint="eastAsia" w:ascii="宋体" w:hAnsi="宋体"/>
                <w:color w:val="auto"/>
                <w:sz w:val="24"/>
                <w:highlight w:val="none"/>
              </w:rPr>
            </w:pPr>
            <w:r>
              <w:rPr>
                <w:rFonts w:hint="eastAsia" w:ascii="宋体" w:hAnsi="宋体"/>
                <w:color w:val="auto"/>
                <w:sz w:val="24"/>
                <w:highlight w:val="none"/>
              </w:rPr>
              <w:t>位</w:t>
            </w:r>
          </w:p>
          <w:p w14:paraId="2A48ED6A">
            <w:pPr>
              <w:jc w:val="center"/>
              <w:rPr>
                <w:rFonts w:hint="eastAsia" w:ascii="宋体" w:hAnsi="宋体"/>
                <w:color w:val="auto"/>
                <w:sz w:val="24"/>
                <w:highlight w:val="none"/>
              </w:rPr>
            </w:pPr>
            <w:r>
              <w:rPr>
                <w:rFonts w:hint="eastAsia" w:ascii="宋体" w:hAnsi="宋体"/>
                <w:color w:val="auto"/>
                <w:sz w:val="24"/>
                <w:highlight w:val="none"/>
              </w:rPr>
              <w:t>意</w:t>
            </w:r>
          </w:p>
          <w:p w14:paraId="7FAE175C">
            <w:pPr>
              <w:jc w:val="center"/>
              <w:rPr>
                <w:rFonts w:hint="eastAsia" w:ascii="宋体" w:hAnsi="宋体"/>
                <w:color w:val="auto"/>
                <w:sz w:val="24"/>
                <w:highlight w:val="none"/>
              </w:rPr>
            </w:pPr>
            <w:r>
              <w:rPr>
                <w:rFonts w:hint="eastAsia" w:ascii="宋体" w:hAnsi="宋体"/>
                <w:color w:val="auto"/>
                <w:sz w:val="24"/>
                <w:highlight w:val="none"/>
              </w:rPr>
              <w:t>见</w:t>
            </w:r>
          </w:p>
        </w:tc>
        <w:tc>
          <w:tcPr>
            <w:tcW w:w="8009" w:type="dxa"/>
            <w:noWrap w:val="0"/>
            <w:vAlign w:val="top"/>
          </w:tcPr>
          <w:p w14:paraId="02BA237A">
            <w:pPr>
              <w:rPr>
                <w:rFonts w:hint="eastAsia" w:ascii="宋体" w:hAnsi="宋体"/>
                <w:color w:val="auto"/>
                <w:sz w:val="24"/>
                <w:highlight w:val="none"/>
              </w:rPr>
            </w:pPr>
          </w:p>
          <w:p w14:paraId="356ECD1E">
            <w:pPr>
              <w:rPr>
                <w:rFonts w:hint="eastAsia" w:ascii="宋体" w:hAnsi="宋体"/>
                <w:color w:val="auto"/>
                <w:sz w:val="24"/>
                <w:highlight w:val="none"/>
              </w:rPr>
            </w:pPr>
            <w:r>
              <w:rPr>
                <w:rFonts w:hint="eastAsia" w:ascii="宋体" w:hAnsi="宋体"/>
                <w:color w:val="auto"/>
                <w:sz w:val="24"/>
                <w:highlight w:val="none"/>
              </w:rPr>
              <w:t>退付意见：是否同意退付履约保证金及退付金额：</w:t>
            </w:r>
          </w:p>
          <w:p w14:paraId="0DAB12F2">
            <w:pPr>
              <w:rPr>
                <w:rFonts w:hint="eastAsia" w:ascii="宋体" w:hAnsi="宋体"/>
                <w:color w:val="auto"/>
                <w:sz w:val="24"/>
                <w:highlight w:val="none"/>
              </w:rPr>
            </w:pPr>
          </w:p>
          <w:p w14:paraId="2FDF1576">
            <w:pPr>
              <w:rPr>
                <w:rFonts w:hint="eastAsia" w:ascii="宋体" w:hAnsi="宋体"/>
                <w:color w:val="auto"/>
                <w:sz w:val="24"/>
                <w:highlight w:val="none"/>
              </w:rPr>
            </w:pPr>
          </w:p>
          <w:p w14:paraId="257A209A">
            <w:pPr>
              <w:rPr>
                <w:rFonts w:hint="eastAsia" w:ascii="宋体" w:hAnsi="宋体"/>
                <w:color w:val="auto"/>
                <w:sz w:val="24"/>
                <w:highlight w:val="none"/>
              </w:rPr>
            </w:pPr>
            <w:r>
              <w:rPr>
                <w:rFonts w:hint="eastAsia" w:ascii="宋体" w:hAnsi="宋体"/>
                <w:color w:val="auto"/>
                <w:sz w:val="24"/>
                <w:highlight w:val="none"/>
              </w:rPr>
              <w:t xml:space="preserve">联系人及电话：                                </w:t>
            </w:r>
          </w:p>
          <w:p w14:paraId="5BD0B653">
            <w:pPr>
              <w:rPr>
                <w:rFonts w:hint="eastAsia" w:ascii="宋体" w:hAnsi="宋体"/>
                <w:color w:val="auto"/>
                <w:sz w:val="24"/>
                <w:highlight w:val="none"/>
              </w:rPr>
            </w:pPr>
          </w:p>
          <w:p w14:paraId="1FA1D77B">
            <w:pPr>
              <w:ind w:firstLine="4560" w:firstLineChars="1900"/>
              <w:rPr>
                <w:rFonts w:hint="eastAsia" w:ascii="宋体" w:hAnsi="宋体"/>
                <w:color w:val="auto"/>
                <w:sz w:val="24"/>
                <w:highlight w:val="none"/>
              </w:rPr>
            </w:pPr>
            <w:r>
              <w:rPr>
                <w:rFonts w:hint="eastAsia" w:ascii="宋体" w:hAnsi="宋体"/>
                <w:color w:val="auto"/>
                <w:sz w:val="24"/>
                <w:highlight w:val="none"/>
              </w:rPr>
              <w:t xml:space="preserve"> 采购单位签章：</w:t>
            </w:r>
          </w:p>
          <w:p w14:paraId="48C05CEC">
            <w:pPr>
              <w:jc w:val="center"/>
              <w:rPr>
                <w:rFonts w:hint="eastAsia" w:ascii="宋体" w:hAnsi="宋体"/>
                <w:color w:val="auto"/>
                <w:sz w:val="24"/>
                <w:highlight w:val="none"/>
              </w:rPr>
            </w:pPr>
            <w:r>
              <w:rPr>
                <w:rFonts w:hint="eastAsia" w:ascii="宋体" w:hAnsi="宋体"/>
                <w:color w:val="auto"/>
                <w:sz w:val="24"/>
                <w:highlight w:val="none"/>
              </w:rPr>
              <w:t xml:space="preserve">                                                年    月    日</w:t>
            </w:r>
          </w:p>
        </w:tc>
      </w:tr>
      <w:tr w14:paraId="5651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5F779998">
            <w:pPr>
              <w:jc w:val="center"/>
              <w:rPr>
                <w:rFonts w:hint="eastAsia" w:ascii="宋体" w:hAnsi="宋体"/>
                <w:color w:val="auto"/>
                <w:sz w:val="24"/>
                <w:highlight w:val="none"/>
              </w:rPr>
            </w:pPr>
            <w:r>
              <w:rPr>
                <w:rFonts w:hint="eastAsia" w:ascii="宋体" w:hAnsi="宋体"/>
                <w:color w:val="auto"/>
                <w:sz w:val="24"/>
                <w:highlight w:val="none"/>
              </w:rPr>
              <w:t>财</w:t>
            </w:r>
          </w:p>
          <w:p w14:paraId="340D8DF3">
            <w:pPr>
              <w:jc w:val="center"/>
              <w:rPr>
                <w:rFonts w:hint="eastAsia" w:ascii="宋体" w:hAnsi="宋体"/>
                <w:color w:val="auto"/>
                <w:sz w:val="24"/>
                <w:highlight w:val="none"/>
              </w:rPr>
            </w:pPr>
            <w:r>
              <w:rPr>
                <w:rFonts w:hint="eastAsia" w:ascii="宋体" w:hAnsi="宋体"/>
                <w:color w:val="auto"/>
                <w:sz w:val="24"/>
                <w:highlight w:val="none"/>
              </w:rPr>
              <w:t>务</w:t>
            </w:r>
          </w:p>
          <w:p w14:paraId="54219CB6">
            <w:pPr>
              <w:jc w:val="center"/>
              <w:rPr>
                <w:rFonts w:hint="eastAsia" w:ascii="宋体" w:hAnsi="宋体"/>
                <w:color w:val="auto"/>
                <w:sz w:val="24"/>
                <w:highlight w:val="none"/>
              </w:rPr>
            </w:pPr>
            <w:r>
              <w:rPr>
                <w:rFonts w:hint="eastAsia" w:ascii="宋体" w:hAnsi="宋体"/>
                <w:color w:val="auto"/>
                <w:sz w:val="24"/>
                <w:highlight w:val="none"/>
              </w:rPr>
              <w:t>部</w:t>
            </w:r>
          </w:p>
          <w:p w14:paraId="3991CE2B">
            <w:pPr>
              <w:jc w:val="center"/>
              <w:rPr>
                <w:rFonts w:hint="eastAsia" w:ascii="宋体" w:hAnsi="宋体"/>
                <w:color w:val="auto"/>
                <w:sz w:val="24"/>
                <w:highlight w:val="none"/>
              </w:rPr>
            </w:pPr>
            <w:r>
              <w:rPr>
                <w:rFonts w:hint="eastAsia" w:ascii="宋体" w:hAnsi="宋体"/>
                <w:color w:val="auto"/>
                <w:sz w:val="24"/>
                <w:highlight w:val="none"/>
              </w:rPr>
              <w:t>门</w:t>
            </w:r>
          </w:p>
          <w:p w14:paraId="49C17827">
            <w:pPr>
              <w:jc w:val="center"/>
              <w:rPr>
                <w:rFonts w:hint="eastAsia" w:ascii="宋体" w:hAnsi="宋体"/>
                <w:color w:val="auto"/>
                <w:sz w:val="24"/>
                <w:highlight w:val="none"/>
              </w:rPr>
            </w:pPr>
            <w:r>
              <w:rPr>
                <w:rFonts w:hint="eastAsia" w:ascii="宋体" w:hAnsi="宋体"/>
                <w:color w:val="auto"/>
                <w:sz w:val="24"/>
                <w:highlight w:val="none"/>
              </w:rPr>
              <w:t>意</w:t>
            </w:r>
          </w:p>
          <w:p w14:paraId="156BD1C2">
            <w:pPr>
              <w:jc w:val="center"/>
              <w:rPr>
                <w:rFonts w:hint="eastAsia" w:ascii="宋体" w:hAnsi="宋体"/>
                <w:color w:val="auto"/>
                <w:sz w:val="24"/>
                <w:highlight w:val="none"/>
              </w:rPr>
            </w:pPr>
            <w:r>
              <w:rPr>
                <w:rFonts w:hint="eastAsia" w:ascii="宋体" w:hAnsi="宋体"/>
                <w:color w:val="auto"/>
                <w:sz w:val="24"/>
                <w:highlight w:val="none"/>
              </w:rPr>
              <w:t>见</w:t>
            </w:r>
          </w:p>
        </w:tc>
        <w:tc>
          <w:tcPr>
            <w:tcW w:w="8009" w:type="dxa"/>
            <w:noWrap w:val="0"/>
            <w:vAlign w:val="top"/>
          </w:tcPr>
          <w:p w14:paraId="54758E92">
            <w:pPr>
              <w:rPr>
                <w:rFonts w:hint="eastAsia" w:ascii="宋体" w:hAnsi="宋体"/>
                <w:color w:val="auto"/>
                <w:sz w:val="24"/>
                <w:highlight w:val="none"/>
              </w:rPr>
            </w:pPr>
            <w:r>
              <w:rPr>
                <w:rFonts w:hint="eastAsia" w:ascii="宋体" w:hAnsi="宋体"/>
                <w:color w:val="auto"/>
                <w:sz w:val="24"/>
                <w:highlight w:val="none"/>
              </w:rPr>
              <w:t>此表于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日收到。</w:t>
            </w:r>
          </w:p>
          <w:p w14:paraId="17BF28FB">
            <w:pPr>
              <w:rPr>
                <w:rFonts w:hint="eastAsia" w:ascii="宋体" w:hAnsi="宋体"/>
                <w:color w:val="auto"/>
                <w:sz w:val="24"/>
                <w:highlight w:val="none"/>
              </w:rPr>
            </w:pPr>
          </w:p>
          <w:p w14:paraId="52A651A3">
            <w:pPr>
              <w:rPr>
                <w:rFonts w:hint="eastAsia" w:ascii="宋体" w:hAnsi="宋体"/>
                <w:color w:val="auto"/>
                <w:sz w:val="24"/>
                <w:highlight w:val="none"/>
              </w:rPr>
            </w:pPr>
            <w:r>
              <w:rPr>
                <w:rFonts w:hint="eastAsia" w:ascii="宋体" w:hAnsi="宋体"/>
                <w:color w:val="auto"/>
                <w:sz w:val="24"/>
                <w:highlight w:val="none"/>
              </w:rPr>
              <w:t>会计审核：</w:t>
            </w:r>
          </w:p>
          <w:p w14:paraId="23EAF443">
            <w:pPr>
              <w:rPr>
                <w:rFonts w:hint="eastAsia" w:ascii="宋体" w:hAnsi="宋体"/>
                <w:color w:val="auto"/>
                <w:sz w:val="24"/>
                <w:highlight w:val="none"/>
              </w:rPr>
            </w:pPr>
          </w:p>
          <w:p w14:paraId="079E30EA">
            <w:pPr>
              <w:rPr>
                <w:rFonts w:hint="eastAsia" w:ascii="宋体" w:hAnsi="宋体"/>
                <w:color w:val="auto"/>
                <w:sz w:val="24"/>
                <w:highlight w:val="none"/>
              </w:rPr>
            </w:pPr>
            <w:r>
              <w:rPr>
                <w:rFonts w:hint="eastAsia" w:ascii="宋体" w:hAnsi="宋体"/>
                <w:color w:val="auto"/>
                <w:sz w:val="24"/>
                <w:highlight w:val="none"/>
              </w:rPr>
              <w:t>财务负责人审核：</w:t>
            </w:r>
          </w:p>
          <w:p w14:paraId="6BA26ABB">
            <w:pPr>
              <w:rPr>
                <w:rFonts w:hint="eastAsia" w:ascii="宋体" w:hAnsi="宋体"/>
                <w:color w:val="auto"/>
                <w:sz w:val="24"/>
                <w:highlight w:val="none"/>
              </w:rPr>
            </w:pPr>
          </w:p>
          <w:p w14:paraId="37914744">
            <w:pPr>
              <w:rPr>
                <w:rFonts w:hint="eastAsia" w:ascii="宋体" w:hAnsi="宋体"/>
                <w:color w:val="auto"/>
                <w:sz w:val="24"/>
                <w:highlight w:val="none"/>
              </w:rPr>
            </w:pPr>
            <w:r>
              <w:rPr>
                <w:rFonts w:hint="eastAsia" w:ascii="宋体" w:hAnsi="宋体"/>
                <w:color w:val="auto"/>
                <w:sz w:val="24"/>
                <w:highlight w:val="none"/>
              </w:rPr>
              <w:t>单位负责人签字：</w:t>
            </w:r>
          </w:p>
          <w:p w14:paraId="043AA243">
            <w:pPr>
              <w:rPr>
                <w:rFonts w:hint="eastAsia" w:ascii="宋体" w:hAnsi="宋体"/>
                <w:color w:val="auto"/>
                <w:sz w:val="24"/>
                <w:highlight w:val="none"/>
              </w:rPr>
            </w:pPr>
          </w:p>
          <w:p w14:paraId="2784A12E">
            <w:pPr>
              <w:rPr>
                <w:rFonts w:hint="eastAsia" w:ascii="宋体" w:hAnsi="宋体"/>
                <w:color w:val="auto"/>
                <w:sz w:val="24"/>
                <w:highlight w:val="none"/>
              </w:rPr>
            </w:pPr>
            <w:r>
              <w:rPr>
                <w:rFonts w:hint="eastAsia" w:ascii="宋体" w:hAnsi="宋体"/>
                <w:color w:val="auto"/>
                <w:sz w:val="24"/>
                <w:highlight w:val="none"/>
              </w:rPr>
              <w:t>出纳办理转账日期：</w:t>
            </w:r>
          </w:p>
        </w:tc>
      </w:tr>
    </w:tbl>
    <w:p w14:paraId="6280C662">
      <w:pPr>
        <w:pStyle w:val="10"/>
        <w:ind w:left="1" w:firstLine="2" w:firstLineChars="1"/>
        <w:rPr>
          <w:rFonts w:hint="eastAsia" w:ascii="宋体" w:hAnsi="宋体"/>
          <w:b/>
          <w:bCs/>
          <w:color w:val="auto"/>
          <w:sz w:val="18"/>
          <w:szCs w:val="18"/>
          <w:highlight w:val="none"/>
        </w:rPr>
      </w:pPr>
      <w:r>
        <w:rPr>
          <w:rFonts w:hint="eastAsia" w:ascii="宋体" w:hAnsi="宋体"/>
          <w:b/>
          <w:bCs/>
          <w:color w:val="auto"/>
          <w:sz w:val="18"/>
          <w:szCs w:val="18"/>
          <w:highlight w:val="none"/>
        </w:rPr>
        <w:t>注：供应商凭经采购单位审批的退付意见书到履约保证金收取单位财务部门办理履约保证金退付事宜。</w:t>
      </w:r>
    </w:p>
    <w:p w14:paraId="694DB986">
      <w:pPr>
        <w:pStyle w:val="13"/>
        <w:snapToGrid w:val="0"/>
        <w:spacing w:before="120" w:after="120"/>
        <w:rPr>
          <w:rFonts w:hint="eastAsia" w:hAnsi="宋体"/>
          <w:color w:val="auto"/>
          <w:highlight w:val="none"/>
        </w:rPr>
      </w:pPr>
    </w:p>
    <w:p w14:paraId="48E47E16">
      <w:pPr>
        <w:widowControl/>
        <w:rPr>
          <w:rFonts w:hint="eastAsia" w:ascii="宋体" w:hAnsi="宋体" w:cs="宋体"/>
          <w:bCs/>
          <w:color w:val="auto"/>
          <w:sz w:val="28"/>
          <w:szCs w:val="28"/>
          <w:highlight w:val="none"/>
          <w:u w:val="single"/>
        </w:rPr>
      </w:pPr>
    </w:p>
    <w:p w14:paraId="1A949280">
      <w:pPr>
        <w:widowControl/>
        <w:rPr>
          <w:rFonts w:hint="eastAsia" w:ascii="宋体" w:hAnsi="宋体" w:cs="宋体"/>
          <w:bCs/>
          <w:color w:val="auto"/>
          <w:sz w:val="28"/>
          <w:szCs w:val="28"/>
          <w:highlight w:val="none"/>
          <w:u w:val="single"/>
        </w:rPr>
      </w:pPr>
    </w:p>
    <w:p w14:paraId="14E2DD8D">
      <w:pPr>
        <w:pStyle w:val="26"/>
        <w:keepNext w:val="0"/>
        <w:keepLines w:val="0"/>
        <w:pageBreakBefore w:val="0"/>
        <w:widowControl w:val="0"/>
        <w:kinsoku/>
        <w:wordWrap/>
        <w:overflowPunct/>
        <w:topLinePunct w:val="0"/>
        <w:autoSpaceDE/>
        <w:autoSpaceDN/>
        <w:bidi w:val="0"/>
        <w:adjustRightInd/>
        <w:snapToGrid/>
        <w:spacing w:line="440" w:lineRule="exact"/>
        <w:ind w:left="0" w:leftChars="0" w:firstLine="3213" w:firstLineChars="1000"/>
        <w:jc w:val="both"/>
        <w:textAlignment w:val="auto"/>
        <w:outlineLvl w:val="0"/>
        <w:rPr>
          <w:color w:val="auto"/>
          <w:highlight w:val="none"/>
        </w:rPr>
      </w:pPr>
      <w:r>
        <w:rPr>
          <w:rFonts w:hint="eastAsia"/>
          <w:color w:val="auto"/>
          <w:highlight w:val="none"/>
          <w:lang w:val="en-US" w:eastAsia="zh-CN"/>
        </w:rPr>
        <w:t>第三章 采购需求</w:t>
      </w:r>
      <w:bookmarkEnd w:id="46"/>
    </w:p>
    <w:p w14:paraId="15910188">
      <w:pPr>
        <w:pStyle w:val="26"/>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color w:val="auto"/>
          <w:highlight w:val="none"/>
          <w:lang w:val="en-US" w:eastAsia="zh-CN"/>
        </w:rPr>
      </w:pPr>
      <w:r>
        <w:rPr>
          <w:rFonts w:hint="eastAsia"/>
          <w:color w:val="auto"/>
          <w:highlight w:val="none"/>
          <w:lang w:val="en-US" w:eastAsia="zh-CN"/>
        </w:rPr>
        <w:t>采购项目技术规格、参数及要求</w:t>
      </w:r>
    </w:p>
    <w:p w14:paraId="5E4CB31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auto"/>
          <w:highlight w:val="none"/>
        </w:rPr>
      </w:pPr>
      <w:r>
        <w:rPr>
          <w:rFonts w:hint="eastAsia"/>
          <w:color w:val="auto"/>
          <w:highlight w:val="none"/>
        </w:rPr>
        <w:t>说明：</w:t>
      </w:r>
    </w:p>
    <w:p w14:paraId="222AE89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为落实政府采购政策需满足的要求</w:t>
      </w:r>
      <w:r>
        <w:rPr>
          <w:rFonts w:hint="eastAsia" w:ascii="宋体" w:hAnsi="宋体" w:cs="宋体"/>
          <w:color w:val="auto"/>
          <w:highlight w:val="none"/>
          <w:lang w:val="en-US" w:eastAsia="zh-CN"/>
        </w:rPr>
        <w:t>:</w:t>
      </w:r>
    </w:p>
    <w:p w14:paraId="430534B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本采购文件所称中小企业必须符合《政府采购促进中小企业发展管理办法》（财库〔2020〕46 号）的规定。</w:t>
      </w:r>
    </w:p>
    <w:p w14:paraId="1F06A3A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供应商的竞标货物必须使用政府强制采购的节能产品，供应商必须在响应文件中提供所竞标产品的节能产品认证证书复印件（加盖供应商电子签章），否则按无效响应处理。</w:t>
      </w:r>
    </w:p>
    <w:p w14:paraId="6C8616B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default" w:ascii="宋体" w:hAnsi="宋体" w:eastAsia="宋体" w:cs="宋体"/>
          <w:color w:val="auto"/>
          <w:highlight w:val="none"/>
          <w:lang w:val="en-US" w:eastAsia="zh-CN"/>
        </w:rPr>
        <w:t>3</w:t>
      </w:r>
      <w:r>
        <w:rPr>
          <w:rFonts w:hint="eastAsia" w:ascii="宋体" w:hAnsi="宋体" w:eastAsia="宋体" w:cs="宋体"/>
          <w:color w:val="auto"/>
          <w:highlight w:val="none"/>
          <w:lang w:val="en-US" w:eastAsia="zh-CN"/>
        </w:rPr>
        <w:t xml:space="preserve">）本国产品标准的货物具体是指《政府采购品目分类目录》中的货物类产品，但不包括其中的房 </w:t>
      </w:r>
    </w:p>
    <w:p w14:paraId="35D09F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eastAsia="宋体"/>
          <w:color w:val="auto"/>
          <w:highlight w:val="none"/>
          <w:lang w:eastAsia="zh-CN"/>
        </w:rPr>
      </w:pPr>
      <w:r>
        <w:rPr>
          <w:rFonts w:hint="eastAsia" w:ascii="宋体" w:hAnsi="宋体" w:eastAsia="宋体" w:cs="宋体"/>
          <w:color w:val="auto"/>
          <w:highlight w:val="none"/>
          <w:lang w:val="en-US" w:eastAsia="zh-CN"/>
        </w:rPr>
        <w:t>屋和构筑物</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文物和陈列品，图书和档案，特种动植物，农林牧渔业产品，矿与矿物，电力、城市燃气、蒸汽和热水、水，食品、饮料和烟草原料，无形资产。</w:t>
      </w:r>
    </w:p>
    <w:p w14:paraId="6621045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“实质性要求”是指采购文件中已经指明不满足则竞标无效的条款，或者不能负偏离的条款，或者采购需求中带“▲”的条款。</w:t>
      </w:r>
    </w:p>
    <w:p w14:paraId="7D38A76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采购需求中出现的品牌、型号或者生产厂家仅起参考作用，不属于指定品牌、型号或者生产厂家的情形。供应商可参照或者选用其他相当的品牌、型号或者生产厂家替代，但选用的竞标产品参数性能必须满足实质性要求。</w:t>
      </w:r>
    </w:p>
    <w:p w14:paraId="10849EB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供应商必须自行为其竞标产品侵犯他人的知识产权或者专利成果的行为承担相应法律责任。</w:t>
      </w:r>
    </w:p>
    <w:p w14:paraId="12DE0B00">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74630CA8">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6982A428">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027EF76A">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55A0BCF4">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067A30F0">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15642B8B">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1C0289D2">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966"/>
        <w:gridCol w:w="939"/>
        <w:gridCol w:w="671"/>
        <w:gridCol w:w="773"/>
        <w:gridCol w:w="5912"/>
      </w:tblGrid>
      <w:tr w14:paraId="5AB1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vAlign w:val="center"/>
          </w:tcPr>
          <w:p w14:paraId="620C1BA8">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序号</w:t>
            </w:r>
          </w:p>
        </w:tc>
        <w:tc>
          <w:tcPr>
            <w:tcW w:w="966" w:type="dxa"/>
            <w:vAlign w:val="center"/>
          </w:tcPr>
          <w:p w14:paraId="1838013C">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标的名称</w:t>
            </w:r>
          </w:p>
        </w:tc>
        <w:tc>
          <w:tcPr>
            <w:tcW w:w="939" w:type="dxa"/>
            <w:vAlign w:val="center"/>
          </w:tcPr>
          <w:p w14:paraId="44D27B0C">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标的所属行业</w:t>
            </w:r>
          </w:p>
        </w:tc>
        <w:tc>
          <w:tcPr>
            <w:tcW w:w="671" w:type="dxa"/>
            <w:vAlign w:val="center"/>
          </w:tcPr>
          <w:p w14:paraId="613C3ED7">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数量</w:t>
            </w:r>
          </w:p>
        </w:tc>
        <w:tc>
          <w:tcPr>
            <w:tcW w:w="773" w:type="dxa"/>
            <w:vAlign w:val="center"/>
          </w:tcPr>
          <w:p w14:paraId="2070E822">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单位</w:t>
            </w:r>
          </w:p>
        </w:tc>
        <w:tc>
          <w:tcPr>
            <w:tcW w:w="5912" w:type="dxa"/>
            <w:vAlign w:val="center"/>
          </w:tcPr>
          <w:p w14:paraId="6E2AFA45">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b w:val="0"/>
                <w:bCs w:val="0"/>
                <w:color w:val="auto"/>
                <w:spacing w:val="2"/>
                <w:sz w:val="21"/>
                <w:szCs w:val="21"/>
                <w:highlight w:val="none"/>
              </w:rPr>
              <w:t>技术要求</w:t>
            </w:r>
          </w:p>
        </w:tc>
      </w:tr>
      <w:tr w14:paraId="0E2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vAlign w:val="center"/>
          </w:tcPr>
          <w:p w14:paraId="5A7F4A7D">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1</w:t>
            </w:r>
          </w:p>
        </w:tc>
        <w:tc>
          <w:tcPr>
            <w:tcW w:w="966" w:type="dxa"/>
            <w:vAlign w:val="center"/>
          </w:tcPr>
          <w:p w14:paraId="42CA9D46">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脊柱微</w:t>
            </w:r>
          </w:p>
          <w:p w14:paraId="27E4B980">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创手术</w:t>
            </w:r>
          </w:p>
          <w:p w14:paraId="7D6B95F2">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系统</w:t>
            </w:r>
          </w:p>
        </w:tc>
        <w:tc>
          <w:tcPr>
            <w:tcW w:w="939" w:type="dxa"/>
            <w:vAlign w:val="center"/>
          </w:tcPr>
          <w:p w14:paraId="0FA5C681">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工业</w:t>
            </w:r>
          </w:p>
        </w:tc>
        <w:tc>
          <w:tcPr>
            <w:tcW w:w="671" w:type="dxa"/>
            <w:vAlign w:val="center"/>
          </w:tcPr>
          <w:p w14:paraId="4C3BA5F4">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default" w:ascii="宋体" w:hAnsi="宋体" w:cs="宋体"/>
                <w:b w:val="0"/>
                <w:bCs w:val="0"/>
                <w:i w:val="0"/>
                <w:iCs w:val="0"/>
                <w:color w:val="auto"/>
                <w:kern w:val="0"/>
                <w:sz w:val="21"/>
                <w:szCs w:val="21"/>
                <w:highlight w:val="none"/>
                <w:u w:val="none"/>
                <w:vertAlign w:val="baseline"/>
                <w:lang w:val="en-US" w:eastAsia="zh-CN" w:bidi="ar"/>
              </w:rPr>
            </w:pPr>
            <w:r>
              <w:rPr>
                <w:rFonts w:hint="eastAsia" w:ascii="宋体" w:hAnsi="宋体" w:cs="宋体"/>
                <w:b w:val="0"/>
                <w:bCs w:val="0"/>
                <w:i w:val="0"/>
                <w:iCs w:val="0"/>
                <w:color w:val="auto"/>
                <w:kern w:val="0"/>
                <w:sz w:val="21"/>
                <w:szCs w:val="21"/>
                <w:highlight w:val="none"/>
                <w:u w:val="none"/>
                <w:vertAlign w:val="baseline"/>
                <w:lang w:val="en-US" w:eastAsia="zh-CN" w:bidi="ar"/>
              </w:rPr>
              <w:t>1</w:t>
            </w:r>
          </w:p>
        </w:tc>
        <w:tc>
          <w:tcPr>
            <w:tcW w:w="773" w:type="dxa"/>
            <w:vAlign w:val="center"/>
          </w:tcPr>
          <w:p w14:paraId="4C20EDBD">
            <w:pPr>
              <w:keepNext w:val="0"/>
              <w:keepLines w:val="0"/>
              <w:pageBreakBefore w:val="0"/>
              <w:widowControl/>
              <w:suppressLineNumbers w:val="0"/>
              <w:kinsoku/>
              <w:wordWrap/>
              <w:overflowPunct/>
              <w:topLinePunct w:val="0"/>
              <w:autoSpaceDE/>
              <w:autoSpaceDN/>
              <w:bidi w:val="0"/>
              <w:adjustRightInd w:val="0"/>
              <w:snapToGrid/>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z w:val="21"/>
                <w:szCs w:val="21"/>
                <w:highlight w:val="none"/>
              </w:rPr>
              <w:t>台</w:t>
            </w:r>
          </w:p>
        </w:tc>
        <w:tc>
          <w:tcPr>
            <w:tcW w:w="5912" w:type="dxa"/>
          </w:tcPr>
          <w:p w14:paraId="0A011554">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72" w:firstLineChars="200"/>
              <w:jc w:val="both"/>
              <w:textAlignment w:val="auto"/>
              <w:rPr>
                <w:color w:val="auto"/>
                <w:sz w:val="21"/>
                <w:szCs w:val="21"/>
                <w:highlight w:val="none"/>
              </w:rPr>
            </w:pPr>
            <w:r>
              <w:rPr>
                <w:color w:val="auto"/>
                <w:spacing w:val="-12"/>
                <w:sz w:val="21"/>
                <w:szCs w:val="21"/>
                <w:highlight w:val="none"/>
              </w:rPr>
              <w:t>1.椎间孔镜1支：椎间孔镜及手术器械必须为同一品牌；</w:t>
            </w:r>
          </w:p>
          <w:p w14:paraId="545A4FF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4" w:firstLineChars="200"/>
              <w:textAlignment w:val="auto"/>
              <w:rPr>
                <w:rFonts w:hint="eastAsia" w:eastAsia="宋体"/>
                <w:color w:val="auto"/>
                <w:sz w:val="21"/>
                <w:szCs w:val="21"/>
                <w:highlight w:val="none"/>
                <w:lang w:eastAsia="zh-CN"/>
              </w:rPr>
            </w:pPr>
            <w:r>
              <w:rPr>
                <w:color w:val="auto"/>
                <w:spacing w:val="1"/>
                <w:sz w:val="21"/>
                <w:szCs w:val="21"/>
                <w:highlight w:val="none"/>
              </w:rPr>
              <w:t>1.1工作长度≥180</w:t>
            </w:r>
            <w:r>
              <w:rPr>
                <w:color w:val="auto"/>
                <w:sz w:val="21"/>
                <w:szCs w:val="21"/>
                <w:highlight w:val="none"/>
              </w:rPr>
              <w:t>mm</w:t>
            </w:r>
            <w:r>
              <w:rPr>
                <w:rFonts w:hint="eastAsia"/>
                <w:color w:val="auto"/>
                <w:spacing w:val="1"/>
                <w:sz w:val="21"/>
                <w:szCs w:val="21"/>
                <w:highlight w:val="none"/>
                <w:lang w:eastAsia="zh-CN"/>
              </w:rPr>
              <w:t>；</w:t>
            </w:r>
            <w:r>
              <w:rPr>
                <w:color w:val="auto"/>
                <w:spacing w:val="1"/>
                <w:sz w:val="21"/>
                <w:szCs w:val="21"/>
                <w:highlight w:val="none"/>
              </w:rPr>
              <w:t>外径≥6.9</w:t>
            </w:r>
            <w:r>
              <w:rPr>
                <w:color w:val="auto"/>
                <w:sz w:val="21"/>
                <w:szCs w:val="21"/>
                <w:highlight w:val="none"/>
              </w:rPr>
              <w:t>mm</w:t>
            </w:r>
            <w:r>
              <w:rPr>
                <w:rFonts w:hint="eastAsia"/>
                <w:color w:val="auto"/>
                <w:spacing w:val="1"/>
                <w:sz w:val="21"/>
                <w:szCs w:val="21"/>
                <w:highlight w:val="none"/>
                <w:lang w:eastAsia="zh-CN"/>
              </w:rPr>
              <w:t>；</w:t>
            </w:r>
            <w:r>
              <w:rPr>
                <w:color w:val="auto"/>
                <w:spacing w:val="1"/>
                <w:sz w:val="21"/>
                <w:szCs w:val="21"/>
                <w:highlight w:val="none"/>
              </w:rPr>
              <w:t>工作通道直径≥</w:t>
            </w:r>
            <w:r>
              <w:rPr>
                <w:color w:val="auto"/>
                <w:spacing w:val="4"/>
                <w:sz w:val="21"/>
                <w:szCs w:val="21"/>
                <w:highlight w:val="none"/>
              </w:rPr>
              <w:t>4.3</w:t>
            </w:r>
            <w:r>
              <w:rPr>
                <w:color w:val="auto"/>
                <w:sz w:val="21"/>
                <w:szCs w:val="21"/>
                <w:highlight w:val="none"/>
              </w:rPr>
              <w:t>mm</w:t>
            </w:r>
            <w:r>
              <w:rPr>
                <w:rFonts w:hint="eastAsia"/>
                <w:color w:val="auto"/>
                <w:spacing w:val="4"/>
                <w:sz w:val="21"/>
                <w:szCs w:val="21"/>
                <w:highlight w:val="none"/>
                <w:lang w:eastAsia="zh-CN"/>
              </w:rPr>
              <w:t>；</w:t>
            </w:r>
            <w:r>
              <w:rPr>
                <w:color w:val="auto"/>
                <w:spacing w:val="4"/>
                <w:sz w:val="21"/>
                <w:szCs w:val="21"/>
                <w:highlight w:val="none"/>
              </w:rPr>
              <w:t>视场角≥80°</w:t>
            </w:r>
            <w:r>
              <w:rPr>
                <w:rFonts w:hint="eastAsia"/>
                <w:color w:val="auto"/>
                <w:spacing w:val="4"/>
                <w:sz w:val="21"/>
                <w:szCs w:val="21"/>
                <w:highlight w:val="none"/>
                <w:lang w:eastAsia="zh-CN"/>
              </w:rPr>
              <w:t>；</w:t>
            </w:r>
          </w:p>
          <w:p w14:paraId="00D6C0F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72" w:firstLineChars="200"/>
              <w:jc w:val="both"/>
              <w:textAlignment w:val="auto"/>
              <w:rPr>
                <w:color w:val="auto"/>
                <w:sz w:val="21"/>
                <w:szCs w:val="21"/>
                <w:highlight w:val="none"/>
              </w:rPr>
            </w:pPr>
            <w:r>
              <w:rPr>
                <w:color w:val="auto"/>
                <w:spacing w:val="-12"/>
                <w:sz w:val="21"/>
                <w:szCs w:val="21"/>
                <w:highlight w:val="none"/>
              </w:rPr>
              <w:t>1.2灭菌方式可采用压力蒸汽灭菌；配备两</w:t>
            </w:r>
            <w:r>
              <w:rPr>
                <w:color w:val="auto"/>
                <w:spacing w:val="-13"/>
                <w:sz w:val="21"/>
                <w:szCs w:val="21"/>
                <w:highlight w:val="none"/>
              </w:rPr>
              <w:t>个冲洗通道。</w:t>
            </w:r>
          </w:p>
          <w:p w14:paraId="01CF70E5">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2.椎间孔镜手术器械1套：</w:t>
            </w:r>
          </w:p>
          <w:p w14:paraId="735ABDC4">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44" w:firstLineChars="200"/>
              <w:textAlignment w:val="auto"/>
              <w:rPr>
                <w:color w:val="auto"/>
                <w:sz w:val="21"/>
                <w:szCs w:val="21"/>
                <w:highlight w:val="none"/>
              </w:rPr>
            </w:pPr>
            <w:r>
              <w:rPr>
                <w:color w:val="auto"/>
                <w:spacing w:val="6"/>
                <w:sz w:val="21"/>
                <w:szCs w:val="21"/>
                <w:highlight w:val="none"/>
              </w:rPr>
              <w:t>2.1椎间孔镜及手术器械必须为同一品牌；</w:t>
            </w:r>
          </w:p>
          <w:p w14:paraId="3347295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2.2小髓核钳2支：工作长度≥330mm,直径≤2.5mm,配</w:t>
            </w:r>
            <w:r>
              <w:rPr>
                <w:color w:val="auto"/>
                <w:spacing w:val="15"/>
                <w:sz w:val="21"/>
                <w:szCs w:val="21"/>
                <w:highlight w:val="none"/>
              </w:rPr>
              <w:t>备过载保护装置；</w:t>
            </w:r>
          </w:p>
          <w:p w14:paraId="2A663092">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color w:val="auto"/>
                <w:sz w:val="21"/>
                <w:szCs w:val="21"/>
                <w:highlight w:val="none"/>
              </w:rPr>
            </w:pPr>
            <w:r>
              <w:rPr>
                <w:color w:val="auto"/>
                <w:spacing w:val="2"/>
                <w:sz w:val="21"/>
                <w:szCs w:val="21"/>
                <w:highlight w:val="none"/>
              </w:rPr>
              <w:t>2.3</w:t>
            </w:r>
            <w:r>
              <w:rPr>
                <w:rFonts w:hint="eastAsia"/>
                <w:color w:val="auto"/>
                <w:spacing w:val="2"/>
                <w:sz w:val="21"/>
                <w:szCs w:val="21"/>
                <w:highlight w:val="none"/>
                <w:lang w:val="en-US" w:eastAsia="zh-CN"/>
              </w:rPr>
              <w:t xml:space="preserve"> </w:t>
            </w:r>
            <w:r>
              <w:rPr>
                <w:color w:val="auto"/>
                <w:spacing w:val="2"/>
                <w:sz w:val="21"/>
                <w:szCs w:val="21"/>
                <w:highlight w:val="none"/>
              </w:rPr>
              <w:t>45°髓核钳2支：工作长度≥330</w:t>
            </w:r>
            <w:r>
              <w:rPr>
                <w:color w:val="auto"/>
                <w:sz w:val="21"/>
                <w:szCs w:val="21"/>
                <w:highlight w:val="none"/>
              </w:rPr>
              <w:t>mm</w:t>
            </w:r>
            <w:r>
              <w:rPr>
                <w:color w:val="auto"/>
                <w:spacing w:val="2"/>
                <w:sz w:val="21"/>
                <w:szCs w:val="21"/>
                <w:highlight w:val="none"/>
              </w:rPr>
              <w:t>,直径≤2.5</w:t>
            </w:r>
            <w:r>
              <w:rPr>
                <w:color w:val="auto"/>
                <w:sz w:val="21"/>
                <w:szCs w:val="21"/>
                <w:highlight w:val="none"/>
              </w:rPr>
              <w:t>mm</w:t>
            </w:r>
            <w:r>
              <w:rPr>
                <w:color w:val="auto"/>
                <w:spacing w:val="2"/>
                <w:sz w:val="21"/>
                <w:szCs w:val="21"/>
                <w:highlight w:val="none"/>
              </w:rPr>
              <w:t>,</w:t>
            </w:r>
            <w:r>
              <w:rPr>
                <w:color w:val="auto"/>
                <w:spacing w:val="7"/>
                <w:sz w:val="21"/>
                <w:szCs w:val="21"/>
                <w:highlight w:val="none"/>
              </w:rPr>
              <w:t xml:space="preserve"> </w:t>
            </w:r>
            <w:r>
              <w:rPr>
                <w:color w:val="auto"/>
                <w:spacing w:val="12"/>
                <w:sz w:val="21"/>
                <w:szCs w:val="21"/>
                <w:highlight w:val="none"/>
              </w:rPr>
              <w:t>配备过载保护装置；</w:t>
            </w:r>
          </w:p>
          <w:p w14:paraId="071FA3B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2.4大髓核钳2支：工作长度≥330mm,直径≤3.5mm,配</w:t>
            </w:r>
            <w:r>
              <w:rPr>
                <w:color w:val="auto"/>
                <w:spacing w:val="15"/>
                <w:sz w:val="21"/>
                <w:szCs w:val="21"/>
                <w:highlight w:val="none"/>
              </w:rPr>
              <w:t>备过载保护装置；</w:t>
            </w:r>
          </w:p>
          <w:p w14:paraId="23A71334">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2.5小咬切钳1支：工作长度≥330mm,直径≤2.5mm,配</w:t>
            </w:r>
            <w:r>
              <w:rPr>
                <w:color w:val="auto"/>
                <w:spacing w:val="15"/>
                <w:sz w:val="21"/>
                <w:szCs w:val="21"/>
                <w:highlight w:val="none"/>
              </w:rPr>
              <w:t>备过载保护装置；</w:t>
            </w:r>
          </w:p>
          <w:p w14:paraId="76EA0EA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color w:val="auto"/>
                <w:sz w:val="21"/>
                <w:szCs w:val="21"/>
                <w:highlight w:val="none"/>
              </w:rPr>
            </w:pPr>
            <w:r>
              <w:rPr>
                <w:color w:val="auto"/>
                <w:spacing w:val="2"/>
                <w:sz w:val="21"/>
                <w:szCs w:val="21"/>
                <w:highlight w:val="none"/>
              </w:rPr>
              <w:t>2.6弯曲小抓钳1支：工作长度≥330</w:t>
            </w:r>
            <w:r>
              <w:rPr>
                <w:color w:val="auto"/>
                <w:sz w:val="21"/>
                <w:szCs w:val="21"/>
                <w:highlight w:val="none"/>
              </w:rPr>
              <w:t>mm</w:t>
            </w:r>
            <w:r>
              <w:rPr>
                <w:color w:val="auto"/>
                <w:spacing w:val="2"/>
                <w:sz w:val="21"/>
                <w:szCs w:val="21"/>
                <w:highlight w:val="none"/>
              </w:rPr>
              <w:t>,直径≥2.5</w:t>
            </w:r>
            <w:r>
              <w:rPr>
                <w:color w:val="auto"/>
                <w:sz w:val="21"/>
                <w:szCs w:val="21"/>
                <w:highlight w:val="none"/>
              </w:rPr>
              <w:t>mm</w:t>
            </w:r>
            <w:r>
              <w:rPr>
                <w:color w:val="auto"/>
                <w:spacing w:val="2"/>
                <w:sz w:val="21"/>
                <w:szCs w:val="21"/>
                <w:highlight w:val="none"/>
              </w:rPr>
              <w:t>,</w:t>
            </w:r>
            <w:r>
              <w:rPr>
                <w:color w:val="auto"/>
                <w:spacing w:val="18"/>
                <w:sz w:val="21"/>
                <w:szCs w:val="21"/>
                <w:highlight w:val="none"/>
              </w:rPr>
              <w:t xml:space="preserve"> </w:t>
            </w:r>
            <w:r>
              <w:rPr>
                <w:color w:val="auto"/>
                <w:spacing w:val="14"/>
                <w:sz w:val="21"/>
                <w:szCs w:val="21"/>
                <w:highlight w:val="none"/>
              </w:rPr>
              <w:t>头端配有软弹簧；</w:t>
            </w:r>
          </w:p>
          <w:p w14:paraId="074A7463">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4" w:firstLineChars="200"/>
              <w:textAlignment w:val="auto"/>
              <w:rPr>
                <w:color w:val="auto"/>
                <w:sz w:val="21"/>
                <w:szCs w:val="21"/>
                <w:highlight w:val="none"/>
              </w:rPr>
            </w:pPr>
            <w:r>
              <w:rPr>
                <w:color w:val="auto"/>
                <w:spacing w:val="1"/>
                <w:sz w:val="21"/>
                <w:szCs w:val="21"/>
                <w:highlight w:val="none"/>
              </w:rPr>
              <w:t>2.7咬骨钳2支：工作长度≥320</w:t>
            </w:r>
            <w:r>
              <w:rPr>
                <w:color w:val="auto"/>
                <w:sz w:val="21"/>
                <w:szCs w:val="21"/>
                <w:highlight w:val="none"/>
              </w:rPr>
              <w:t>mm</w:t>
            </w:r>
            <w:r>
              <w:rPr>
                <w:color w:val="auto"/>
                <w:spacing w:val="1"/>
                <w:sz w:val="21"/>
                <w:szCs w:val="21"/>
                <w:highlight w:val="none"/>
              </w:rPr>
              <w:t>,直径≥3.5</w:t>
            </w:r>
            <w:r>
              <w:rPr>
                <w:color w:val="auto"/>
                <w:sz w:val="21"/>
                <w:szCs w:val="21"/>
                <w:highlight w:val="none"/>
              </w:rPr>
              <w:t>mm</w:t>
            </w:r>
            <w:r>
              <w:rPr>
                <w:color w:val="auto"/>
                <w:spacing w:val="1"/>
                <w:sz w:val="21"/>
                <w:szCs w:val="21"/>
                <w:highlight w:val="none"/>
              </w:rPr>
              <w:t>,刃口</w:t>
            </w:r>
            <w:r>
              <w:rPr>
                <w:color w:val="auto"/>
                <w:spacing w:val="10"/>
                <w:sz w:val="21"/>
                <w:szCs w:val="21"/>
                <w:highlight w:val="none"/>
              </w:rPr>
              <w:t>角度≥40°,可咬骨；</w:t>
            </w:r>
          </w:p>
          <w:p w14:paraId="66FDF2B1">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2" w:firstLineChars="200"/>
              <w:textAlignment w:val="auto"/>
              <w:rPr>
                <w:color w:val="auto"/>
                <w:sz w:val="21"/>
                <w:szCs w:val="21"/>
                <w:highlight w:val="none"/>
              </w:rPr>
            </w:pPr>
            <w:r>
              <w:rPr>
                <w:color w:val="auto"/>
                <w:spacing w:val="-2"/>
                <w:sz w:val="21"/>
                <w:szCs w:val="21"/>
                <w:highlight w:val="none"/>
              </w:rPr>
              <w:t>2.8咬骨钳2支：工作长度≥320mm,直径≤3.5mm,刃口</w:t>
            </w:r>
            <w:r>
              <w:rPr>
                <w:color w:val="auto"/>
                <w:spacing w:val="-5"/>
                <w:sz w:val="21"/>
                <w:szCs w:val="21"/>
                <w:highlight w:val="none"/>
              </w:rPr>
              <w:t>角度≥40°,刃口工作直径≤1.5mm,双轨道设计，可咬骨；</w:t>
            </w:r>
          </w:p>
          <w:p w14:paraId="0903455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44" w:firstLineChars="200"/>
              <w:textAlignment w:val="auto"/>
              <w:rPr>
                <w:color w:val="auto"/>
                <w:sz w:val="21"/>
                <w:szCs w:val="21"/>
                <w:highlight w:val="none"/>
              </w:rPr>
            </w:pPr>
            <w:r>
              <w:rPr>
                <w:color w:val="auto"/>
                <w:spacing w:val="6"/>
                <w:sz w:val="21"/>
                <w:szCs w:val="21"/>
                <w:highlight w:val="none"/>
              </w:rPr>
              <w:t>2.9咬骨钳手柄2个：配合咬骨钳使用；</w:t>
            </w:r>
          </w:p>
          <w:p w14:paraId="578FBC4F">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2" w:firstLineChars="200"/>
              <w:textAlignment w:val="auto"/>
              <w:rPr>
                <w:color w:val="auto"/>
                <w:sz w:val="21"/>
                <w:szCs w:val="21"/>
                <w:highlight w:val="none"/>
              </w:rPr>
            </w:pPr>
            <w:r>
              <w:rPr>
                <w:color w:val="auto"/>
                <w:spacing w:val="-2"/>
                <w:sz w:val="21"/>
                <w:szCs w:val="21"/>
                <w:highlight w:val="none"/>
              </w:rPr>
              <w:t>2.10脊柱内窥镜保护套管(子套管和母套管各1支)</w:t>
            </w:r>
            <w:r>
              <w:rPr>
                <w:color w:val="auto"/>
                <w:spacing w:val="-3"/>
                <w:sz w:val="21"/>
                <w:szCs w:val="21"/>
                <w:highlight w:val="none"/>
              </w:rPr>
              <w:t>:内</w:t>
            </w:r>
            <w:r>
              <w:rPr>
                <w:color w:val="auto"/>
                <w:spacing w:val="-1"/>
                <w:sz w:val="21"/>
                <w:szCs w:val="21"/>
                <w:highlight w:val="none"/>
              </w:rPr>
              <w:t>管1支长度≤180mm、直径≤8.5mm,外管1支长度≤165mm、</w:t>
            </w:r>
            <w:r>
              <w:rPr>
                <w:color w:val="auto"/>
                <w:spacing w:val="1"/>
                <w:sz w:val="21"/>
                <w:szCs w:val="21"/>
                <w:highlight w:val="none"/>
              </w:rPr>
              <w:t>直径≥9.0</w:t>
            </w:r>
            <w:r>
              <w:rPr>
                <w:color w:val="auto"/>
                <w:sz w:val="21"/>
                <w:szCs w:val="21"/>
                <w:highlight w:val="none"/>
              </w:rPr>
              <w:t>mm</w:t>
            </w:r>
            <w:r>
              <w:rPr>
                <w:color w:val="auto"/>
                <w:spacing w:val="1"/>
                <w:sz w:val="21"/>
                <w:szCs w:val="21"/>
                <w:highlight w:val="none"/>
              </w:rPr>
              <w:t>,内外管需带锁扣设计，可组合使用；</w:t>
            </w:r>
          </w:p>
          <w:p w14:paraId="1EA42DB0">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96" w:firstLineChars="200"/>
              <w:textAlignment w:val="auto"/>
              <w:rPr>
                <w:color w:val="auto"/>
                <w:sz w:val="21"/>
                <w:szCs w:val="21"/>
                <w:highlight w:val="none"/>
              </w:rPr>
            </w:pPr>
            <w:r>
              <w:rPr>
                <w:color w:val="auto"/>
                <w:spacing w:val="-6"/>
                <w:sz w:val="21"/>
                <w:szCs w:val="21"/>
                <w:highlight w:val="none"/>
              </w:rPr>
              <w:t>2.11扩张管4支：可连续3级扩张管。工作长度：175mm~</w:t>
            </w:r>
            <w:r>
              <w:rPr>
                <w:color w:val="auto"/>
                <w:spacing w:val="6"/>
                <w:sz w:val="21"/>
                <w:szCs w:val="21"/>
                <w:highlight w:val="none"/>
              </w:rPr>
              <w:t xml:space="preserve"> </w:t>
            </w:r>
            <w:r>
              <w:rPr>
                <w:color w:val="auto"/>
                <w:spacing w:val="1"/>
                <w:sz w:val="21"/>
                <w:szCs w:val="21"/>
                <w:highlight w:val="none"/>
              </w:rPr>
              <w:t>250</w:t>
            </w:r>
            <w:r>
              <w:rPr>
                <w:color w:val="auto"/>
                <w:sz w:val="21"/>
                <w:szCs w:val="21"/>
                <w:highlight w:val="none"/>
              </w:rPr>
              <w:t>mm</w:t>
            </w:r>
            <w:r>
              <w:rPr>
                <w:color w:val="auto"/>
                <w:spacing w:val="1"/>
                <w:sz w:val="21"/>
                <w:szCs w:val="21"/>
                <w:highlight w:val="none"/>
              </w:rPr>
              <w:t>,2.5</w:t>
            </w:r>
            <w:r>
              <w:rPr>
                <w:color w:val="auto"/>
                <w:sz w:val="21"/>
                <w:szCs w:val="21"/>
                <w:highlight w:val="none"/>
              </w:rPr>
              <w:t>mm</w:t>
            </w:r>
            <w:r>
              <w:rPr>
                <w:color w:val="auto"/>
                <w:spacing w:val="1"/>
                <w:sz w:val="21"/>
                <w:szCs w:val="21"/>
                <w:highlight w:val="none"/>
              </w:rPr>
              <w:t>≤外径≤9.0</w:t>
            </w:r>
            <w:r>
              <w:rPr>
                <w:color w:val="auto"/>
                <w:sz w:val="21"/>
                <w:szCs w:val="21"/>
                <w:highlight w:val="none"/>
              </w:rPr>
              <w:t>mm</w:t>
            </w:r>
            <w:r>
              <w:rPr>
                <w:color w:val="auto"/>
                <w:spacing w:val="1"/>
                <w:sz w:val="21"/>
                <w:szCs w:val="21"/>
                <w:highlight w:val="none"/>
              </w:rPr>
              <w:t>。</w:t>
            </w:r>
          </w:p>
          <w:p w14:paraId="27D0A2B1">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3.椎间孔镜1支：</w:t>
            </w:r>
          </w:p>
          <w:p w14:paraId="07965053">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48" w:firstLineChars="200"/>
              <w:textAlignment w:val="auto"/>
              <w:rPr>
                <w:color w:val="auto"/>
                <w:sz w:val="21"/>
                <w:szCs w:val="21"/>
                <w:highlight w:val="none"/>
              </w:rPr>
            </w:pPr>
            <w:r>
              <w:rPr>
                <w:color w:val="auto"/>
                <w:spacing w:val="7"/>
                <w:sz w:val="21"/>
                <w:szCs w:val="21"/>
                <w:highlight w:val="none"/>
              </w:rPr>
              <w:t>椎间孔镜及手术器械必须为同一品牌；</w:t>
            </w:r>
          </w:p>
          <w:p w14:paraId="697423E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4" w:firstLineChars="200"/>
              <w:textAlignment w:val="auto"/>
              <w:rPr>
                <w:rFonts w:hint="eastAsia" w:eastAsia="宋体"/>
                <w:color w:val="auto"/>
                <w:sz w:val="21"/>
                <w:szCs w:val="21"/>
                <w:highlight w:val="none"/>
                <w:lang w:eastAsia="zh-CN"/>
              </w:rPr>
            </w:pPr>
            <w:r>
              <w:rPr>
                <w:color w:val="auto"/>
                <w:spacing w:val="1"/>
                <w:sz w:val="21"/>
                <w:szCs w:val="21"/>
                <w:highlight w:val="none"/>
              </w:rPr>
              <w:t>3.1工作长度≥193</w:t>
            </w:r>
            <w:r>
              <w:rPr>
                <w:color w:val="auto"/>
                <w:sz w:val="21"/>
                <w:szCs w:val="21"/>
                <w:highlight w:val="none"/>
              </w:rPr>
              <w:t>mm</w:t>
            </w:r>
            <w:r>
              <w:rPr>
                <w:rFonts w:hint="eastAsia"/>
                <w:color w:val="auto"/>
                <w:spacing w:val="1"/>
                <w:sz w:val="21"/>
                <w:szCs w:val="21"/>
                <w:highlight w:val="none"/>
                <w:lang w:eastAsia="zh-CN"/>
              </w:rPr>
              <w:t>；</w:t>
            </w:r>
            <w:r>
              <w:rPr>
                <w:color w:val="auto"/>
                <w:spacing w:val="1"/>
                <w:sz w:val="21"/>
                <w:szCs w:val="21"/>
                <w:highlight w:val="none"/>
              </w:rPr>
              <w:t>外径≥6.4</w:t>
            </w:r>
            <w:r>
              <w:rPr>
                <w:color w:val="auto"/>
                <w:sz w:val="21"/>
                <w:szCs w:val="21"/>
                <w:highlight w:val="none"/>
              </w:rPr>
              <w:t>mm</w:t>
            </w:r>
            <w:r>
              <w:rPr>
                <w:rFonts w:hint="eastAsia"/>
                <w:color w:val="auto"/>
                <w:spacing w:val="1"/>
                <w:sz w:val="21"/>
                <w:szCs w:val="21"/>
                <w:highlight w:val="none"/>
                <w:lang w:eastAsia="zh-CN"/>
              </w:rPr>
              <w:t>；</w:t>
            </w:r>
            <w:r>
              <w:rPr>
                <w:color w:val="auto"/>
                <w:spacing w:val="1"/>
                <w:sz w:val="21"/>
                <w:szCs w:val="21"/>
                <w:highlight w:val="none"/>
              </w:rPr>
              <w:t>工作通道直</w:t>
            </w:r>
            <w:r>
              <w:rPr>
                <w:color w:val="auto"/>
                <w:sz w:val="21"/>
                <w:szCs w:val="21"/>
                <w:highlight w:val="none"/>
              </w:rPr>
              <w:t>径≥</w:t>
            </w:r>
            <w:r>
              <w:rPr>
                <w:color w:val="auto"/>
                <w:spacing w:val="4"/>
                <w:sz w:val="21"/>
                <w:szCs w:val="21"/>
                <w:highlight w:val="none"/>
              </w:rPr>
              <w:t>3.7</w:t>
            </w:r>
            <w:r>
              <w:rPr>
                <w:color w:val="auto"/>
                <w:sz w:val="21"/>
                <w:szCs w:val="21"/>
                <w:highlight w:val="none"/>
              </w:rPr>
              <w:t>mm</w:t>
            </w:r>
            <w:r>
              <w:rPr>
                <w:rFonts w:hint="eastAsia"/>
                <w:color w:val="auto"/>
                <w:spacing w:val="4"/>
                <w:sz w:val="21"/>
                <w:szCs w:val="21"/>
                <w:highlight w:val="none"/>
                <w:lang w:eastAsia="zh-CN"/>
              </w:rPr>
              <w:t>；</w:t>
            </w:r>
            <w:r>
              <w:rPr>
                <w:color w:val="auto"/>
                <w:spacing w:val="4"/>
                <w:sz w:val="21"/>
                <w:szCs w:val="21"/>
                <w:highlight w:val="none"/>
              </w:rPr>
              <w:t>视场角≥80°</w:t>
            </w:r>
            <w:r>
              <w:rPr>
                <w:rFonts w:hint="eastAsia"/>
                <w:color w:val="auto"/>
                <w:spacing w:val="4"/>
                <w:sz w:val="21"/>
                <w:szCs w:val="21"/>
                <w:highlight w:val="none"/>
                <w:lang w:eastAsia="zh-CN"/>
              </w:rPr>
              <w:t>；</w:t>
            </w:r>
          </w:p>
          <w:p w14:paraId="12231DE9">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76" w:firstLineChars="200"/>
              <w:jc w:val="both"/>
              <w:textAlignment w:val="auto"/>
              <w:rPr>
                <w:color w:val="auto"/>
                <w:sz w:val="21"/>
                <w:szCs w:val="21"/>
                <w:highlight w:val="none"/>
              </w:rPr>
            </w:pPr>
            <w:r>
              <w:rPr>
                <w:color w:val="auto"/>
                <w:spacing w:val="-11"/>
                <w:sz w:val="21"/>
                <w:szCs w:val="21"/>
                <w:highlight w:val="none"/>
              </w:rPr>
              <w:t>3.2灭菌方式可采用压力蒸汽灭菌；配备两个冲洗通</w:t>
            </w:r>
            <w:r>
              <w:rPr>
                <w:color w:val="auto"/>
                <w:spacing w:val="-12"/>
                <w:sz w:val="21"/>
                <w:szCs w:val="21"/>
                <w:highlight w:val="none"/>
              </w:rPr>
              <w:t>道。</w:t>
            </w:r>
          </w:p>
          <w:p w14:paraId="37CF0A9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ascii="宋体" w:hAnsi="宋体" w:eastAsia="宋体" w:cs="宋体"/>
                <w:color w:val="auto"/>
                <w:sz w:val="21"/>
                <w:szCs w:val="21"/>
                <w:highlight w:val="none"/>
              </w:rPr>
              <w:t>椎间孔镜手术器械1套：</w:t>
            </w:r>
          </w:p>
          <w:p w14:paraId="55FA169F">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textAlignment w:val="auto"/>
              <w:rPr>
                <w:color w:val="auto"/>
                <w:sz w:val="21"/>
                <w:szCs w:val="21"/>
                <w:highlight w:val="none"/>
              </w:rPr>
            </w:pPr>
            <w:r>
              <w:rPr>
                <w:color w:val="auto"/>
                <w:spacing w:val="5"/>
                <w:sz w:val="21"/>
                <w:szCs w:val="21"/>
                <w:highlight w:val="none"/>
              </w:rPr>
              <w:t>4.1椎间孔镜及手术器械必须为同一品牌；</w:t>
            </w:r>
          </w:p>
          <w:p w14:paraId="663B6BBA">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eastAsia="宋体"/>
                <w:color w:val="auto"/>
                <w:sz w:val="21"/>
                <w:szCs w:val="21"/>
                <w:highlight w:val="none"/>
                <w:lang w:eastAsia="zh-CN"/>
              </w:rPr>
            </w:pPr>
            <w:r>
              <w:rPr>
                <w:color w:val="auto"/>
                <w:sz w:val="21"/>
                <w:szCs w:val="21"/>
                <w:highlight w:val="none"/>
              </w:rPr>
              <w:t>4.2小髓核钳1支：工作长度≥330mm,</w:t>
            </w:r>
            <w:r>
              <w:rPr>
                <w:color w:val="auto"/>
                <w:spacing w:val="-1"/>
                <w:sz w:val="21"/>
                <w:szCs w:val="21"/>
                <w:highlight w:val="none"/>
              </w:rPr>
              <w:t>直径≤2.5mm,配</w:t>
            </w:r>
            <w:r>
              <w:rPr>
                <w:color w:val="auto"/>
                <w:spacing w:val="-2"/>
                <w:sz w:val="21"/>
                <w:szCs w:val="21"/>
                <w:highlight w:val="none"/>
              </w:rPr>
              <w:t>备过载保护装置</w:t>
            </w:r>
            <w:r>
              <w:rPr>
                <w:rFonts w:hint="eastAsia"/>
                <w:color w:val="auto"/>
                <w:spacing w:val="-2"/>
                <w:sz w:val="21"/>
                <w:szCs w:val="21"/>
                <w:highlight w:val="none"/>
                <w:lang w:eastAsia="zh-CN"/>
              </w:rPr>
              <w:t>；</w:t>
            </w:r>
          </w:p>
          <w:p w14:paraId="51C1BDD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4.3</w:t>
            </w:r>
            <w:r>
              <w:rPr>
                <w:rFonts w:hint="eastAsia"/>
                <w:color w:val="auto"/>
                <w:spacing w:val="2"/>
                <w:sz w:val="21"/>
                <w:szCs w:val="21"/>
                <w:highlight w:val="none"/>
                <w:lang w:val="en-US" w:eastAsia="zh-CN"/>
              </w:rPr>
              <w:t xml:space="preserve"> </w:t>
            </w:r>
            <w:r>
              <w:rPr>
                <w:color w:val="auto"/>
                <w:spacing w:val="2"/>
                <w:sz w:val="21"/>
                <w:szCs w:val="21"/>
                <w:highlight w:val="none"/>
              </w:rPr>
              <w:t>45°髓核钳1支：工作长度≥330</w:t>
            </w:r>
            <w:r>
              <w:rPr>
                <w:color w:val="auto"/>
                <w:sz w:val="21"/>
                <w:szCs w:val="21"/>
                <w:highlight w:val="none"/>
              </w:rPr>
              <w:t>mm</w:t>
            </w:r>
            <w:r>
              <w:rPr>
                <w:color w:val="auto"/>
                <w:spacing w:val="2"/>
                <w:sz w:val="21"/>
                <w:szCs w:val="21"/>
                <w:highlight w:val="none"/>
              </w:rPr>
              <w:t>,直径≤2.5</w:t>
            </w:r>
            <w:r>
              <w:rPr>
                <w:color w:val="auto"/>
                <w:sz w:val="21"/>
                <w:szCs w:val="21"/>
                <w:highlight w:val="none"/>
              </w:rPr>
              <w:t>mm</w:t>
            </w:r>
            <w:r>
              <w:rPr>
                <w:color w:val="auto"/>
                <w:spacing w:val="2"/>
                <w:sz w:val="21"/>
                <w:szCs w:val="21"/>
                <w:highlight w:val="none"/>
              </w:rPr>
              <w:t>,</w:t>
            </w:r>
            <w:r>
              <w:rPr>
                <w:color w:val="auto"/>
                <w:spacing w:val="14"/>
                <w:sz w:val="21"/>
                <w:szCs w:val="21"/>
                <w:highlight w:val="none"/>
              </w:rPr>
              <w:t xml:space="preserve"> </w:t>
            </w:r>
            <w:r>
              <w:rPr>
                <w:color w:val="auto"/>
                <w:spacing w:val="-1"/>
                <w:sz w:val="21"/>
                <w:szCs w:val="21"/>
                <w:highlight w:val="none"/>
              </w:rPr>
              <w:t>配备过载保护装置</w:t>
            </w:r>
            <w:r>
              <w:rPr>
                <w:rFonts w:hint="eastAsia"/>
                <w:color w:val="auto"/>
                <w:spacing w:val="-1"/>
                <w:sz w:val="21"/>
                <w:szCs w:val="21"/>
                <w:highlight w:val="none"/>
                <w:lang w:eastAsia="zh-CN"/>
              </w:rPr>
              <w:t>；</w:t>
            </w:r>
          </w:p>
          <w:p w14:paraId="4666F6C2">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eastAsia="宋体"/>
                <w:color w:val="auto"/>
                <w:sz w:val="21"/>
                <w:szCs w:val="21"/>
                <w:highlight w:val="none"/>
                <w:lang w:eastAsia="zh-CN"/>
              </w:rPr>
            </w:pPr>
            <w:r>
              <w:rPr>
                <w:color w:val="auto"/>
                <w:sz w:val="21"/>
                <w:szCs w:val="21"/>
                <w:highlight w:val="none"/>
              </w:rPr>
              <w:t>4.4大髓核钳1支：工作长度≥330mm,</w:t>
            </w:r>
            <w:r>
              <w:rPr>
                <w:color w:val="auto"/>
                <w:spacing w:val="-1"/>
                <w:sz w:val="21"/>
                <w:szCs w:val="21"/>
                <w:highlight w:val="none"/>
              </w:rPr>
              <w:t>直径≤3.5mm,配</w:t>
            </w:r>
            <w:r>
              <w:rPr>
                <w:color w:val="auto"/>
                <w:spacing w:val="-2"/>
                <w:sz w:val="21"/>
                <w:szCs w:val="21"/>
                <w:highlight w:val="none"/>
              </w:rPr>
              <w:t>备过载保护装置</w:t>
            </w:r>
            <w:r>
              <w:rPr>
                <w:rFonts w:hint="eastAsia"/>
                <w:color w:val="auto"/>
                <w:spacing w:val="-2"/>
                <w:sz w:val="21"/>
                <w:szCs w:val="21"/>
                <w:highlight w:val="none"/>
                <w:lang w:eastAsia="zh-CN"/>
              </w:rPr>
              <w:t>；</w:t>
            </w:r>
          </w:p>
          <w:p w14:paraId="725D8441">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eastAsia="宋体"/>
                <w:color w:val="auto"/>
                <w:sz w:val="21"/>
                <w:szCs w:val="21"/>
                <w:highlight w:val="none"/>
                <w:lang w:eastAsia="zh-CN"/>
              </w:rPr>
            </w:pPr>
            <w:r>
              <w:rPr>
                <w:color w:val="auto"/>
                <w:sz w:val="21"/>
                <w:szCs w:val="21"/>
                <w:highlight w:val="none"/>
              </w:rPr>
              <w:t>4.5小咬切钳1支：工作长度≥330mm,直径≤2.</w:t>
            </w:r>
            <w:r>
              <w:rPr>
                <w:color w:val="auto"/>
                <w:spacing w:val="-1"/>
                <w:sz w:val="21"/>
                <w:szCs w:val="21"/>
                <w:highlight w:val="none"/>
              </w:rPr>
              <w:t>5mm,配</w:t>
            </w:r>
            <w:r>
              <w:rPr>
                <w:color w:val="auto"/>
                <w:spacing w:val="-2"/>
                <w:sz w:val="21"/>
                <w:szCs w:val="21"/>
                <w:highlight w:val="none"/>
              </w:rPr>
              <w:t>备过载保护装置</w:t>
            </w:r>
            <w:r>
              <w:rPr>
                <w:rFonts w:hint="eastAsia"/>
                <w:color w:val="auto"/>
                <w:spacing w:val="-2"/>
                <w:sz w:val="21"/>
                <w:szCs w:val="21"/>
                <w:highlight w:val="none"/>
                <w:lang w:eastAsia="zh-CN"/>
              </w:rPr>
              <w:t>；</w:t>
            </w:r>
          </w:p>
          <w:p w14:paraId="120152F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color w:val="auto"/>
                <w:sz w:val="21"/>
                <w:szCs w:val="21"/>
                <w:highlight w:val="none"/>
                <w:lang w:eastAsia="zh-CN"/>
              </w:rPr>
            </w:pPr>
            <w:r>
              <w:rPr>
                <w:color w:val="auto"/>
                <w:sz w:val="21"/>
                <w:szCs w:val="21"/>
                <w:highlight w:val="none"/>
              </w:rPr>
              <w:t>4.6</w:t>
            </w:r>
            <w:r>
              <w:rPr>
                <w:rFonts w:hint="eastAsia"/>
                <w:color w:val="auto"/>
                <w:sz w:val="21"/>
                <w:szCs w:val="21"/>
                <w:highlight w:val="none"/>
                <w:lang w:val="en-US" w:eastAsia="zh-CN"/>
              </w:rPr>
              <w:t xml:space="preserve"> </w:t>
            </w:r>
            <w:r>
              <w:rPr>
                <w:color w:val="auto"/>
                <w:sz w:val="21"/>
                <w:szCs w:val="21"/>
                <w:highlight w:val="none"/>
              </w:rPr>
              <w:t>50°通滑咬骨钳1支：工作长度≥345mm,直径≥3.5mm,刃口角度≥50°,可咬骨</w:t>
            </w:r>
            <w:r>
              <w:rPr>
                <w:rFonts w:hint="eastAsia"/>
                <w:color w:val="auto"/>
                <w:sz w:val="21"/>
                <w:szCs w:val="21"/>
                <w:highlight w:val="none"/>
                <w:lang w:eastAsia="zh-CN"/>
              </w:rPr>
              <w:t>；</w:t>
            </w:r>
          </w:p>
          <w:p w14:paraId="3BEDA75D">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4.7弯曲小抓钳</w:t>
            </w:r>
            <w:r>
              <w:rPr>
                <w:rFonts w:hint="eastAsia"/>
                <w:color w:val="auto"/>
                <w:spacing w:val="2"/>
                <w:sz w:val="21"/>
                <w:szCs w:val="21"/>
                <w:highlight w:val="none"/>
                <w:lang w:val="en-US" w:eastAsia="zh-CN"/>
              </w:rPr>
              <w:t>1</w:t>
            </w:r>
            <w:r>
              <w:rPr>
                <w:color w:val="auto"/>
                <w:spacing w:val="2"/>
                <w:sz w:val="21"/>
                <w:szCs w:val="21"/>
                <w:highlight w:val="none"/>
              </w:rPr>
              <w:t>支：工作长度≥330</w:t>
            </w:r>
            <w:r>
              <w:rPr>
                <w:color w:val="auto"/>
                <w:sz w:val="21"/>
                <w:szCs w:val="21"/>
                <w:highlight w:val="none"/>
              </w:rPr>
              <w:t>mm</w:t>
            </w:r>
            <w:r>
              <w:rPr>
                <w:color w:val="auto"/>
                <w:spacing w:val="2"/>
                <w:sz w:val="21"/>
                <w:szCs w:val="21"/>
                <w:highlight w:val="none"/>
              </w:rPr>
              <w:t>,直径≤2.5</w:t>
            </w:r>
            <w:r>
              <w:rPr>
                <w:color w:val="auto"/>
                <w:sz w:val="21"/>
                <w:szCs w:val="21"/>
                <w:highlight w:val="none"/>
              </w:rPr>
              <w:t>mm</w:t>
            </w:r>
            <w:r>
              <w:rPr>
                <w:color w:val="auto"/>
                <w:spacing w:val="2"/>
                <w:sz w:val="21"/>
                <w:szCs w:val="21"/>
                <w:highlight w:val="none"/>
              </w:rPr>
              <w:t>,</w:t>
            </w:r>
            <w:r>
              <w:rPr>
                <w:color w:val="auto"/>
                <w:sz w:val="21"/>
                <w:szCs w:val="21"/>
                <w:highlight w:val="none"/>
              </w:rPr>
              <w:t>头端配有软弹簧</w:t>
            </w:r>
            <w:r>
              <w:rPr>
                <w:rFonts w:hint="eastAsia"/>
                <w:color w:val="auto"/>
                <w:sz w:val="21"/>
                <w:szCs w:val="21"/>
                <w:highlight w:val="none"/>
                <w:lang w:eastAsia="zh-CN"/>
              </w:rPr>
              <w:t>；</w:t>
            </w:r>
          </w:p>
          <w:p w14:paraId="000DF009">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6" w:firstLineChars="200"/>
              <w:textAlignment w:val="auto"/>
              <w:rPr>
                <w:color w:val="auto"/>
                <w:sz w:val="21"/>
                <w:szCs w:val="21"/>
                <w:highlight w:val="none"/>
              </w:rPr>
            </w:pPr>
            <w:r>
              <w:rPr>
                <w:color w:val="auto"/>
                <w:spacing w:val="-1"/>
                <w:sz w:val="21"/>
                <w:szCs w:val="21"/>
                <w:highlight w:val="none"/>
              </w:rPr>
              <w:t>4.8脊柱内窥镜保护套管(子套管和母套管各一支):内</w:t>
            </w:r>
            <w:r>
              <w:rPr>
                <w:color w:val="auto"/>
                <w:spacing w:val="2"/>
                <w:sz w:val="21"/>
                <w:szCs w:val="21"/>
                <w:highlight w:val="none"/>
              </w:rPr>
              <w:t>管1支长度≤170</w:t>
            </w:r>
            <w:r>
              <w:rPr>
                <w:color w:val="auto"/>
                <w:sz w:val="21"/>
                <w:szCs w:val="21"/>
                <w:highlight w:val="none"/>
              </w:rPr>
              <w:t>mm</w:t>
            </w:r>
            <w:r>
              <w:rPr>
                <w:color w:val="auto"/>
                <w:spacing w:val="2"/>
                <w:sz w:val="21"/>
                <w:szCs w:val="21"/>
                <w:highlight w:val="none"/>
              </w:rPr>
              <w:t>、直径≤7.5</w:t>
            </w:r>
            <w:r>
              <w:rPr>
                <w:color w:val="auto"/>
                <w:sz w:val="21"/>
                <w:szCs w:val="21"/>
                <w:highlight w:val="none"/>
              </w:rPr>
              <w:t>mm</w:t>
            </w:r>
            <w:r>
              <w:rPr>
                <w:color w:val="auto"/>
                <w:spacing w:val="2"/>
                <w:sz w:val="21"/>
                <w:szCs w:val="21"/>
                <w:highlight w:val="none"/>
              </w:rPr>
              <w:t>,外管1支长度≤153</w:t>
            </w:r>
            <w:r>
              <w:rPr>
                <w:color w:val="auto"/>
                <w:sz w:val="21"/>
                <w:szCs w:val="21"/>
                <w:highlight w:val="none"/>
              </w:rPr>
              <w:t>mm</w:t>
            </w:r>
            <w:r>
              <w:rPr>
                <w:color w:val="auto"/>
                <w:spacing w:val="2"/>
                <w:sz w:val="21"/>
                <w:szCs w:val="21"/>
                <w:highlight w:val="none"/>
              </w:rPr>
              <w:t>、</w:t>
            </w:r>
            <w:r>
              <w:rPr>
                <w:color w:val="auto"/>
                <w:spacing w:val="3"/>
                <w:sz w:val="21"/>
                <w:szCs w:val="21"/>
                <w:highlight w:val="none"/>
              </w:rPr>
              <w:t>直径≥8.5</w:t>
            </w:r>
            <w:r>
              <w:rPr>
                <w:color w:val="auto"/>
                <w:sz w:val="21"/>
                <w:szCs w:val="21"/>
                <w:highlight w:val="none"/>
              </w:rPr>
              <w:t>mm</w:t>
            </w:r>
            <w:r>
              <w:rPr>
                <w:color w:val="auto"/>
                <w:spacing w:val="3"/>
                <w:sz w:val="21"/>
                <w:szCs w:val="21"/>
                <w:highlight w:val="none"/>
              </w:rPr>
              <w:t>,内外管需带锁扣设计，可组</w:t>
            </w:r>
            <w:r>
              <w:rPr>
                <w:color w:val="auto"/>
                <w:spacing w:val="2"/>
                <w:sz w:val="21"/>
                <w:szCs w:val="21"/>
                <w:highlight w:val="none"/>
              </w:rPr>
              <w:t>合使用；</w:t>
            </w:r>
          </w:p>
          <w:p w14:paraId="2789834D">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eastAsia="宋体"/>
                <w:color w:val="auto"/>
                <w:spacing w:val="3"/>
                <w:sz w:val="21"/>
                <w:szCs w:val="21"/>
                <w:highlight w:val="none"/>
                <w:lang w:eastAsia="zh-CN"/>
              </w:rPr>
            </w:pPr>
            <w:r>
              <w:rPr>
                <w:color w:val="auto"/>
                <w:sz w:val="21"/>
                <w:szCs w:val="21"/>
                <w:highlight w:val="none"/>
              </w:rPr>
              <w:t>4.9扩张管4支：可连续3级扩张管。工</w:t>
            </w:r>
            <w:r>
              <w:rPr>
                <w:color w:val="auto"/>
                <w:spacing w:val="-1"/>
                <w:sz w:val="21"/>
                <w:szCs w:val="21"/>
                <w:highlight w:val="none"/>
              </w:rPr>
              <w:t>作长度：175mm~</w:t>
            </w:r>
            <w:r>
              <w:rPr>
                <w:color w:val="auto"/>
                <w:sz w:val="21"/>
                <w:szCs w:val="21"/>
                <w:highlight w:val="none"/>
              </w:rPr>
              <w:t xml:space="preserve"> </w:t>
            </w:r>
            <w:r>
              <w:rPr>
                <w:color w:val="auto"/>
                <w:spacing w:val="3"/>
                <w:sz w:val="21"/>
                <w:szCs w:val="21"/>
                <w:highlight w:val="none"/>
              </w:rPr>
              <w:t>240</w:t>
            </w:r>
            <w:r>
              <w:rPr>
                <w:color w:val="auto"/>
                <w:sz w:val="21"/>
                <w:szCs w:val="21"/>
                <w:highlight w:val="none"/>
              </w:rPr>
              <w:t>mm</w:t>
            </w:r>
            <w:r>
              <w:rPr>
                <w:color w:val="auto"/>
                <w:spacing w:val="3"/>
                <w:sz w:val="21"/>
                <w:szCs w:val="21"/>
                <w:highlight w:val="none"/>
              </w:rPr>
              <w:t>,2.5</w:t>
            </w:r>
            <w:r>
              <w:rPr>
                <w:color w:val="auto"/>
                <w:sz w:val="21"/>
                <w:szCs w:val="21"/>
                <w:highlight w:val="none"/>
              </w:rPr>
              <w:t>mm</w:t>
            </w:r>
            <w:r>
              <w:rPr>
                <w:color w:val="auto"/>
                <w:spacing w:val="3"/>
                <w:sz w:val="21"/>
                <w:szCs w:val="21"/>
                <w:highlight w:val="none"/>
              </w:rPr>
              <w:t>≤外径≤6.5</w:t>
            </w:r>
            <w:r>
              <w:rPr>
                <w:color w:val="auto"/>
                <w:sz w:val="21"/>
                <w:szCs w:val="21"/>
                <w:highlight w:val="none"/>
              </w:rPr>
              <w:t>mm</w:t>
            </w:r>
            <w:r>
              <w:rPr>
                <w:rFonts w:hint="eastAsia"/>
                <w:color w:val="auto"/>
                <w:spacing w:val="3"/>
                <w:sz w:val="21"/>
                <w:szCs w:val="21"/>
                <w:highlight w:val="none"/>
                <w:lang w:eastAsia="zh-CN"/>
              </w:rPr>
              <w:t>；</w:t>
            </w:r>
          </w:p>
          <w:p w14:paraId="6790EE16">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6" w:firstLineChars="200"/>
              <w:textAlignment w:val="auto"/>
              <w:rPr>
                <w:color w:val="auto"/>
                <w:sz w:val="21"/>
                <w:szCs w:val="21"/>
                <w:highlight w:val="none"/>
              </w:rPr>
            </w:pPr>
            <w:r>
              <w:rPr>
                <w:color w:val="auto"/>
                <w:spacing w:val="-1"/>
                <w:sz w:val="21"/>
                <w:szCs w:val="21"/>
                <w:highlight w:val="none"/>
              </w:rPr>
              <w:t>5.摄像系统：</w:t>
            </w:r>
          </w:p>
          <w:p w14:paraId="1C537869">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2" w:firstLineChars="200"/>
              <w:textAlignment w:val="auto"/>
              <w:rPr>
                <w:color w:val="auto"/>
                <w:sz w:val="21"/>
                <w:szCs w:val="21"/>
                <w:highlight w:val="none"/>
              </w:rPr>
            </w:pPr>
            <w:r>
              <w:rPr>
                <w:color w:val="auto"/>
                <w:spacing w:val="-2"/>
                <w:sz w:val="21"/>
                <w:szCs w:val="21"/>
                <w:highlight w:val="none"/>
              </w:rPr>
              <w:t>5.1摄像主机</w:t>
            </w:r>
          </w:p>
          <w:p w14:paraId="218AFDE1">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88" w:firstLineChars="200"/>
              <w:textAlignment w:val="auto"/>
              <w:rPr>
                <w:color w:val="auto"/>
                <w:sz w:val="21"/>
                <w:szCs w:val="21"/>
                <w:highlight w:val="none"/>
              </w:rPr>
            </w:pPr>
            <w:r>
              <w:rPr>
                <w:color w:val="auto"/>
                <w:spacing w:val="-8"/>
                <w:sz w:val="21"/>
                <w:szCs w:val="21"/>
                <w:highlight w:val="none"/>
              </w:rPr>
              <w:t>5.1.1摄像光源数字化记录系统设计，集成摄像</w:t>
            </w:r>
            <w:r>
              <w:rPr>
                <w:color w:val="auto"/>
                <w:spacing w:val="-9"/>
                <w:sz w:val="21"/>
                <w:szCs w:val="21"/>
                <w:highlight w:val="none"/>
              </w:rPr>
              <w:t>、光源、</w:t>
            </w:r>
            <w:r>
              <w:rPr>
                <w:color w:val="auto"/>
                <w:spacing w:val="5"/>
                <w:sz w:val="21"/>
                <w:szCs w:val="21"/>
                <w:highlight w:val="none"/>
              </w:rPr>
              <w:t>图像工作站三个主机为一体；</w:t>
            </w:r>
          </w:p>
          <w:p w14:paraId="59752BB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6" w:firstLineChars="200"/>
              <w:textAlignment w:val="auto"/>
              <w:rPr>
                <w:color w:val="auto"/>
                <w:sz w:val="21"/>
                <w:szCs w:val="21"/>
                <w:highlight w:val="none"/>
              </w:rPr>
            </w:pPr>
            <w:r>
              <w:rPr>
                <w:color w:val="auto"/>
                <w:spacing w:val="-1"/>
                <w:sz w:val="21"/>
                <w:szCs w:val="21"/>
                <w:highlight w:val="none"/>
              </w:rPr>
              <w:t>5.1.2视频输出：DP接口≥2,支持3840×2160像素</w:t>
            </w:r>
            <w:r>
              <w:rPr>
                <w:color w:val="auto"/>
                <w:spacing w:val="15"/>
                <w:sz w:val="21"/>
                <w:szCs w:val="21"/>
                <w:highlight w:val="none"/>
              </w:rPr>
              <w:t xml:space="preserve"> </w:t>
            </w:r>
            <w:r>
              <w:rPr>
                <w:color w:val="auto"/>
                <w:spacing w:val="6"/>
                <w:sz w:val="21"/>
                <w:szCs w:val="21"/>
                <w:highlight w:val="none"/>
              </w:rPr>
              <w:t>(4K/</w:t>
            </w:r>
            <w:r>
              <w:rPr>
                <w:color w:val="auto"/>
                <w:sz w:val="21"/>
                <w:szCs w:val="21"/>
                <w:highlight w:val="none"/>
              </w:rPr>
              <w:t>UHD</w:t>
            </w:r>
            <w:r>
              <w:rPr>
                <w:color w:val="auto"/>
                <w:spacing w:val="6"/>
                <w:sz w:val="21"/>
                <w:szCs w:val="21"/>
                <w:highlight w:val="none"/>
              </w:rPr>
              <w:t>),具有不少于10位真彩色；</w:t>
            </w:r>
          </w:p>
          <w:p w14:paraId="59FEC46C">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88" w:firstLineChars="200"/>
              <w:textAlignment w:val="auto"/>
              <w:rPr>
                <w:rFonts w:hint="eastAsia" w:eastAsia="宋体"/>
                <w:color w:val="auto"/>
                <w:sz w:val="21"/>
                <w:szCs w:val="21"/>
                <w:highlight w:val="none"/>
                <w:lang w:eastAsia="zh-CN"/>
              </w:rPr>
            </w:pPr>
            <w:r>
              <w:rPr>
                <w:color w:val="auto"/>
                <w:spacing w:val="-8"/>
                <w:sz w:val="21"/>
                <w:szCs w:val="21"/>
                <w:highlight w:val="none"/>
              </w:rPr>
              <w:t>5.1.3独立显示器主机，不与摄像系统集成，显示器为同</w:t>
            </w:r>
            <w:r>
              <w:rPr>
                <w:color w:val="auto"/>
                <w:spacing w:val="1"/>
                <w:sz w:val="21"/>
                <w:szCs w:val="21"/>
                <w:highlight w:val="none"/>
              </w:rPr>
              <w:t>一品牌显示器，尺寸为≥27英寸；分辨率：3840×2160</w:t>
            </w:r>
            <w:r>
              <w:rPr>
                <w:rFonts w:hint="eastAsia"/>
                <w:color w:val="auto"/>
                <w:spacing w:val="1"/>
                <w:sz w:val="21"/>
                <w:szCs w:val="21"/>
                <w:highlight w:val="none"/>
                <w:lang w:eastAsia="zh-CN"/>
              </w:rPr>
              <w:t>；</w:t>
            </w:r>
          </w:p>
          <w:p w14:paraId="4A398BEB">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4" w:firstLineChars="200"/>
              <w:textAlignment w:val="auto"/>
              <w:rPr>
                <w:color w:val="auto"/>
                <w:sz w:val="21"/>
                <w:szCs w:val="21"/>
                <w:highlight w:val="none"/>
              </w:rPr>
            </w:pPr>
            <w:r>
              <w:rPr>
                <w:color w:val="auto"/>
                <w:spacing w:val="1"/>
                <w:sz w:val="21"/>
                <w:szCs w:val="21"/>
                <w:highlight w:val="none"/>
              </w:rPr>
              <w:t>5.2摄像头</w:t>
            </w:r>
          </w:p>
          <w:p w14:paraId="40D578B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384" w:firstLineChars="200"/>
              <w:textAlignment w:val="auto"/>
              <w:rPr>
                <w:rFonts w:hint="eastAsia" w:eastAsia="宋体"/>
                <w:color w:val="auto"/>
                <w:sz w:val="21"/>
                <w:szCs w:val="21"/>
                <w:highlight w:val="none"/>
                <w:lang w:eastAsia="zh-CN"/>
              </w:rPr>
            </w:pPr>
            <w:r>
              <w:rPr>
                <w:color w:val="auto"/>
                <w:spacing w:val="-9"/>
                <w:sz w:val="21"/>
                <w:szCs w:val="21"/>
                <w:highlight w:val="none"/>
              </w:rPr>
              <w:t>5.2摄像头是否支持防水防震功能：采用钛金属封装，摄</w:t>
            </w:r>
            <w:r>
              <w:rPr>
                <w:color w:val="auto"/>
                <w:spacing w:val="4"/>
                <w:sz w:val="21"/>
                <w:szCs w:val="21"/>
                <w:highlight w:val="none"/>
              </w:rPr>
              <w:t>像头按钮≥2可独立编程按钮，支持编程功能≥11种</w:t>
            </w:r>
            <w:r>
              <w:rPr>
                <w:rFonts w:hint="eastAsia"/>
                <w:color w:val="auto"/>
                <w:spacing w:val="4"/>
                <w:sz w:val="21"/>
                <w:szCs w:val="21"/>
                <w:highlight w:val="none"/>
                <w:lang w:eastAsia="zh-CN"/>
              </w:rPr>
              <w:t>。</w:t>
            </w:r>
          </w:p>
          <w:p w14:paraId="701AF653">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4" w:firstLineChars="200"/>
              <w:textAlignment w:val="auto"/>
              <w:rPr>
                <w:color w:val="auto"/>
                <w:sz w:val="21"/>
                <w:szCs w:val="21"/>
                <w:highlight w:val="none"/>
              </w:rPr>
            </w:pPr>
            <w:r>
              <w:rPr>
                <w:color w:val="auto"/>
                <w:spacing w:val="1"/>
                <w:sz w:val="21"/>
                <w:szCs w:val="21"/>
                <w:highlight w:val="none"/>
              </w:rPr>
              <w:t>6.光源：</w:t>
            </w:r>
          </w:p>
          <w:p w14:paraId="7BAC3A99">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6.1光源为</w:t>
            </w:r>
            <w:r>
              <w:rPr>
                <w:color w:val="auto"/>
                <w:sz w:val="21"/>
                <w:szCs w:val="21"/>
                <w:highlight w:val="none"/>
              </w:rPr>
              <w:t>LED</w:t>
            </w:r>
            <w:r>
              <w:rPr>
                <w:color w:val="auto"/>
                <w:spacing w:val="2"/>
                <w:sz w:val="21"/>
                <w:szCs w:val="21"/>
                <w:highlight w:val="none"/>
              </w:rPr>
              <w:t>光源；亮度输出≥1650</w:t>
            </w:r>
            <w:r>
              <w:rPr>
                <w:color w:val="auto"/>
                <w:sz w:val="21"/>
                <w:szCs w:val="21"/>
                <w:highlight w:val="none"/>
              </w:rPr>
              <w:t>LM</w:t>
            </w:r>
            <w:r>
              <w:rPr>
                <w:rFonts w:hint="eastAsia"/>
                <w:color w:val="auto"/>
                <w:sz w:val="21"/>
                <w:szCs w:val="21"/>
                <w:highlight w:val="none"/>
                <w:lang w:eastAsia="zh-CN"/>
              </w:rPr>
              <w:t>。</w:t>
            </w:r>
          </w:p>
          <w:p w14:paraId="6F8A98C2">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6" w:firstLineChars="200"/>
              <w:textAlignment w:val="auto"/>
              <w:rPr>
                <w:color w:val="auto"/>
                <w:sz w:val="21"/>
                <w:szCs w:val="21"/>
                <w:highlight w:val="none"/>
              </w:rPr>
            </w:pPr>
            <w:r>
              <w:rPr>
                <w:color w:val="auto"/>
                <w:spacing w:val="-1"/>
                <w:sz w:val="21"/>
                <w:szCs w:val="21"/>
                <w:highlight w:val="none"/>
              </w:rPr>
              <w:t>7.平板电脑：</w:t>
            </w:r>
          </w:p>
          <w:p w14:paraId="0F0457D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eastAsia="宋体"/>
                <w:color w:val="auto"/>
                <w:sz w:val="21"/>
                <w:szCs w:val="21"/>
                <w:highlight w:val="none"/>
                <w:lang w:eastAsia="zh-CN"/>
              </w:rPr>
            </w:pPr>
            <w:r>
              <w:rPr>
                <w:color w:val="auto"/>
                <w:sz w:val="21"/>
                <w:szCs w:val="21"/>
                <w:highlight w:val="none"/>
              </w:rPr>
              <w:t>7.1屏幕尺寸约10.5英寸，支持通过无线连接和数据线</w:t>
            </w:r>
            <w:r>
              <w:rPr>
                <w:color w:val="auto"/>
                <w:spacing w:val="8"/>
                <w:sz w:val="21"/>
                <w:szCs w:val="21"/>
                <w:highlight w:val="none"/>
              </w:rPr>
              <w:t>连接两种方式与摄像主机相连</w:t>
            </w:r>
            <w:r>
              <w:rPr>
                <w:rFonts w:hint="eastAsia"/>
                <w:color w:val="auto"/>
                <w:spacing w:val="8"/>
                <w:sz w:val="21"/>
                <w:szCs w:val="21"/>
                <w:highlight w:val="none"/>
                <w:lang w:eastAsia="zh-CN"/>
              </w:rPr>
              <w:t>。</w:t>
            </w:r>
          </w:p>
          <w:p w14:paraId="535E79C0">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16" w:firstLineChars="200"/>
              <w:textAlignment w:val="auto"/>
              <w:rPr>
                <w:color w:val="auto"/>
                <w:sz w:val="21"/>
                <w:szCs w:val="21"/>
                <w:highlight w:val="none"/>
              </w:rPr>
            </w:pPr>
            <w:r>
              <w:rPr>
                <w:color w:val="auto"/>
                <w:spacing w:val="-1"/>
                <w:sz w:val="21"/>
                <w:szCs w:val="21"/>
                <w:highlight w:val="none"/>
              </w:rPr>
              <w:t>8.关节内窥镜：</w:t>
            </w:r>
          </w:p>
          <w:p w14:paraId="62EC3B22">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8.1插入部最大外径(内窥镜):Φ4.0</w:t>
            </w:r>
            <w:r>
              <w:rPr>
                <w:color w:val="auto"/>
                <w:sz w:val="21"/>
                <w:szCs w:val="21"/>
                <w:highlight w:val="none"/>
              </w:rPr>
              <w:t>mm</w:t>
            </w:r>
            <w:r>
              <w:rPr>
                <w:rFonts w:hint="eastAsia"/>
                <w:color w:val="auto"/>
                <w:spacing w:val="2"/>
                <w:sz w:val="21"/>
                <w:szCs w:val="21"/>
                <w:highlight w:val="none"/>
                <w:lang w:eastAsia="zh-CN"/>
              </w:rPr>
              <w:t>；</w:t>
            </w:r>
          </w:p>
          <w:p w14:paraId="3349BDAF">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8.2内窥镜工作长度：约175</w:t>
            </w:r>
            <w:r>
              <w:rPr>
                <w:color w:val="auto"/>
                <w:sz w:val="21"/>
                <w:szCs w:val="21"/>
                <w:highlight w:val="none"/>
              </w:rPr>
              <w:t>mm</w:t>
            </w:r>
            <w:r>
              <w:rPr>
                <w:rFonts w:hint="eastAsia"/>
                <w:color w:val="auto"/>
                <w:spacing w:val="2"/>
                <w:sz w:val="21"/>
                <w:szCs w:val="21"/>
                <w:highlight w:val="none"/>
                <w:lang w:eastAsia="zh-CN"/>
              </w:rPr>
              <w:t>；</w:t>
            </w:r>
          </w:p>
          <w:p w14:paraId="699CB396">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36" w:firstLineChars="200"/>
              <w:textAlignment w:val="auto"/>
              <w:rPr>
                <w:rFonts w:hint="eastAsia" w:eastAsia="宋体"/>
                <w:color w:val="auto"/>
                <w:spacing w:val="4"/>
                <w:sz w:val="21"/>
                <w:szCs w:val="21"/>
                <w:highlight w:val="none"/>
                <w:lang w:eastAsia="zh-CN"/>
              </w:rPr>
            </w:pPr>
            <w:r>
              <w:rPr>
                <w:color w:val="auto"/>
                <w:spacing w:val="4"/>
                <w:sz w:val="21"/>
                <w:szCs w:val="21"/>
                <w:highlight w:val="none"/>
              </w:rPr>
              <w:t>8.3视向角：约30°</w:t>
            </w:r>
            <w:r>
              <w:rPr>
                <w:rFonts w:hint="eastAsia"/>
                <w:color w:val="auto"/>
                <w:spacing w:val="4"/>
                <w:sz w:val="21"/>
                <w:szCs w:val="21"/>
                <w:highlight w:val="none"/>
                <w:lang w:eastAsia="zh-CN"/>
              </w:rPr>
              <w:t>；</w:t>
            </w:r>
          </w:p>
          <w:p w14:paraId="1A5CB85C">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8.4设计光学工作距离：约4</w:t>
            </w:r>
            <w:r>
              <w:rPr>
                <w:color w:val="auto"/>
                <w:sz w:val="21"/>
                <w:szCs w:val="21"/>
                <w:highlight w:val="none"/>
              </w:rPr>
              <w:t>mm</w:t>
            </w:r>
            <w:r>
              <w:rPr>
                <w:rFonts w:hint="eastAsia"/>
                <w:color w:val="auto"/>
                <w:spacing w:val="2"/>
                <w:sz w:val="21"/>
                <w:szCs w:val="21"/>
                <w:highlight w:val="none"/>
                <w:lang w:eastAsia="zh-CN"/>
              </w:rPr>
              <w:t>；</w:t>
            </w:r>
          </w:p>
          <w:p w14:paraId="282C6414">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textAlignment w:val="auto"/>
              <w:rPr>
                <w:rFonts w:hint="eastAsia" w:eastAsia="宋体"/>
                <w:color w:val="auto"/>
                <w:sz w:val="21"/>
                <w:szCs w:val="21"/>
                <w:highlight w:val="none"/>
                <w:lang w:eastAsia="zh-CN"/>
              </w:rPr>
            </w:pPr>
            <w:r>
              <w:rPr>
                <w:color w:val="auto"/>
                <w:spacing w:val="3"/>
                <w:sz w:val="21"/>
                <w:szCs w:val="21"/>
                <w:highlight w:val="none"/>
              </w:rPr>
              <w:t>8.5景深范围：3～100</w:t>
            </w:r>
            <w:r>
              <w:rPr>
                <w:color w:val="auto"/>
                <w:sz w:val="21"/>
                <w:szCs w:val="21"/>
                <w:highlight w:val="none"/>
              </w:rPr>
              <w:t>mm</w:t>
            </w:r>
            <w:r>
              <w:rPr>
                <w:rFonts w:hint="eastAsia"/>
                <w:color w:val="auto"/>
                <w:spacing w:val="3"/>
                <w:sz w:val="21"/>
                <w:szCs w:val="21"/>
                <w:highlight w:val="none"/>
                <w:lang w:eastAsia="zh-CN"/>
              </w:rPr>
              <w:t>；</w:t>
            </w:r>
          </w:p>
          <w:p w14:paraId="4667D99A">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val="en-US" w:eastAsia="zh-CN"/>
              </w:rPr>
            </w:pPr>
            <w:r>
              <w:rPr>
                <w:color w:val="auto"/>
                <w:spacing w:val="2"/>
                <w:sz w:val="21"/>
                <w:szCs w:val="21"/>
                <w:highlight w:val="none"/>
              </w:rPr>
              <w:t>8.6中心角分辨力：</w:t>
            </w:r>
            <w:r>
              <w:rPr>
                <w:color w:val="auto"/>
                <w:sz w:val="21"/>
                <w:szCs w:val="21"/>
                <w:highlight w:val="none"/>
              </w:rPr>
              <w:t>ra</w:t>
            </w:r>
            <w:r>
              <w:rPr>
                <w:color w:val="auto"/>
                <w:spacing w:val="2"/>
                <w:sz w:val="21"/>
                <w:szCs w:val="21"/>
                <w:highlight w:val="none"/>
              </w:rPr>
              <w:t>(d)≥4.82C/°</w:t>
            </w:r>
            <w:r>
              <w:rPr>
                <w:rFonts w:hint="eastAsia"/>
                <w:color w:val="auto"/>
                <w:spacing w:val="2"/>
                <w:sz w:val="21"/>
                <w:szCs w:val="21"/>
                <w:highlight w:val="none"/>
                <w:lang w:eastAsia="zh-CN"/>
              </w:rPr>
              <w:t>。</w:t>
            </w:r>
          </w:p>
          <w:p w14:paraId="0834EA5A">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9.等离子系统：</w:t>
            </w:r>
          </w:p>
          <w:p w14:paraId="6C1807DF">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8" w:firstLineChars="200"/>
              <w:textAlignment w:val="auto"/>
              <w:rPr>
                <w:rFonts w:hint="eastAsia" w:eastAsia="宋体"/>
                <w:color w:val="auto"/>
                <w:sz w:val="21"/>
                <w:szCs w:val="21"/>
                <w:highlight w:val="none"/>
                <w:lang w:eastAsia="zh-CN"/>
              </w:rPr>
            </w:pPr>
            <w:r>
              <w:rPr>
                <w:color w:val="auto"/>
                <w:spacing w:val="2"/>
                <w:sz w:val="21"/>
                <w:szCs w:val="21"/>
                <w:highlight w:val="none"/>
              </w:rPr>
              <w:t>9.I电源：</w:t>
            </w:r>
            <w:r>
              <w:rPr>
                <w:color w:val="auto"/>
                <w:sz w:val="21"/>
                <w:szCs w:val="21"/>
                <w:highlight w:val="none"/>
              </w:rPr>
              <w:t>AC</w:t>
            </w:r>
            <w:r>
              <w:rPr>
                <w:color w:val="auto"/>
                <w:spacing w:val="2"/>
                <w:sz w:val="21"/>
                <w:szCs w:val="21"/>
                <w:highlight w:val="none"/>
              </w:rPr>
              <w:t>220V±10%,50</w:t>
            </w:r>
            <w:r>
              <w:rPr>
                <w:color w:val="auto"/>
                <w:sz w:val="21"/>
                <w:szCs w:val="21"/>
                <w:highlight w:val="none"/>
              </w:rPr>
              <w:t>Hz</w:t>
            </w:r>
            <w:r>
              <w:rPr>
                <w:color w:val="auto"/>
                <w:spacing w:val="2"/>
                <w:sz w:val="21"/>
                <w:szCs w:val="21"/>
                <w:highlight w:val="none"/>
              </w:rPr>
              <w:t>±1</w:t>
            </w:r>
            <w:r>
              <w:rPr>
                <w:color w:val="auto"/>
                <w:sz w:val="21"/>
                <w:szCs w:val="21"/>
                <w:highlight w:val="none"/>
              </w:rPr>
              <w:t>Hz</w:t>
            </w:r>
            <w:r>
              <w:rPr>
                <w:rFonts w:hint="eastAsia"/>
                <w:color w:val="auto"/>
                <w:spacing w:val="2"/>
                <w:sz w:val="21"/>
                <w:szCs w:val="21"/>
                <w:highlight w:val="none"/>
                <w:lang w:eastAsia="zh-CN"/>
              </w:rPr>
              <w:t>；</w:t>
            </w:r>
          </w:p>
          <w:p w14:paraId="2662FBFE">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36" w:firstLineChars="200"/>
              <w:textAlignment w:val="auto"/>
              <w:rPr>
                <w:rFonts w:hint="eastAsia" w:eastAsia="宋体"/>
                <w:color w:val="auto"/>
                <w:sz w:val="21"/>
                <w:szCs w:val="21"/>
                <w:highlight w:val="none"/>
                <w:lang w:eastAsia="zh-CN"/>
              </w:rPr>
            </w:pPr>
            <w:r>
              <w:rPr>
                <w:color w:val="auto"/>
                <w:spacing w:val="4"/>
                <w:sz w:val="21"/>
                <w:szCs w:val="21"/>
                <w:highlight w:val="none"/>
              </w:rPr>
              <w:t>9.2工作频率：100</w:t>
            </w:r>
            <w:r>
              <w:rPr>
                <w:color w:val="auto"/>
                <w:sz w:val="21"/>
                <w:szCs w:val="21"/>
                <w:highlight w:val="none"/>
              </w:rPr>
              <w:t>KHz</w:t>
            </w:r>
            <w:r>
              <w:rPr>
                <w:rFonts w:hint="eastAsia"/>
                <w:color w:val="auto"/>
                <w:spacing w:val="4"/>
                <w:sz w:val="21"/>
                <w:szCs w:val="21"/>
                <w:highlight w:val="none"/>
                <w:lang w:eastAsia="zh-CN"/>
              </w:rPr>
              <w:t>；</w:t>
            </w:r>
          </w:p>
          <w:p w14:paraId="766E35D8">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textAlignment w:val="auto"/>
              <w:rPr>
                <w:rFonts w:hint="eastAsia" w:eastAsia="宋体"/>
                <w:color w:val="auto"/>
                <w:sz w:val="21"/>
                <w:szCs w:val="21"/>
                <w:highlight w:val="none"/>
                <w:lang w:eastAsia="zh-CN"/>
              </w:rPr>
            </w:pPr>
            <w:r>
              <w:rPr>
                <w:color w:val="auto"/>
                <w:spacing w:val="3"/>
                <w:sz w:val="21"/>
                <w:szCs w:val="21"/>
                <w:highlight w:val="none"/>
              </w:rPr>
              <w:t>9.3输出功率：≤330W</w:t>
            </w:r>
            <w:r>
              <w:rPr>
                <w:rFonts w:hint="eastAsia"/>
                <w:color w:val="auto"/>
                <w:spacing w:val="3"/>
                <w:sz w:val="21"/>
                <w:szCs w:val="21"/>
                <w:highlight w:val="none"/>
                <w:lang w:eastAsia="zh-CN"/>
              </w:rPr>
              <w:t>；</w:t>
            </w:r>
          </w:p>
          <w:p w14:paraId="671E2752">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textAlignment w:val="auto"/>
              <w:rPr>
                <w:rFonts w:hint="eastAsia" w:eastAsia="宋体"/>
                <w:color w:val="auto"/>
                <w:sz w:val="21"/>
                <w:szCs w:val="21"/>
                <w:highlight w:val="none"/>
                <w:lang w:eastAsia="zh-CN"/>
              </w:rPr>
            </w:pPr>
            <w:r>
              <w:rPr>
                <w:color w:val="auto"/>
                <w:spacing w:val="3"/>
                <w:sz w:val="21"/>
                <w:szCs w:val="21"/>
                <w:highlight w:val="none"/>
              </w:rPr>
              <w:t>9.4工作温度：40-70℃</w:t>
            </w:r>
            <w:r>
              <w:rPr>
                <w:rFonts w:hint="eastAsia"/>
                <w:color w:val="auto"/>
                <w:spacing w:val="3"/>
                <w:sz w:val="21"/>
                <w:szCs w:val="21"/>
                <w:highlight w:val="none"/>
                <w:lang w:eastAsia="zh-CN"/>
              </w:rPr>
              <w:t>；</w:t>
            </w:r>
          </w:p>
          <w:p w14:paraId="73EDC756">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color w:val="auto"/>
                <w:sz w:val="21"/>
                <w:szCs w:val="21"/>
                <w:highlight w:val="none"/>
              </w:rPr>
            </w:pPr>
            <w:r>
              <w:rPr>
                <w:color w:val="auto"/>
                <w:sz w:val="21"/>
                <w:szCs w:val="21"/>
                <w:highlight w:val="none"/>
              </w:rPr>
              <w:t>9.5具有射频消融功能(双极射频电极消融)和等离子消</w:t>
            </w:r>
            <w:r>
              <w:rPr>
                <w:color w:val="auto"/>
                <w:spacing w:val="19"/>
                <w:sz w:val="21"/>
                <w:szCs w:val="21"/>
                <w:highlight w:val="none"/>
              </w:rPr>
              <w:t>融切割功能；</w:t>
            </w:r>
          </w:p>
          <w:p w14:paraId="5EF99891">
            <w:pPr>
              <w:pStyle w:val="35"/>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color w:val="auto"/>
                <w:sz w:val="21"/>
                <w:szCs w:val="21"/>
                <w:highlight w:val="none"/>
                <w:lang w:val="en-US" w:eastAsia="zh-CN"/>
              </w:rPr>
            </w:pPr>
            <w:r>
              <w:rPr>
                <w:color w:val="auto"/>
                <w:sz w:val="21"/>
                <w:szCs w:val="21"/>
                <w:highlight w:val="none"/>
              </w:rPr>
              <w:t>9.6主机和电极必须为同一品牌。</w:t>
            </w:r>
          </w:p>
        </w:tc>
      </w:tr>
      <w:tr w14:paraId="5A7D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854" w:type="dxa"/>
            <w:gridSpan w:val="6"/>
          </w:tcPr>
          <w:p w14:paraId="2544C7D6">
            <w:pPr>
              <w:keepNext w:val="0"/>
              <w:keepLines w:val="0"/>
              <w:pageBreakBefore w:val="0"/>
              <w:widowControl/>
              <w:suppressLineNumbers w:val="0"/>
              <w:kinsoku/>
              <w:wordWrap/>
              <w:overflowPunct/>
              <w:topLinePunct w:val="0"/>
              <w:autoSpaceDE/>
              <w:autoSpaceDN/>
              <w:bidi w:val="0"/>
              <w:adjustRightInd w:val="0"/>
              <w:snapToGrid/>
              <w:jc w:val="both"/>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b/>
                <w:bCs/>
                <w:color w:val="auto"/>
                <w:spacing w:val="1"/>
                <w:sz w:val="21"/>
                <w:szCs w:val="21"/>
                <w:highlight w:val="none"/>
              </w:rPr>
              <w:t>▲商务条款</w:t>
            </w:r>
          </w:p>
        </w:tc>
      </w:tr>
      <w:tr w14:paraId="7013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27709595">
            <w:pPr>
              <w:keepNext w:val="0"/>
              <w:keepLines w:val="0"/>
              <w:pageBreakBefore w:val="0"/>
              <w:widowControl/>
              <w:suppressLineNumbers w:val="0"/>
              <w:kinsoku/>
              <w:wordWrap/>
              <w:overflowPunct/>
              <w:topLinePunct w:val="0"/>
              <w:autoSpaceDE/>
              <w:autoSpaceDN/>
              <w:bidi w:val="0"/>
              <w:adjustRightInd w:val="0"/>
              <w:snapToGrid/>
              <w:spacing w:line="400" w:lineRule="exact"/>
              <w:ind w:left="0"/>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pacing w:val="3"/>
                <w:sz w:val="21"/>
                <w:szCs w:val="21"/>
                <w:highlight w:val="none"/>
              </w:rPr>
              <w:t>质量保修期</w:t>
            </w:r>
          </w:p>
        </w:tc>
        <w:tc>
          <w:tcPr>
            <w:tcW w:w="8295" w:type="dxa"/>
            <w:gridSpan w:val="4"/>
          </w:tcPr>
          <w:p w14:paraId="740122AA">
            <w:pPr>
              <w:keepNext w:val="0"/>
              <w:keepLines w:val="0"/>
              <w:pageBreakBefore w:val="0"/>
              <w:widowControl/>
              <w:suppressLineNumbers w:val="0"/>
              <w:kinsoku/>
              <w:wordWrap/>
              <w:overflowPunct/>
              <w:topLinePunct w:val="0"/>
              <w:autoSpaceDE/>
              <w:autoSpaceDN/>
              <w:bidi w:val="0"/>
              <w:adjustRightInd w:val="0"/>
              <w:snapToGrid/>
              <w:spacing w:line="400" w:lineRule="exact"/>
              <w:ind w:left="0"/>
              <w:jc w:val="both"/>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z w:val="21"/>
                <w:szCs w:val="21"/>
                <w:highlight w:val="none"/>
              </w:rPr>
              <w:t>按国家有关产品“三包”规定执行，除技术参数要求中</w:t>
            </w:r>
            <w:r>
              <w:rPr>
                <w:color w:val="auto"/>
                <w:spacing w:val="-1"/>
                <w:sz w:val="21"/>
                <w:szCs w:val="21"/>
                <w:highlight w:val="none"/>
              </w:rPr>
              <w:t>有特别说明外，</w:t>
            </w:r>
            <w:r>
              <w:rPr>
                <w:color w:val="auto"/>
                <w:sz w:val="21"/>
                <w:szCs w:val="21"/>
                <w:highlight w:val="none"/>
              </w:rPr>
              <w:t>质量保修期不得少于1年(自设备验收合格之日</w:t>
            </w:r>
            <w:r>
              <w:rPr>
                <w:color w:val="auto"/>
                <w:spacing w:val="-1"/>
                <w:sz w:val="21"/>
                <w:szCs w:val="21"/>
                <w:highlight w:val="none"/>
              </w:rPr>
              <w:t>起算)。如设备厂家承诺</w:t>
            </w:r>
            <w:r>
              <w:rPr>
                <w:color w:val="auto"/>
                <w:sz w:val="21"/>
                <w:szCs w:val="21"/>
                <w:highlight w:val="none"/>
              </w:rPr>
              <w:t>的质量保修期超过1年，或供应商承诺的质量保修期长于厂家承诺期限的，按两者中期限较长者执行。</w:t>
            </w:r>
          </w:p>
        </w:tc>
      </w:tr>
      <w:tr w14:paraId="35A9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10601A66">
            <w:pPr>
              <w:keepNext w:val="0"/>
              <w:keepLines w:val="0"/>
              <w:pageBreakBefore w:val="0"/>
              <w:widowControl/>
              <w:suppressLineNumbers w:val="0"/>
              <w:kinsoku/>
              <w:wordWrap/>
              <w:overflowPunct/>
              <w:topLinePunct w:val="0"/>
              <w:autoSpaceDE/>
              <w:autoSpaceDN/>
              <w:bidi w:val="0"/>
              <w:adjustRightInd w:val="0"/>
              <w:snapToGrid/>
              <w:spacing w:line="400" w:lineRule="exact"/>
              <w:ind w:left="0"/>
              <w:jc w:val="center"/>
              <w:textAlignment w:val="center"/>
              <w:rPr>
                <w:color w:val="auto"/>
                <w:spacing w:val="1"/>
                <w:sz w:val="21"/>
                <w:szCs w:val="21"/>
                <w:highlight w:val="none"/>
              </w:rPr>
            </w:pPr>
            <w:r>
              <w:rPr>
                <w:color w:val="auto"/>
                <w:spacing w:val="1"/>
                <w:sz w:val="21"/>
                <w:szCs w:val="21"/>
                <w:highlight w:val="none"/>
              </w:rPr>
              <w:t>交货时间</w:t>
            </w:r>
          </w:p>
          <w:p w14:paraId="63D4A6C5">
            <w:pPr>
              <w:keepNext w:val="0"/>
              <w:keepLines w:val="0"/>
              <w:pageBreakBefore w:val="0"/>
              <w:widowControl/>
              <w:suppressLineNumbers w:val="0"/>
              <w:kinsoku/>
              <w:wordWrap/>
              <w:overflowPunct/>
              <w:topLinePunct w:val="0"/>
              <w:autoSpaceDE/>
              <w:autoSpaceDN/>
              <w:bidi w:val="0"/>
              <w:adjustRightInd w:val="0"/>
              <w:snapToGrid/>
              <w:spacing w:line="400" w:lineRule="exact"/>
              <w:ind w:left="0"/>
              <w:jc w:val="center"/>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pacing w:val="1"/>
                <w:sz w:val="21"/>
                <w:szCs w:val="21"/>
                <w:highlight w:val="none"/>
              </w:rPr>
              <w:t>及地</w:t>
            </w:r>
            <w:r>
              <w:rPr>
                <w:color w:val="auto"/>
                <w:sz w:val="21"/>
                <w:szCs w:val="21"/>
                <w:highlight w:val="none"/>
              </w:rPr>
              <w:t>点</w:t>
            </w:r>
          </w:p>
        </w:tc>
        <w:tc>
          <w:tcPr>
            <w:tcW w:w="8295" w:type="dxa"/>
            <w:gridSpan w:val="4"/>
          </w:tcPr>
          <w:p w14:paraId="3440B238">
            <w:pPr>
              <w:pStyle w:val="35"/>
              <w:keepNext w:val="0"/>
              <w:keepLines w:val="0"/>
              <w:pageBreakBefore w:val="0"/>
              <w:kinsoku/>
              <w:wordWrap/>
              <w:overflowPunct/>
              <w:topLinePunct w:val="0"/>
              <w:autoSpaceDE/>
              <w:autoSpaceDN/>
              <w:bidi w:val="0"/>
              <w:snapToGrid/>
              <w:spacing w:line="400" w:lineRule="exact"/>
              <w:ind w:left="0"/>
              <w:rPr>
                <w:color w:val="auto"/>
                <w:sz w:val="21"/>
                <w:szCs w:val="21"/>
                <w:highlight w:val="none"/>
              </w:rPr>
            </w:pPr>
            <w:r>
              <w:rPr>
                <w:color w:val="auto"/>
                <w:sz w:val="21"/>
                <w:szCs w:val="21"/>
                <w:highlight w:val="none"/>
              </w:rPr>
              <w:t>1.交货时间：自签订合同之日起30个日历日内</w:t>
            </w:r>
            <w:r>
              <w:rPr>
                <w:color w:val="auto"/>
                <w:spacing w:val="-1"/>
                <w:sz w:val="21"/>
                <w:szCs w:val="21"/>
                <w:highlight w:val="none"/>
              </w:rPr>
              <w:t>安装调试完毕。</w:t>
            </w:r>
          </w:p>
          <w:p w14:paraId="4CDEECEA">
            <w:pPr>
              <w:keepNext w:val="0"/>
              <w:keepLines w:val="0"/>
              <w:pageBreakBefore w:val="0"/>
              <w:widowControl/>
              <w:suppressLineNumbers w:val="0"/>
              <w:kinsoku/>
              <w:wordWrap/>
              <w:overflowPunct/>
              <w:topLinePunct w:val="0"/>
              <w:autoSpaceDE/>
              <w:autoSpaceDN/>
              <w:bidi w:val="0"/>
              <w:adjustRightInd w:val="0"/>
              <w:snapToGrid/>
              <w:spacing w:line="400" w:lineRule="exact"/>
              <w:ind w:left="0"/>
              <w:jc w:val="both"/>
              <w:textAlignment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pacing w:val="-1"/>
                <w:sz w:val="21"/>
                <w:szCs w:val="21"/>
                <w:highlight w:val="none"/>
              </w:rPr>
              <w:t>2.交货地点：广西陆川县采购人指定地点。</w:t>
            </w:r>
          </w:p>
        </w:tc>
      </w:tr>
      <w:tr w14:paraId="2F13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3AD69B50">
            <w:pPr>
              <w:pStyle w:val="35"/>
              <w:keepNext w:val="0"/>
              <w:keepLines w:val="0"/>
              <w:pageBreakBefore w:val="0"/>
              <w:kinsoku/>
              <w:wordWrap/>
              <w:overflowPunct/>
              <w:topLinePunct w:val="0"/>
              <w:autoSpaceDE/>
              <w:autoSpaceDN/>
              <w:bidi w:val="0"/>
              <w:snapToGrid/>
              <w:spacing w:line="400" w:lineRule="exact"/>
              <w:ind w:left="0" w:leftChars="0"/>
              <w:jc w:val="center"/>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pacing w:val="3"/>
                <w:sz w:val="21"/>
                <w:szCs w:val="21"/>
                <w:highlight w:val="none"/>
              </w:rPr>
              <w:t>合同签订期</w:t>
            </w:r>
          </w:p>
        </w:tc>
        <w:tc>
          <w:tcPr>
            <w:tcW w:w="8295" w:type="dxa"/>
            <w:gridSpan w:val="4"/>
            <w:vAlign w:val="top"/>
          </w:tcPr>
          <w:p w14:paraId="24331E96">
            <w:pPr>
              <w:pStyle w:val="35"/>
              <w:keepNext w:val="0"/>
              <w:keepLines w:val="0"/>
              <w:pageBreakBefore w:val="0"/>
              <w:kinsoku/>
              <w:wordWrap/>
              <w:overflowPunct/>
              <w:topLinePunct w:val="0"/>
              <w:autoSpaceDE/>
              <w:autoSpaceDN/>
              <w:bidi w:val="0"/>
              <w:snapToGrid/>
              <w:spacing w:line="400" w:lineRule="exact"/>
              <w:ind w:left="0" w:leftChars="0"/>
              <w:rPr>
                <w:rFonts w:hint="eastAsia" w:ascii="宋体" w:hAnsi="宋体" w:cs="宋体"/>
                <w:b w:val="0"/>
                <w:bCs w:val="0"/>
                <w:i w:val="0"/>
                <w:iCs w:val="0"/>
                <w:color w:val="auto"/>
                <w:kern w:val="0"/>
                <w:sz w:val="21"/>
                <w:szCs w:val="21"/>
                <w:highlight w:val="none"/>
                <w:u w:val="none"/>
                <w:vertAlign w:val="baseline"/>
                <w:lang w:val="en-US" w:eastAsia="zh-CN" w:bidi="ar"/>
              </w:rPr>
            </w:pPr>
            <w:r>
              <w:rPr>
                <w:color w:val="auto"/>
                <w:spacing w:val="-1"/>
                <w:sz w:val="21"/>
                <w:szCs w:val="21"/>
                <w:highlight w:val="none"/>
              </w:rPr>
              <w:t>自</w:t>
            </w:r>
            <w:r>
              <w:rPr>
                <w:rFonts w:hint="eastAsia"/>
                <w:color w:val="auto"/>
                <w:spacing w:val="-1"/>
                <w:sz w:val="21"/>
                <w:szCs w:val="21"/>
                <w:highlight w:val="none"/>
                <w:lang w:val="en-US" w:eastAsia="zh-CN"/>
              </w:rPr>
              <w:t>成交</w:t>
            </w:r>
            <w:r>
              <w:rPr>
                <w:color w:val="auto"/>
                <w:spacing w:val="-1"/>
                <w:sz w:val="21"/>
                <w:szCs w:val="21"/>
                <w:highlight w:val="none"/>
              </w:rPr>
              <w:t>通知书发出之日起25日内。</w:t>
            </w:r>
          </w:p>
        </w:tc>
      </w:tr>
      <w:tr w14:paraId="03EE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3037530A">
            <w:pPr>
              <w:pStyle w:val="35"/>
              <w:keepNext w:val="0"/>
              <w:keepLines w:val="0"/>
              <w:pageBreakBefore w:val="0"/>
              <w:kinsoku/>
              <w:wordWrap/>
              <w:overflowPunct/>
              <w:topLinePunct w:val="0"/>
              <w:autoSpaceDE/>
              <w:autoSpaceDN/>
              <w:bidi w:val="0"/>
              <w:snapToGrid/>
              <w:spacing w:line="400" w:lineRule="exact"/>
              <w:ind w:left="0"/>
              <w:jc w:val="both"/>
              <w:rPr>
                <w:color w:val="auto"/>
                <w:sz w:val="21"/>
                <w:szCs w:val="21"/>
                <w:highlight w:val="none"/>
              </w:rPr>
            </w:pPr>
            <w:r>
              <w:rPr>
                <w:color w:val="auto"/>
                <w:spacing w:val="-2"/>
                <w:sz w:val="21"/>
                <w:szCs w:val="21"/>
                <w:highlight w:val="none"/>
              </w:rPr>
              <w:t>服务标准、服</w:t>
            </w:r>
          </w:p>
          <w:p w14:paraId="0C87285E">
            <w:pPr>
              <w:pStyle w:val="35"/>
              <w:keepNext w:val="0"/>
              <w:keepLines w:val="0"/>
              <w:pageBreakBefore w:val="0"/>
              <w:kinsoku/>
              <w:wordWrap/>
              <w:overflowPunct/>
              <w:topLinePunct w:val="0"/>
              <w:autoSpaceDE/>
              <w:autoSpaceDN/>
              <w:bidi w:val="0"/>
              <w:snapToGrid/>
              <w:spacing w:line="400" w:lineRule="exact"/>
              <w:ind w:left="0"/>
              <w:jc w:val="center"/>
              <w:rPr>
                <w:color w:val="auto"/>
                <w:sz w:val="21"/>
                <w:szCs w:val="21"/>
                <w:highlight w:val="none"/>
              </w:rPr>
            </w:pPr>
            <w:r>
              <w:rPr>
                <w:color w:val="auto"/>
                <w:spacing w:val="2"/>
                <w:sz w:val="21"/>
                <w:szCs w:val="21"/>
                <w:highlight w:val="none"/>
              </w:rPr>
              <w:t>务效率、售后</w:t>
            </w:r>
          </w:p>
          <w:p w14:paraId="605BC04C">
            <w:pPr>
              <w:pStyle w:val="35"/>
              <w:keepNext w:val="0"/>
              <w:keepLines w:val="0"/>
              <w:pageBreakBefore w:val="0"/>
              <w:kinsoku/>
              <w:wordWrap/>
              <w:overflowPunct/>
              <w:topLinePunct w:val="0"/>
              <w:autoSpaceDE/>
              <w:autoSpaceDN/>
              <w:bidi w:val="0"/>
              <w:snapToGrid/>
              <w:spacing w:line="400" w:lineRule="exact"/>
              <w:ind w:left="0"/>
              <w:jc w:val="center"/>
              <w:rPr>
                <w:color w:val="auto"/>
                <w:spacing w:val="3"/>
                <w:sz w:val="21"/>
                <w:szCs w:val="21"/>
                <w:highlight w:val="none"/>
              </w:rPr>
            </w:pPr>
            <w:r>
              <w:rPr>
                <w:color w:val="auto"/>
                <w:spacing w:val="-3"/>
                <w:sz w:val="21"/>
                <w:szCs w:val="21"/>
                <w:highlight w:val="none"/>
              </w:rPr>
              <w:t>服务</w:t>
            </w:r>
            <w:r>
              <w:rPr>
                <w:color w:val="auto"/>
                <w:spacing w:val="5"/>
                <w:sz w:val="21"/>
                <w:szCs w:val="21"/>
                <w:highlight w:val="none"/>
              </w:rPr>
              <w:t>要求</w:t>
            </w:r>
          </w:p>
        </w:tc>
        <w:tc>
          <w:tcPr>
            <w:tcW w:w="8295" w:type="dxa"/>
            <w:gridSpan w:val="4"/>
            <w:vAlign w:val="top"/>
          </w:tcPr>
          <w:p w14:paraId="2221F6C2">
            <w:pPr>
              <w:pStyle w:val="35"/>
              <w:keepNext w:val="0"/>
              <w:keepLines w:val="0"/>
              <w:pageBreakBefore w:val="0"/>
              <w:kinsoku/>
              <w:wordWrap/>
              <w:overflowPunct/>
              <w:topLinePunct w:val="0"/>
              <w:autoSpaceDE/>
              <w:autoSpaceDN/>
              <w:bidi w:val="0"/>
              <w:snapToGrid/>
              <w:spacing w:line="400" w:lineRule="exact"/>
              <w:ind w:left="0" w:right="23" w:hanging="80"/>
              <w:rPr>
                <w:color w:val="auto"/>
                <w:sz w:val="21"/>
                <w:szCs w:val="21"/>
                <w:highlight w:val="none"/>
              </w:rPr>
            </w:pPr>
            <w:r>
              <w:rPr>
                <w:color w:val="auto"/>
                <w:spacing w:val="1"/>
                <w:sz w:val="21"/>
                <w:szCs w:val="21"/>
                <w:highlight w:val="none"/>
              </w:rPr>
              <w:t>1.负责送货上门、设备安装、调试，确保正常运转。负责培训操作</w:t>
            </w:r>
            <w:r>
              <w:rPr>
                <w:color w:val="auto"/>
                <w:sz w:val="21"/>
                <w:szCs w:val="21"/>
                <w:highlight w:val="none"/>
              </w:rPr>
              <w:t>人员</w:t>
            </w:r>
            <w:r>
              <w:rPr>
                <w:color w:val="auto"/>
                <w:spacing w:val="-1"/>
                <w:sz w:val="21"/>
                <w:szCs w:val="21"/>
                <w:highlight w:val="none"/>
              </w:rPr>
              <w:t>至能完全独立操作及日常维护。</w:t>
            </w:r>
          </w:p>
          <w:p w14:paraId="5B9932E7">
            <w:pPr>
              <w:pStyle w:val="35"/>
              <w:keepNext w:val="0"/>
              <w:keepLines w:val="0"/>
              <w:pageBreakBefore w:val="0"/>
              <w:kinsoku/>
              <w:wordWrap/>
              <w:overflowPunct/>
              <w:topLinePunct w:val="0"/>
              <w:autoSpaceDE/>
              <w:autoSpaceDN/>
              <w:bidi w:val="0"/>
              <w:snapToGrid/>
              <w:spacing w:line="400" w:lineRule="exact"/>
              <w:ind w:left="0" w:hanging="88"/>
              <w:rPr>
                <w:color w:val="auto"/>
                <w:sz w:val="21"/>
                <w:szCs w:val="21"/>
                <w:highlight w:val="none"/>
              </w:rPr>
            </w:pPr>
            <w:r>
              <w:rPr>
                <w:color w:val="auto"/>
                <w:spacing w:val="-4"/>
                <w:sz w:val="21"/>
                <w:szCs w:val="21"/>
                <w:highlight w:val="none"/>
              </w:rPr>
              <w:t>2.质保期内仪器设备出现故障，除技术要</w:t>
            </w:r>
            <w:r>
              <w:rPr>
                <w:color w:val="auto"/>
                <w:spacing w:val="-5"/>
                <w:sz w:val="21"/>
                <w:szCs w:val="21"/>
                <w:highlight w:val="none"/>
              </w:rPr>
              <w:t>求及参数中有特殊说明的除外，</w:t>
            </w:r>
            <w:r>
              <w:rPr>
                <w:color w:val="auto"/>
                <w:spacing w:val="-4"/>
                <w:sz w:val="21"/>
                <w:szCs w:val="21"/>
                <w:highlight w:val="none"/>
              </w:rPr>
              <w:t>其他的均要求出现故障时</w:t>
            </w:r>
            <w:r>
              <w:rPr>
                <w:rFonts w:hint="eastAsia"/>
                <w:color w:val="auto"/>
                <w:spacing w:val="-4"/>
                <w:sz w:val="21"/>
                <w:szCs w:val="21"/>
                <w:highlight w:val="none"/>
                <w:lang w:eastAsia="zh-CN"/>
              </w:rPr>
              <w:t>，</w:t>
            </w:r>
            <w:r>
              <w:rPr>
                <w:color w:val="auto"/>
                <w:spacing w:val="-4"/>
                <w:sz w:val="21"/>
                <w:szCs w:val="21"/>
                <w:highlight w:val="none"/>
              </w:rPr>
              <w:t>工程师应在4小时内响应，24小时内到达现场维修。</w:t>
            </w:r>
          </w:p>
          <w:p w14:paraId="4A37B130">
            <w:pPr>
              <w:pStyle w:val="35"/>
              <w:keepNext w:val="0"/>
              <w:keepLines w:val="0"/>
              <w:pageBreakBefore w:val="0"/>
              <w:kinsoku/>
              <w:wordWrap/>
              <w:overflowPunct/>
              <w:topLinePunct w:val="0"/>
              <w:autoSpaceDE/>
              <w:autoSpaceDN/>
              <w:bidi w:val="0"/>
              <w:snapToGrid/>
              <w:spacing w:line="400" w:lineRule="exact"/>
              <w:ind w:left="0" w:right="37"/>
              <w:rPr>
                <w:color w:val="auto"/>
                <w:sz w:val="21"/>
                <w:szCs w:val="21"/>
                <w:highlight w:val="none"/>
              </w:rPr>
            </w:pPr>
            <w:r>
              <w:rPr>
                <w:rFonts w:hint="eastAsia"/>
                <w:color w:val="auto"/>
                <w:sz w:val="21"/>
                <w:szCs w:val="21"/>
                <w:highlight w:val="none"/>
                <w:lang w:val="en-US" w:eastAsia="zh-CN"/>
              </w:rPr>
              <w:t>3.</w:t>
            </w:r>
            <w:r>
              <w:rPr>
                <w:color w:val="auto"/>
                <w:sz w:val="21"/>
                <w:szCs w:val="21"/>
                <w:highlight w:val="none"/>
              </w:rPr>
              <w:t>竞标产品必须是全新、未使用过的产品。产品包装必须是未经使用的全新的合格产品，并按照原厂标准包装规格供货</w:t>
            </w:r>
            <w:r>
              <w:rPr>
                <w:color w:val="auto"/>
                <w:spacing w:val="-1"/>
                <w:sz w:val="21"/>
                <w:szCs w:val="21"/>
                <w:highlight w:val="none"/>
              </w:rPr>
              <w:t>，不接受散装或拆包装</w:t>
            </w:r>
            <w:r>
              <w:rPr>
                <w:color w:val="auto"/>
                <w:spacing w:val="2"/>
                <w:sz w:val="21"/>
                <w:szCs w:val="21"/>
                <w:highlight w:val="none"/>
              </w:rPr>
              <w:t>件。所有货物都提供使用说明书和详细装箱清单。</w:t>
            </w:r>
          </w:p>
          <w:p w14:paraId="70023504">
            <w:pPr>
              <w:pStyle w:val="35"/>
              <w:keepNext w:val="0"/>
              <w:keepLines w:val="0"/>
              <w:pageBreakBefore w:val="0"/>
              <w:kinsoku/>
              <w:wordWrap/>
              <w:overflowPunct/>
              <w:topLinePunct w:val="0"/>
              <w:autoSpaceDE/>
              <w:autoSpaceDN/>
              <w:bidi w:val="0"/>
              <w:snapToGrid/>
              <w:spacing w:line="400" w:lineRule="exact"/>
              <w:ind w:left="0"/>
              <w:rPr>
                <w:color w:val="auto"/>
                <w:sz w:val="21"/>
                <w:szCs w:val="21"/>
                <w:highlight w:val="none"/>
              </w:rPr>
            </w:pPr>
            <w:r>
              <w:rPr>
                <w:color w:val="auto"/>
                <w:spacing w:val="-1"/>
                <w:sz w:val="21"/>
                <w:szCs w:val="21"/>
                <w:highlight w:val="none"/>
              </w:rPr>
              <w:t>4.提供维护手册、维修手册、备件清单等随机材料。</w:t>
            </w:r>
          </w:p>
          <w:p w14:paraId="74BDCFAE">
            <w:pPr>
              <w:pStyle w:val="35"/>
              <w:keepNext w:val="0"/>
              <w:keepLines w:val="0"/>
              <w:pageBreakBefore w:val="0"/>
              <w:kinsoku/>
              <w:wordWrap/>
              <w:overflowPunct/>
              <w:topLinePunct w:val="0"/>
              <w:autoSpaceDE/>
              <w:autoSpaceDN/>
              <w:bidi w:val="0"/>
              <w:snapToGrid/>
              <w:spacing w:line="400" w:lineRule="exact"/>
              <w:ind w:left="0" w:leftChars="0" w:right="123" w:rightChars="0"/>
              <w:rPr>
                <w:color w:val="auto"/>
                <w:spacing w:val="-1"/>
                <w:sz w:val="21"/>
                <w:szCs w:val="21"/>
                <w:highlight w:val="none"/>
              </w:rPr>
            </w:pPr>
            <w:r>
              <w:rPr>
                <w:color w:val="auto"/>
                <w:spacing w:val="-1"/>
                <w:sz w:val="21"/>
                <w:szCs w:val="21"/>
                <w:highlight w:val="none"/>
              </w:rPr>
              <w:t>5.提供7×24小时的技术支持服务。技术支持方式包括但不限于：电话</w:t>
            </w:r>
            <w:r>
              <w:rPr>
                <w:color w:val="auto"/>
                <w:spacing w:val="18"/>
                <w:sz w:val="21"/>
                <w:szCs w:val="21"/>
                <w:highlight w:val="none"/>
              </w:rPr>
              <w:t xml:space="preserve"> </w:t>
            </w:r>
            <w:r>
              <w:rPr>
                <w:color w:val="auto"/>
                <w:spacing w:val="-1"/>
                <w:sz w:val="21"/>
                <w:szCs w:val="21"/>
                <w:highlight w:val="none"/>
              </w:rPr>
              <w:t>技术服务、现场技术服务、技术升级服务等。</w:t>
            </w:r>
          </w:p>
        </w:tc>
      </w:tr>
      <w:tr w14:paraId="0A8A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519C341D">
            <w:pPr>
              <w:pStyle w:val="35"/>
              <w:keepNext w:val="0"/>
              <w:keepLines w:val="0"/>
              <w:pageBreakBefore w:val="0"/>
              <w:kinsoku/>
              <w:wordWrap/>
              <w:overflowPunct/>
              <w:topLinePunct w:val="0"/>
              <w:autoSpaceDE/>
              <w:autoSpaceDN/>
              <w:bidi w:val="0"/>
              <w:snapToGrid/>
              <w:spacing w:line="400" w:lineRule="exact"/>
              <w:ind w:left="0" w:firstLine="206" w:firstLineChars="100"/>
              <w:jc w:val="both"/>
              <w:rPr>
                <w:color w:val="auto"/>
                <w:spacing w:val="3"/>
                <w:sz w:val="21"/>
                <w:szCs w:val="21"/>
                <w:highlight w:val="none"/>
              </w:rPr>
            </w:pPr>
            <w:r>
              <w:rPr>
                <w:color w:val="auto"/>
                <w:spacing w:val="-2"/>
                <w:sz w:val="21"/>
                <w:szCs w:val="21"/>
                <w:highlight w:val="none"/>
              </w:rPr>
              <w:t>付款方式</w:t>
            </w:r>
          </w:p>
        </w:tc>
        <w:tc>
          <w:tcPr>
            <w:tcW w:w="8295" w:type="dxa"/>
            <w:gridSpan w:val="4"/>
            <w:vAlign w:val="top"/>
          </w:tcPr>
          <w:p w14:paraId="1F577BC5">
            <w:pPr>
              <w:pStyle w:val="35"/>
              <w:keepNext w:val="0"/>
              <w:keepLines w:val="0"/>
              <w:pageBreakBefore w:val="0"/>
              <w:kinsoku/>
              <w:wordWrap/>
              <w:overflowPunct/>
              <w:topLinePunct w:val="0"/>
              <w:autoSpaceDE/>
              <w:autoSpaceDN/>
              <w:bidi w:val="0"/>
              <w:snapToGrid/>
              <w:spacing w:line="400" w:lineRule="exact"/>
              <w:ind w:left="0" w:right="43" w:hanging="120"/>
              <w:rPr>
                <w:color w:val="auto"/>
                <w:sz w:val="21"/>
                <w:szCs w:val="21"/>
                <w:highlight w:val="none"/>
              </w:rPr>
            </w:pPr>
            <w:r>
              <w:rPr>
                <w:color w:val="auto"/>
                <w:sz w:val="21"/>
                <w:szCs w:val="21"/>
                <w:highlight w:val="none"/>
              </w:rPr>
              <w:t>本项目无预付款；货物交货安装调试完毕达到使用状态并验收合格后30</w:t>
            </w:r>
            <w:r>
              <w:rPr>
                <w:color w:val="auto"/>
                <w:spacing w:val="1"/>
                <w:sz w:val="21"/>
                <w:szCs w:val="21"/>
                <w:highlight w:val="none"/>
              </w:rPr>
              <w:t>个工作日内支付合同总价的40%,正常稳定运行六个月后30个工</w:t>
            </w:r>
            <w:r>
              <w:rPr>
                <w:color w:val="auto"/>
                <w:sz w:val="21"/>
                <w:szCs w:val="21"/>
                <w:highlight w:val="none"/>
              </w:rPr>
              <w:t>作日内</w:t>
            </w:r>
            <w:r>
              <w:rPr>
                <w:color w:val="auto"/>
                <w:spacing w:val="2"/>
                <w:sz w:val="21"/>
                <w:szCs w:val="21"/>
                <w:highlight w:val="none"/>
              </w:rPr>
              <w:t>支付合同总价的50%,正常稳定运行1年后第一个月内支付合同总价的</w:t>
            </w:r>
            <w:r>
              <w:rPr>
                <w:color w:val="auto"/>
                <w:spacing w:val="-9"/>
                <w:sz w:val="21"/>
                <w:szCs w:val="21"/>
                <w:highlight w:val="none"/>
              </w:rPr>
              <w:t>10%。</w:t>
            </w:r>
          </w:p>
          <w:p w14:paraId="0B92AC06">
            <w:pPr>
              <w:pStyle w:val="35"/>
              <w:keepNext w:val="0"/>
              <w:keepLines w:val="0"/>
              <w:pageBreakBefore w:val="0"/>
              <w:kinsoku/>
              <w:wordWrap/>
              <w:overflowPunct/>
              <w:topLinePunct w:val="0"/>
              <w:autoSpaceDE/>
              <w:autoSpaceDN/>
              <w:bidi w:val="0"/>
              <w:snapToGrid/>
              <w:spacing w:line="400" w:lineRule="exact"/>
              <w:ind w:left="0" w:leftChars="0"/>
              <w:rPr>
                <w:color w:val="auto"/>
                <w:spacing w:val="-1"/>
                <w:sz w:val="21"/>
                <w:szCs w:val="21"/>
                <w:highlight w:val="none"/>
              </w:rPr>
            </w:pPr>
            <w:r>
              <w:rPr>
                <w:color w:val="auto"/>
                <w:sz w:val="21"/>
                <w:szCs w:val="21"/>
                <w:highlight w:val="none"/>
              </w:rPr>
              <w:t>每次付款前，供应商需按采购人要求开具等额发票，</w:t>
            </w:r>
            <w:r>
              <w:rPr>
                <w:color w:val="auto"/>
                <w:spacing w:val="-1"/>
                <w:sz w:val="21"/>
                <w:szCs w:val="21"/>
                <w:highlight w:val="none"/>
              </w:rPr>
              <w:t>否则不予支付。</w:t>
            </w:r>
          </w:p>
        </w:tc>
      </w:tr>
      <w:tr w14:paraId="3106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528FF67B">
            <w:pPr>
              <w:keepNext w:val="0"/>
              <w:keepLines w:val="0"/>
              <w:pageBreakBefore w:val="0"/>
              <w:kinsoku/>
              <w:wordWrap/>
              <w:overflowPunct/>
              <w:topLinePunct w:val="0"/>
              <w:autoSpaceDE/>
              <w:autoSpaceDN/>
              <w:bidi w:val="0"/>
              <w:snapToGrid/>
              <w:spacing w:line="400" w:lineRule="exact"/>
              <w:ind w:left="0"/>
              <w:jc w:val="center"/>
              <w:rPr>
                <w:rFonts w:ascii="Arial"/>
                <w:color w:val="auto"/>
                <w:sz w:val="21"/>
                <w:szCs w:val="21"/>
                <w:highlight w:val="none"/>
              </w:rPr>
            </w:pPr>
          </w:p>
          <w:p w14:paraId="0BA2AAC1">
            <w:pPr>
              <w:pStyle w:val="35"/>
              <w:keepNext w:val="0"/>
              <w:keepLines w:val="0"/>
              <w:pageBreakBefore w:val="0"/>
              <w:kinsoku/>
              <w:wordWrap/>
              <w:overflowPunct/>
              <w:topLinePunct w:val="0"/>
              <w:autoSpaceDE/>
              <w:autoSpaceDN/>
              <w:bidi w:val="0"/>
              <w:snapToGrid/>
              <w:spacing w:line="400" w:lineRule="exact"/>
              <w:ind w:left="0" w:leftChars="0"/>
              <w:jc w:val="center"/>
              <w:rPr>
                <w:color w:val="auto"/>
                <w:spacing w:val="3"/>
                <w:sz w:val="21"/>
                <w:szCs w:val="21"/>
                <w:highlight w:val="none"/>
              </w:rPr>
            </w:pPr>
            <w:r>
              <w:rPr>
                <w:color w:val="auto"/>
                <w:spacing w:val="-2"/>
                <w:sz w:val="21"/>
                <w:szCs w:val="21"/>
                <w:highlight w:val="none"/>
              </w:rPr>
              <w:t>报价要求</w:t>
            </w:r>
          </w:p>
        </w:tc>
        <w:tc>
          <w:tcPr>
            <w:tcW w:w="8295" w:type="dxa"/>
            <w:gridSpan w:val="4"/>
            <w:vAlign w:val="top"/>
          </w:tcPr>
          <w:p w14:paraId="1868D156">
            <w:pPr>
              <w:pStyle w:val="35"/>
              <w:keepNext w:val="0"/>
              <w:keepLines w:val="0"/>
              <w:pageBreakBefore w:val="0"/>
              <w:kinsoku/>
              <w:wordWrap/>
              <w:overflowPunct/>
              <w:topLinePunct w:val="0"/>
              <w:autoSpaceDE/>
              <w:autoSpaceDN/>
              <w:bidi w:val="0"/>
              <w:snapToGrid/>
              <w:spacing w:line="400" w:lineRule="exact"/>
              <w:ind w:left="0" w:leftChars="0" w:firstLine="29" w:firstLineChars="0"/>
              <w:jc w:val="both"/>
              <w:rPr>
                <w:color w:val="auto"/>
                <w:spacing w:val="-1"/>
                <w:sz w:val="21"/>
                <w:szCs w:val="21"/>
                <w:highlight w:val="none"/>
              </w:rPr>
            </w:pPr>
            <w:r>
              <w:rPr>
                <w:color w:val="auto"/>
                <w:spacing w:val="-3"/>
                <w:sz w:val="21"/>
                <w:szCs w:val="21"/>
                <w:highlight w:val="none"/>
              </w:rPr>
              <w:t>竞标报价包含货物、货物标准附件、备品备件、专用工具、设备安装辅</w:t>
            </w:r>
            <w:r>
              <w:rPr>
                <w:color w:val="auto"/>
                <w:spacing w:val="-5"/>
                <w:sz w:val="21"/>
                <w:szCs w:val="21"/>
                <w:highlight w:val="none"/>
              </w:rPr>
              <w:t>材、包装、运输、装卸、保险、货到就位的各种费用、税金、售后服务、</w:t>
            </w:r>
            <w:r>
              <w:rPr>
                <w:color w:val="auto"/>
                <w:spacing w:val="-3"/>
                <w:sz w:val="21"/>
                <w:szCs w:val="21"/>
                <w:highlight w:val="none"/>
              </w:rPr>
              <w:t>技术培训、验收等所有成本费用的总和。供应商须自行考虑完成项目所</w:t>
            </w:r>
            <w:r>
              <w:rPr>
                <w:color w:val="auto"/>
                <w:spacing w:val="-1"/>
                <w:sz w:val="21"/>
                <w:szCs w:val="21"/>
                <w:highlight w:val="none"/>
              </w:rPr>
              <w:t>需的全部内容中产生的所有费用</w:t>
            </w:r>
            <w:r>
              <w:rPr>
                <w:rFonts w:hint="eastAsia"/>
                <w:color w:val="auto"/>
                <w:spacing w:val="-1"/>
                <w:sz w:val="21"/>
                <w:szCs w:val="21"/>
                <w:highlight w:val="none"/>
                <w:lang w:eastAsia="zh-CN"/>
              </w:rPr>
              <w:t>，</w:t>
            </w:r>
            <w:r>
              <w:rPr>
                <w:color w:val="auto"/>
                <w:spacing w:val="-1"/>
                <w:sz w:val="21"/>
                <w:szCs w:val="21"/>
                <w:highlight w:val="none"/>
              </w:rPr>
              <w:t>合同实施阶段，采购人不再支付</w:t>
            </w:r>
            <w:r>
              <w:rPr>
                <w:color w:val="auto"/>
                <w:spacing w:val="-2"/>
                <w:sz w:val="21"/>
                <w:szCs w:val="21"/>
                <w:highlight w:val="none"/>
              </w:rPr>
              <w:t>任何费用。</w:t>
            </w:r>
          </w:p>
        </w:tc>
      </w:tr>
      <w:tr w14:paraId="379D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0F1F0E16">
            <w:pPr>
              <w:pStyle w:val="35"/>
              <w:keepNext w:val="0"/>
              <w:keepLines w:val="0"/>
              <w:pageBreakBefore w:val="0"/>
              <w:kinsoku/>
              <w:wordWrap/>
              <w:overflowPunct/>
              <w:topLinePunct w:val="0"/>
              <w:autoSpaceDE/>
              <w:autoSpaceDN/>
              <w:bidi w:val="0"/>
              <w:snapToGrid/>
              <w:spacing w:line="400" w:lineRule="exact"/>
              <w:ind w:left="0" w:leftChars="0"/>
              <w:jc w:val="center"/>
              <w:rPr>
                <w:color w:val="auto"/>
                <w:spacing w:val="3"/>
                <w:sz w:val="21"/>
                <w:szCs w:val="21"/>
                <w:highlight w:val="none"/>
              </w:rPr>
            </w:pPr>
            <w:r>
              <w:rPr>
                <w:color w:val="auto"/>
                <w:spacing w:val="-2"/>
                <w:sz w:val="21"/>
                <w:szCs w:val="21"/>
                <w:highlight w:val="none"/>
              </w:rPr>
              <w:t>验收标准及要</w:t>
            </w:r>
            <w:r>
              <w:rPr>
                <w:color w:val="auto"/>
                <w:spacing w:val="2"/>
                <w:sz w:val="21"/>
                <w:szCs w:val="21"/>
                <w:highlight w:val="none"/>
              </w:rPr>
              <w:t xml:space="preserve"> </w:t>
            </w:r>
            <w:r>
              <w:rPr>
                <w:color w:val="auto"/>
                <w:sz w:val="21"/>
                <w:szCs w:val="21"/>
                <w:highlight w:val="none"/>
              </w:rPr>
              <w:t>求</w:t>
            </w:r>
          </w:p>
        </w:tc>
        <w:tc>
          <w:tcPr>
            <w:tcW w:w="8295" w:type="dxa"/>
            <w:gridSpan w:val="4"/>
            <w:vAlign w:val="top"/>
          </w:tcPr>
          <w:p w14:paraId="4CAE9524">
            <w:pPr>
              <w:pStyle w:val="35"/>
              <w:keepNext w:val="0"/>
              <w:keepLines w:val="0"/>
              <w:pageBreakBefore w:val="0"/>
              <w:kinsoku/>
              <w:wordWrap/>
              <w:overflowPunct/>
              <w:topLinePunct w:val="0"/>
              <w:autoSpaceDE/>
              <w:autoSpaceDN/>
              <w:bidi w:val="0"/>
              <w:snapToGrid/>
              <w:spacing w:line="400" w:lineRule="exact"/>
              <w:ind w:left="0"/>
              <w:rPr>
                <w:color w:val="auto"/>
                <w:sz w:val="21"/>
                <w:szCs w:val="21"/>
                <w:highlight w:val="none"/>
              </w:rPr>
            </w:pPr>
            <w:r>
              <w:rPr>
                <w:color w:val="auto"/>
                <w:spacing w:val="-5"/>
                <w:sz w:val="21"/>
                <w:szCs w:val="21"/>
                <w:highlight w:val="none"/>
              </w:rPr>
              <w:t>1.成交供应商提供不符合公告规定的、采购文件、响应文件承诺的或本</w:t>
            </w:r>
            <w:r>
              <w:rPr>
                <w:color w:val="auto"/>
                <w:spacing w:val="-1"/>
                <w:sz w:val="21"/>
                <w:szCs w:val="21"/>
                <w:highlight w:val="none"/>
              </w:rPr>
              <w:t>合同规定的货物，采购人有权拒绝接受。</w:t>
            </w:r>
          </w:p>
          <w:p w14:paraId="4873C44C">
            <w:pPr>
              <w:pStyle w:val="35"/>
              <w:keepNext w:val="0"/>
              <w:keepLines w:val="0"/>
              <w:pageBreakBefore w:val="0"/>
              <w:kinsoku/>
              <w:wordWrap/>
              <w:overflowPunct/>
              <w:topLinePunct w:val="0"/>
              <w:autoSpaceDE/>
              <w:autoSpaceDN/>
              <w:bidi w:val="0"/>
              <w:snapToGrid/>
              <w:spacing w:line="400" w:lineRule="exact"/>
              <w:ind w:left="0" w:hanging="99"/>
              <w:rPr>
                <w:color w:val="auto"/>
                <w:sz w:val="21"/>
                <w:szCs w:val="21"/>
                <w:highlight w:val="none"/>
              </w:rPr>
            </w:pPr>
            <w:r>
              <w:rPr>
                <w:color w:val="auto"/>
                <w:spacing w:val="-2"/>
                <w:sz w:val="21"/>
                <w:szCs w:val="21"/>
                <w:highlight w:val="none"/>
              </w:rPr>
              <w:t>2.成交供应商应将所提供货物的装箱清单、用户手册、原厂保修卡、随</w:t>
            </w:r>
            <w:r>
              <w:rPr>
                <w:color w:val="auto"/>
                <w:spacing w:val="-5"/>
                <w:sz w:val="21"/>
                <w:szCs w:val="21"/>
                <w:highlight w:val="none"/>
              </w:rPr>
              <w:t>机资料、工具和备品、备件等交付给采购人，如有缺失应在采购人要求</w:t>
            </w:r>
            <w:r>
              <w:rPr>
                <w:color w:val="auto"/>
                <w:spacing w:val="-1"/>
                <w:sz w:val="21"/>
                <w:szCs w:val="21"/>
                <w:highlight w:val="none"/>
              </w:rPr>
              <w:t>的期限内及时补齐，否则视为逾期交货。</w:t>
            </w:r>
          </w:p>
          <w:p w14:paraId="388BD0C5">
            <w:pPr>
              <w:pStyle w:val="35"/>
              <w:keepNext w:val="0"/>
              <w:keepLines w:val="0"/>
              <w:pageBreakBefore w:val="0"/>
              <w:kinsoku/>
              <w:wordWrap/>
              <w:overflowPunct/>
              <w:topLinePunct w:val="0"/>
              <w:autoSpaceDE/>
              <w:autoSpaceDN/>
              <w:bidi w:val="0"/>
              <w:snapToGrid/>
              <w:spacing w:line="400" w:lineRule="exact"/>
              <w:ind w:left="0" w:firstLine="19"/>
              <w:rPr>
                <w:color w:val="auto"/>
                <w:sz w:val="21"/>
                <w:szCs w:val="21"/>
                <w:highlight w:val="none"/>
              </w:rPr>
            </w:pPr>
            <w:r>
              <w:rPr>
                <w:color w:val="auto"/>
                <w:sz w:val="21"/>
                <w:szCs w:val="21"/>
                <w:highlight w:val="none"/>
              </w:rPr>
              <w:t>3.成交供应商完成设备的安装调整后5个工作日内，可向采购人提出验</w:t>
            </w:r>
            <w:r>
              <w:rPr>
                <w:color w:val="auto"/>
                <w:spacing w:val="-2"/>
                <w:sz w:val="21"/>
                <w:szCs w:val="21"/>
                <w:highlight w:val="none"/>
              </w:rPr>
              <w:t>收申请。由验收小组对照采购合同的技术参数要求核对检验，如不符采购合同的技术参数要求的，按合同约定执行，成交供应商承担所有责任</w:t>
            </w:r>
            <w:r>
              <w:rPr>
                <w:color w:val="auto"/>
                <w:spacing w:val="4"/>
                <w:sz w:val="21"/>
                <w:szCs w:val="21"/>
                <w:highlight w:val="none"/>
              </w:rPr>
              <w:t>和费用</w:t>
            </w:r>
            <w:r>
              <w:rPr>
                <w:rFonts w:hint="eastAsia"/>
                <w:color w:val="auto"/>
                <w:spacing w:val="4"/>
                <w:sz w:val="21"/>
                <w:szCs w:val="21"/>
                <w:highlight w:val="none"/>
                <w:lang w:eastAsia="zh-CN"/>
              </w:rPr>
              <w:t>。</w:t>
            </w:r>
            <w:r>
              <w:rPr>
                <w:color w:val="auto"/>
                <w:spacing w:val="4"/>
                <w:sz w:val="21"/>
                <w:szCs w:val="21"/>
                <w:highlight w:val="none"/>
              </w:rPr>
              <w:t>采购人保留进一步追究责任的权利。</w:t>
            </w:r>
          </w:p>
          <w:p w14:paraId="180D3228">
            <w:pPr>
              <w:pStyle w:val="35"/>
              <w:keepNext w:val="0"/>
              <w:keepLines w:val="0"/>
              <w:pageBreakBefore w:val="0"/>
              <w:kinsoku/>
              <w:wordWrap/>
              <w:overflowPunct/>
              <w:topLinePunct w:val="0"/>
              <w:autoSpaceDE/>
              <w:autoSpaceDN/>
              <w:bidi w:val="0"/>
              <w:snapToGrid/>
              <w:spacing w:line="400" w:lineRule="exact"/>
              <w:ind w:left="0"/>
              <w:rPr>
                <w:color w:val="auto"/>
                <w:sz w:val="21"/>
                <w:szCs w:val="21"/>
                <w:highlight w:val="none"/>
              </w:rPr>
            </w:pPr>
            <w:r>
              <w:rPr>
                <w:color w:val="auto"/>
                <w:spacing w:val="-2"/>
                <w:sz w:val="21"/>
                <w:szCs w:val="21"/>
                <w:highlight w:val="none"/>
              </w:rPr>
              <w:t>4.采购人对验收有异议的，在验收后以书面形式向成交供应商提出，成交供应商应自收到采购人书面异议后五日内及时予以解决，成交供应商</w:t>
            </w:r>
            <w:r>
              <w:rPr>
                <w:color w:val="auto"/>
                <w:spacing w:val="3"/>
                <w:sz w:val="21"/>
                <w:szCs w:val="21"/>
                <w:highlight w:val="none"/>
              </w:rPr>
              <w:t>不予答复或未予以实质解决的，视为认可采购人异议及处置</w:t>
            </w:r>
            <w:r>
              <w:rPr>
                <w:color w:val="auto"/>
                <w:spacing w:val="2"/>
                <w:sz w:val="21"/>
                <w:szCs w:val="21"/>
                <w:highlight w:val="none"/>
              </w:rPr>
              <w:t>意见。</w:t>
            </w:r>
          </w:p>
          <w:p w14:paraId="4FE718D8">
            <w:pPr>
              <w:pStyle w:val="35"/>
              <w:keepNext w:val="0"/>
              <w:keepLines w:val="0"/>
              <w:pageBreakBefore w:val="0"/>
              <w:kinsoku/>
              <w:wordWrap/>
              <w:overflowPunct/>
              <w:topLinePunct w:val="0"/>
              <w:autoSpaceDE/>
              <w:autoSpaceDN/>
              <w:bidi w:val="0"/>
              <w:snapToGrid/>
              <w:spacing w:line="400" w:lineRule="exact"/>
              <w:ind w:left="0" w:leftChars="0"/>
              <w:rPr>
                <w:color w:val="auto"/>
                <w:spacing w:val="-1"/>
                <w:sz w:val="21"/>
                <w:szCs w:val="21"/>
                <w:highlight w:val="none"/>
              </w:rPr>
            </w:pPr>
            <w:r>
              <w:rPr>
                <w:color w:val="auto"/>
                <w:spacing w:val="-1"/>
                <w:sz w:val="21"/>
                <w:szCs w:val="21"/>
                <w:highlight w:val="none"/>
              </w:rPr>
              <w:t>5.验收产生的费用成交供应商负责。</w:t>
            </w:r>
          </w:p>
        </w:tc>
      </w:tr>
      <w:tr w14:paraId="17C2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center"/>
          </w:tcPr>
          <w:p w14:paraId="4D3F7C5F">
            <w:pPr>
              <w:pStyle w:val="35"/>
              <w:keepNext w:val="0"/>
              <w:keepLines w:val="0"/>
              <w:pageBreakBefore w:val="0"/>
              <w:kinsoku/>
              <w:wordWrap/>
              <w:overflowPunct/>
              <w:topLinePunct w:val="0"/>
              <w:autoSpaceDE/>
              <w:autoSpaceDN/>
              <w:bidi w:val="0"/>
              <w:snapToGrid/>
              <w:spacing w:line="400" w:lineRule="exact"/>
              <w:ind w:left="0" w:leftChars="0"/>
              <w:jc w:val="center"/>
              <w:rPr>
                <w:color w:val="auto"/>
                <w:spacing w:val="-2"/>
                <w:sz w:val="21"/>
                <w:szCs w:val="21"/>
                <w:highlight w:val="none"/>
              </w:rPr>
            </w:pPr>
            <w:r>
              <w:rPr>
                <w:color w:val="auto"/>
                <w:spacing w:val="2"/>
                <w:sz w:val="21"/>
                <w:szCs w:val="21"/>
                <w:highlight w:val="none"/>
              </w:rPr>
              <w:t>知识产权</w:t>
            </w:r>
          </w:p>
        </w:tc>
        <w:tc>
          <w:tcPr>
            <w:tcW w:w="8295" w:type="dxa"/>
            <w:gridSpan w:val="4"/>
            <w:vAlign w:val="top"/>
          </w:tcPr>
          <w:p w14:paraId="261BE890">
            <w:pPr>
              <w:pStyle w:val="35"/>
              <w:keepNext w:val="0"/>
              <w:keepLines w:val="0"/>
              <w:pageBreakBefore w:val="0"/>
              <w:kinsoku/>
              <w:wordWrap/>
              <w:overflowPunct/>
              <w:topLinePunct w:val="0"/>
              <w:autoSpaceDE/>
              <w:autoSpaceDN/>
              <w:bidi w:val="0"/>
              <w:snapToGrid/>
              <w:spacing w:line="400" w:lineRule="exact"/>
              <w:ind w:left="0" w:leftChars="0"/>
              <w:rPr>
                <w:color w:val="auto"/>
                <w:spacing w:val="-1"/>
                <w:sz w:val="21"/>
                <w:szCs w:val="21"/>
                <w:highlight w:val="none"/>
              </w:rPr>
            </w:pPr>
            <w:r>
              <w:rPr>
                <w:color w:val="auto"/>
                <w:spacing w:val="-2"/>
                <w:sz w:val="21"/>
                <w:szCs w:val="21"/>
                <w:highlight w:val="none"/>
              </w:rPr>
              <w:t>采购人在中华人民共和国境内使用供应商提供的产品及服务时免受第三方提出的侵犯其专利权或其它知识产权的起诉。如果第三方提出侵权指</w:t>
            </w:r>
            <w:r>
              <w:rPr>
                <w:color w:val="auto"/>
                <w:spacing w:val="3"/>
                <w:sz w:val="21"/>
                <w:szCs w:val="21"/>
                <w:highlight w:val="none"/>
              </w:rPr>
              <w:t>控，供应商承担由此而引起的一切法律责任和费用。</w:t>
            </w:r>
          </w:p>
        </w:tc>
      </w:tr>
      <w:tr w14:paraId="1941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vAlign w:val="top"/>
          </w:tcPr>
          <w:p w14:paraId="4153ABF0">
            <w:pPr>
              <w:pStyle w:val="35"/>
              <w:keepNext w:val="0"/>
              <w:keepLines w:val="0"/>
              <w:pageBreakBefore w:val="0"/>
              <w:kinsoku/>
              <w:wordWrap/>
              <w:overflowPunct/>
              <w:topLinePunct w:val="0"/>
              <w:autoSpaceDE/>
              <w:autoSpaceDN/>
              <w:bidi w:val="0"/>
              <w:snapToGrid/>
              <w:spacing w:line="400" w:lineRule="exact"/>
              <w:ind w:left="0" w:leftChars="0"/>
              <w:rPr>
                <w:color w:val="auto"/>
                <w:spacing w:val="-2"/>
                <w:sz w:val="21"/>
                <w:szCs w:val="21"/>
                <w:highlight w:val="none"/>
              </w:rPr>
            </w:pPr>
            <w:r>
              <w:rPr>
                <w:b/>
                <w:bCs/>
                <w:color w:val="auto"/>
                <w:spacing w:val="-3"/>
                <w:sz w:val="21"/>
                <w:szCs w:val="21"/>
                <w:highlight w:val="none"/>
              </w:rPr>
              <w:t>▲与实现项目目标相关的其他要求</w:t>
            </w:r>
          </w:p>
        </w:tc>
      </w:tr>
      <w:tr w14:paraId="7645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gridSpan w:val="2"/>
            <w:vAlign w:val="top"/>
          </w:tcPr>
          <w:p w14:paraId="7C809246">
            <w:pPr>
              <w:pStyle w:val="35"/>
              <w:keepNext w:val="0"/>
              <w:keepLines w:val="0"/>
              <w:pageBreakBefore w:val="0"/>
              <w:kinsoku/>
              <w:wordWrap/>
              <w:overflowPunct/>
              <w:topLinePunct w:val="0"/>
              <w:autoSpaceDE/>
              <w:autoSpaceDN/>
              <w:bidi w:val="0"/>
              <w:snapToGrid/>
              <w:spacing w:line="400" w:lineRule="exact"/>
              <w:ind w:left="0" w:leftChars="0"/>
              <w:jc w:val="center"/>
              <w:rPr>
                <w:color w:val="auto"/>
                <w:spacing w:val="5"/>
                <w:sz w:val="21"/>
                <w:szCs w:val="21"/>
                <w:highlight w:val="none"/>
              </w:rPr>
            </w:pPr>
            <w:r>
              <w:rPr>
                <w:color w:val="auto"/>
                <w:spacing w:val="5"/>
                <w:sz w:val="21"/>
                <w:szCs w:val="21"/>
                <w:highlight w:val="none"/>
              </w:rPr>
              <w:t>进口产品</w:t>
            </w:r>
          </w:p>
          <w:p w14:paraId="56D38D97">
            <w:pPr>
              <w:pStyle w:val="35"/>
              <w:keepNext w:val="0"/>
              <w:keepLines w:val="0"/>
              <w:pageBreakBefore w:val="0"/>
              <w:kinsoku/>
              <w:wordWrap/>
              <w:overflowPunct/>
              <w:topLinePunct w:val="0"/>
              <w:autoSpaceDE/>
              <w:autoSpaceDN/>
              <w:bidi w:val="0"/>
              <w:snapToGrid/>
              <w:spacing w:line="400" w:lineRule="exact"/>
              <w:ind w:left="0" w:leftChars="0"/>
              <w:jc w:val="center"/>
              <w:rPr>
                <w:color w:val="auto"/>
                <w:spacing w:val="2"/>
                <w:sz w:val="21"/>
                <w:szCs w:val="21"/>
                <w:highlight w:val="none"/>
              </w:rPr>
            </w:pPr>
            <w:r>
              <w:rPr>
                <w:color w:val="auto"/>
                <w:spacing w:val="12"/>
                <w:sz w:val="21"/>
                <w:szCs w:val="21"/>
                <w:highlight w:val="none"/>
              </w:rPr>
              <w:t>说明</w:t>
            </w:r>
          </w:p>
        </w:tc>
        <w:tc>
          <w:tcPr>
            <w:tcW w:w="8295" w:type="dxa"/>
            <w:gridSpan w:val="4"/>
            <w:vAlign w:val="top"/>
          </w:tcPr>
          <w:p w14:paraId="3D97E725">
            <w:pPr>
              <w:pStyle w:val="35"/>
              <w:keepNext w:val="0"/>
              <w:keepLines w:val="0"/>
              <w:pageBreakBefore w:val="0"/>
              <w:kinsoku/>
              <w:wordWrap/>
              <w:overflowPunct/>
              <w:topLinePunct w:val="0"/>
              <w:autoSpaceDE/>
              <w:autoSpaceDN/>
              <w:bidi w:val="0"/>
              <w:snapToGrid/>
              <w:spacing w:line="400" w:lineRule="exact"/>
              <w:ind w:left="0" w:leftChars="0"/>
              <w:rPr>
                <w:color w:val="auto"/>
                <w:spacing w:val="-2"/>
                <w:sz w:val="21"/>
                <w:szCs w:val="21"/>
                <w:highlight w:val="none"/>
              </w:rPr>
            </w:pPr>
            <w:r>
              <w:rPr>
                <w:color w:val="auto"/>
                <w:spacing w:val="1"/>
                <w:sz w:val="21"/>
                <w:szCs w:val="21"/>
                <w:highlight w:val="none"/>
              </w:rPr>
              <w:t>本货物不接受进口产品(即通过中国海关报关验放进入中国境内且产自</w:t>
            </w:r>
            <w:r>
              <w:rPr>
                <w:color w:val="auto"/>
                <w:sz w:val="21"/>
                <w:szCs w:val="21"/>
                <w:highlight w:val="none"/>
              </w:rPr>
              <w:t>关境外的产品)参与竞标，如有进口产品参与</w:t>
            </w:r>
            <w:r>
              <w:rPr>
                <w:color w:val="auto"/>
                <w:spacing w:val="-1"/>
                <w:sz w:val="21"/>
                <w:szCs w:val="21"/>
                <w:highlight w:val="none"/>
              </w:rPr>
              <w:t>响应的作无效竞标处理。</w:t>
            </w:r>
          </w:p>
        </w:tc>
      </w:tr>
    </w:tbl>
    <w:p w14:paraId="29B72B05">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62470A1C">
      <w:pPr>
        <w:keepNext w:val="0"/>
        <w:keepLines w:val="0"/>
        <w:pageBreakBefore w:val="0"/>
        <w:widowControl/>
        <w:suppressLineNumbers w:val="0"/>
        <w:kinsoku/>
        <w:wordWrap/>
        <w:overflowPunct/>
        <w:topLinePunct w:val="0"/>
        <w:autoSpaceDE/>
        <w:autoSpaceDN/>
        <w:bidi w:val="0"/>
        <w:adjustRightInd w:val="0"/>
        <w:snapToGrid/>
        <w:ind w:firstLine="0" w:firstLineChars="0"/>
        <w:jc w:val="center"/>
        <w:textAlignment w:val="center"/>
        <w:rPr>
          <w:rFonts w:hint="eastAsia" w:ascii="宋体" w:hAnsi="宋体" w:cs="宋体"/>
          <w:b/>
          <w:bCs/>
          <w:i w:val="0"/>
          <w:iCs w:val="0"/>
          <w:color w:val="auto"/>
          <w:kern w:val="0"/>
          <w:sz w:val="30"/>
          <w:szCs w:val="30"/>
          <w:highlight w:val="none"/>
          <w:u w:val="none"/>
          <w:lang w:val="en-US" w:eastAsia="zh-CN" w:bidi="ar"/>
        </w:rPr>
      </w:pPr>
    </w:p>
    <w:p w14:paraId="081D16EA">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1E1E77D5">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3A8F972D">
      <w:pPr>
        <w:keepNext w:val="0"/>
        <w:keepLines w:val="0"/>
        <w:pageBreakBefore w:val="0"/>
        <w:widowControl/>
        <w:suppressLineNumbers w:val="0"/>
        <w:kinsoku/>
        <w:wordWrap/>
        <w:overflowPunct/>
        <w:topLinePunct w:val="0"/>
        <w:autoSpaceDE/>
        <w:autoSpaceDN/>
        <w:bidi w:val="0"/>
        <w:adjustRightInd w:val="0"/>
        <w:snapToGrid/>
        <w:ind w:firstLine="0" w:firstLineChars="0"/>
        <w:jc w:val="both"/>
        <w:textAlignment w:val="center"/>
        <w:rPr>
          <w:rFonts w:hint="eastAsia" w:ascii="宋体" w:hAnsi="宋体" w:cs="宋体"/>
          <w:b/>
          <w:bCs/>
          <w:i w:val="0"/>
          <w:iCs w:val="0"/>
          <w:color w:val="auto"/>
          <w:kern w:val="0"/>
          <w:sz w:val="30"/>
          <w:szCs w:val="30"/>
          <w:highlight w:val="none"/>
          <w:u w:val="none"/>
          <w:lang w:val="en-US" w:eastAsia="zh-CN" w:bidi="ar"/>
        </w:rPr>
      </w:pPr>
    </w:p>
    <w:p w14:paraId="4AE2B577">
      <w:pPr>
        <w:rPr>
          <w:rFonts w:hint="eastAsia"/>
          <w:color w:val="auto"/>
          <w:highlight w:val="none"/>
          <w:lang w:val="en-US" w:eastAsia="zh-CN"/>
        </w:rPr>
      </w:pPr>
    </w:p>
    <w:p w14:paraId="030A3CC9">
      <w:pPr>
        <w:rPr>
          <w:rFonts w:hint="eastAsia"/>
          <w:color w:val="auto"/>
          <w:highlight w:val="none"/>
          <w:lang w:val="en-US" w:eastAsia="zh-CN"/>
        </w:rPr>
      </w:pPr>
    </w:p>
    <w:p w14:paraId="6283CD79">
      <w:pPr>
        <w:rPr>
          <w:rFonts w:hint="eastAsia"/>
          <w:color w:val="auto"/>
          <w:highlight w:val="none"/>
          <w:lang w:val="en-US" w:eastAsia="zh-CN"/>
        </w:rPr>
      </w:pPr>
    </w:p>
    <w:p w14:paraId="1DDDF226">
      <w:pPr>
        <w:rPr>
          <w:rFonts w:hint="eastAsia"/>
          <w:color w:val="auto"/>
          <w:highlight w:val="none"/>
          <w:lang w:val="en-US" w:eastAsia="zh-CN"/>
        </w:rPr>
      </w:pPr>
    </w:p>
    <w:p w14:paraId="0F50D6D8">
      <w:pPr>
        <w:rPr>
          <w:rFonts w:hint="eastAsia"/>
          <w:color w:val="auto"/>
          <w:highlight w:val="none"/>
          <w:lang w:val="en-US" w:eastAsia="zh-CN"/>
        </w:rPr>
      </w:pPr>
    </w:p>
    <w:p w14:paraId="5B6CB5A1">
      <w:pPr>
        <w:rPr>
          <w:rFonts w:hint="eastAsia"/>
          <w:color w:val="auto"/>
          <w:highlight w:val="none"/>
          <w:lang w:val="en-US" w:eastAsia="zh-CN"/>
        </w:rPr>
      </w:pPr>
    </w:p>
    <w:p w14:paraId="53F5B7FB">
      <w:pPr>
        <w:rPr>
          <w:rFonts w:hint="eastAsia"/>
          <w:color w:val="auto"/>
          <w:highlight w:val="none"/>
          <w:lang w:val="en-US" w:eastAsia="zh-CN"/>
        </w:rPr>
      </w:pPr>
    </w:p>
    <w:p w14:paraId="799B71C0">
      <w:pPr>
        <w:rPr>
          <w:rFonts w:hint="eastAsia"/>
          <w:color w:val="auto"/>
          <w:highlight w:val="none"/>
          <w:lang w:val="en-US" w:eastAsia="zh-CN"/>
        </w:rPr>
      </w:pPr>
    </w:p>
    <w:p w14:paraId="0CB2A53B">
      <w:pPr>
        <w:rPr>
          <w:rFonts w:hint="eastAsia"/>
          <w:color w:val="auto"/>
          <w:highlight w:val="none"/>
          <w:lang w:val="en-US" w:eastAsia="zh-CN"/>
        </w:rPr>
      </w:pPr>
    </w:p>
    <w:p w14:paraId="4FE7FC97">
      <w:pPr>
        <w:rPr>
          <w:rFonts w:hint="eastAsia"/>
          <w:color w:val="auto"/>
          <w:highlight w:val="none"/>
          <w:lang w:val="en-US" w:eastAsia="zh-CN"/>
        </w:rPr>
      </w:pPr>
    </w:p>
    <w:p w14:paraId="307BEE29">
      <w:pPr>
        <w:rPr>
          <w:rFonts w:hint="eastAsia"/>
          <w:color w:val="auto"/>
          <w:highlight w:val="none"/>
          <w:lang w:val="en-US" w:eastAsia="zh-CN"/>
        </w:rPr>
      </w:pPr>
    </w:p>
    <w:p w14:paraId="32C3088D">
      <w:pPr>
        <w:rPr>
          <w:rFonts w:hint="eastAsia"/>
          <w:color w:val="auto"/>
          <w:highlight w:val="none"/>
          <w:lang w:val="en-US" w:eastAsia="zh-CN"/>
        </w:rPr>
      </w:pPr>
    </w:p>
    <w:p w14:paraId="1FFE1F79">
      <w:pPr>
        <w:rPr>
          <w:rFonts w:hint="eastAsia"/>
          <w:color w:val="auto"/>
          <w:highlight w:val="none"/>
          <w:lang w:val="en-US" w:eastAsia="zh-CN"/>
        </w:rPr>
      </w:pPr>
    </w:p>
    <w:p w14:paraId="244CBDF0">
      <w:pPr>
        <w:rPr>
          <w:rFonts w:hint="eastAsia"/>
          <w:color w:val="auto"/>
          <w:highlight w:val="none"/>
          <w:lang w:val="en-US" w:eastAsia="zh-CN"/>
        </w:rPr>
      </w:pPr>
    </w:p>
    <w:p w14:paraId="3A2445D3">
      <w:pPr>
        <w:pStyle w:val="13"/>
        <w:jc w:val="left"/>
        <w:rPr>
          <w:rFonts w:hint="eastAsia"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3</w:t>
      </w:r>
      <w:r>
        <w:rPr>
          <w:rFonts w:hint="eastAsia" w:ascii="微软雅黑" w:hAnsi="微软雅黑" w:eastAsia="微软雅黑" w:cs="微软雅黑"/>
          <w:color w:val="auto"/>
          <w:sz w:val="32"/>
          <w:szCs w:val="32"/>
          <w:highlight w:val="none"/>
        </w:rPr>
        <w:t>：</w:t>
      </w:r>
    </w:p>
    <w:p w14:paraId="4415A6D0">
      <w:pPr>
        <w:spacing w:line="528" w:lineRule="exact"/>
        <w:ind w:firstLine="2800" w:firstLineChars="700"/>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0"/>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464E97E">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219B5D8">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505CA9BC">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5F69031">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68FEA193">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5569D9EF">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127068BB">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6B77A9C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5B7444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2FEE57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530BF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F57FE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65B35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3F92AD8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2BDD1D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6B91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13C769F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A682E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4A8BB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B88E1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5A685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5E8FB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B26E83">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03EEE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CC18C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87F71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6750F2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1FF058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DAF8F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5855F8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791AC42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3C3E4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175CE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19B19A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644B85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32B901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D53FD8F">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96C79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EB2D4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24FDE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408B65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713DEA0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1F090A1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609990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0C15DA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83CB1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55250F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024A76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4F84FB0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30D7EB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44DCCC">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18B5E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0A020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86420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4D851DA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027BD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253F5B7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FBDF9A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7B855D3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555B6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059B2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55494CB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0437A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D461E5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2A642BA">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53E15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6E1C4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346A0F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12F00C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71521FA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B8094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1E24B4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5F1A93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FE9F5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F44952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25938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D3D6C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224384C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61EE20">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D98B3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3F0C9E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404B6C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3D6A1E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4B5773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6D573F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49CF9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29CBCF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23296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8916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0E63DB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7ABA2A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74A6CC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56DE44">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F7A91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52EB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AECB3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6AB065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6C2001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13359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B4463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7AAAF56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40199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F3936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FDA90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C3C22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6F17F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0C0AE1">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6A052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43C02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270FFE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2E80EC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69F6B4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467FC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ED246B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607B41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72373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F934C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1C191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4482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2B4232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1A8A6FC">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0B91D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14D9DA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5353A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34983F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24EA65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569FDF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BFD44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70178F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4098B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7E00D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96C3E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692B4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27F978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AC7868">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E31BB9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4D58E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21B62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29CB76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01604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B81CF6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D5304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323EAF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3483C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427DC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22289DD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CD65B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0A7B1E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8E6CCB7">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33F944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ED915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1755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10FC324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14B44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66D7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2D3C4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634AA44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C87C45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2E182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BE1A4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05A8EF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A5FCB9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C0B7FF">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EAF9D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5CA34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3543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6CF9157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7B91B9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C3450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393141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7321B1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6CFA1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AE183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75BE8E5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578910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2E6978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7739CC">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E9CD48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8BFCD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C98ED5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0A6E766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23D40D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479F9E2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53AA9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4BF4D1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46795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B9FB6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75C7F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586FB4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B739DA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C27EB9F">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2CF8A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A670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F24C9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5608D8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6F27FA0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702A96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8CCF1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70A83B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D9899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34C6CF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D7B819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2FCD6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FD679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A362CD">
            <w:pPr>
              <w:widowControl/>
              <w:jc w:val="left"/>
              <w:rPr>
                <w:rFonts w:hint="eastAsia" w:ascii="仿宋" w:hAnsi="仿宋" w:eastAsia="仿宋" w:cs="仿宋"/>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B149E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586D68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22EFA5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7C71EC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6A7294D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CA4409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0D9D3CA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2BCC658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6BC44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6844A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26865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017D5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4AFC37C3">
      <w:pPr>
        <w:pStyle w:val="13"/>
        <w:snapToGrid w:val="0"/>
        <w:spacing w:line="360" w:lineRule="auto"/>
        <w:rPr>
          <w:rFonts w:hint="eastAsia" w:ascii="黑体" w:hAnsi="黑体" w:eastAsia="黑体" w:cs="黑体"/>
          <w:bCs/>
          <w:color w:val="auto"/>
          <w:sz w:val="21"/>
          <w:szCs w:val="21"/>
          <w:highlight w:val="none"/>
        </w:rPr>
      </w:pPr>
    </w:p>
    <w:p w14:paraId="50D70370">
      <w:pPr>
        <w:pStyle w:val="13"/>
        <w:snapToGrid w:val="0"/>
        <w:spacing w:line="360" w:lineRule="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58FD5C1">
      <w:pPr>
        <w:spacing w:line="428" w:lineRule="exact"/>
        <w:rPr>
          <w:rFonts w:hint="eastAsia" w:ascii="微软雅黑" w:hAnsi="微软雅黑" w:eastAsia="微软雅黑" w:cs="微软雅黑"/>
          <w:color w:val="auto"/>
          <w:sz w:val="32"/>
          <w:szCs w:val="32"/>
          <w:highlight w:val="none"/>
        </w:rPr>
      </w:pPr>
    </w:p>
    <w:p w14:paraId="1FF450F7">
      <w:pPr>
        <w:spacing w:line="428" w:lineRule="exact"/>
        <w:rPr>
          <w:rFonts w:hint="eastAsia" w:ascii="微软雅黑" w:hAnsi="微软雅黑" w:eastAsia="微软雅黑" w:cs="微软雅黑"/>
          <w:color w:val="auto"/>
          <w:sz w:val="32"/>
          <w:szCs w:val="32"/>
          <w:highlight w:val="none"/>
        </w:rPr>
      </w:pPr>
    </w:p>
    <w:p w14:paraId="19BA408C">
      <w:pPr>
        <w:spacing w:line="428" w:lineRule="exact"/>
        <w:rPr>
          <w:rFonts w:hint="eastAsia" w:ascii="微软雅黑" w:hAnsi="微软雅黑" w:eastAsia="微软雅黑" w:cs="微软雅黑"/>
          <w:color w:val="auto"/>
          <w:sz w:val="32"/>
          <w:szCs w:val="32"/>
          <w:highlight w:val="none"/>
        </w:rPr>
      </w:pPr>
    </w:p>
    <w:p w14:paraId="70C556CD">
      <w:pPr>
        <w:spacing w:line="428" w:lineRule="exact"/>
        <w:rPr>
          <w:rFonts w:hint="eastAsia"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4</w:t>
      </w:r>
      <w:r>
        <w:rPr>
          <w:rFonts w:hint="eastAsia" w:ascii="微软雅黑" w:hAnsi="微软雅黑" w:eastAsia="微软雅黑" w:cs="微软雅黑"/>
          <w:color w:val="auto"/>
          <w:sz w:val="32"/>
          <w:szCs w:val="32"/>
          <w:highlight w:val="none"/>
        </w:rPr>
        <w:t>：</w:t>
      </w:r>
    </w:p>
    <w:p w14:paraId="2231A666">
      <w:pPr>
        <w:spacing w:line="528" w:lineRule="exact"/>
        <w:ind w:left="1871"/>
        <w:rPr>
          <w:rFonts w:hint="eastAsia"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0"/>
        <w:tblW w:w="9558" w:type="dxa"/>
        <w:tblInd w:w="93" w:type="dxa"/>
        <w:tblLayout w:type="autofit"/>
        <w:tblCellMar>
          <w:top w:w="0" w:type="dxa"/>
          <w:left w:w="108" w:type="dxa"/>
          <w:bottom w:w="0" w:type="dxa"/>
          <w:right w:w="108" w:type="dxa"/>
        </w:tblCellMar>
      </w:tblPr>
      <w:tblGrid>
        <w:gridCol w:w="664"/>
        <w:gridCol w:w="1157"/>
        <w:gridCol w:w="1571"/>
        <w:gridCol w:w="1672"/>
        <w:gridCol w:w="4494"/>
      </w:tblGrid>
      <w:tr w14:paraId="39C7C972">
        <w:tblPrEx>
          <w:tblCellMar>
            <w:top w:w="0" w:type="dxa"/>
            <w:left w:w="108" w:type="dxa"/>
            <w:bottom w:w="0" w:type="dxa"/>
            <w:right w:w="108" w:type="dxa"/>
          </w:tblCellMar>
        </w:tblPrEx>
        <w:trPr>
          <w:trHeight w:val="1264" w:hRule="atLeast"/>
        </w:trPr>
        <w:tc>
          <w:tcPr>
            <w:tcW w:w="664" w:type="dxa"/>
            <w:tcBorders>
              <w:top w:val="single" w:color="000000" w:sz="8" w:space="0"/>
              <w:left w:val="single" w:color="000000" w:sz="8" w:space="0"/>
              <w:bottom w:val="single" w:color="000000" w:sz="8" w:space="0"/>
              <w:right w:val="single" w:color="000000" w:sz="8" w:space="0"/>
            </w:tcBorders>
            <w:noWrap w:val="0"/>
            <w:vAlign w:val="top"/>
          </w:tcPr>
          <w:p w14:paraId="7FBB5F24">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400" w:type="dxa"/>
            <w:gridSpan w:val="3"/>
            <w:tcBorders>
              <w:top w:val="single" w:color="000000" w:sz="8" w:space="0"/>
              <w:left w:val="nil"/>
              <w:bottom w:val="single" w:color="000000" w:sz="8" w:space="0"/>
              <w:right w:val="single" w:color="000000" w:sz="8" w:space="0"/>
            </w:tcBorders>
            <w:noWrap w:val="0"/>
            <w:vAlign w:val="center"/>
          </w:tcPr>
          <w:p w14:paraId="4CEAD0BB">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494" w:type="dxa"/>
            <w:tcBorders>
              <w:top w:val="single" w:color="000000" w:sz="8" w:space="0"/>
              <w:left w:val="nil"/>
              <w:bottom w:val="single" w:color="000000" w:sz="8" w:space="0"/>
              <w:right w:val="single" w:color="000000" w:sz="8" w:space="0"/>
            </w:tcBorders>
            <w:noWrap w:val="0"/>
            <w:vAlign w:val="center"/>
          </w:tcPr>
          <w:p w14:paraId="49234804">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78C56F3D">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5BADD8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253CE6C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571" w:type="dxa"/>
            <w:tcBorders>
              <w:top w:val="nil"/>
              <w:left w:val="nil"/>
              <w:bottom w:val="single" w:color="000000" w:sz="8" w:space="0"/>
              <w:right w:val="single" w:color="000000" w:sz="8" w:space="0"/>
            </w:tcBorders>
            <w:noWrap w:val="0"/>
            <w:vAlign w:val="center"/>
          </w:tcPr>
          <w:p w14:paraId="2FAF39A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72" w:type="dxa"/>
            <w:tcBorders>
              <w:top w:val="nil"/>
              <w:left w:val="nil"/>
              <w:bottom w:val="single" w:color="000000" w:sz="8" w:space="0"/>
              <w:right w:val="single" w:color="000000" w:sz="8" w:space="0"/>
            </w:tcBorders>
            <w:noWrap w:val="0"/>
            <w:vAlign w:val="center"/>
          </w:tcPr>
          <w:p w14:paraId="79F6462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D08A2F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06C0D13">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F4666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043493C">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474AD0E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72" w:type="dxa"/>
            <w:tcBorders>
              <w:top w:val="nil"/>
              <w:left w:val="nil"/>
              <w:bottom w:val="single" w:color="000000" w:sz="8" w:space="0"/>
              <w:right w:val="single" w:color="000000" w:sz="8" w:space="0"/>
            </w:tcBorders>
            <w:noWrap w:val="0"/>
            <w:vAlign w:val="center"/>
          </w:tcPr>
          <w:p w14:paraId="592BF2F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6C50E9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37F785F">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A2DD09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C04460">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53FF4FE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72" w:type="dxa"/>
            <w:tcBorders>
              <w:top w:val="nil"/>
              <w:left w:val="nil"/>
              <w:bottom w:val="single" w:color="000000" w:sz="8" w:space="0"/>
              <w:right w:val="single" w:color="000000" w:sz="8" w:space="0"/>
            </w:tcBorders>
            <w:noWrap w:val="0"/>
            <w:vAlign w:val="center"/>
          </w:tcPr>
          <w:p w14:paraId="1788C4F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75F7705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0E1557A">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353511D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2CFA1FB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571" w:type="dxa"/>
            <w:vMerge w:val="restart"/>
            <w:tcBorders>
              <w:top w:val="nil"/>
              <w:left w:val="single" w:color="000000" w:sz="8" w:space="0"/>
              <w:bottom w:val="single" w:color="000000" w:sz="8" w:space="0"/>
              <w:right w:val="single" w:color="000000" w:sz="8" w:space="0"/>
            </w:tcBorders>
            <w:noWrap w:val="0"/>
            <w:vAlign w:val="center"/>
          </w:tcPr>
          <w:p w14:paraId="1842485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72" w:type="dxa"/>
            <w:tcBorders>
              <w:top w:val="nil"/>
              <w:left w:val="nil"/>
              <w:bottom w:val="single" w:color="000000" w:sz="8" w:space="0"/>
              <w:right w:val="single" w:color="000000" w:sz="8" w:space="0"/>
            </w:tcBorders>
            <w:noWrap w:val="0"/>
            <w:vAlign w:val="center"/>
          </w:tcPr>
          <w:p w14:paraId="0A6E219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494" w:type="dxa"/>
            <w:tcBorders>
              <w:top w:val="nil"/>
              <w:left w:val="nil"/>
              <w:bottom w:val="single" w:color="000000" w:sz="8" w:space="0"/>
              <w:right w:val="single" w:color="000000" w:sz="8" w:space="0"/>
            </w:tcBorders>
            <w:noWrap w:val="0"/>
            <w:vAlign w:val="center"/>
          </w:tcPr>
          <w:p w14:paraId="3730C56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1CD6E16">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3EF84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FFDE2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6A9A1A">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1F6CA57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494" w:type="dxa"/>
            <w:tcBorders>
              <w:top w:val="nil"/>
              <w:left w:val="nil"/>
              <w:bottom w:val="single" w:color="000000" w:sz="8" w:space="0"/>
              <w:right w:val="single" w:color="000000" w:sz="8" w:space="0"/>
            </w:tcBorders>
            <w:noWrap w:val="0"/>
            <w:vAlign w:val="center"/>
          </w:tcPr>
          <w:p w14:paraId="6AEB302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5F3189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2E240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E6E42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505977">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0ABEEC4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494" w:type="dxa"/>
            <w:tcBorders>
              <w:top w:val="nil"/>
              <w:left w:val="nil"/>
              <w:bottom w:val="single" w:color="000000" w:sz="8" w:space="0"/>
              <w:right w:val="single" w:color="000000" w:sz="8" w:space="0"/>
            </w:tcBorders>
            <w:noWrap w:val="0"/>
            <w:vAlign w:val="center"/>
          </w:tcPr>
          <w:p w14:paraId="10E7431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7174CD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D817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CFEB18">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72FCFC0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72" w:type="dxa"/>
            <w:tcBorders>
              <w:top w:val="nil"/>
              <w:left w:val="nil"/>
              <w:bottom w:val="single" w:color="000000" w:sz="8" w:space="0"/>
              <w:right w:val="single" w:color="000000" w:sz="8" w:space="0"/>
            </w:tcBorders>
            <w:noWrap w:val="0"/>
            <w:vAlign w:val="center"/>
          </w:tcPr>
          <w:p w14:paraId="023ED75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494" w:type="dxa"/>
            <w:tcBorders>
              <w:top w:val="nil"/>
              <w:left w:val="nil"/>
              <w:bottom w:val="single" w:color="000000" w:sz="8" w:space="0"/>
              <w:right w:val="single" w:color="000000" w:sz="8" w:space="0"/>
            </w:tcBorders>
            <w:noWrap w:val="0"/>
            <w:vAlign w:val="center"/>
          </w:tcPr>
          <w:p w14:paraId="015D7D1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46E3A977">
        <w:tblPrEx>
          <w:tblCellMar>
            <w:top w:w="0" w:type="dxa"/>
            <w:left w:w="108" w:type="dxa"/>
            <w:bottom w:w="0" w:type="dxa"/>
            <w:right w:w="108" w:type="dxa"/>
          </w:tblCellMar>
        </w:tblPrEx>
        <w:trPr>
          <w:trHeight w:val="1264"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CC62C7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26053B">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1CCC4D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72" w:type="dxa"/>
            <w:tcBorders>
              <w:top w:val="nil"/>
              <w:left w:val="nil"/>
              <w:bottom w:val="single" w:color="000000" w:sz="8" w:space="0"/>
              <w:right w:val="single" w:color="000000" w:sz="8" w:space="0"/>
            </w:tcBorders>
            <w:noWrap w:val="0"/>
            <w:vAlign w:val="center"/>
          </w:tcPr>
          <w:p w14:paraId="02E6072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494" w:type="dxa"/>
            <w:tcBorders>
              <w:top w:val="nil"/>
              <w:left w:val="nil"/>
              <w:bottom w:val="single" w:color="000000" w:sz="8" w:space="0"/>
              <w:right w:val="single" w:color="000000" w:sz="8" w:space="0"/>
            </w:tcBorders>
            <w:noWrap w:val="0"/>
            <w:vAlign w:val="center"/>
          </w:tcPr>
          <w:p w14:paraId="64CC57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1E80A549">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353703F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157" w:type="dxa"/>
            <w:tcBorders>
              <w:top w:val="nil"/>
              <w:left w:val="nil"/>
              <w:bottom w:val="single" w:color="000000" w:sz="8" w:space="0"/>
              <w:right w:val="single" w:color="000000" w:sz="8" w:space="0"/>
            </w:tcBorders>
            <w:noWrap w:val="0"/>
            <w:vAlign w:val="center"/>
          </w:tcPr>
          <w:p w14:paraId="18CCE65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571" w:type="dxa"/>
            <w:tcBorders>
              <w:top w:val="nil"/>
              <w:left w:val="nil"/>
              <w:bottom w:val="single" w:color="000000" w:sz="8" w:space="0"/>
              <w:right w:val="single" w:color="000000" w:sz="8" w:space="0"/>
            </w:tcBorders>
            <w:noWrap w:val="0"/>
            <w:vAlign w:val="center"/>
          </w:tcPr>
          <w:p w14:paraId="787B52E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6590E4D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794E0AC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7C38D27A">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5D8ACE6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157" w:type="dxa"/>
            <w:tcBorders>
              <w:top w:val="nil"/>
              <w:left w:val="nil"/>
              <w:bottom w:val="single" w:color="000000" w:sz="8" w:space="0"/>
              <w:right w:val="single" w:color="000000" w:sz="8" w:space="0"/>
            </w:tcBorders>
            <w:noWrap w:val="0"/>
            <w:vAlign w:val="center"/>
          </w:tcPr>
          <w:p w14:paraId="2E4F009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571" w:type="dxa"/>
            <w:tcBorders>
              <w:top w:val="nil"/>
              <w:left w:val="nil"/>
              <w:bottom w:val="single" w:color="000000" w:sz="8" w:space="0"/>
              <w:right w:val="single" w:color="000000" w:sz="8" w:space="0"/>
            </w:tcBorders>
            <w:noWrap w:val="0"/>
            <w:vAlign w:val="center"/>
          </w:tcPr>
          <w:p w14:paraId="14F269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4E7DFA7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6DCF71E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988B56A">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60EE26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157" w:type="dxa"/>
            <w:tcBorders>
              <w:top w:val="nil"/>
              <w:left w:val="nil"/>
              <w:bottom w:val="single" w:color="000000" w:sz="8" w:space="0"/>
              <w:right w:val="single" w:color="000000" w:sz="8" w:space="0"/>
            </w:tcBorders>
            <w:noWrap w:val="0"/>
            <w:vAlign w:val="center"/>
          </w:tcPr>
          <w:p w14:paraId="52F3A25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571" w:type="dxa"/>
            <w:tcBorders>
              <w:top w:val="nil"/>
              <w:left w:val="nil"/>
              <w:bottom w:val="single" w:color="000000" w:sz="8" w:space="0"/>
              <w:right w:val="single" w:color="000000" w:sz="8" w:space="0"/>
            </w:tcBorders>
            <w:noWrap w:val="0"/>
            <w:vAlign w:val="center"/>
          </w:tcPr>
          <w:p w14:paraId="4F3DB64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72" w:type="dxa"/>
            <w:tcBorders>
              <w:top w:val="nil"/>
              <w:left w:val="nil"/>
              <w:bottom w:val="single" w:color="000000" w:sz="8" w:space="0"/>
              <w:right w:val="single" w:color="000000" w:sz="8" w:space="0"/>
            </w:tcBorders>
            <w:noWrap w:val="0"/>
            <w:vAlign w:val="center"/>
          </w:tcPr>
          <w:p w14:paraId="4B2781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2220A4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59DC5743">
        <w:tblPrEx>
          <w:tblCellMar>
            <w:top w:w="0" w:type="dxa"/>
            <w:left w:w="108" w:type="dxa"/>
            <w:bottom w:w="0" w:type="dxa"/>
            <w:right w:w="108" w:type="dxa"/>
          </w:tblCellMar>
        </w:tblPrEx>
        <w:trPr>
          <w:trHeight w:val="953"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45ED40C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4B0E3CA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571" w:type="dxa"/>
            <w:vMerge w:val="restart"/>
            <w:tcBorders>
              <w:top w:val="nil"/>
              <w:left w:val="single" w:color="000000" w:sz="8" w:space="0"/>
              <w:bottom w:val="single" w:color="000000" w:sz="8" w:space="0"/>
              <w:right w:val="single" w:color="000000" w:sz="8" w:space="0"/>
            </w:tcBorders>
            <w:noWrap w:val="0"/>
            <w:vAlign w:val="center"/>
          </w:tcPr>
          <w:p w14:paraId="20AA9E0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72" w:type="dxa"/>
            <w:tcBorders>
              <w:top w:val="nil"/>
              <w:left w:val="nil"/>
              <w:bottom w:val="single" w:color="000000" w:sz="8" w:space="0"/>
              <w:right w:val="single" w:color="000000" w:sz="8" w:space="0"/>
            </w:tcBorders>
            <w:noWrap w:val="0"/>
            <w:vAlign w:val="center"/>
          </w:tcPr>
          <w:p w14:paraId="62CE4EA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494" w:type="dxa"/>
            <w:tcBorders>
              <w:top w:val="nil"/>
              <w:left w:val="nil"/>
              <w:bottom w:val="single" w:color="000000" w:sz="8" w:space="0"/>
              <w:right w:val="single" w:color="000000" w:sz="8" w:space="0"/>
            </w:tcBorders>
            <w:noWrap w:val="0"/>
            <w:vAlign w:val="center"/>
          </w:tcPr>
          <w:p w14:paraId="0F5AB8A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4F686FAC">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08477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2D5297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AF57053">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2E2F831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494" w:type="dxa"/>
            <w:tcBorders>
              <w:top w:val="nil"/>
              <w:left w:val="nil"/>
              <w:bottom w:val="single" w:color="000000" w:sz="8" w:space="0"/>
              <w:right w:val="single" w:color="000000" w:sz="8" w:space="0"/>
            </w:tcBorders>
            <w:noWrap w:val="0"/>
            <w:vAlign w:val="center"/>
          </w:tcPr>
          <w:p w14:paraId="5F1E3DB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04B40D39">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39F09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3D2A2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D4E3F9">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3E6C00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494" w:type="dxa"/>
            <w:tcBorders>
              <w:top w:val="nil"/>
              <w:left w:val="nil"/>
              <w:bottom w:val="single" w:color="000000" w:sz="8" w:space="0"/>
              <w:right w:val="single" w:color="000000" w:sz="8" w:space="0"/>
            </w:tcBorders>
            <w:noWrap w:val="0"/>
            <w:vAlign w:val="center"/>
          </w:tcPr>
          <w:p w14:paraId="26E41E8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7B66F10F">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DA22A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5447E2">
            <w:pPr>
              <w:widowControl/>
              <w:jc w:val="left"/>
              <w:rPr>
                <w:rFonts w:ascii="宋体" w:hAnsi="宋体" w:cs="宋体"/>
                <w:color w:val="auto"/>
                <w:kern w:val="0"/>
                <w:sz w:val="20"/>
                <w:szCs w:val="20"/>
                <w:highlight w:val="none"/>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482EFC0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72" w:type="dxa"/>
            <w:tcBorders>
              <w:top w:val="nil"/>
              <w:left w:val="nil"/>
              <w:bottom w:val="single" w:color="000000" w:sz="8" w:space="0"/>
              <w:right w:val="single" w:color="000000" w:sz="8" w:space="0"/>
            </w:tcBorders>
            <w:noWrap w:val="0"/>
            <w:vAlign w:val="center"/>
          </w:tcPr>
          <w:p w14:paraId="40E35B5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494" w:type="dxa"/>
            <w:tcBorders>
              <w:top w:val="nil"/>
              <w:left w:val="nil"/>
              <w:bottom w:val="single" w:color="000000" w:sz="8" w:space="0"/>
              <w:right w:val="single" w:color="000000" w:sz="8" w:space="0"/>
            </w:tcBorders>
            <w:noWrap w:val="0"/>
            <w:vAlign w:val="center"/>
          </w:tcPr>
          <w:p w14:paraId="3233E2C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BAB1511">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5A1C7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8B5BB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235C68">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69C7E3F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494" w:type="dxa"/>
            <w:tcBorders>
              <w:top w:val="nil"/>
              <w:left w:val="nil"/>
              <w:bottom w:val="single" w:color="000000" w:sz="8" w:space="0"/>
              <w:right w:val="single" w:color="000000" w:sz="8" w:space="0"/>
            </w:tcBorders>
            <w:noWrap w:val="0"/>
            <w:vAlign w:val="center"/>
          </w:tcPr>
          <w:p w14:paraId="1778FA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41EE6CC0">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F1284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E27D72">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729245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72" w:type="dxa"/>
            <w:tcBorders>
              <w:top w:val="nil"/>
              <w:left w:val="nil"/>
              <w:bottom w:val="single" w:color="000000" w:sz="8" w:space="0"/>
              <w:right w:val="single" w:color="000000" w:sz="8" w:space="0"/>
            </w:tcBorders>
            <w:noWrap w:val="0"/>
            <w:vAlign w:val="center"/>
          </w:tcPr>
          <w:p w14:paraId="3A30A9F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494" w:type="dxa"/>
            <w:tcBorders>
              <w:top w:val="nil"/>
              <w:left w:val="nil"/>
              <w:bottom w:val="single" w:color="000000" w:sz="8" w:space="0"/>
              <w:right w:val="single" w:color="000000" w:sz="8" w:space="0"/>
            </w:tcBorders>
            <w:noWrap w:val="0"/>
            <w:vAlign w:val="center"/>
          </w:tcPr>
          <w:p w14:paraId="5542EBF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7891CD2A">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38F46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EBA6AC">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6E85EA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72" w:type="dxa"/>
            <w:tcBorders>
              <w:top w:val="nil"/>
              <w:left w:val="nil"/>
              <w:bottom w:val="single" w:color="000000" w:sz="8" w:space="0"/>
              <w:right w:val="single" w:color="000000" w:sz="8" w:space="0"/>
            </w:tcBorders>
            <w:noWrap w:val="0"/>
            <w:vAlign w:val="center"/>
          </w:tcPr>
          <w:p w14:paraId="477BD98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494" w:type="dxa"/>
            <w:tcBorders>
              <w:top w:val="nil"/>
              <w:left w:val="nil"/>
              <w:bottom w:val="single" w:color="000000" w:sz="8" w:space="0"/>
              <w:right w:val="single" w:color="000000" w:sz="8" w:space="0"/>
            </w:tcBorders>
            <w:noWrap w:val="0"/>
            <w:vAlign w:val="center"/>
          </w:tcPr>
          <w:p w14:paraId="7AB8CDE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715CAAB0">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08FCC37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157" w:type="dxa"/>
            <w:tcBorders>
              <w:top w:val="nil"/>
              <w:left w:val="nil"/>
              <w:bottom w:val="single" w:color="000000" w:sz="8" w:space="0"/>
              <w:right w:val="single" w:color="000000" w:sz="8" w:space="0"/>
            </w:tcBorders>
            <w:noWrap w:val="0"/>
            <w:vAlign w:val="center"/>
          </w:tcPr>
          <w:p w14:paraId="7B18B1D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571" w:type="dxa"/>
            <w:tcBorders>
              <w:top w:val="nil"/>
              <w:left w:val="nil"/>
              <w:bottom w:val="single" w:color="000000" w:sz="8" w:space="0"/>
              <w:right w:val="single" w:color="000000" w:sz="8" w:space="0"/>
            </w:tcBorders>
            <w:noWrap w:val="0"/>
            <w:vAlign w:val="center"/>
          </w:tcPr>
          <w:p w14:paraId="17F257D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384A299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3D42B90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57FE987C">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5A80AE5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157" w:type="dxa"/>
            <w:tcBorders>
              <w:top w:val="nil"/>
              <w:left w:val="nil"/>
              <w:bottom w:val="single" w:color="000000" w:sz="8" w:space="0"/>
              <w:right w:val="single" w:color="000000" w:sz="8" w:space="0"/>
            </w:tcBorders>
            <w:noWrap w:val="0"/>
            <w:vAlign w:val="center"/>
          </w:tcPr>
          <w:p w14:paraId="1CBDA7B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571" w:type="dxa"/>
            <w:tcBorders>
              <w:top w:val="nil"/>
              <w:left w:val="nil"/>
              <w:bottom w:val="single" w:color="000000" w:sz="8" w:space="0"/>
              <w:right w:val="single" w:color="000000" w:sz="8" w:space="0"/>
            </w:tcBorders>
            <w:noWrap w:val="0"/>
            <w:vAlign w:val="center"/>
          </w:tcPr>
          <w:p w14:paraId="57CA676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72" w:type="dxa"/>
            <w:tcBorders>
              <w:top w:val="nil"/>
              <w:left w:val="nil"/>
              <w:bottom w:val="single" w:color="000000" w:sz="8" w:space="0"/>
              <w:right w:val="single" w:color="000000" w:sz="8" w:space="0"/>
            </w:tcBorders>
            <w:noWrap w:val="0"/>
            <w:vAlign w:val="center"/>
          </w:tcPr>
          <w:p w14:paraId="592F72E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01F8959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227047D0">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531E939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157" w:type="dxa"/>
            <w:tcBorders>
              <w:top w:val="nil"/>
              <w:left w:val="nil"/>
              <w:bottom w:val="single" w:color="000000" w:sz="8" w:space="0"/>
              <w:right w:val="single" w:color="000000" w:sz="8" w:space="0"/>
            </w:tcBorders>
            <w:noWrap w:val="0"/>
            <w:vAlign w:val="center"/>
          </w:tcPr>
          <w:p w14:paraId="27B584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571" w:type="dxa"/>
            <w:tcBorders>
              <w:top w:val="nil"/>
              <w:left w:val="nil"/>
              <w:bottom w:val="single" w:color="000000" w:sz="8" w:space="0"/>
              <w:right w:val="single" w:color="000000" w:sz="8" w:space="0"/>
            </w:tcBorders>
            <w:noWrap w:val="0"/>
            <w:vAlign w:val="center"/>
          </w:tcPr>
          <w:p w14:paraId="4A2E41A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72" w:type="dxa"/>
            <w:tcBorders>
              <w:top w:val="nil"/>
              <w:left w:val="nil"/>
              <w:bottom w:val="single" w:color="000000" w:sz="8" w:space="0"/>
              <w:right w:val="single" w:color="000000" w:sz="8" w:space="0"/>
            </w:tcBorders>
            <w:noWrap w:val="0"/>
            <w:vAlign w:val="center"/>
          </w:tcPr>
          <w:p w14:paraId="29AA7C7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5A6159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76BF587">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1814C12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1040928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571" w:type="dxa"/>
            <w:tcBorders>
              <w:top w:val="nil"/>
              <w:left w:val="nil"/>
              <w:bottom w:val="single" w:color="000000" w:sz="8" w:space="0"/>
              <w:right w:val="single" w:color="000000" w:sz="8" w:space="0"/>
            </w:tcBorders>
            <w:noWrap w:val="0"/>
            <w:vAlign w:val="center"/>
          </w:tcPr>
          <w:p w14:paraId="07E8DBE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72" w:type="dxa"/>
            <w:tcBorders>
              <w:top w:val="nil"/>
              <w:left w:val="nil"/>
              <w:bottom w:val="single" w:color="000000" w:sz="8" w:space="0"/>
              <w:right w:val="single" w:color="000000" w:sz="8" w:space="0"/>
            </w:tcBorders>
            <w:noWrap w:val="0"/>
            <w:vAlign w:val="center"/>
          </w:tcPr>
          <w:p w14:paraId="5C2A69B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0D7774D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4C71CD9C">
        <w:tblPrEx>
          <w:tblCellMar>
            <w:top w:w="0" w:type="dxa"/>
            <w:left w:w="108" w:type="dxa"/>
            <w:bottom w:w="0" w:type="dxa"/>
            <w:right w:w="108" w:type="dxa"/>
          </w:tblCellMar>
        </w:tblPrEx>
        <w:trPr>
          <w:trHeight w:val="1264"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A028B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EF1933">
            <w:pPr>
              <w:widowControl/>
              <w:jc w:val="left"/>
              <w:rPr>
                <w:rFonts w:ascii="宋体" w:hAnsi="宋体" w:cs="宋体"/>
                <w:color w:val="auto"/>
                <w:kern w:val="0"/>
                <w:sz w:val="20"/>
                <w:szCs w:val="20"/>
                <w:highlight w:val="none"/>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349327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72" w:type="dxa"/>
            <w:tcBorders>
              <w:top w:val="nil"/>
              <w:left w:val="nil"/>
              <w:bottom w:val="single" w:color="000000" w:sz="8" w:space="0"/>
              <w:right w:val="single" w:color="000000" w:sz="8" w:space="0"/>
            </w:tcBorders>
            <w:noWrap w:val="0"/>
            <w:vAlign w:val="center"/>
          </w:tcPr>
          <w:p w14:paraId="55B5836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494" w:type="dxa"/>
            <w:tcBorders>
              <w:top w:val="nil"/>
              <w:left w:val="nil"/>
              <w:bottom w:val="single" w:color="000000" w:sz="8" w:space="0"/>
              <w:right w:val="single" w:color="000000" w:sz="8" w:space="0"/>
            </w:tcBorders>
            <w:noWrap w:val="0"/>
            <w:vAlign w:val="center"/>
          </w:tcPr>
          <w:p w14:paraId="26E3F07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6306E19">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3BE72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6602E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F728F0F">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6B0B55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494" w:type="dxa"/>
            <w:tcBorders>
              <w:top w:val="nil"/>
              <w:left w:val="nil"/>
              <w:bottom w:val="single" w:color="000000" w:sz="8" w:space="0"/>
              <w:right w:val="single" w:color="000000" w:sz="8" w:space="0"/>
            </w:tcBorders>
            <w:noWrap w:val="0"/>
            <w:vAlign w:val="center"/>
          </w:tcPr>
          <w:p w14:paraId="4DE119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A15525C">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DE2138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DA2AB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5A271E">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56C8750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494" w:type="dxa"/>
            <w:tcBorders>
              <w:top w:val="nil"/>
              <w:left w:val="nil"/>
              <w:bottom w:val="single" w:color="000000" w:sz="8" w:space="0"/>
              <w:right w:val="single" w:color="000000" w:sz="8" w:space="0"/>
            </w:tcBorders>
            <w:noWrap w:val="0"/>
            <w:vAlign w:val="center"/>
          </w:tcPr>
          <w:p w14:paraId="28A77A4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5957E233">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5D6B5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8307C11">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2E6E75D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72" w:type="dxa"/>
            <w:tcBorders>
              <w:top w:val="nil"/>
              <w:left w:val="nil"/>
              <w:bottom w:val="single" w:color="000000" w:sz="8" w:space="0"/>
              <w:right w:val="single" w:color="000000" w:sz="8" w:space="0"/>
            </w:tcBorders>
            <w:noWrap w:val="0"/>
            <w:vAlign w:val="center"/>
          </w:tcPr>
          <w:p w14:paraId="5F83CF9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3E6B8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4FF24CD">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384E3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7FBD4B">
            <w:pPr>
              <w:widowControl/>
              <w:jc w:val="left"/>
              <w:rPr>
                <w:rFonts w:ascii="宋体" w:hAnsi="宋体" w:cs="宋体"/>
                <w:color w:val="auto"/>
                <w:kern w:val="0"/>
                <w:sz w:val="20"/>
                <w:szCs w:val="20"/>
                <w:highlight w:val="none"/>
              </w:rPr>
            </w:pPr>
          </w:p>
        </w:tc>
        <w:tc>
          <w:tcPr>
            <w:tcW w:w="1571" w:type="dxa"/>
            <w:vMerge w:val="restart"/>
            <w:tcBorders>
              <w:top w:val="nil"/>
              <w:left w:val="single" w:color="000000" w:sz="8" w:space="0"/>
              <w:bottom w:val="single" w:color="000000" w:sz="8" w:space="0"/>
              <w:right w:val="single" w:color="000000" w:sz="8" w:space="0"/>
            </w:tcBorders>
            <w:noWrap w:val="0"/>
            <w:vAlign w:val="center"/>
          </w:tcPr>
          <w:p w14:paraId="3993ADA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72" w:type="dxa"/>
            <w:tcBorders>
              <w:top w:val="nil"/>
              <w:left w:val="nil"/>
              <w:bottom w:val="single" w:color="000000" w:sz="8" w:space="0"/>
              <w:right w:val="single" w:color="000000" w:sz="8" w:space="0"/>
            </w:tcBorders>
            <w:noWrap w:val="0"/>
            <w:vAlign w:val="center"/>
          </w:tcPr>
          <w:p w14:paraId="13221FB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494" w:type="dxa"/>
            <w:tcBorders>
              <w:top w:val="nil"/>
              <w:left w:val="nil"/>
              <w:bottom w:val="single" w:color="000000" w:sz="8" w:space="0"/>
              <w:right w:val="single" w:color="000000" w:sz="8" w:space="0"/>
            </w:tcBorders>
            <w:noWrap w:val="0"/>
            <w:vAlign w:val="center"/>
          </w:tcPr>
          <w:p w14:paraId="0ABF61E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12020CB7">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E08E2C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C1CFB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F24B35">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0C38F6A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494" w:type="dxa"/>
            <w:tcBorders>
              <w:top w:val="nil"/>
              <w:left w:val="nil"/>
              <w:bottom w:val="single" w:color="000000" w:sz="8" w:space="0"/>
              <w:right w:val="single" w:color="000000" w:sz="8" w:space="0"/>
            </w:tcBorders>
            <w:noWrap w:val="0"/>
            <w:vAlign w:val="center"/>
          </w:tcPr>
          <w:p w14:paraId="0D3B985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75D2255A">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F47BA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D17D4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727FF56">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470D308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494" w:type="dxa"/>
            <w:tcBorders>
              <w:top w:val="nil"/>
              <w:left w:val="nil"/>
              <w:bottom w:val="single" w:color="000000" w:sz="8" w:space="0"/>
              <w:right w:val="single" w:color="000000" w:sz="8" w:space="0"/>
            </w:tcBorders>
            <w:noWrap w:val="0"/>
            <w:vAlign w:val="center"/>
          </w:tcPr>
          <w:p w14:paraId="6633A12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47295FF5">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EB9035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EB1E4A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BAE9A40">
            <w:pPr>
              <w:widowControl/>
              <w:jc w:val="left"/>
              <w:rPr>
                <w:rFonts w:ascii="宋体" w:hAnsi="宋体" w:cs="宋体"/>
                <w:color w:val="auto"/>
                <w:kern w:val="0"/>
                <w:sz w:val="20"/>
                <w:szCs w:val="20"/>
                <w:highlight w:val="none"/>
              </w:rPr>
            </w:pPr>
          </w:p>
        </w:tc>
        <w:tc>
          <w:tcPr>
            <w:tcW w:w="1672" w:type="dxa"/>
            <w:tcBorders>
              <w:top w:val="nil"/>
              <w:left w:val="nil"/>
              <w:bottom w:val="single" w:color="000000" w:sz="8" w:space="0"/>
              <w:right w:val="single" w:color="000000" w:sz="8" w:space="0"/>
            </w:tcBorders>
            <w:noWrap w:val="0"/>
            <w:vAlign w:val="center"/>
          </w:tcPr>
          <w:p w14:paraId="4BE476F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494" w:type="dxa"/>
            <w:tcBorders>
              <w:top w:val="nil"/>
              <w:left w:val="nil"/>
              <w:bottom w:val="single" w:color="000000" w:sz="8" w:space="0"/>
              <w:right w:val="single" w:color="000000" w:sz="8" w:space="0"/>
            </w:tcBorders>
            <w:noWrap w:val="0"/>
            <w:vAlign w:val="center"/>
          </w:tcPr>
          <w:p w14:paraId="2E6F80D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8307BD5">
        <w:tblPrEx>
          <w:tblCellMar>
            <w:top w:w="0" w:type="dxa"/>
            <w:left w:w="108" w:type="dxa"/>
            <w:bottom w:w="0" w:type="dxa"/>
            <w:right w:w="108" w:type="dxa"/>
          </w:tblCellMar>
        </w:tblPrEx>
        <w:trPr>
          <w:trHeight w:val="642"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2A06D81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6193384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571" w:type="dxa"/>
            <w:tcBorders>
              <w:top w:val="nil"/>
              <w:left w:val="nil"/>
              <w:bottom w:val="single" w:color="000000" w:sz="8" w:space="0"/>
              <w:right w:val="single" w:color="000000" w:sz="8" w:space="0"/>
            </w:tcBorders>
            <w:noWrap w:val="0"/>
            <w:vAlign w:val="center"/>
          </w:tcPr>
          <w:p w14:paraId="7E8089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72" w:type="dxa"/>
            <w:tcBorders>
              <w:top w:val="nil"/>
              <w:left w:val="nil"/>
              <w:bottom w:val="single" w:color="000000" w:sz="8" w:space="0"/>
              <w:right w:val="single" w:color="000000" w:sz="8" w:space="0"/>
            </w:tcBorders>
            <w:noWrap w:val="0"/>
            <w:vAlign w:val="center"/>
          </w:tcPr>
          <w:p w14:paraId="172518E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339F86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56108EE4">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F984F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0A629BC">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1418662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72" w:type="dxa"/>
            <w:tcBorders>
              <w:top w:val="nil"/>
              <w:left w:val="nil"/>
              <w:bottom w:val="single" w:color="000000" w:sz="8" w:space="0"/>
              <w:right w:val="single" w:color="000000" w:sz="8" w:space="0"/>
            </w:tcBorders>
            <w:noWrap w:val="0"/>
            <w:vAlign w:val="center"/>
          </w:tcPr>
          <w:p w14:paraId="2138850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134BAE8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18D15F82">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568E67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A4FEE04">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2F7009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72" w:type="dxa"/>
            <w:tcBorders>
              <w:top w:val="nil"/>
              <w:left w:val="nil"/>
              <w:bottom w:val="single" w:color="000000" w:sz="8" w:space="0"/>
              <w:right w:val="single" w:color="000000" w:sz="8" w:space="0"/>
            </w:tcBorders>
            <w:noWrap w:val="0"/>
            <w:vAlign w:val="center"/>
          </w:tcPr>
          <w:p w14:paraId="5428DF0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033FB96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101C3F91">
        <w:tblPrEx>
          <w:tblCellMar>
            <w:top w:w="0" w:type="dxa"/>
            <w:left w:w="108" w:type="dxa"/>
            <w:bottom w:w="0" w:type="dxa"/>
            <w:right w:w="108" w:type="dxa"/>
          </w:tblCellMar>
        </w:tblPrEx>
        <w:trPr>
          <w:trHeight w:val="953"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02F799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FC076B8">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52C0D05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72" w:type="dxa"/>
            <w:tcBorders>
              <w:top w:val="nil"/>
              <w:left w:val="nil"/>
              <w:bottom w:val="single" w:color="000000" w:sz="8" w:space="0"/>
              <w:right w:val="single" w:color="000000" w:sz="8" w:space="0"/>
            </w:tcBorders>
            <w:noWrap w:val="0"/>
            <w:vAlign w:val="center"/>
          </w:tcPr>
          <w:p w14:paraId="281DA81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B0F113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23D32107">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1108BF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157" w:type="dxa"/>
            <w:tcBorders>
              <w:top w:val="nil"/>
              <w:left w:val="nil"/>
              <w:bottom w:val="single" w:color="000000" w:sz="8" w:space="0"/>
              <w:right w:val="single" w:color="000000" w:sz="8" w:space="0"/>
            </w:tcBorders>
            <w:noWrap w:val="0"/>
            <w:vAlign w:val="center"/>
          </w:tcPr>
          <w:p w14:paraId="23C694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571" w:type="dxa"/>
            <w:tcBorders>
              <w:top w:val="nil"/>
              <w:left w:val="nil"/>
              <w:bottom w:val="single" w:color="000000" w:sz="8" w:space="0"/>
              <w:right w:val="single" w:color="000000" w:sz="8" w:space="0"/>
            </w:tcBorders>
            <w:noWrap w:val="0"/>
            <w:vAlign w:val="center"/>
          </w:tcPr>
          <w:p w14:paraId="6ABB350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72" w:type="dxa"/>
            <w:tcBorders>
              <w:top w:val="nil"/>
              <w:left w:val="nil"/>
              <w:bottom w:val="single" w:color="000000" w:sz="8" w:space="0"/>
              <w:right w:val="single" w:color="000000" w:sz="8" w:space="0"/>
            </w:tcBorders>
            <w:noWrap w:val="0"/>
            <w:vAlign w:val="center"/>
          </w:tcPr>
          <w:p w14:paraId="63D788E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7F8443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68FF20BC">
        <w:tblPrEx>
          <w:tblCellMar>
            <w:top w:w="0" w:type="dxa"/>
            <w:left w:w="108" w:type="dxa"/>
            <w:bottom w:w="0" w:type="dxa"/>
            <w:right w:w="108" w:type="dxa"/>
          </w:tblCellMar>
        </w:tblPrEx>
        <w:trPr>
          <w:trHeight w:val="1264" w:hRule="atLeast"/>
        </w:trPr>
        <w:tc>
          <w:tcPr>
            <w:tcW w:w="664" w:type="dxa"/>
            <w:tcBorders>
              <w:top w:val="nil"/>
              <w:left w:val="single" w:color="000000" w:sz="8" w:space="0"/>
              <w:bottom w:val="single" w:color="000000" w:sz="8" w:space="0"/>
              <w:right w:val="single" w:color="000000" w:sz="8" w:space="0"/>
            </w:tcBorders>
            <w:noWrap w:val="0"/>
            <w:vAlign w:val="center"/>
          </w:tcPr>
          <w:p w14:paraId="783B1AE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157" w:type="dxa"/>
            <w:tcBorders>
              <w:top w:val="nil"/>
              <w:left w:val="nil"/>
              <w:bottom w:val="single" w:color="000000" w:sz="8" w:space="0"/>
              <w:right w:val="single" w:color="000000" w:sz="8" w:space="0"/>
            </w:tcBorders>
            <w:noWrap w:val="0"/>
            <w:vAlign w:val="center"/>
          </w:tcPr>
          <w:p w14:paraId="34444AC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571" w:type="dxa"/>
            <w:tcBorders>
              <w:top w:val="nil"/>
              <w:left w:val="nil"/>
              <w:bottom w:val="single" w:color="000000" w:sz="8" w:space="0"/>
              <w:right w:val="single" w:color="000000" w:sz="8" w:space="0"/>
            </w:tcBorders>
            <w:noWrap w:val="0"/>
            <w:vAlign w:val="center"/>
          </w:tcPr>
          <w:p w14:paraId="5889C32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72" w:type="dxa"/>
            <w:tcBorders>
              <w:top w:val="nil"/>
              <w:left w:val="nil"/>
              <w:bottom w:val="single" w:color="000000" w:sz="8" w:space="0"/>
              <w:right w:val="single" w:color="000000" w:sz="8" w:space="0"/>
            </w:tcBorders>
            <w:noWrap w:val="0"/>
            <w:vAlign w:val="center"/>
          </w:tcPr>
          <w:p w14:paraId="6419266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494" w:type="dxa"/>
            <w:tcBorders>
              <w:top w:val="nil"/>
              <w:left w:val="nil"/>
              <w:bottom w:val="single" w:color="000000" w:sz="8" w:space="0"/>
              <w:right w:val="single" w:color="000000" w:sz="8" w:space="0"/>
            </w:tcBorders>
            <w:noWrap w:val="0"/>
            <w:vAlign w:val="center"/>
          </w:tcPr>
          <w:p w14:paraId="45CA13A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11F894B">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4D43DDE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157" w:type="dxa"/>
            <w:tcBorders>
              <w:top w:val="nil"/>
              <w:left w:val="nil"/>
              <w:bottom w:val="single" w:color="000000" w:sz="8" w:space="0"/>
              <w:right w:val="single" w:color="000000" w:sz="8" w:space="0"/>
            </w:tcBorders>
            <w:noWrap w:val="0"/>
            <w:vAlign w:val="center"/>
          </w:tcPr>
          <w:p w14:paraId="07D8C9A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571" w:type="dxa"/>
            <w:tcBorders>
              <w:top w:val="nil"/>
              <w:left w:val="nil"/>
              <w:bottom w:val="single" w:color="000000" w:sz="8" w:space="0"/>
              <w:right w:val="single" w:color="000000" w:sz="8" w:space="0"/>
            </w:tcBorders>
            <w:noWrap w:val="0"/>
            <w:vAlign w:val="center"/>
          </w:tcPr>
          <w:p w14:paraId="7A88F02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72" w:type="dxa"/>
            <w:tcBorders>
              <w:top w:val="nil"/>
              <w:left w:val="nil"/>
              <w:bottom w:val="single" w:color="000000" w:sz="8" w:space="0"/>
              <w:right w:val="single" w:color="000000" w:sz="8" w:space="0"/>
            </w:tcBorders>
            <w:noWrap w:val="0"/>
            <w:vAlign w:val="center"/>
          </w:tcPr>
          <w:p w14:paraId="15D1E34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11AD5E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208E1DE3">
        <w:tblPrEx>
          <w:tblCellMar>
            <w:top w:w="0" w:type="dxa"/>
            <w:left w:w="108" w:type="dxa"/>
            <w:bottom w:w="0" w:type="dxa"/>
            <w:right w:w="108" w:type="dxa"/>
          </w:tblCellMar>
        </w:tblPrEx>
        <w:trPr>
          <w:trHeight w:val="331" w:hRule="atLeast"/>
        </w:trPr>
        <w:tc>
          <w:tcPr>
            <w:tcW w:w="664" w:type="dxa"/>
            <w:vMerge w:val="restart"/>
            <w:tcBorders>
              <w:top w:val="nil"/>
              <w:left w:val="single" w:color="000000" w:sz="8" w:space="0"/>
              <w:bottom w:val="single" w:color="000000" w:sz="8" w:space="0"/>
              <w:right w:val="single" w:color="000000" w:sz="8" w:space="0"/>
            </w:tcBorders>
            <w:noWrap w:val="0"/>
            <w:vAlign w:val="center"/>
          </w:tcPr>
          <w:p w14:paraId="0B858D4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157" w:type="dxa"/>
            <w:vMerge w:val="restart"/>
            <w:tcBorders>
              <w:top w:val="nil"/>
              <w:left w:val="single" w:color="000000" w:sz="8" w:space="0"/>
              <w:bottom w:val="single" w:color="000000" w:sz="8" w:space="0"/>
              <w:right w:val="single" w:color="000000" w:sz="8" w:space="0"/>
            </w:tcBorders>
            <w:noWrap w:val="0"/>
            <w:vAlign w:val="center"/>
          </w:tcPr>
          <w:p w14:paraId="1975005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571" w:type="dxa"/>
            <w:tcBorders>
              <w:top w:val="nil"/>
              <w:left w:val="nil"/>
              <w:bottom w:val="single" w:color="000000" w:sz="8" w:space="0"/>
              <w:right w:val="single" w:color="000000" w:sz="8" w:space="0"/>
            </w:tcBorders>
            <w:noWrap w:val="0"/>
            <w:vAlign w:val="center"/>
          </w:tcPr>
          <w:p w14:paraId="652F9EB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72" w:type="dxa"/>
            <w:tcBorders>
              <w:top w:val="nil"/>
              <w:left w:val="nil"/>
              <w:bottom w:val="single" w:color="000000" w:sz="8" w:space="0"/>
              <w:right w:val="single" w:color="000000" w:sz="8" w:space="0"/>
            </w:tcBorders>
            <w:noWrap w:val="0"/>
            <w:vAlign w:val="center"/>
          </w:tcPr>
          <w:p w14:paraId="73ED18C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767B526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51DC65A7">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D9673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0181E97">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5315404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72" w:type="dxa"/>
            <w:tcBorders>
              <w:top w:val="nil"/>
              <w:left w:val="nil"/>
              <w:bottom w:val="single" w:color="000000" w:sz="8" w:space="0"/>
              <w:right w:val="single" w:color="000000" w:sz="8" w:space="0"/>
            </w:tcBorders>
            <w:noWrap w:val="0"/>
            <w:vAlign w:val="center"/>
          </w:tcPr>
          <w:p w14:paraId="63A5D56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68C0E9B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4ECCD3E8">
        <w:tblPrEx>
          <w:tblCellMar>
            <w:top w:w="0" w:type="dxa"/>
            <w:left w:w="108" w:type="dxa"/>
            <w:bottom w:w="0" w:type="dxa"/>
            <w:right w:w="108" w:type="dxa"/>
          </w:tblCellMar>
        </w:tblPrEx>
        <w:trPr>
          <w:trHeight w:val="642"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3BC61F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D2465F">
            <w:pPr>
              <w:widowControl/>
              <w:jc w:val="left"/>
              <w:rPr>
                <w:rFonts w:ascii="宋体" w:hAnsi="宋体" w:cs="宋体"/>
                <w:color w:val="auto"/>
                <w:kern w:val="0"/>
                <w:sz w:val="20"/>
                <w:szCs w:val="20"/>
                <w:highlight w:val="none"/>
              </w:rPr>
            </w:pPr>
          </w:p>
        </w:tc>
        <w:tc>
          <w:tcPr>
            <w:tcW w:w="1571" w:type="dxa"/>
            <w:tcBorders>
              <w:top w:val="nil"/>
              <w:left w:val="nil"/>
              <w:bottom w:val="single" w:color="000000" w:sz="8" w:space="0"/>
              <w:right w:val="single" w:color="000000" w:sz="8" w:space="0"/>
            </w:tcBorders>
            <w:noWrap w:val="0"/>
            <w:vAlign w:val="center"/>
          </w:tcPr>
          <w:p w14:paraId="4F3121F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72" w:type="dxa"/>
            <w:tcBorders>
              <w:top w:val="nil"/>
              <w:left w:val="nil"/>
              <w:bottom w:val="single" w:color="000000" w:sz="8" w:space="0"/>
              <w:right w:val="single" w:color="000000" w:sz="8" w:space="0"/>
            </w:tcBorders>
            <w:noWrap w:val="0"/>
            <w:vAlign w:val="center"/>
          </w:tcPr>
          <w:p w14:paraId="22461A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0ABF4E5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4F8BED5D">
        <w:tblPrEx>
          <w:tblCellMar>
            <w:top w:w="0" w:type="dxa"/>
            <w:left w:w="108" w:type="dxa"/>
            <w:bottom w:w="0" w:type="dxa"/>
            <w:right w:w="108" w:type="dxa"/>
          </w:tblCellMar>
        </w:tblPrEx>
        <w:trPr>
          <w:trHeight w:val="642" w:hRule="atLeast"/>
        </w:trPr>
        <w:tc>
          <w:tcPr>
            <w:tcW w:w="664" w:type="dxa"/>
            <w:tcBorders>
              <w:top w:val="nil"/>
              <w:left w:val="single" w:color="000000" w:sz="8" w:space="0"/>
              <w:bottom w:val="single" w:color="000000" w:sz="8" w:space="0"/>
              <w:right w:val="single" w:color="000000" w:sz="8" w:space="0"/>
            </w:tcBorders>
            <w:noWrap w:val="0"/>
            <w:vAlign w:val="center"/>
          </w:tcPr>
          <w:p w14:paraId="2274C40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157" w:type="dxa"/>
            <w:tcBorders>
              <w:top w:val="nil"/>
              <w:left w:val="nil"/>
              <w:bottom w:val="single" w:color="000000" w:sz="8" w:space="0"/>
              <w:right w:val="single" w:color="000000" w:sz="8" w:space="0"/>
            </w:tcBorders>
            <w:noWrap w:val="0"/>
            <w:vAlign w:val="center"/>
          </w:tcPr>
          <w:p w14:paraId="750A6A5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571" w:type="dxa"/>
            <w:tcBorders>
              <w:top w:val="nil"/>
              <w:left w:val="nil"/>
              <w:bottom w:val="single" w:color="000000" w:sz="8" w:space="0"/>
              <w:right w:val="single" w:color="000000" w:sz="8" w:space="0"/>
            </w:tcBorders>
            <w:noWrap w:val="0"/>
            <w:vAlign w:val="center"/>
          </w:tcPr>
          <w:p w14:paraId="2487B60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08FB0D5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062CCD2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6EECC394">
        <w:tblPrEx>
          <w:tblCellMar>
            <w:top w:w="0" w:type="dxa"/>
            <w:left w:w="108" w:type="dxa"/>
            <w:bottom w:w="0" w:type="dxa"/>
            <w:right w:w="108" w:type="dxa"/>
          </w:tblCellMar>
        </w:tblPrEx>
        <w:trPr>
          <w:trHeight w:val="953" w:hRule="atLeast"/>
        </w:trPr>
        <w:tc>
          <w:tcPr>
            <w:tcW w:w="664" w:type="dxa"/>
            <w:tcBorders>
              <w:top w:val="nil"/>
              <w:left w:val="single" w:color="000000" w:sz="8" w:space="0"/>
              <w:bottom w:val="single" w:color="000000" w:sz="8" w:space="0"/>
              <w:right w:val="single" w:color="000000" w:sz="8" w:space="0"/>
            </w:tcBorders>
            <w:noWrap w:val="0"/>
            <w:vAlign w:val="center"/>
          </w:tcPr>
          <w:p w14:paraId="00E9DFB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157" w:type="dxa"/>
            <w:tcBorders>
              <w:top w:val="nil"/>
              <w:left w:val="nil"/>
              <w:bottom w:val="single" w:color="000000" w:sz="8" w:space="0"/>
              <w:right w:val="single" w:color="000000" w:sz="8" w:space="0"/>
            </w:tcBorders>
            <w:noWrap w:val="0"/>
            <w:vAlign w:val="center"/>
          </w:tcPr>
          <w:p w14:paraId="31BF3D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571" w:type="dxa"/>
            <w:tcBorders>
              <w:top w:val="nil"/>
              <w:left w:val="nil"/>
              <w:bottom w:val="single" w:color="000000" w:sz="8" w:space="0"/>
              <w:right w:val="single" w:color="000000" w:sz="8" w:space="0"/>
            </w:tcBorders>
            <w:noWrap w:val="0"/>
            <w:vAlign w:val="center"/>
          </w:tcPr>
          <w:p w14:paraId="12166EC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1FC8D17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42E148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70CF8AC5">
        <w:tblPrEx>
          <w:tblCellMar>
            <w:top w:w="0" w:type="dxa"/>
            <w:left w:w="108" w:type="dxa"/>
            <w:bottom w:w="0" w:type="dxa"/>
            <w:right w:w="108" w:type="dxa"/>
          </w:tblCellMar>
        </w:tblPrEx>
        <w:trPr>
          <w:trHeight w:val="662" w:hRule="atLeast"/>
        </w:trPr>
        <w:tc>
          <w:tcPr>
            <w:tcW w:w="664" w:type="dxa"/>
            <w:tcBorders>
              <w:top w:val="nil"/>
              <w:left w:val="single" w:color="000000" w:sz="8" w:space="0"/>
              <w:bottom w:val="single" w:color="000000" w:sz="8" w:space="0"/>
              <w:right w:val="single" w:color="000000" w:sz="8" w:space="0"/>
            </w:tcBorders>
            <w:noWrap w:val="0"/>
            <w:vAlign w:val="center"/>
          </w:tcPr>
          <w:p w14:paraId="0E8AF7F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157" w:type="dxa"/>
            <w:tcBorders>
              <w:top w:val="nil"/>
              <w:left w:val="nil"/>
              <w:bottom w:val="single" w:color="000000" w:sz="8" w:space="0"/>
              <w:right w:val="single" w:color="000000" w:sz="8" w:space="0"/>
            </w:tcBorders>
            <w:noWrap w:val="0"/>
            <w:vAlign w:val="center"/>
          </w:tcPr>
          <w:p w14:paraId="203E6BC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571" w:type="dxa"/>
            <w:tcBorders>
              <w:top w:val="nil"/>
              <w:left w:val="nil"/>
              <w:bottom w:val="single" w:color="000000" w:sz="8" w:space="0"/>
              <w:right w:val="single" w:color="000000" w:sz="8" w:space="0"/>
            </w:tcBorders>
            <w:noWrap w:val="0"/>
            <w:vAlign w:val="center"/>
          </w:tcPr>
          <w:p w14:paraId="3234534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72" w:type="dxa"/>
            <w:tcBorders>
              <w:top w:val="nil"/>
              <w:left w:val="nil"/>
              <w:bottom w:val="single" w:color="000000" w:sz="8" w:space="0"/>
              <w:right w:val="single" w:color="000000" w:sz="8" w:space="0"/>
            </w:tcBorders>
            <w:noWrap w:val="0"/>
            <w:vAlign w:val="center"/>
          </w:tcPr>
          <w:p w14:paraId="298F83B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494" w:type="dxa"/>
            <w:tcBorders>
              <w:top w:val="nil"/>
              <w:left w:val="nil"/>
              <w:bottom w:val="single" w:color="000000" w:sz="8" w:space="0"/>
              <w:right w:val="single" w:color="000000" w:sz="8" w:space="0"/>
            </w:tcBorders>
            <w:noWrap w:val="0"/>
            <w:vAlign w:val="center"/>
          </w:tcPr>
          <w:p w14:paraId="33BC93F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099C0397">
      <w:pPr>
        <w:spacing w:line="528" w:lineRule="exact"/>
        <w:ind w:left="1871"/>
        <w:rPr>
          <w:rFonts w:hint="eastAsia" w:ascii="微软雅黑" w:hAnsi="微软雅黑" w:eastAsia="微软雅黑" w:cs="微软雅黑"/>
          <w:color w:val="auto"/>
          <w:sz w:val="40"/>
          <w:szCs w:val="40"/>
          <w:highlight w:val="none"/>
        </w:rPr>
      </w:pPr>
    </w:p>
    <w:p w14:paraId="0FC57AFE">
      <w:pPr>
        <w:pStyle w:val="13"/>
        <w:snapToGrid w:val="0"/>
        <w:spacing w:line="360" w:lineRule="auto"/>
        <w:rPr>
          <w:rFonts w:hint="eastAsia" w:ascii="黑体" w:hAnsi="黑体" w:eastAsia="黑体" w:cs="黑体"/>
          <w:bCs/>
          <w:color w:val="auto"/>
          <w:sz w:val="32"/>
          <w:szCs w:val="32"/>
          <w:highlight w:val="none"/>
        </w:rPr>
      </w:pPr>
    </w:p>
    <w:p w14:paraId="2F1DB042">
      <w:pPr>
        <w:pStyle w:val="13"/>
        <w:snapToGrid w:val="0"/>
        <w:spacing w:line="360" w:lineRule="auto"/>
        <w:rPr>
          <w:rFonts w:hint="eastAsia" w:ascii="黑体" w:hAnsi="黑体" w:eastAsia="黑体" w:cs="黑体"/>
          <w:bCs/>
          <w:color w:val="auto"/>
          <w:sz w:val="32"/>
          <w:szCs w:val="32"/>
          <w:highlight w:val="none"/>
        </w:rPr>
      </w:pPr>
    </w:p>
    <w:p w14:paraId="0A65F723">
      <w:pPr>
        <w:pStyle w:val="13"/>
        <w:snapToGrid w:val="0"/>
        <w:spacing w:line="360" w:lineRule="auto"/>
        <w:rPr>
          <w:rFonts w:hint="eastAsia" w:ascii="黑体" w:hAnsi="黑体" w:eastAsia="黑体" w:cs="黑体"/>
          <w:bCs/>
          <w:color w:val="auto"/>
          <w:sz w:val="32"/>
          <w:szCs w:val="32"/>
          <w:highlight w:val="none"/>
        </w:rPr>
      </w:pPr>
    </w:p>
    <w:p w14:paraId="2F2178EE">
      <w:pPr>
        <w:pStyle w:val="13"/>
        <w:snapToGrid w:val="0"/>
        <w:spacing w:line="360" w:lineRule="auto"/>
        <w:rPr>
          <w:rFonts w:hint="eastAsia" w:ascii="黑体" w:hAnsi="黑体" w:eastAsia="黑体" w:cs="黑体"/>
          <w:bCs/>
          <w:color w:val="auto"/>
          <w:sz w:val="32"/>
          <w:szCs w:val="32"/>
          <w:highlight w:val="none"/>
        </w:rPr>
      </w:pPr>
    </w:p>
    <w:p w14:paraId="47A85E3C">
      <w:pPr>
        <w:pStyle w:val="13"/>
        <w:snapToGrid w:val="0"/>
        <w:spacing w:line="360" w:lineRule="auto"/>
        <w:rPr>
          <w:rFonts w:hint="eastAsia" w:ascii="黑体" w:hAnsi="黑体" w:eastAsia="黑体" w:cs="黑体"/>
          <w:bCs/>
          <w:color w:val="auto"/>
          <w:sz w:val="32"/>
          <w:szCs w:val="32"/>
          <w:highlight w:val="none"/>
        </w:rPr>
      </w:pPr>
    </w:p>
    <w:p w14:paraId="34683086">
      <w:pPr>
        <w:pStyle w:val="13"/>
        <w:snapToGrid w:val="0"/>
        <w:spacing w:line="360" w:lineRule="auto"/>
        <w:rPr>
          <w:rFonts w:hint="eastAsia" w:ascii="黑体" w:hAnsi="黑体" w:eastAsia="黑体" w:cs="黑体"/>
          <w:bCs/>
          <w:color w:val="auto"/>
          <w:sz w:val="32"/>
          <w:szCs w:val="32"/>
          <w:highlight w:val="none"/>
        </w:rPr>
      </w:pPr>
    </w:p>
    <w:p w14:paraId="500BE704">
      <w:pPr>
        <w:pStyle w:val="13"/>
        <w:snapToGrid w:val="0"/>
        <w:spacing w:line="360" w:lineRule="auto"/>
        <w:rPr>
          <w:rFonts w:hint="eastAsia" w:ascii="黑体" w:hAnsi="黑体" w:eastAsia="黑体" w:cs="黑体"/>
          <w:bCs/>
          <w:color w:val="auto"/>
          <w:sz w:val="32"/>
          <w:szCs w:val="32"/>
          <w:highlight w:val="none"/>
        </w:rPr>
      </w:pPr>
    </w:p>
    <w:p w14:paraId="549D050F">
      <w:pPr>
        <w:pStyle w:val="13"/>
        <w:snapToGrid w:val="0"/>
        <w:spacing w:line="360" w:lineRule="auto"/>
        <w:rPr>
          <w:rFonts w:hint="eastAsia" w:ascii="黑体" w:hAnsi="黑体" w:eastAsia="黑体" w:cs="黑体"/>
          <w:bCs/>
          <w:color w:val="auto"/>
          <w:sz w:val="32"/>
          <w:szCs w:val="32"/>
          <w:highlight w:val="none"/>
        </w:rPr>
      </w:pPr>
    </w:p>
    <w:p w14:paraId="5394B849">
      <w:pPr>
        <w:pStyle w:val="13"/>
        <w:snapToGrid w:val="0"/>
        <w:spacing w:line="360" w:lineRule="auto"/>
        <w:rPr>
          <w:rFonts w:hint="eastAsia" w:ascii="黑体" w:hAnsi="黑体" w:eastAsia="黑体" w:cs="黑体"/>
          <w:bCs/>
          <w:color w:val="auto"/>
          <w:sz w:val="32"/>
          <w:szCs w:val="32"/>
          <w:highlight w:val="none"/>
        </w:rPr>
      </w:pPr>
    </w:p>
    <w:p w14:paraId="2CEEC098">
      <w:pPr>
        <w:pStyle w:val="26"/>
        <w:jc w:val="center"/>
        <w:outlineLvl w:val="0"/>
        <w:rPr>
          <w:color w:val="auto"/>
          <w:highlight w:val="none"/>
        </w:rPr>
      </w:pPr>
      <w:bookmarkStart w:id="47" w:name="_Toc21292"/>
      <w:r>
        <w:rPr>
          <w:rFonts w:hint="eastAsia"/>
          <w:color w:val="auto"/>
          <w:highlight w:val="none"/>
          <w:lang w:val="en-US" w:eastAsia="zh-CN"/>
        </w:rPr>
        <w:t>第四章 评审程序和评定成交的标准</w:t>
      </w:r>
      <w:bookmarkEnd w:id="47"/>
    </w:p>
    <w:p w14:paraId="4489A5F9">
      <w:pPr>
        <w:pStyle w:val="26"/>
        <w:jc w:val="center"/>
        <w:rPr>
          <w:color w:val="auto"/>
          <w:highlight w:val="none"/>
        </w:rPr>
      </w:pPr>
      <w:r>
        <w:rPr>
          <w:rFonts w:hint="eastAsia"/>
          <w:color w:val="auto"/>
          <w:highlight w:val="none"/>
          <w:lang w:val="en-US" w:eastAsia="zh-CN"/>
        </w:rPr>
        <w:t>一、评审程序</w:t>
      </w:r>
    </w:p>
    <w:p w14:paraId="4920EBF0">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 xml:space="preserve">1.确认谈判文件 </w:t>
      </w:r>
    </w:p>
    <w:p w14:paraId="42AB7C17">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由谈判小组确认谈判文件。 </w:t>
      </w:r>
    </w:p>
    <w:p w14:paraId="79EB9BEF">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2.资格审查 </w:t>
      </w:r>
    </w:p>
    <w:p w14:paraId="609A336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2.1 响应文件开启后，谈判小组依法对供应商的资格证明文件进行审查。 </w:t>
      </w:r>
    </w:p>
    <w:p w14:paraId="1625C95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注：谈判小组在资格审查结束前，对供应商进行信用查询。 </w:t>
      </w:r>
    </w:p>
    <w:p w14:paraId="567340A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（1）查询渠道：广西政府采购云平台“信用中国”网站(www.creditchina.gov.cn)、中国政府采购网(www.ccgp.gov.cn)链接入口。 </w:t>
      </w:r>
    </w:p>
    <w:p w14:paraId="5D24A31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（2）信用查询截止时点：资格审查结束前。 </w:t>
      </w:r>
    </w:p>
    <w:p w14:paraId="7A6B47C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名单、政府采购严重违法失信行为记录名单及其他不符合《中华人民共和国政府采购法》第二十二条规定条件的供应商）的，视同联合体存在不良信用记录。 </w:t>
      </w:r>
    </w:p>
    <w:p w14:paraId="6303FC48">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2.2 资格审查标准为本谈判文件中载明对供应商资格要求的条件。本项目资格审查采用合格 </w:t>
      </w:r>
    </w:p>
    <w:p w14:paraId="7972FD70">
      <w:pPr>
        <w:pStyle w:val="26"/>
        <w:keepNext w:val="0"/>
        <w:keepLines w:val="0"/>
        <w:pageBreakBefore w:val="0"/>
        <w:widowControl w:val="0"/>
        <w:kinsoku/>
        <w:wordWrap/>
        <w:overflowPunct/>
        <w:topLinePunct w:val="0"/>
        <w:autoSpaceDE/>
        <w:autoSpaceDN/>
        <w:bidi w:val="0"/>
        <w:adjustRightInd/>
        <w:snapToGrid/>
        <w:spacing w:line="360" w:lineRule="auto"/>
        <w:ind w:left="238"/>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制，凡符合谈判文件规定的供应商资格要求的供应商均通过资格审查。 </w:t>
      </w:r>
    </w:p>
    <w:p w14:paraId="069DF2D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2.3 供应商有下列情形之一的，资格审查不通过，其响应文件按无效处理： </w:t>
      </w:r>
    </w:p>
    <w:p w14:paraId="7790CD6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（1）不具备谈判文件中规定的资格要求的； </w:t>
      </w:r>
    </w:p>
    <w:p w14:paraId="5B3C59BA">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（2）未按谈判文件规定的方式获取本谈判文件的供应商； </w:t>
      </w:r>
    </w:p>
    <w:p w14:paraId="01696513">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（3）响应文件中的资格证明文件缺少任一项“供应商须知前附表”资格证明文件规定的“必须提供”的文件资料的； </w:t>
      </w:r>
    </w:p>
    <w:p w14:paraId="7407BE7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（4）响应文件中的资格证明文件出现任一项不符合“供应商须知前附表”资格证明文件规定的“必须提供”的文件资料要求或者无效的； </w:t>
      </w:r>
    </w:p>
    <w:p w14:paraId="38313ECB">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（5）同一合同项下的不同供应商，单位负责人为同一人或者存在直接控股、管理关系的；为本项目提供过整体设计、规范编制或者项目管理、监理、检测等服务的供应商，再参加该采购项目的其他采购活动的。 </w:t>
      </w:r>
    </w:p>
    <w:p w14:paraId="5CB269F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2.4 通过资格审查的合格供应商不足 3 家（本章 3.7 条规定除外）的，不得进入符合性审查环节，应当重新开展采购活动。 </w:t>
      </w:r>
    </w:p>
    <w:p w14:paraId="6E38CF69">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3.符合性审查 </w:t>
      </w:r>
    </w:p>
    <w:p w14:paraId="4D061481">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rFonts w:hint="eastAsia" w:ascii="宋体" w:eastAsia="宋体"/>
          <w:b w:val="0"/>
          <w:bCs w:val="0"/>
          <w:color w:val="auto"/>
          <w:sz w:val="21"/>
          <w:szCs w:val="21"/>
          <w:highlight w:val="none"/>
          <w:lang w:val="en-US" w:eastAsia="zh-CN"/>
        </w:rPr>
      </w:pPr>
      <w:r>
        <w:rPr>
          <w:rFonts w:hint="eastAsia" w:ascii="宋体" w:eastAsia="宋体"/>
          <w:b w:val="0"/>
          <w:bCs w:val="0"/>
          <w:color w:val="auto"/>
          <w:sz w:val="21"/>
          <w:szCs w:val="21"/>
          <w:highlight w:val="none"/>
          <w:lang w:val="en-US" w:eastAsia="zh-CN"/>
        </w:rPr>
        <w:t xml:space="preserve">3.1 谈判小组应当对符合资格的供应商的响应文件进行竞标报价、商务、技术等实质性要求符合性审查，以确定其是否满足谈判文件的实质性要求。 </w:t>
      </w:r>
    </w:p>
    <w:p w14:paraId="3CA22A5A">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3.2 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68AF6074">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3.3 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签章。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 </w:t>
      </w:r>
    </w:p>
    <w:p w14:paraId="36783787">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3.4 首次响应文件报价出现前后不一致的，按照下列规定修正： </w:t>
      </w:r>
    </w:p>
    <w:p w14:paraId="35ED444B">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（1）响应文件中报价表内容与响应文件中相应内容不一致的，以报价表为准； </w:t>
      </w:r>
    </w:p>
    <w:p w14:paraId="6AACD7E6">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（2）大写金额和小写金额不一致的，以大写金额为准； </w:t>
      </w:r>
    </w:p>
    <w:p w14:paraId="5581E7F9">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（3）单价金额小数点或者百分比有明显错位的，以报价表的总价为准，并修改单价； </w:t>
      </w:r>
    </w:p>
    <w:p w14:paraId="1D00DCD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（4）总价金额与按单价汇总金额不一致的，以单价金额计算结果为准。 </w:t>
      </w:r>
    </w:p>
    <w:p w14:paraId="042479B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同时出现两种以上不一致的，按照以上（1）-（4）规定的顺序逐条进行修正。修正后的报价经供应商确认后产生约束力，供应商不确认的，其响应文件按无效响应处理。 </w:t>
      </w:r>
    </w:p>
    <w:p w14:paraId="1165237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3.5 商务技术报价评审 </w:t>
      </w:r>
    </w:p>
    <w:p w14:paraId="42FD4BD1">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在评审时，如发现下列情形之一的，将被视为响应文件无效处理： </w:t>
      </w:r>
    </w:p>
    <w:p w14:paraId="69757EC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（1）商务技术评审 </w:t>
      </w:r>
    </w:p>
    <w:p w14:paraId="6A612889">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1）响应文件未按谈判文件要求签署、盖章的； </w:t>
      </w:r>
    </w:p>
    <w:p w14:paraId="4A3687D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2）委托代理人未能出具有效身份证或者出具的身份证与授权委托书中的信息不符的； </w:t>
      </w:r>
    </w:p>
    <w:p w14:paraId="50990C08">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3）提交的竞标保证金无效的或者未按照谈判文件的规定提交竞标保证金； </w:t>
      </w:r>
    </w:p>
    <w:p w14:paraId="710883D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 </w:t>
      </w:r>
    </w:p>
    <w:p w14:paraId="32B78B39">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5）商务要求允许负偏离的条款数超过“供应商须知前附表”规定项数的； </w:t>
      </w:r>
    </w:p>
    <w:p w14:paraId="6FD7CE82">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6）未对竞标有效期作出响应或者响应文件承诺的竞标有效期不满足谈判文件要求； </w:t>
      </w:r>
    </w:p>
    <w:p w14:paraId="439F3FD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7）响应文件的实质性内容未使用中文表述、使用计量单位不符合谈判文件要求的； </w:t>
      </w:r>
    </w:p>
    <w:p w14:paraId="7DD3194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8）响应文件中的文件资料因填写不齐全或者内容虚假或者出现其他情形而导致被谈判小组认定无效的； </w:t>
      </w:r>
    </w:p>
    <w:p w14:paraId="244EFA3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9）响应文件含有采购人不能接受的附加条件的； </w:t>
      </w:r>
    </w:p>
    <w:p w14:paraId="55105EC4">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10）属于“供应商须知正文”第 7.5 条的情形的； </w:t>
      </w:r>
    </w:p>
    <w:p w14:paraId="6A422F9B">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11）技术评审允许负偏离的条款数超过“供应商须知前附表”规定项数的； </w:t>
      </w:r>
    </w:p>
    <w:p w14:paraId="326EE788">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12）虚假竞标，或者出现其他情形而导致被谈判小组认定无效的； </w:t>
      </w:r>
    </w:p>
    <w:p w14:paraId="1CB8A43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13）谈判文件未载明允许提供备选（替代）竞标方案或明确不允许提供备选（替代）竞标方案时，供应商提供了备选（替代）竞标方案的； </w:t>
      </w:r>
    </w:p>
    <w:p w14:paraId="2866961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14）响应文件标注的项目名称或者项目编号与谈判文件标注的项目名称或者项目编号不一致的； </w:t>
      </w:r>
    </w:p>
    <w:p w14:paraId="7BC17A13">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15）谈判文件明确不允许分包，响应文件拟分包的； </w:t>
      </w:r>
    </w:p>
    <w:p w14:paraId="2F6ED66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16）未响应谈判文件实质性要求； </w:t>
      </w:r>
    </w:p>
    <w:p w14:paraId="7CE1E11A">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17）法律、法规和谈判文件规定的其他无效情形。 </w:t>
      </w:r>
    </w:p>
    <w:p w14:paraId="77E68A4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（2）报价评审 </w:t>
      </w:r>
    </w:p>
    <w:p w14:paraId="0344F19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1）响应文件未提供“供应商须知前附表”报价文件中规定的“竞标报价表”的； </w:t>
      </w:r>
    </w:p>
    <w:p w14:paraId="468403B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2）未采用人民币报价或者未按照谈判文件标明的币种报价的； </w:t>
      </w:r>
    </w:p>
    <w:p w14:paraId="2DA14D4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6C505451">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 </w:t>
      </w:r>
    </w:p>
    <w:p w14:paraId="5851049E">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 </w:t>
      </w:r>
    </w:p>
    <w:p w14:paraId="47738B0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 xml:space="preserve">6）响应文件响应的标的数量及单位与竞争性谈判采购文件要求实质性不一致的。 </w:t>
      </w:r>
    </w:p>
    <w:p w14:paraId="779F3B1B">
      <w:pPr>
        <w:spacing w:line="360" w:lineRule="auto"/>
        <w:rPr>
          <w:rFonts w:hint="default" w:ascii="宋体" w:hAnsi="Calibri" w:eastAsia="宋体" w:cs="Times New Roman"/>
          <w:b w:val="0"/>
          <w:bCs w:val="0"/>
          <w:color w:val="auto"/>
          <w:kern w:val="2"/>
          <w:sz w:val="21"/>
          <w:szCs w:val="21"/>
          <w:highlight w:val="none"/>
          <w:lang w:val="en-US" w:eastAsia="zh-CN" w:bidi="ar-SA"/>
        </w:rPr>
      </w:pPr>
      <w:r>
        <w:rPr>
          <w:rFonts w:hint="eastAsia" w:ascii="宋体" w:hAnsi="Calibri" w:eastAsia="宋体" w:cs="Times New Roman"/>
          <w:b w:val="0"/>
          <w:bCs w:val="0"/>
          <w:color w:val="auto"/>
          <w:kern w:val="2"/>
          <w:sz w:val="21"/>
          <w:szCs w:val="21"/>
          <w:highlight w:val="none"/>
          <w:lang w:val="en-US" w:eastAsia="zh-CN" w:bidi="ar-SA"/>
        </w:rPr>
        <w:t xml:space="preserve">    </w:t>
      </w:r>
      <w:r>
        <w:rPr>
          <w:rFonts w:hint="eastAsia" w:ascii="宋体" w:hAnsi="Calibri" w:cs="Times New Roman"/>
          <w:b w:val="0"/>
          <w:bCs w:val="0"/>
          <w:color w:val="auto"/>
          <w:kern w:val="2"/>
          <w:sz w:val="21"/>
          <w:szCs w:val="21"/>
          <w:highlight w:val="none"/>
          <w:lang w:val="en-US" w:eastAsia="zh-CN" w:bidi="ar-SA"/>
        </w:rPr>
        <w:t xml:space="preserve"> </w:t>
      </w:r>
      <w:r>
        <w:rPr>
          <w:rFonts w:hint="eastAsia" w:ascii="宋体" w:hAnsi="Calibri" w:eastAsia="宋体" w:cs="Times New Roman"/>
          <w:b w:val="0"/>
          <w:bCs w:val="0"/>
          <w:color w:val="auto"/>
          <w:kern w:val="2"/>
          <w:sz w:val="21"/>
          <w:szCs w:val="21"/>
          <w:highlight w:val="none"/>
          <w:lang w:val="en-US" w:eastAsia="zh-CN" w:bidi="ar-SA"/>
        </w:rPr>
        <w:t xml:space="preserve"> 7）谈判小组认为供应商的报价明显低于其他通过符合性审查供应商的报价，有可能影响货物质量或者不能诚信履约的，应当要求其在评审现场合理的时间内提供书面说明，必要时提交相关证明材料；供应商不能证明其报价合理性的，谈判小组将其作为无效竞标处理。</w:t>
      </w:r>
    </w:p>
    <w:p w14:paraId="14809A7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3.6 谈判小组对响应文件进行评审，未实质性响应谈判文件的响应文件按无效处理。谈判小组应当将资格和符合性不通过的情况告知有关供应商。谈判小组从符合谈判文件规定的相应资格条件的供应商名单中确定不少于 3 家的供应商参加谈判。 </w:t>
      </w:r>
    </w:p>
    <w:p w14:paraId="5580537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3.7 公开招标的货物、服务采购项目，招标过程中提交响应文件或者经评审实质性响应谈判文件要求的供应商只有两家时，采购人、采购代理机构按照《政府采购非招标采购方式管理办法》 （财政部 74 号令）第四条经本级财政部门批准后可以与该两家供应商进行竞争性谈判采购。 </w:t>
      </w:r>
    </w:p>
    <w:p w14:paraId="5EC26034">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3.8 除本章 3.7 条规定的情形外，通过符合性审查的合格供应商不足 3 家的，不得进入谈判环节，应当重新开展采购活动。 </w:t>
      </w:r>
    </w:p>
    <w:p w14:paraId="47DFE0F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 xml:space="preserve">4.谈判程序 </w:t>
      </w:r>
    </w:p>
    <w:p w14:paraId="7F961803">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4.1 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 </w:t>
      </w:r>
    </w:p>
    <w:p w14:paraId="0ED1DA2A">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4.2 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 </w:t>
      </w:r>
    </w:p>
    <w:p w14:paraId="18586447">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4.3 对谈判文件作出的实质性变动是谈判文件的有效组成部分，由谈判小组及时以电子澄清函形式同时通知所有参加谈判的供应商。 </w:t>
      </w:r>
    </w:p>
    <w:p w14:paraId="26B0DC58">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4.4 供应商必须按照谈判文件的变动情况和谈判小组的要求以回函的形式重新提交响应文件，并加盖电子签章。参加谈判的供应商未在规定时间内重新提交响应文件的，视同退出谈判，其响应文件按无效处理。 </w:t>
      </w:r>
    </w:p>
    <w:p w14:paraId="040B51D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4.5 谈判中，谈判的任何一方不得透露与谈判有关的其他供应商的技术资料、价格和其他信息。 </w:t>
      </w:r>
    </w:p>
    <w:p w14:paraId="03A3A39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4.6 谈判小组应对谈判过程和重要谈判内容进行记录。 </w:t>
      </w:r>
    </w:p>
    <w:p w14:paraId="7B4FA59D">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4.7 除本章第 3.7 条外，对谈判过程提交的响应文件进行有效性、完整性和响应程度审查，通过审查的合格供应商不足 3 家的，采购人或者采购代理机构应当重新开展采购活动。 </w:t>
      </w:r>
    </w:p>
    <w:p w14:paraId="723505B1">
      <w:pPr>
        <w:spacing w:line="360" w:lineRule="auto"/>
        <w:ind w:firstLine="482" w:firstLineChars="200"/>
        <w:rPr>
          <w:rFonts w:hint="eastAsia" w:ascii="黑体" w:hAnsi="黑体" w:eastAsia="黑体" w:cs="宋体"/>
          <w:b/>
          <w:bCs/>
          <w:color w:val="auto"/>
          <w:sz w:val="24"/>
          <w:highlight w:val="none"/>
          <w:lang w:val="en-US" w:eastAsia="zh-CN"/>
        </w:rPr>
      </w:pPr>
      <w:r>
        <w:rPr>
          <w:rFonts w:hint="eastAsia" w:ascii="黑体" w:hAnsi="黑体" w:eastAsia="黑体" w:cs="宋体"/>
          <w:b/>
          <w:bCs/>
          <w:color w:val="auto"/>
          <w:sz w:val="24"/>
          <w:highlight w:val="none"/>
          <w:lang w:val="en-US" w:eastAsia="zh-CN"/>
        </w:rPr>
        <w:t xml:space="preserve">5. 最后报价 </w:t>
      </w:r>
    </w:p>
    <w:p w14:paraId="1C87A80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5.1 谈判文件能够详细列明采购标的的技术、服务要求的，谈判结束后，谈判小组应当要求所有继续参加谈判的供应商在规定时间内在广西政府采购云平台开标大厅提交最后报价，除本章第3.7 条外，提交最后报价的供应商不得少于 3 家，否则应当重新采购。 </w:t>
      </w:r>
    </w:p>
    <w:p w14:paraId="1585EE1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5.2 谈判文件不能详细列明采购标的的技术、服务要求，需经谈判由供应商提供最后设计方案或者解决方案的，谈判结束后，谈判小组应当按照少数服从多数的原则投票推荐 3 家以上供应商的设计方案或者解决方案，并要求其在规定时间内在广西政府采购云平台开标大厅提交最后报价。 </w:t>
      </w:r>
    </w:p>
    <w:p w14:paraId="128A9C7C">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5.3 最后报价是供应商响应文件的有效组成部分。 </w:t>
      </w:r>
    </w:p>
    <w:p w14:paraId="7201A460">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5.4 已经提交响应文件的供应商，在提交最后报价之前，可以根据谈判情况退出谈判，退出谈判的供应商的响应文件按无效响应处理。采购人、采购代理机构将退还退出谈判的供应商的保证金。 </w:t>
      </w:r>
    </w:p>
    <w:p w14:paraId="0A6DF2F2">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5.5 供应商未在规定时间内提交最后报价的，视为退出谈判，其响应文件按无效处理。 </w:t>
      </w:r>
    </w:p>
    <w:p w14:paraId="492A319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5.6 最后报价统一开启后，谈判小组对最后报价进行有效性、完整性和响应程度的审查。 </w:t>
      </w:r>
    </w:p>
    <w:p w14:paraId="71EE67C4">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5.7 最后报价出现前后不一致的，按照本章第 3.4 条的规定修正。 </w:t>
      </w:r>
    </w:p>
    <w:p w14:paraId="685FE3B2">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5.8 修正后的报价出现下列情形的，按无效响应处理： </w:t>
      </w:r>
    </w:p>
    <w:p w14:paraId="4F345445">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（1）供应商不确认的（全流程电子化评标采取在线确认）； </w:t>
      </w:r>
    </w:p>
    <w:p w14:paraId="6493F481">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（2）经供应商确认修正后的竞标报价（包含首次报价、最后报价）超过所竞标分标规定的采购预算金额或者最高限价的（如本项目公布了最高限价）； </w:t>
      </w:r>
    </w:p>
    <w:p w14:paraId="688BFDB2">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（3）经供应商确认修正后的竞标报价（包含首次报价、最后报价）超过分项采购预算金额或者最高限价的（如本项目公布了最高限价）。 </w:t>
      </w:r>
    </w:p>
    <w:p w14:paraId="1CF99C83">
      <w:pPr>
        <w:pStyle w:val="26"/>
        <w:keepNext w:val="0"/>
        <w:keepLines w:val="0"/>
        <w:pageBreakBefore w:val="0"/>
        <w:widowControl w:val="0"/>
        <w:kinsoku/>
        <w:wordWrap/>
        <w:overflowPunct/>
        <w:topLinePunct w:val="0"/>
        <w:autoSpaceDE/>
        <w:autoSpaceDN/>
        <w:bidi w:val="0"/>
        <w:adjustRightInd/>
        <w:snapToGrid/>
        <w:spacing w:line="360" w:lineRule="auto"/>
        <w:ind w:left="238" w:firstLine="630" w:firstLineChars="300"/>
        <w:textAlignment w:val="auto"/>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 xml:space="preserve">5.9 经供应商确认修正后的最后报价作为评审及签订合同的依据。 </w:t>
      </w:r>
    </w:p>
    <w:p w14:paraId="34942A90">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 xml:space="preserve">5.10异常低价响应审查 </w:t>
      </w:r>
    </w:p>
    <w:p w14:paraId="3C91433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 xml:space="preserve">（1）谈判小组在评审中发现下列情形之一的，应当启动异常低价响应审查程序： </w:t>
      </w:r>
    </w:p>
    <w:p w14:paraId="48AE287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①响应报价低于全部通过符合性审查供应商响应报价平均值50%的，即响应报价＜全部通过符合性审查供应商响应报价平均值×50%； </w:t>
      </w:r>
    </w:p>
    <w:p w14:paraId="367F301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②响应报价低于通过符合性审查的次低报价供应商响应报价50%的，即响应报价＜通过符合性审查的次低报价供应商响应报价×50% ； </w:t>
      </w:r>
    </w:p>
    <w:p w14:paraId="30096E8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③响应报价低于采购项目最高限价65%的，即响应报价＜采购项目最高限价×65%； </w:t>
      </w:r>
    </w:p>
    <w:p w14:paraId="36BB182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④</w:t>
      </w:r>
      <w:r>
        <w:rPr>
          <w:rFonts w:hint="eastAsia" w:ascii="宋体" w:hAnsi="宋体" w:cs="宋体"/>
          <w:color w:val="auto"/>
          <w:szCs w:val="21"/>
          <w:highlight w:val="none"/>
          <w:lang w:val="en-US" w:eastAsia="zh-CN"/>
        </w:rPr>
        <w:t>谈判小组</w:t>
      </w:r>
      <w:r>
        <w:rPr>
          <w:rFonts w:hint="eastAsia" w:ascii="宋体" w:hAnsi="宋体" w:eastAsia="宋体" w:cs="宋体"/>
          <w:color w:val="auto"/>
          <w:szCs w:val="21"/>
          <w:highlight w:val="none"/>
          <w:lang w:val="en-US" w:eastAsia="zh-CN"/>
        </w:rPr>
        <w:t xml:space="preserve">基于专业判断，认为供应商报价过低，有可能影响产品质量或者不能诚信履约的其他情形。 </w:t>
      </w:r>
    </w:p>
    <w:p w14:paraId="2F615886">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谈判小组</w:t>
      </w:r>
      <w:r>
        <w:rPr>
          <w:rFonts w:hint="eastAsia" w:ascii="宋体" w:hAnsi="宋体" w:eastAsia="宋体" w:cs="宋体"/>
          <w:color w:val="auto"/>
          <w:szCs w:val="21"/>
          <w:highlight w:val="none"/>
          <w:lang w:val="en-US" w:eastAsia="zh-CN"/>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F84C3B6">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谈判小组依据专业经验，参考同类项目中标（成交）价格、类似产品市场价格水平、行业人工费用标准、国家有关部门指导行业协会发布的行业平均成本等情况，对报价合理性进行判断。 </w:t>
      </w:r>
    </w:p>
    <w:p w14:paraId="79A1B02E">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 xml:space="preserve">相关供应商不能提供书面说明、证明材料，或者提供的书面说明、证明材料不能证明其报价合理性的，谈判小组应当将其作为无效响应处理。 </w:t>
      </w:r>
    </w:p>
    <w:p w14:paraId="4EB483E6">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 xml:space="preserve">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 </w:t>
      </w:r>
    </w:p>
    <w:p w14:paraId="0AD6BFD9">
      <w:pPr>
        <w:keepNext w:val="0"/>
        <w:keepLines w:val="0"/>
        <w:pageBreakBefore w:val="0"/>
        <w:kinsoku/>
        <w:wordWrap/>
        <w:overflowPunct/>
        <w:topLinePunct w:val="0"/>
        <w:autoSpaceDE/>
        <w:autoSpaceDN/>
        <w:bidi w:val="0"/>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 xml:space="preserve">异常低价响应审查的启动原因、审查意见和审查结果应当在评审报告中记录，并随供应商提供的相关书面说明及证明材料，以及谈判小组有关互联网浏览、查询历史一并归档。 </w:t>
      </w:r>
    </w:p>
    <w:p w14:paraId="454B74FC">
      <w:pPr>
        <w:rPr>
          <w:color w:val="auto"/>
          <w:highlight w:val="none"/>
        </w:rPr>
      </w:pPr>
    </w:p>
    <w:p w14:paraId="0E5D7F0F">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 xml:space="preserve">5.11 供应商出现最后报价按无效响应处理或者响应文件按无效处理时，谈判小组应当告知有关供应商。 </w:t>
      </w:r>
    </w:p>
    <w:p w14:paraId="595E32EB">
      <w:pPr>
        <w:pStyle w:val="26"/>
        <w:keepNext w:val="0"/>
        <w:keepLines w:val="0"/>
        <w:pageBreakBefore w:val="0"/>
        <w:widowControl w:val="0"/>
        <w:kinsoku/>
        <w:wordWrap/>
        <w:overflowPunct/>
        <w:topLinePunct w:val="0"/>
        <w:autoSpaceDE/>
        <w:autoSpaceDN/>
        <w:bidi w:val="0"/>
        <w:adjustRightInd/>
        <w:snapToGrid/>
        <w:spacing w:line="360" w:lineRule="auto"/>
        <w:ind w:left="238" w:firstLine="420" w:firstLineChars="200"/>
        <w:textAlignment w:val="auto"/>
        <w:rPr>
          <w:color w:val="auto"/>
          <w:highlight w:val="none"/>
        </w:rPr>
      </w:pPr>
      <w:r>
        <w:rPr>
          <w:rFonts w:hint="eastAsia"/>
          <w:b w:val="0"/>
          <w:bCs w:val="0"/>
          <w:color w:val="auto"/>
          <w:sz w:val="21"/>
          <w:szCs w:val="21"/>
          <w:highlight w:val="none"/>
          <w:lang w:val="en-US" w:eastAsia="zh-CN"/>
        </w:rPr>
        <w:t xml:space="preserve">5.12 最后报价结束后，谈判小组不得再与供应商进行任何形式的商谈。 </w:t>
      </w:r>
    </w:p>
    <w:p w14:paraId="5ED67597">
      <w:pPr>
        <w:spacing w:line="360" w:lineRule="auto"/>
        <w:ind w:firstLine="472" w:firstLineChars="196"/>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最后报价政府采购政策性扣除</w:t>
      </w:r>
    </w:p>
    <w:p w14:paraId="70B36A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90A6F5C">
      <w:pPr>
        <w:spacing w:line="360" w:lineRule="auto"/>
        <w:ind w:firstLine="369" w:firstLineChars="176"/>
        <w:rPr>
          <w:rFonts w:hint="eastAsia"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按照《政府采购促进中小企业发展管理办法》（财库〔2020〕46号）的规定，供应商在其响应文件中提供《中小企业声明函》，且其所竞标产品全部为小型和微型企业产品的，对其最后报价给予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0%的扣除。</w:t>
      </w:r>
    </w:p>
    <w:p w14:paraId="1C5701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ECD2604">
      <w:pPr>
        <w:spacing w:line="360" w:lineRule="auto"/>
        <w:ind w:firstLine="420" w:firstLineChars="200"/>
        <w:rPr>
          <w:rFonts w:hint="eastAsia" w:ascii="宋体" w:hAnsi="宋体" w:cs="宋体"/>
          <w:color w:val="auto"/>
          <w:highlight w:val="none"/>
        </w:rPr>
      </w:pPr>
      <w:r>
        <w:rPr>
          <w:rFonts w:ascii="宋体" w:hAnsi="宋体" w:cs="宋体"/>
          <w:color w:val="auto"/>
          <w:szCs w:val="21"/>
          <w:highlight w:val="none"/>
        </w:rPr>
        <w:t>6.4</w:t>
      </w: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DC641B">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6.5</w:t>
      </w:r>
      <w:r>
        <w:rPr>
          <w:rFonts w:hint="eastAsia" w:ascii="宋体" w:hAnsi="宋体" w:cs="宋体"/>
          <w:color w:val="auto"/>
          <w:highlight w:val="none"/>
          <w:lang w:val="en-US" w:eastAsia="zh-CN"/>
        </w:rPr>
        <w:t>中小企业政策性扣除计算方法</w:t>
      </w:r>
      <w:r>
        <w:rPr>
          <w:rFonts w:hint="eastAsia" w:ascii="宋体" w:hAnsi="宋体" w:cs="宋体"/>
          <w:color w:val="auto"/>
          <w:highlight w:val="none"/>
        </w:rPr>
        <w:t>。</w:t>
      </w:r>
    </w:p>
    <w:p w14:paraId="7330CB6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在货物采购项目中，供应商竞标全部货物由小型和微型企业制造；对符合上述要求的供应商的竞标报价给予</w:t>
      </w:r>
      <w:r>
        <w:rPr>
          <w:rFonts w:hint="eastAsia" w:ascii="宋体" w:hAnsi="宋体"/>
          <w:bCs/>
          <w:color w:val="auto"/>
          <w:szCs w:val="21"/>
          <w:highlight w:val="none"/>
          <w:lang w:val="en-US" w:eastAsia="zh-CN"/>
        </w:rPr>
        <w:t>2</w:t>
      </w:r>
      <w:r>
        <w:rPr>
          <w:rFonts w:hint="eastAsia" w:ascii="宋体" w:hAnsi="宋体"/>
          <w:bCs/>
          <w:color w:val="auto"/>
          <w:szCs w:val="21"/>
          <w:highlight w:val="none"/>
        </w:rPr>
        <w:t>0%的扣除，扣除后的价格为评审报价，即评审报价=竞标报价×（1-</w:t>
      </w:r>
      <w:r>
        <w:rPr>
          <w:rFonts w:hint="eastAsia" w:ascii="宋体" w:hAnsi="宋体"/>
          <w:bCs/>
          <w:color w:val="auto"/>
          <w:szCs w:val="21"/>
          <w:highlight w:val="none"/>
          <w:lang w:val="en-US" w:eastAsia="zh-CN"/>
        </w:rPr>
        <w:t>2</w:t>
      </w:r>
      <w:r>
        <w:rPr>
          <w:rFonts w:ascii="宋体" w:hAnsi="宋体"/>
          <w:bCs/>
          <w:color w:val="auto"/>
          <w:szCs w:val="21"/>
          <w:highlight w:val="none"/>
        </w:rPr>
        <w:t>0</w:t>
      </w:r>
      <w:r>
        <w:rPr>
          <w:rFonts w:hint="eastAsia" w:ascii="宋体" w:hAnsi="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rPr>
        <w:t xml:space="preserve">  </w:t>
      </w:r>
      <w:r>
        <w:rPr>
          <w:rFonts w:hint="eastAsia" w:ascii="宋体" w:hAnsi="宋体"/>
          <w:bCs/>
          <w:color w:val="auto"/>
          <w:szCs w:val="21"/>
          <w:highlight w:val="none"/>
          <w:u w:val="none"/>
          <w:lang w:eastAsia="zh-CN"/>
        </w:rPr>
        <w:t>（</w:t>
      </w:r>
      <w:r>
        <w:rPr>
          <w:rFonts w:hint="eastAsia" w:ascii="宋体" w:hAnsi="宋体"/>
          <w:bCs/>
          <w:color w:val="auto"/>
          <w:szCs w:val="21"/>
          <w:highlight w:val="none"/>
        </w:rPr>
        <w:t>范围为</w:t>
      </w:r>
      <w:r>
        <w:rPr>
          <w:rFonts w:hint="eastAsia" w:ascii="宋体" w:hAnsi="宋体"/>
          <w:bCs/>
          <w:color w:val="auto"/>
          <w:szCs w:val="21"/>
          <w:highlight w:val="none"/>
          <w:lang w:val="en-US" w:eastAsia="zh-CN"/>
        </w:rPr>
        <w:t>4</w:t>
      </w:r>
      <w:r>
        <w:rPr>
          <w:rFonts w:hint="eastAsia" w:ascii="宋体" w:hAnsi="宋体"/>
          <w:bCs/>
          <w:color w:val="auto"/>
          <w:szCs w:val="21"/>
          <w:highlight w:val="none"/>
        </w:rPr>
        <w:t>%-</w:t>
      </w:r>
      <w:r>
        <w:rPr>
          <w:rFonts w:hint="eastAsia" w:ascii="宋体" w:hAnsi="宋体"/>
          <w:bCs/>
          <w:color w:val="auto"/>
          <w:szCs w:val="21"/>
          <w:highlight w:val="none"/>
          <w:lang w:val="en-US" w:eastAsia="zh-CN"/>
        </w:rPr>
        <w:t>6</w:t>
      </w:r>
      <w:r>
        <w:rPr>
          <w:rFonts w:hint="eastAsia" w:ascii="宋体" w:hAnsi="宋体"/>
          <w:bCs/>
          <w:color w:val="auto"/>
          <w:szCs w:val="21"/>
          <w:highlight w:val="none"/>
        </w:rPr>
        <w:t>%） 的扣除，用扣除后的价格参加评审，扣除后的价格为评审报价，即评审报价=竞标报价×（1-</w:t>
      </w:r>
      <w:r>
        <w:rPr>
          <w:rFonts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4</w:t>
      </w:r>
      <w:r>
        <w:rPr>
          <w:rFonts w:ascii="宋体" w:hAnsi="宋体"/>
          <w:bCs/>
          <w:color w:val="auto"/>
          <w:szCs w:val="21"/>
          <w:highlight w:val="none"/>
          <w:u w:val="single"/>
        </w:rPr>
        <w:t xml:space="preserve"> </w:t>
      </w:r>
      <w:r>
        <w:rPr>
          <w:rFonts w:hint="eastAsia" w:ascii="宋体" w:hAnsi="宋体"/>
          <w:bCs/>
          <w:color w:val="auto"/>
          <w:szCs w:val="21"/>
          <w:highlight w:val="none"/>
        </w:rPr>
        <w:t>%）。除上述情况外，评审报价=竞标报价。</w:t>
      </w:r>
    </w:p>
    <w:p w14:paraId="6FEBD5C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cs="宋体"/>
          <w:color w:val="auto"/>
          <w:highlight w:val="none"/>
        </w:rPr>
      </w:pPr>
      <w:r>
        <w:rPr>
          <w:rFonts w:hint="default" w:ascii="宋体" w:hAnsi="宋体" w:cs="宋体"/>
          <w:color w:val="auto"/>
          <w:highlight w:val="none"/>
          <w:lang w:val="en-US" w:eastAsia="zh-CN"/>
        </w:rPr>
        <w:t xml:space="preserve">6.6 </w:t>
      </w:r>
      <w:r>
        <w:rPr>
          <w:rFonts w:hint="eastAsia" w:ascii="宋体" w:hAnsi="宋体" w:cs="宋体"/>
          <w:color w:val="auto"/>
          <w:highlight w:val="none"/>
          <w:lang w:val="en-US" w:eastAsia="zh-CN"/>
        </w:rPr>
        <w:t>本国产品政策性扣除计算方法</w:t>
      </w:r>
    </w:p>
    <w:p w14:paraId="01E69691">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根据《国务院办公厅关于在政府采购中实施本国产品标准及相关政策的通知》（国办发〔</w:t>
      </w:r>
      <w:r>
        <w:rPr>
          <w:rFonts w:hint="default" w:ascii="宋体" w:hAnsi="宋体" w:cs="宋体"/>
          <w:color w:val="auto"/>
          <w:szCs w:val="21"/>
          <w:highlight w:val="none"/>
          <w:lang w:val="en-US" w:eastAsia="zh-CN"/>
        </w:rPr>
        <w:t>2025</w:t>
      </w:r>
      <w:r>
        <w:rPr>
          <w:rFonts w:hint="eastAsia" w:ascii="宋体" w:hAnsi="宋体" w:cs="宋体"/>
          <w:color w:val="auto"/>
          <w:szCs w:val="21"/>
          <w:highlight w:val="none"/>
          <w:lang w:val="en-US" w:eastAsia="zh-CN"/>
        </w:rPr>
        <w:t>〕</w:t>
      </w:r>
      <w:r>
        <w:rPr>
          <w:rFonts w:hint="default" w:ascii="宋体" w:hAnsi="宋体" w:cs="宋体"/>
          <w:color w:val="auto"/>
          <w:szCs w:val="21"/>
          <w:highlight w:val="none"/>
          <w:lang w:val="en-US" w:eastAsia="zh-CN"/>
        </w:rPr>
        <w:t xml:space="preserve">34 </w:t>
      </w:r>
      <w:r>
        <w:rPr>
          <w:rFonts w:hint="eastAsia" w:ascii="宋体" w:hAnsi="宋体" w:cs="宋体"/>
          <w:color w:val="auto"/>
          <w:szCs w:val="21"/>
          <w:highlight w:val="none"/>
          <w:lang w:val="en-US" w:eastAsia="zh-CN"/>
        </w:rPr>
        <w:t xml:space="preserve">号） </w:t>
      </w:r>
    </w:p>
    <w:p w14:paraId="74A3029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的规定，政府采购活动中既有本国产品又有非本国产品参与竞争的，依法对本国产品给予价格评审优惠，对本国产品的报价给予 </w:t>
      </w:r>
      <w:r>
        <w:rPr>
          <w:rFonts w:hint="default" w:ascii="宋体" w:hAnsi="宋体" w:cs="宋体"/>
          <w:color w:val="auto"/>
          <w:szCs w:val="21"/>
          <w:highlight w:val="none"/>
          <w:lang w:val="en-US" w:eastAsia="zh-CN"/>
        </w:rPr>
        <w:t>20%</w:t>
      </w:r>
      <w:r>
        <w:rPr>
          <w:rFonts w:hint="eastAsia" w:ascii="宋体" w:hAnsi="宋体" w:cs="宋体"/>
          <w:color w:val="auto"/>
          <w:szCs w:val="21"/>
          <w:highlight w:val="none"/>
          <w:lang w:val="en-US" w:eastAsia="zh-CN"/>
        </w:rPr>
        <w:t xml:space="preserve">的价格扣除，用扣除后的价格参与评审。 </w:t>
      </w:r>
    </w:p>
    <w:p w14:paraId="27561A3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当采购项目或者采购包中含有多种产品，供应商为该采购项目或者采购包提供的符合本国产品标准的 </w:t>
      </w:r>
    </w:p>
    <w:p w14:paraId="359045E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产品成本之和占该供应商提供的全部产品成本之和的比例达到 </w:t>
      </w:r>
      <w:r>
        <w:rPr>
          <w:rFonts w:hint="default" w:ascii="宋体" w:hAnsi="宋体" w:cs="宋体"/>
          <w:color w:val="auto"/>
          <w:szCs w:val="21"/>
          <w:highlight w:val="none"/>
          <w:lang w:val="en-US" w:eastAsia="zh-CN"/>
        </w:rPr>
        <w:t>80%</w:t>
      </w:r>
      <w:r>
        <w:rPr>
          <w:rFonts w:hint="eastAsia" w:ascii="宋体" w:hAnsi="宋体" w:cs="宋体"/>
          <w:color w:val="auto"/>
          <w:szCs w:val="21"/>
          <w:highlight w:val="none"/>
          <w:lang w:val="en-US" w:eastAsia="zh-CN"/>
        </w:rPr>
        <w:t>以上时，依法对该供应商提供的全部产品给予价格评审优惠，即对该供应商提供的全部产品的总报价给予</w:t>
      </w:r>
      <w:r>
        <w:rPr>
          <w:rFonts w:hint="default" w:ascii="宋体" w:hAnsi="宋体" w:cs="宋体"/>
          <w:color w:val="auto"/>
          <w:szCs w:val="21"/>
          <w:highlight w:val="none"/>
          <w:lang w:val="en-US" w:eastAsia="zh-CN"/>
        </w:rPr>
        <w:t>20%</w:t>
      </w:r>
      <w:r>
        <w:rPr>
          <w:rFonts w:hint="eastAsia" w:ascii="宋体" w:hAnsi="宋体" w:cs="宋体"/>
          <w:color w:val="auto"/>
          <w:szCs w:val="21"/>
          <w:highlight w:val="none"/>
          <w:lang w:val="en-US" w:eastAsia="zh-CN"/>
        </w:rPr>
        <w:t>的价格扣除，用扣除后的价格参与评审。未达到</w:t>
      </w:r>
      <w:r>
        <w:rPr>
          <w:rFonts w:hint="default" w:ascii="宋体" w:hAnsi="宋体" w:cs="宋体"/>
          <w:color w:val="auto"/>
          <w:szCs w:val="21"/>
          <w:highlight w:val="none"/>
          <w:lang w:val="en-US" w:eastAsia="zh-CN"/>
        </w:rPr>
        <w:t>80%</w:t>
      </w:r>
      <w:r>
        <w:rPr>
          <w:rFonts w:hint="eastAsia" w:ascii="宋体" w:hAnsi="宋体" w:cs="宋体"/>
          <w:color w:val="auto"/>
          <w:szCs w:val="21"/>
          <w:highlight w:val="none"/>
          <w:lang w:val="en-US" w:eastAsia="zh-CN"/>
        </w:rPr>
        <w:t xml:space="preserve">，不享受价格评审优惠。 </w:t>
      </w:r>
    </w:p>
    <w:p w14:paraId="3FA30975">
      <w:pPr>
        <w:keepNext w:val="0"/>
        <w:keepLines w:val="0"/>
        <w:pageBreakBefore w:val="0"/>
        <w:widowControl/>
        <w:suppressLineNumbers w:val="0"/>
        <w:kinsoku/>
        <w:wordWrap/>
        <w:overflowPunct/>
        <w:topLinePunct w:val="0"/>
        <w:autoSpaceDE/>
        <w:autoSpaceDN/>
        <w:bidi w:val="0"/>
        <w:adjustRightInd/>
        <w:snapToGrid/>
        <w:spacing w:line="440" w:lineRule="exact"/>
        <w:ind w:firstLine="402" w:firstLineChars="200"/>
        <w:jc w:val="left"/>
        <w:textAlignment w:val="auto"/>
        <w:rPr>
          <w:color w:val="auto"/>
          <w:highlight w:val="none"/>
        </w:rPr>
      </w:pPr>
      <w:r>
        <w:rPr>
          <w:rFonts w:hint="eastAsia" w:ascii="宋体" w:hAnsi="宋体" w:eastAsia="宋体" w:cs="宋体"/>
          <w:b/>
          <w:bCs/>
          <w:color w:val="auto"/>
          <w:kern w:val="0"/>
          <w:sz w:val="20"/>
          <w:szCs w:val="20"/>
          <w:highlight w:val="none"/>
          <w:lang w:val="en-US" w:eastAsia="zh-CN" w:bidi="ar"/>
        </w:rPr>
        <w:t xml:space="preserve">如所有参与竞争的供应商均可享受本国产品价格评审优惠，则统一不进行价格扣除。 </w:t>
      </w:r>
    </w:p>
    <w:p w14:paraId="39CB695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供应商在其响应文件中提供《关于符合本国产品标准的声明函》或财政部会同有关部门规定的有关证 </w:t>
      </w:r>
    </w:p>
    <w:p w14:paraId="347FEEE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明文件，出具符合要求的《声明函》或有关证明文件的，该产品视为本国产品。</w:t>
      </w:r>
    </w:p>
    <w:p w14:paraId="65C34F76">
      <w:pPr>
        <w:keepNext w:val="0"/>
        <w:keepLines w:val="0"/>
        <w:pageBreakBefore w:val="0"/>
        <w:widowControl/>
        <w:suppressLineNumbers w:val="0"/>
        <w:kinsoku/>
        <w:wordWrap/>
        <w:overflowPunct/>
        <w:topLinePunct w:val="0"/>
        <w:autoSpaceDE/>
        <w:autoSpaceDN/>
        <w:bidi w:val="0"/>
        <w:adjustRightInd/>
        <w:snapToGrid/>
        <w:spacing w:line="440" w:lineRule="exact"/>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 xml:space="preserve">6.7 </w:t>
      </w:r>
      <w:r>
        <w:rPr>
          <w:rFonts w:hint="eastAsia" w:ascii="宋体" w:hAnsi="宋体" w:eastAsia="宋体" w:cs="宋体"/>
          <w:b/>
          <w:bCs/>
          <w:color w:val="auto"/>
          <w:kern w:val="0"/>
          <w:sz w:val="20"/>
          <w:szCs w:val="20"/>
          <w:highlight w:val="none"/>
          <w:lang w:val="en-US" w:eastAsia="zh-CN" w:bidi="ar"/>
        </w:rPr>
        <w:t>中小企业政策性折扣与本国产品政策性折扣进行叠加计算，用扣除后的价格参加评审。即评审价</w:t>
      </w:r>
      <w:r>
        <w:rPr>
          <w:rFonts w:hint="default" w:ascii="Times New Roman" w:hAnsi="Times New Roman" w:eastAsia="宋体" w:cs="Times New Roman"/>
          <w:b/>
          <w:bCs/>
          <w:color w:val="auto"/>
          <w:kern w:val="0"/>
          <w:sz w:val="20"/>
          <w:szCs w:val="20"/>
          <w:highlight w:val="none"/>
          <w:lang w:val="en-US" w:eastAsia="zh-CN" w:bidi="ar"/>
        </w:rPr>
        <w:t xml:space="preserve">= </w:t>
      </w:r>
    </w:p>
    <w:p w14:paraId="55895B5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color w:val="auto"/>
          <w:highlight w:val="none"/>
        </w:rPr>
      </w:pPr>
      <w:r>
        <w:rPr>
          <w:rFonts w:hint="eastAsia" w:ascii="宋体" w:hAnsi="宋体" w:eastAsia="宋体" w:cs="宋体"/>
          <w:b/>
          <w:bCs/>
          <w:color w:val="auto"/>
          <w:kern w:val="0"/>
          <w:sz w:val="20"/>
          <w:szCs w:val="20"/>
          <w:highlight w:val="none"/>
          <w:lang w:val="en-US" w:eastAsia="zh-CN" w:bidi="ar"/>
        </w:rPr>
        <w:t>竞标报价</w:t>
      </w:r>
      <w:r>
        <w:rPr>
          <w:rFonts w:hint="default" w:ascii="Times New Roman" w:hAnsi="Times New Roman" w:eastAsia="宋体" w:cs="Times New Roman"/>
          <w:b/>
          <w:bCs/>
          <w:color w:val="auto"/>
          <w:kern w:val="0"/>
          <w:sz w:val="20"/>
          <w:szCs w:val="20"/>
          <w:highlight w:val="none"/>
          <w:lang w:val="en-US" w:eastAsia="zh-CN" w:bidi="ar"/>
        </w:rPr>
        <w:t>-</w:t>
      </w:r>
      <w:r>
        <w:rPr>
          <w:rFonts w:hint="eastAsia" w:ascii="宋体" w:hAnsi="宋体" w:eastAsia="宋体" w:cs="宋体"/>
          <w:b/>
          <w:bCs/>
          <w:color w:val="auto"/>
          <w:kern w:val="0"/>
          <w:sz w:val="20"/>
          <w:szCs w:val="20"/>
          <w:highlight w:val="none"/>
          <w:lang w:val="en-US" w:eastAsia="zh-CN" w:bidi="ar"/>
        </w:rPr>
        <w:t>中小企业政策性折扣</w:t>
      </w:r>
      <w:r>
        <w:rPr>
          <w:rFonts w:hint="default" w:ascii="Times New Roman" w:hAnsi="Times New Roman" w:eastAsia="宋体" w:cs="Times New Roman"/>
          <w:b/>
          <w:bCs/>
          <w:color w:val="auto"/>
          <w:kern w:val="0"/>
          <w:sz w:val="20"/>
          <w:szCs w:val="20"/>
          <w:highlight w:val="none"/>
          <w:lang w:val="en-US" w:eastAsia="zh-CN" w:bidi="ar"/>
        </w:rPr>
        <w:t>-</w:t>
      </w:r>
      <w:r>
        <w:rPr>
          <w:rFonts w:hint="eastAsia" w:ascii="宋体" w:hAnsi="宋体" w:eastAsia="宋体" w:cs="宋体"/>
          <w:b/>
          <w:bCs/>
          <w:color w:val="auto"/>
          <w:kern w:val="0"/>
          <w:sz w:val="20"/>
          <w:szCs w:val="20"/>
          <w:highlight w:val="none"/>
          <w:lang w:val="en-US" w:eastAsia="zh-CN" w:bidi="ar"/>
        </w:rPr>
        <w:t>本国产品政策性折扣；除上述情况外，评审价</w:t>
      </w:r>
      <w:r>
        <w:rPr>
          <w:rFonts w:hint="default" w:ascii="Times New Roman" w:hAnsi="Times New Roman" w:eastAsia="宋体" w:cs="Times New Roman"/>
          <w:b/>
          <w:bCs/>
          <w:color w:val="auto"/>
          <w:kern w:val="0"/>
          <w:sz w:val="20"/>
          <w:szCs w:val="20"/>
          <w:highlight w:val="none"/>
          <w:lang w:val="en-US" w:eastAsia="zh-CN" w:bidi="ar"/>
        </w:rPr>
        <w:t>=</w:t>
      </w:r>
      <w:r>
        <w:rPr>
          <w:rFonts w:hint="eastAsia" w:ascii="宋体" w:hAnsi="宋体" w:eastAsia="宋体" w:cs="宋体"/>
          <w:b/>
          <w:bCs/>
          <w:color w:val="auto"/>
          <w:kern w:val="0"/>
          <w:sz w:val="20"/>
          <w:szCs w:val="20"/>
          <w:highlight w:val="none"/>
          <w:lang w:val="en-US" w:eastAsia="zh-CN" w:bidi="ar"/>
        </w:rPr>
        <w:t>竞标报价。</w:t>
      </w:r>
    </w:p>
    <w:p w14:paraId="5696947B">
      <w:pPr>
        <w:rPr>
          <w:rFonts w:hint="eastAsia"/>
          <w:color w:val="auto"/>
          <w:highlight w:val="none"/>
        </w:rPr>
      </w:pPr>
    </w:p>
    <w:p w14:paraId="538B10CE">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jc w:val="center"/>
        <w:textAlignment w:val="auto"/>
        <w:rPr>
          <w:rFonts w:hint="eastAsia" w:ascii="黑体" w:hAnsi="黑体" w:eastAsia="黑体" w:cs="黑体"/>
          <w:b/>
          <w:bCs/>
          <w:color w:val="auto"/>
          <w:sz w:val="24"/>
          <w:szCs w:val="24"/>
          <w:highlight w:val="none"/>
          <w:lang w:val="en-US" w:eastAsia="zh-CN"/>
        </w:rPr>
      </w:pPr>
    </w:p>
    <w:p w14:paraId="046DCC6D">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jc w:val="center"/>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二、评定成交的标准</w:t>
      </w:r>
    </w:p>
    <w:p w14:paraId="3675E8DB">
      <w:pPr>
        <w:pStyle w:val="26"/>
        <w:keepNext w:val="0"/>
        <w:keepLines w:val="0"/>
        <w:pageBreakBefore w:val="0"/>
        <w:widowControl w:val="0"/>
        <w:kinsoku/>
        <w:wordWrap/>
        <w:overflowPunct/>
        <w:topLinePunct w:val="0"/>
        <w:autoSpaceDE/>
        <w:autoSpaceDN/>
        <w:bidi w:val="0"/>
        <w:adjustRightInd/>
        <w:snapToGrid/>
        <w:spacing w:line="360" w:lineRule="auto"/>
        <w:ind w:left="238" w:firstLine="482" w:firstLineChars="200"/>
        <w:textAlignment w:val="auto"/>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 xml:space="preserve">7. 成交候选人推荐 </w:t>
      </w:r>
    </w:p>
    <w:p w14:paraId="65876F16">
      <w:pPr>
        <w:spacing w:line="360" w:lineRule="auto"/>
        <w:ind w:firstLine="420" w:firstLineChars="200"/>
        <w:rPr>
          <w:b w:val="0"/>
          <w:bCs w:val="0"/>
          <w:color w:val="auto"/>
          <w:sz w:val="21"/>
          <w:szCs w:val="21"/>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w:t>
      </w:r>
      <w:r>
        <w:rPr>
          <w:rFonts w:hint="eastAsia"/>
          <w:b w:val="0"/>
          <w:bCs w:val="0"/>
          <w:color w:val="auto"/>
          <w:sz w:val="21"/>
          <w:szCs w:val="21"/>
          <w:highlight w:val="none"/>
          <w:lang w:val="en-US" w:eastAsia="zh-CN"/>
        </w:rPr>
        <w:t>，评审报告通过电子交易平台向采购人、采购代理机构提交。</w:t>
      </w:r>
    </w:p>
    <w:p w14:paraId="03031214">
      <w:pPr>
        <w:pStyle w:val="26"/>
        <w:keepNext w:val="0"/>
        <w:keepLines w:val="0"/>
        <w:pageBreakBefore w:val="0"/>
        <w:widowControl w:val="0"/>
        <w:kinsoku/>
        <w:wordWrap/>
        <w:overflowPunct/>
        <w:topLinePunct w:val="0"/>
        <w:autoSpaceDE/>
        <w:autoSpaceDN/>
        <w:bidi w:val="0"/>
        <w:adjustRightInd/>
        <w:snapToGrid/>
        <w:spacing w:line="360" w:lineRule="auto"/>
        <w:ind w:left="238"/>
        <w:textAlignment w:val="auto"/>
        <w:rPr>
          <w:color w:val="auto"/>
          <w:sz w:val="21"/>
          <w:szCs w:val="21"/>
          <w:highlight w:val="none"/>
        </w:rPr>
      </w:pPr>
    </w:p>
    <w:p w14:paraId="4DFD9B2A">
      <w:pPr>
        <w:rPr>
          <w:color w:val="auto"/>
          <w:sz w:val="21"/>
          <w:szCs w:val="21"/>
          <w:highlight w:val="none"/>
        </w:rPr>
      </w:pPr>
    </w:p>
    <w:p w14:paraId="1F0076B3">
      <w:pPr>
        <w:rPr>
          <w:color w:val="auto"/>
          <w:sz w:val="21"/>
          <w:szCs w:val="21"/>
          <w:highlight w:val="none"/>
        </w:rPr>
      </w:pPr>
    </w:p>
    <w:p w14:paraId="37CBE3A0">
      <w:pPr>
        <w:rPr>
          <w:color w:val="auto"/>
          <w:sz w:val="21"/>
          <w:szCs w:val="21"/>
          <w:highlight w:val="none"/>
        </w:rPr>
      </w:pPr>
    </w:p>
    <w:p w14:paraId="0B9152CB">
      <w:pPr>
        <w:keepNext w:val="0"/>
        <w:keepLines w:val="0"/>
        <w:widowControl/>
        <w:suppressLineNumbers w:val="0"/>
        <w:jc w:val="both"/>
        <w:rPr>
          <w:rFonts w:hint="eastAsia" w:ascii="宋体" w:hAnsi="宋体" w:eastAsia="宋体" w:cs="宋体"/>
          <w:b/>
          <w:bCs/>
          <w:color w:val="auto"/>
          <w:kern w:val="0"/>
          <w:sz w:val="43"/>
          <w:szCs w:val="43"/>
          <w:highlight w:val="none"/>
          <w:lang w:val="en-US" w:eastAsia="zh-CN" w:bidi="ar"/>
        </w:rPr>
      </w:pPr>
    </w:p>
    <w:p w14:paraId="388A293D">
      <w:pPr>
        <w:keepNext w:val="0"/>
        <w:keepLines w:val="0"/>
        <w:widowControl/>
        <w:suppressLineNumbers w:val="0"/>
        <w:jc w:val="center"/>
        <w:rPr>
          <w:rFonts w:hint="eastAsia" w:ascii="宋体" w:hAnsi="宋体" w:eastAsia="宋体" w:cs="宋体"/>
          <w:b/>
          <w:bCs/>
          <w:color w:val="auto"/>
          <w:kern w:val="0"/>
          <w:sz w:val="43"/>
          <w:szCs w:val="43"/>
          <w:highlight w:val="none"/>
          <w:lang w:val="en-US" w:eastAsia="zh-CN" w:bidi="ar"/>
        </w:rPr>
      </w:pPr>
    </w:p>
    <w:p w14:paraId="12888C99">
      <w:pPr>
        <w:keepNext w:val="0"/>
        <w:keepLines w:val="0"/>
        <w:widowControl/>
        <w:suppressLineNumbers w:val="0"/>
        <w:jc w:val="center"/>
        <w:rPr>
          <w:rFonts w:hint="eastAsia" w:ascii="宋体" w:hAnsi="宋体" w:eastAsia="宋体" w:cs="宋体"/>
          <w:b/>
          <w:bCs/>
          <w:color w:val="auto"/>
          <w:kern w:val="0"/>
          <w:sz w:val="43"/>
          <w:szCs w:val="43"/>
          <w:highlight w:val="none"/>
          <w:lang w:val="en-US" w:eastAsia="zh-CN" w:bidi="ar"/>
        </w:rPr>
      </w:pPr>
    </w:p>
    <w:p w14:paraId="0559FF33">
      <w:pPr>
        <w:keepNext w:val="0"/>
        <w:keepLines w:val="0"/>
        <w:widowControl/>
        <w:suppressLineNumbers w:val="0"/>
        <w:jc w:val="center"/>
        <w:rPr>
          <w:rFonts w:hint="eastAsia" w:ascii="宋体" w:hAnsi="宋体" w:eastAsia="宋体" w:cs="宋体"/>
          <w:b/>
          <w:bCs/>
          <w:color w:val="auto"/>
          <w:kern w:val="0"/>
          <w:sz w:val="43"/>
          <w:szCs w:val="43"/>
          <w:highlight w:val="none"/>
          <w:lang w:val="en-US" w:eastAsia="zh-CN" w:bidi="ar"/>
        </w:rPr>
      </w:pPr>
    </w:p>
    <w:p w14:paraId="18A81E8A">
      <w:pPr>
        <w:keepNext w:val="0"/>
        <w:keepLines w:val="0"/>
        <w:widowControl/>
        <w:suppressLineNumbers w:val="0"/>
        <w:jc w:val="center"/>
        <w:rPr>
          <w:rFonts w:hint="eastAsia" w:ascii="宋体" w:hAnsi="宋体" w:eastAsia="宋体" w:cs="宋体"/>
          <w:b/>
          <w:bCs/>
          <w:color w:val="auto"/>
          <w:kern w:val="0"/>
          <w:sz w:val="43"/>
          <w:szCs w:val="43"/>
          <w:highlight w:val="none"/>
          <w:lang w:val="en-US" w:eastAsia="zh-CN" w:bidi="ar"/>
        </w:rPr>
      </w:pPr>
    </w:p>
    <w:p w14:paraId="37D64018">
      <w:pPr>
        <w:keepNext w:val="0"/>
        <w:keepLines w:val="0"/>
        <w:widowControl/>
        <w:suppressLineNumbers w:val="0"/>
        <w:jc w:val="center"/>
        <w:rPr>
          <w:rFonts w:hint="eastAsia" w:ascii="宋体" w:hAnsi="宋体" w:eastAsia="宋体" w:cs="宋体"/>
          <w:b/>
          <w:bCs/>
          <w:color w:val="auto"/>
          <w:kern w:val="0"/>
          <w:sz w:val="43"/>
          <w:szCs w:val="43"/>
          <w:highlight w:val="none"/>
          <w:lang w:val="en-US" w:eastAsia="zh-CN" w:bidi="ar"/>
        </w:rPr>
      </w:pPr>
    </w:p>
    <w:p w14:paraId="61C290F3">
      <w:pPr>
        <w:keepNext w:val="0"/>
        <w:keepLines w:val="0"/>
        <w:widowControl/>
        <w:suppressLineNumbers w:val="0"/>
        <w:jc w:val="both"/>
        <w:rPr>
          <w:rFonts w:hint="eastAsia" w:ascii="宋体" w:hAnsi="宋体" w:eastAsia="宋体" w:cs="宋体"/>
          <w:b/>
          <w:bCs/>
          <w:color w:val="auto"/>
          <w:kern w:val="0"/>
          <w:sz w:val="43"/>
          <w:szCs w:val="43"/>
          <w:highlight w:val="none"/>
          <w:lang w:val="en-US" w:eastAsia="zh-CN" w:bidi="ar"/>
        </w:rPr>
      </w:pPr>
    </w:p>
    <w:p w14:paraId="7ACA0403">
      <w:pPr>
        <w:keepNext w:val="0"/>
        <w:keepLines w:val="0"/>
        <w:widowControl/>
        <w:suppressLineNumbers w:val="0"/>
        <w:jc w:val="both"/>
        <w:rPr>
          <w:rFonts w:hint="eastAsia" w:ascii="宋体" w:hAnsi="宋体" w:eastAsia="宋体" w:cs="宋体"/>
          <w:b/>
          <w:bCs/>
          <w:color w:val="auto"/>
          <w:kern w:val="0"/>
          <w:sz w:val="43"/>
          <w:szCs w:val="43"/>
          <w:highlight w:val="none"/>
          <w:lang w:val="en-US" w:eastAsia="zh-CN" w:bidi="ar"/>
        </w:rPr>
      </w:pPr>
    </w:p>
    <w:p w14:paraId="3B5A4D03">
      <w:pPr>
        <w:keepNext w:val="0"/>
        <w:keepLines w:val="0"/>
        <w:widowControl/>
        <w:suppressLineNumbers w:val="0"/>
        <w:jc w:val="both"/>
        <w:rPr>
          <w:rFonts w:hint="eastAsia" w:ascii="宋体" w:hAnsi="宋体" w:eastAsia="宋体" w:cs="宋体"/>
          <w:b/>
          <w:bCs/>
          <w:color w:val="auto"/>
          <w:kern w:val="0"/>
          <w:sz w:val="43"/>
          <w:szCs w:val="43"/>
          <w:highlight w:val="none"/>
          <w:lang w:val="en-US" w:eastAsia="zh-CN" w:bidi="ar"/>
        </w:rPr>
      </w:pPr>
    </w:p>
    <w:p w14:paraId="6F262EDE">
      <w:pPr>
        <w:keepNext w:val="0"/>
        <w:keepLines w:val="0"/>
        <w:widowControl/>
        <w:suppressLineNumbers w:val="0"/>
        <w:jc w:val="both"/>
        <w:rPr>
          <w:rFonts w:hint="eastAsia" w:ascii="宋体" w:hAnsi="宋体" w:eastAsia="宋体" w:cs="宋体"/>
          <w:b/>
          <w:bCs/>
          <w:color w:val="auto"/>
          <w:kern w:val="0"/>
          <w:sz w:val="43"/>
          <w:szCs w:val="43"/>
          <w:highlight w:val="none"/>
          <w:lang w:val="en-US" w:eastAsia="zh-CN" w:bidi="ar"/>
        </w:rPr>
      </w:pPr>
    </w:p>
    <w:p w14:paraId="449AA03E">
      <w:pPr>
        <w:keepNext w:val="0"/>
        <w:keepLines w:val="0"/>
        <w:widowControl/>
        <w:suppressLineNumbers w:val="0"/>
        <w:jc w:val="center"/>
        <w:outlineLvl w:val="0"/>
        <w:rPr>
          <w:rFonts w:hint="eastAsia" w:ascii="宋体" w:hAnsi="宋体" w:eastAsia="宋体" w:cs="宋体"/>
          <w:b/>
          <w:bCs/>
          <w:color w:val="auto"/>
          <w:kern w:val="0"/>
          <w:sz w:val="43"/>
          <w:szCs w:val="43"/>
          <w:highlight w:val="none"/>
          <w:lang w:val="en-US" w:eastAsia="zh-CN" w:bidi="ar"/>
        </w:rPr>
      </w:pPr>
      <w:bookmarkStart w:id="48" w:name="_Toc27683"/>
    </w:p>
    <w:p w14:paraId="6CD23E29">
      <w:pPr>
        <w:keepNext w:val="0"/>
        <w:keepLines w:val="0"/>
        <w:widowControl/>
        <w:suppressLineNumbers w:val="0"/>
        <w:jc w:val="center"/>
        <w:outlineLvl w:val="0"/>
        <w:rPr>
          <w:color w:val="auto"/>
          <w:highlight w:val="none"/>
        </w:rPr>
      </w:pPr>
      <w:r>
        <w:rPr>
          <w:rFonts w:hint="eastAsia" w:ascii="宋体" w:hAnsi="宋体" w:eastAsia="宋体" w:cs="宋体"/>
          <w:b/>
          <w:bCs/>
          <w:color w:val="auto"/>
          <w:kern w:val="0"/>
          <w:sz w:val="43"/>
          <w:szCs w:val="43"/>
          <w:highlight w:val="none"/>
          <w:lang w:val="en-US" w:eastAsia="zh-CN" w:bidi="ar"/>
        </w:rPr>
        <w:t>第五章 响应文件格式</w:t>
      </w:r>
      <w:bookmarkEnd w:id="48"/>
    </w:p>
    <w:p w14:paraId="172CF136">
      <w:pPr>
        <w:rPr>
          <w:color w:val="auto"/>
          <w:sz w:val="21"/>
          <w:szCs w:val="21"/>
          <w:highlight w:val="none"/>
        </w:rPr>
      </w:pPr>
    </w:p>
    <w:p w14:paraId="2483382C">
      <w:pPr>
        <w:rPr>
          <w:color w:val="auto"/>
          <w:sz w:val="21"/>
          <w:szCs w:val="21"/>
          <w:highlight w:val="none"/>
        </w:rPr>
      </w:pPr>
    </w:p>
    <w:p w14:paraId="64C61E12">
      <w:pPr>
        <w:rPr>
          <w:color w:val="auto"/>
          <w:sz w:val="21"/>
          <w:szCs w:val="21"/>
          <w:highlight w:val="none"/>
        </w:rPr>
      </w:pPr>
    </w:p>
    <w:p w14:paraId="4E232B4A">
      <w:pPr>
        <w:rPr>
          <w:color w:val="auto"/>
          <w:sz w:val="21"/>
          <w:szCs w:val="21"/>
          <w:highlight w:val="none"/>
        </w:rPr>
      </w:pPr>
    </w:p>
    <w:p w14:paraId="0B4A1C83">
      <w:pPr>
        <w:rPr>
          <w:color w:val="auto"/>
          <w:sz w:val="21"/>
          <w:szCs w:val="21"/>
          <w:highlight w:val="none"/>
        </w:rPr>
      </w:pPr>
    </w:p>
    <w:p w14:paraId="75ECA2AD">
      <w:pPr>
        <w:rPr>
          <w:color w:val="auto"/>
          <w:sz w:val="21"/>
          <w:szCs w:val="21"/>
          <w:highlight w:val="none"/>
        </w:rPr>
      </w:pPr>
    </w:p>
    <w:p w14:paraId="663443C7">
      <w:pPr>
        <w:rPr>
          <w:color w:val="auto"/>
          <w:sz w:val="21"/>
          <w:szCs w:val="21"/>
          <w:highlight w:val="none"/>
        </w:rPr>
      </w:pPr>
    </w:p>
    <w:p w14:paraId="5C1A1A7D">
      <w:pPr>
        <w:rPr>
          <w:color w:val="auto"/>
          <w:sz w:val="21"/>
          <w:szCs w:val="21"/>
          <w:highlight w:val="none"/>
        </w:rPr>
      </w:pPr>
    </w:p>
    <w:p w14:paraId="1E5AA18A">
      <w:pPr>
        <w:rPr>
          <w:color w:val="auto"/>
          <w:sz w:val="21"/>
          <w:szCs w:val="21"/>
          <w:highlight w:val="none"/>
        </w:rPr>
      </w:pPr>
    </w:p>
    <w:p w14:paraId="1B51434F">
      <w:pPr>
        <w:rPr>
          <w:color w:val="auto"/>
          <w:sz w:val="21"/>
          <w:szCs w:val="21"/>
          <w:highlight w:val="none"/>
        </w:rPr>
      </w:pPr>
    </w:p>
    <w:p w14:paraId="7D35223B">
      <w:pPr>
        <w:rPr>
          <w:color w:val="auto"/>
          <w:sz w:val="21"/>
          <w:szCs w:val="21"/>
          <w:highlight w:val="none"/>
        </w:rPr>
      </w:pPr>
    </w:p>
    <w:p w14:paraId="57F24FB8">
      <w:pPr>
        <w:rPr>
          <w:color w:val="auto"/>
          <w:sz w:val="21"/>
          <w:szCs w:val="21"/>
          <w:highlight w:val="none"/>
        </w:rPr>
      </w:pPr>
    </w:p>
    <w:p w14:paraId="5B3731F6">
      <w:pPr>
        <w:rPr>
          <w:color w:val="auto"/>
          <w:sz w:val="21"/>
          <w:szCs w:val="21"/>
          <w:highlight w:val="none"/>
        </w:rPr>
      </w:pPr>
    </w:p>
    <w:p w14:paraId="02312537">
      <w:pPr>
        <w:rPr>
          <w:color w:val="auto"/>
          <w:sz w:val="21"/>
          <w:szCs w:val="21"/>
          <w:highlight w:val="none"/>
        </w:rPr>
      </w:pPr>
    </w:p>
    <w:p w14:paraId="14C24846">
      <w:pPr>
        <w:rPr>
          <w:color w:val="auto"/>
          <w:sz w:val="21"/>
          <w:szCs w:val="21"/>
          <w:highlight w:val="none"/>
        </w:rPr>
      </w:pPr>
    </w:p>
    <w:p w14:paraId="5AA8743D">
      <w:pPr>
        <w:rPr>
          <w:color w:val="auto"/>
          <w:sz w:val="21"/>
          <w:szCs w:val="21"/>
          <w:highlight w:val="none"/>
        </w:rPr>
      </w:pPr>
    </w:p>
    <w:p w14:paraId="5A6CD166">
      <w:pPr>
        <w:rPr>
          <w:color w:val="auto"/>
          <w:sz w:val="21"/>
          <w:szCs w:val="21"/>
          <w:highlight w:val="none"/>
        </w:rPr>
      </w:pPr>
    </w:p>
    <w:p w14:paraId="5EA368CD">
      <w:pPr>
        <w:rPr>
          <w:color w:val="auto"/>
          <w:sz w:val="21"/>
          <w:szCs w:val="21"/>
          <w:highlight w:val="none"/>
        </w:rPr>
      </w:pPr>
    </w:p>
    <w:p w14:paraId="5392C9D6">
      <w:pPr>
        <w:rPr>
          <w:color w:val="auto"/>
          <w:sz w:val="21"/>
          <w:szCs w:val="21"/>
          <w:highlight w:val="none"/>
        </w:rPr>
      </w:pPr>
    </w:p>
    <w:p w14:paraId="36C3FD4E">
      <w:pPr>
        <w:rPr>
          <w:color w:val="auto"/>
          <w:sz w:val="21"/>
          <w:szCs w:val="21"/>
          <w:highlight w:val="none"/>
        </w:rPr>
      </w:pPr>
    </w:p>
    <w:p w14:paraId="58BCF06A">
      <w:pPr>
        <w:rPr>
          <w:color w:val="auto"/>
          <w:sz w:val="21"/>
          <w:szCs w:val="21"/>
          <w:highlight w:val="none"/>
        </w:rPr>
      </w:pPr>
    </w:p>
    <w:p w14:paraId="75C7C80C">
      <w:pPr>
        <w:rPr>
          <w:color w:val="auto"/>
          <w:sz w:val="21"/>
          <w:szCs w:val="21"/>
          <w:highlight w:val="none"/>
        </w:rPr>
      </w:pPr>
    </w:p>
    <w:p w14:paraId="59C3949B">
      <w:pPr>
        <w:rPr>
          <w:color w:val="auto"/>
          <w:sz w:val="21"/>
          <w:szCs w:val="21"/>
          <w:highlight w:val="none"/>
        </w:rPr>
      </w:pPr>
    </w:p>
    <w:p w14:paraId="4BC18D1A">
      <w:pPr>
        <w:rPr>
          <w:color w:val="auto"/>
          <w:sz w:val="21"/>
          <w:szCs w:val="21"/>
          <w:highlight w:val="none"/>
        </w:rPr>
      </w:pPr>
    </w:p>
    <w:p w14:paraId="3DC64FCA">
      <w:pPr>
        <w:rPr>
          <w:color w:val="auto"/>
          <w:sz w:val="21"/>
          <w:szCs w:val="21"/>
          <w:highlight w:val="none"/>
        </w:rPr>
      </w:pPr>
    </w:p>
    <w:p w14:paraId="3CE2793D">
      <w:pPr>
        <w:rPr>
          <w:color w:val="auto"/>
          <w:sz w:val="21"/>
          <w:szCs w:val="21"/>
          <w:highlight w:val="none"/>
        </w:rPr>
      </w:pPr>
    </w:p>
    <w:p w14:paraId="78414593">
      <w:pPr>
        <w:rPr>
          <w:color w:val="auto"/>
          <w:sz w:val="21"/>
          <w:szCs w:val="21"/>
          <w:highlight w:val="none"/>
        </w:rPr>
      </w:pPr>
    </w:p>
    <w:p w14:paraId="6F2F0703">
      <w:pPr>
        <w:rPr>
          <w:color w:val="auto"/>
          <w:sz w:val="21"/>
          <w:szCs w:val="21"/>
          <w:highlight w:val="none"/>
        </w:rPr>
      </w:pPr>
    </w:p>
    <w:p w14:paraId="0A86B5E2">
      <w:pPr>
        <w:rPr>
          <w:color w:val="auto"/>
          <w:sz w:val="21"/>
          <w:szCs w:val="21"/>
          <w:highlight w:val="none"/>
        </w:rPr>
      </w:pPr>
    </w:p>
    <w:p w14:paraId="6CF5F3B8">
      <w:pPr>
        <w:rPr>
          <w:color w:val="auto"/>
          <w:sz w:val="21"/>
          <w:szCs w:val="21"/>
          <w:highlight w:val="none"/>
        </w:rPr>
      </w:pPr>
    </w:p>
    <w:p w14:paraId="2337689C">
      <w:pPr>
        <w:rPr>
          <w:color w:val="auto"/>
          <w:sz w:val="21"/>
          <w:szCs w:val="21"/>
          <w:highlight w:val="none"/>
        </w:rPr>
      </w:pPr>
    </w:p>
    <w:p w14:paraId="3FCED188">
      <w:pPr>
        <w:rPr>
          <w:color w:val="auto"/>
          <w:sz w:val="21"/>
          <w:szCs w:val="21"/>
          <w:highlight w:val="none"/>
        </w:rPr>
      </w:pPr>
    </w:p>
    <w:p w14:paraId="18F8A20A">
      <w:pPr>
        <w:rPr>
          <w:color w:val="auto"/>
          <w:sz w:val="21"/>
          <w:szCs w:val="21"/>
          <w:highlight w:val="none"/>
        </w:rPr>
      </w:pPr>
    </w:p>
    <w:p w14:paraId="760FB5C4">
      <w:pPr>
        <w:rPr>
          <w:color w:val="auto"/>
          <w:sz w:val="21"/>
          <w:szCs w:val="21"/>
          <w:highlight w:val="none"/>
        </w:rPr>
      </w:pPr>
    </w:p>
    <w:p w14:paraId="241757B7">
      <w:pPr>
        <w:snapToGrid w:val="0"/>
        <w:spacing w:before="120" w:beforeLines="50" w:after="50" w:line="360" w:lineRule="auto"/>
        <w:jc w:val="center"/>
        <w:outlineLvl w:val="9"/>
        <w:rPr>
          <w:rFonts w:hint="eastAsia" w:ascii="宋体" w:hAnsi="宋体"/>
          <w:bCs/>
          <w:color w:val="auto"/>
          <w:sz w:val="32"/>
          <w:szCs w:val="32"/>
          <w:highlight w:val="none"/>
        </w:rPr>
      </w:pPr>
      <w:r>
        <w:rPr>
          <w:rFonts w:hint="eastAsia" w:ascii="宋体" w:hAnsi="宋体"/>
          <w:bCs/>
          <w:color w:val="auto"/>
          <w:sz w:val="32"/>
          <w:szCs w:val="32"/>
          <w:highlight w:val="none"/>
        </w:rPr>
        <w:t>资格证明文件格式</w:t>
      </w:r>
    </w:p>
    <w:p w14:paraId="1B0B7442">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736E6BE9">
      <w:pPr>
        <w:snapToGrid w:val="0"/>
        <w:spacing w:before="120" w:beforeLines="50" w:after="50"/>
        <w:rPr>
          <w:rFonts w:hint="eastAsia" w:ascii="宋体" w:hAnsi="宋体"/>
          <w:color w:val="auto"/>
          <w:sz w:val="24"/>
          <w:szCs w:val="20"/>
          <w:highlight w:val="none"/>
        </w:rPr>
      </w:pPr>
    </w:p>
    <w:p w14:paraId="6CDBFA44">
      <w:pPr>
        <w:snapToGrid w:val="0"/>
        <w:spacing w:before="120" w:beforeLines="50" w:after="50"/>
        <w:rPr>
          <w:rFonts w:hint="eastAsia" w:ascii="宋体" w:hAnsi="宋体"/>
          <w:color w:val="auto"/>
          <w:sz w:val="24"/>
          <w:szCs w:val="20"/>
          <w:highlight w:val="none"/>
        </w:rPr>
      </w:pPr>
    </w:p>
    <w:p w14:paraId="4BC8754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17B608A2">
      <w:pPr>
        <w:snapToGrid w:val="0"/>
        <w:spacing w:before="120" w:beforeLines="50" w:after="50"/>
        <w:rPr>
          <w:rFonts w:hint="eastAsia" w:ascii="宋体" w:hAnsi="宋体"/>
          <w:bCs/>
          <w:color w:val="auto"/>
          <w:sz w:val="24"/>
          <w:szCs w:val="20"/>
          <w:highlight w:val="none"/>
        </w:rPr>
      </w:pPr>
    </w:p>
    <w:p w14:paraId="4160DC9A">
      <w:pPr>
        <w:snapToGrid w:val="0"/>
        <w:spacing w:before="120" w:beforeLines="50" w:after="50"/>
        <w:rPr>
          <w:rFonts w:hint="eastAsia" w:ascii="宋体" w:hAnsi="宋体"/>
          <w:bCs/>
          <w:color w:val="auto"/>
          <w:sz w:val="24"/>
          <w:szCs w:val="20"/>
          <w:highlight w:val="none"/>
        </w:rPr>
      </w:pPr>
    </w:p>
    <w:p w14:paraId="1FB41423">
      <w:pPr>
        <w:snapToGrid w:val="0"/>
        <w:spacing w:before="120" w:beforeLines="50" w:after="50"/>
        <w:rPr>
          <w:rFonts w:hint="eastAsia" w:ascii="宋体" w:hAnsi="宋体"/>
          <w:bCs/>
          <w:color w:val="auto"/>
          <w:sz w:val="24"/>
          <w:szCs w:val="20"/>
          <w:highlight w:val="none"/>
        </w:rPr>
      </w:pPr>
    </w:p>
    <w:p w14:paraId="39ED62A7">
      <w:pPr>
        <w:snapToGrid w:val="0"/>
        <w:spacing w:before="120" w:beforeLines="50" w:after="50"/>
        <w:rPr>
          <w:rFonts w:hint="eastAsia" w:ascii="宋体" w:hAnsi="宋体"/>
          <w:bCs/>
          <w:color w:val="auto"/>
          <w:sz w:val="24"/>
          <w:szCs w:val="20"/>
          <w:highlight w:val="none"/>
        </w:rPr>
      </w:pPr>
    </w:p>
    <w:p w14:paraId="75B9D374">
      <w:pPr>
        <w:snapToGrid w:val="0"/>
        <w:spacing w:before="120" w:beforeLines="50" w:after="50"/>
        <w:rPr>
          <w:rFonts w:hint="eastAsia" w:ascii="宋体" w:hAnsi="宋体"/>
          <w:bCs/>
          <w:color w:val="auto"/>
          <w:sz w:val="24"/>
          <w:szCs w:val="20"/>
          <w:highlight w:val="none"/>
        </w:rPr>
      </w:pPr>
    </w:p>
    <w:p w14:paraId="35496CB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4A2D576">
      <w:pPr>
        <w:snapToGrid w:val="0"/>
        <w:spacing w:before="120" w:beforeLines="50" w:after="50"/>
        <w:ind w:firstLine="720" w:firstLineChars="225"/>
        <w:rPr>
          <w:rFonts w:hint="eastAsia" w:ascii="宋体" w:hAnsi="宋体" w:cs="仿宋_GB2312"/>
          <w:bCs/>
          <w:color w:val="auto"/>
          <w:sz w:val="32"/>
          <w:szCs w:val="32"/>
          <w:highlight w:val="none"/>
        </w:rPr>
      </w:pPr>
    </w:p>
    <w:p w14:paraId="69CC467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4A1BCB1">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25F216D">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9B610CF">
      <w:pPr>
        <w:snapToGrid w:val="0"/>
        <w:spacing w:before="120" w:beforeLines="50" w:after="50"/>
        <w:ind w:firstLine="720" w:firstLineChars="225"/>
        <w:rPr>
          <w:rFonts w:hint="eastAsia" w:ascii="宋体" w:hAnsi="宋体" w:cs="仿宋_GB2312"/>
          <w:bCs/>
          <w:color w:val="auto"/>
          <w:sz w:val="32"/>
          <w:szCs w:val="32"/>
          <w:highlight w:val="none"/>
        </w:rPr>
      </w:pPr>
    </w:p>
    <w:p w14:paraId="5059C8B2">
      <w:pPr>
        <w:pStyle w:val="7"/>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01A0DE9">
      <w:pPr>
        <w:pStyle w:val="7"/>
        <w:snapToGrid w:val="0"/>
        <w:spacing w:before="50" w:after="50"/>
        <w:ind w:firstLine="720" w:firstLineChars="225"/>
        <w:rPr>
          <w:rFonts w:hint="eastAsia" w:ascii="宋体" w:hAnsi="宋体" w:cs="仿宋_GB2312"/>
          <w:bCs/>
          <w:color w:val="auto"/>
          <w:sz w:val="32"/>
          <w:szCs w:val="32"/>
          <w:highlight w:val="none"/>
        </w:rPr>
      </w:pPr>
    </w:p>
    <w:p w14:paraId="3E909A0B">
      <w:pPr>
        <w:pStyle w:val="7"/>
        <w:snapToGrid w:val="0"/>
        <w:spacing w:before="50" w:after="50"/>
        <w:ind w:firstLine="720" w:firstLineChars="225"/>
        <w:rPr>
          <w:rFonts w:hint="eastAsia" w:ascii="宋体" w:hAnsi="宋体" w:cs="仿宋_GB2312"/>
          <w:bCs/>
          <w:color w:val="auto"/>
          <w:sz w:val="32"/>
          <w:szCs w:val="32"/>
          <w:highlight w:val="none"/>
        </w:rPr>
      </w:pPr>
    </w:p>
    <w:p w14:paraId="6DB719EB">
      <w:pPr>
        <w:pStyle w:val="7"/>
        <w:snapToGrid w:val="0"/>
        <w:spacing w:before="50" w:after="50"/>
        <w:ind w:firstLine="720" w:firstLineChars="225"/>
        <w:rPr>
          <w:rFonts w:hint="eastAsia" w:ascii="宋体" w:hAnsi="宋体" w:cs="仿宋_GB2312"/>
          <w:bCs/>
          <w:color w:val="auto"/>
          <w:sz w:val="32"/>
          <w:szCs w:val="32"/>
          <w:highlight w:val="none"/>
        </w:rPr>
      </w:pPr>
    </w:p>
    <w:p w14:paraId="4B6BAB89">
      <w:pPr>
        <w:pStyle w:val="7"/>
        <w:snapToGrid w:val="0"/>
        <w:spacing w:before="50" w:after="50"/>
        <w:ind w:firstLine="1280" w:firstLineChars="400"/>
        <w:rPr>
          <w:rFonts w:hint="eastAsia" w:ascii="宋体" w:hAnsi="宋体" w:cs="仿宋_GB2312"/>
          <w:bCs/>
          <w:color w:val="auto"/>
          <w:sz w:val="32"/>
          <w:szCs w:val="32"/>
          <w:highlight w:val="none"/>
        </w:rPr>
      </w:pPr>
    </w:p>
    <w:p w14:paraId="4BA78F39">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E011754">
      <w:pPr>
        <w:rPr>
          <w:rFonts w:ascii="宋体" w:hAnsi="宋体"/>
          <w:color w:val="auto"/>
          <w:sz w:val="24"/>
          <w:highlight w:val="none"/>
        </w:rPr>
      </w:pPr>
      <w:r>
        <w:rPr>
          <w:rFonts w:ascii="宋体" w:hAnsi="宋体"/>
          <w:color w:val="auto"/>
          <w:sz w:val="24"/>
          <w:highlight w:val="none"/>
        </w:rPr>
        <w:br w:type="page"/>
      </w:r>
    </w:p>
    <w:p w14:paraId="73B6F0A0">
      <w:pPr>
        <w:rPr>
          <w:rFonts w:ascii="宋体" w:hAnsi="宋体"/>
          <w:color w:val="auto"/>
          <w:sz w:val="24"/>
          <w:highlight w:val="none"/>
        </w:rPr>
      </w:pPr>
    </w:p>
    <w:p w14:paraId="28E951DC">
      <w:pPr>
        <w:rPr>
          <w:rFonts w:ascii="宋体" w:hAnsi="宋体"/>
          <w:color w:val="auto"/>
          <w:sz w:val="24"/>
          <w:highlight w:val="none"/>
        </w:rPr>
      </w:pPr>
    </w:p>
    <w:p w14:paraId="3D9C42C6">
      <w:pPr>
        <w:rPr>
          <w:rFonts w:ascii="宋体" w:hAnsi="宋体"/>
          <w:color w:val="auto"/>
          <w:sz w:val="24"/>
          <w:highlight w:val="none"/>
        </w:rPr>
      </w:pPr>
    </w:p>
    <w:p w14:paraId="72AD6437">
      <w:pPr>
        <w:rPr>
          <w:rFonts w:ascii="宋体" w:hAnsi="宋体"/>
          <w:color w:val="auto"/>
          <w:sz w:val="24"/>
          <w:highlight w:val="none"/>
        </w:rPr>
      </w:pPr>
    </w:p>
    <w:p w14:paraId="0AD854D1">
      <w:pPr>
        <w:rPr>
          <w:rFonts w:ascii="宋体" w:hAnsi="宋体"/>
          <w:color w:val="auto"/>
          <w:sz w:val="24"/>
          <w:highlight w:val="none"/>
        </w:rPr>
      </w:pPr>
    </w:p>
    <w:p w14:paraId="7B3B0DFD">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p w14:paraId="216512D5">
      <w:pPr>
        <w:keepNext w:val="0"/>
        <w:keepLines w:val="0"/>
        <w:widowControl/>
        <w:numPr>
          <w:ilvl w:val="0"/>
          <w:numId w:val="0"/>
        </w:numPr>
        <w:suppressLineNumbers w:val="0"/>
        <w:ind w:firstLine="2801" w:firstLineChars="900"/>
        <w:jc w:val="both"/>
        <w:rPr>
          <w:rFonts w:hint="eastAsia" w:ascii="宋体" w:hAnsi="宋体" w:eastAsia="宋体" w:cs="宋体"/>
          <w:b/>
          <w:bCs/>
          <w:color w:val="auto"/>
          <w:kern w:val="0"/>
          <w:sz w:val="31"/>
          <w:szCs w:val="31"/>
          <w:highlight w:val="none"/>
          <w:lang w:val="en-US" w:eastAsia="zh-CN" w:bidi="ar"/>
        </w:rPr>
      </w:pPr>
      <w:r>
        <w:rPr>
          <w:rFonts w:hint="eastAsia" w:ascii="宋体" w:hAnsi="宋体" w:cs="宋体"/>
          <w:b/>
          <w:bCs/>
          <w:color w:val="auto"/>
          <w:kern w:val="0"/>
          <w:sz w:val="31"/>
          <w:szCs w:val="31"/>
          <w:highlight w:val="none"/>
          <w:lang w:val="en-US" w:eastAsia="zh-CN" w:bidi="ar"/>
        </w:rPr>
        <w:t>2.</w:t>
      </w:r>
      <w:r>
        <w:rPr>
          <w:rFonts w:hint="eastAsia" w:ascii="宋体" w:hAnsi="宋体" w:eastAsia="宋体" w:cs="宋体"/>
          <w:b/>
          <w:bCs/>
          <w:color w:val="auto"/>
          <w:kern w:val="0"/>
          <w:sz w:val="31"/>
          <w:szCs w:val="31"/>
          <w:highlight w:val="none"/>
          <w:lang w:val="en-US" w:eastAsia="zh-CN" w:bidi="ar"/>
        </w:rPr>
        <w:t>资格证明文件目录</w:t>
      </w:r>
    </w:p>
    <w:p w14:paraId="4823B174">
      <w:pPr>
        <w:keepNext w:val="0"/>
        <w:keepLines w:val="0"/>
        <w:widowControl/>
        <w:numPr>
          <w:ilvl w:val="0"/>
          <w:numId w:val="0"/>
        </w:numPr>
        <w:suppressLineNumbers w:val="0"/>
        <w:jc w:val="both"/>
        <w:rPr>
          <w:rFonts w:hint="eastAsia" w:ascii="宋体" w:hAnsi="宋体" w:eastAsia="宋体" w:cs="宋体"/>
          <w:b/>
          <w:bCs/>
          <w:color w:val="auto"/>
          <w:kern w:val="0"/>
          <w:sz w:val="31"/>
          <w:szCs w:val="31"/>
          <w:highlight w:val="none"/>
          <w:lang w:val="en-US" w:eastAsia="zh-CN" w:bidi="ar"/>
        </w:rPr>
      </w:pPr>
    </w:p>
    <w:p w14:paraId="0EE6F863">
      <w:pPr>
        <w:ind w:firstLine="720" w:firstLineChars="300"/>
        <w:rPr>
          <w:rFonts w:ascii="宋体" w:hAnsi="宋体"/>
          <w:color w:val="auto"/>
          <w:sz w:val="24"/>
          <w:highlight w:val="none"/>
        </w:rPr>
      </w:pPr>
      <w:r>
        <w:rPr>
          <w:rFonts w:hint="eastAsia" w:ascii="宋体" w:hAnsi="宋体"/>
          <w:color w:val="auto"/>
          <w:sz w:val="24"/>
          <w:highlight w:val="none"/>
          <w:lang w:val="en-US" w:eastAsia="zh-CN"/>
        </w:rPr>
        <w:t>根据谈判文件规定及供应商提供的材料自行编写目录（部分格式后附）。</w:t>
      </w:r>
    </w:p>
    <w:p w14:paraId="7CB72364">
      <w:pPr>
        <w:rPr>
          <w:rFonts w:hint="eastAsia" w:ascii="宋体" w:hAnsi="宋体"/>
          <w:color w:val="auto"/>
          <w:sz w:val="24"/>
          <w:highlight w:val="none"/>
          <w:lang w:val="zh-CN"/>
        </w:rPr>
      </w:pPr>
    </w:p>
    <w:p w14:paraId="4B0813CB">
      <w:pPr>
        <w:rPr>
          <w:rFonts w:ascii="宋体" w:hAnsi="宋体"/>
          <w:color w:val="auto"/>
          <w:sz w:val="24"/>
          <w:highlight w:val="none"/>
        </w:rPr>
      </w:pPr>
    </w:p>
    <w:p w14:paraId="06D0DD55">
      <w:pPr>
        <w:rPr>
          <w:rFonts w:ascii="宋体" w:hAnsi="宋体"/>
          <w:color w:val="auto"/>
          <w:sz w:val="24"/>
          <w:highlight w:val="none"/>
        </w:rPr>
      </w:pPr>
    </w:p>
    <w:p w14:paraId="3739A6C9">
      <w:pPr>
        <w:rPr>
          <w:rFonts w:ascii="宋体" w:hAnsi="宋体"/>
          <w:color w:val="auto"/>
          <w:sz w:val="24"/>
          <w:highlight w:val="none"/>
        </w:rPr>
      </w:pPr>
    </w:p>
    <w:p w14:paraId="1BACA8A2">
      <w:pPr>
        <w:rPr>
          <w:rFonts w:ascii="宋体" w:hAnsi="宋体"/>
          <w:color w:val="auto"/>
          <w:sz w:val="24"/>
          <w:highlight w:val="none"/>
        </w:rPr>
      </w:pPr>
    </w:p>
    <w:p w14:paraId="1A9B5347">
      <w:pPr>
        <w:rPr>
          <w:rFonts w:ascii="宋体" w:hAnsi="宋体"/>
          <w:color w:val="auto"/>
          <w:sz w:val="24"/>
          <w:highlight w:val="none"/>
        </w:rPr>
      </w:pPr>
    </w:p>
    <w:p w14:paraId="3E44448D">
      <w:pPr>
        <w:rPr>
          <w:rFonts w:ascii="宋体" w:hAnsi="宋体"/>
          <w:color w:val="auto"/>
          <w:sz w:val="24"/>
          <w:highlight w:val="none"/>
        </w:rPr>
      </w:pPr>
    </w:p>
    <w:p w14:paraId="542A9B9C">
      <w:pPr>
        <w:rPr>
          <w:rFonts w:ascii="宋体" w:hAnsi="宋体"/>
          <w:color w:val="auto"/>
          <w:sz w:val="24"/>
          <w:highlight w:val="none"/>
        </w:rPr>
      </w:pPr>
    </w:p>
    <w:p w14:paraId="2D3B2D91">
      <w:pPr>
        <w:rPr>
          <w:rFonts w:ascii="宋体" w:hAnsi="宋体"/>
          <w:color w:val="auto"/>
          <w:sz w:val="24"/>
          <w:highlight w:val="none"/>
        </w:rPr>
      </w:pPr>
    </w:p>
    <w:p w14:paraId="41EF2FE1">
      <w:pPr>
        <w:rPr>
          <w:rFonts w:ascii="宋体" w:hAnsi="宋体"/>
          <w:color w:val="auto"/>
          <w:sz w:val="24"/>
          <w:highlight w:val="none"/>
        </w:rPr>
      </w:pPr>
    </w:p>
    <w:p w14:paraId="02577F22">
      <w:pPr>
        <w:rPr>
          <w:rFonts w:ascii="宋体" w:hAnsi="宋体"/>
          <w:color w:val="auto"/>
          <w:sz w:val="24"/>
          <w:highlight w:val="none"/>
        </w:rPr>
      </w:pPr>
    </w:p>
    <w:p w14:paraId="0935E844">
      <w:pPr>
        <w:rPr>
          <w:rFonts w:ascii="宋体" w:hAnsi="宋体"/>
          <w:color w:val="auto"/>
          <w:sz w:val="24"/>
          <w:highlight w:val="none"/>
        </w:rPr>
      </w:pPr>
    </w:p>
    <w:p w14:paraId="2856A7AE">
      <w:pPr>
        <w:rPr>
          <w:rFonts w:ascii="宋体" w:hAnsi="宋体"/>
          <w:color w:val="auto"/>
          <w:sz w:val="24"/>
          <w:highlight w:val="none"/>
        </w:rPr>
      </w:pPr>
    </w:p>
    <w:p w14:paraId="73154AA5">
      <w:pPr>
        <w:rPr>
          <w:rFonts w:ascii="宋体" w:hAnsi="宋体"/>
          <w:color w:val="auto"/>
          <w:sz w:val="24"/>
          <w:highlight w:val="none"/>
        </w:rPr>
      </w:pPr>
    </w:p>
    <w:p w14:paraId="312BF72A">
      <w:pPr>
        <w:rPr>
          <w:rFonts w:ascii="宋体" w:hAnsi="宋体"/>
          <w:color w:val="auto"/>
          <w:sz w:val="24"/>
          <w:highlight w:val="none"/>
        </w:rPr>
      </w:pPr>
    </w:p>
    <w:p w14:paraId="7EA33A72">
      <w:pPr>
        <w:rPr>
          <w:rFonts w:ascii="宋体" w:hAnsi="宋体"/>
          <w:color w:val="auto"/>
          <w:sz w:val="24"/>
          <w:highlight w:val="none"/>
        </w:rPr>
      </w:pPr>
    </w:p>
    <w:p w14:paraId="26A75902">
      <w:pPr>
        <w:rPr>
          <w:rFonts w:ascii="宋体" w:hAnsi="宋体"/>
          <w:color w:val="auto"/>
          <w:sz w:val="24"/>
          <w:highlight w:val="none"/>
        </w:rPr>
      </w:pPr>
    </w:p>
    <w:p w14:paraId="17BA2C63">
      <w:pPr>
        <w:rPr>
          <w:rFonts w:ascii="宋体" w:hAnsi="宋体"/>
          <w:color w:val="auto"/>
          <w:sz w:val="24"/>
          <w:highlight w:val="none"/>
        </w:rPr>
      </w:pPr>
    </w:p>
    <w:p w14:paraId="51E44022">
      <w:pPr>
        <w:rPr>
          <w:rFonts w:ascii="宋体" w:hAnsi="宋体"/>
          <w:color w:val="auto"/>
          <w:sz w:val="24"/>
          <w:highlight w:val="none"/>
        </w:rPr>
      </w:pPr>
    </w:p>
    <w:p w14:paraId="7F08E07D">
      <w:pPr>
        <w:rPr>
          <w:rFonts w:ascii="宋体" w:hAnsi="宋体"/>
          <w:color w:val="auto"/>
          <w:sz w:val="24"/>
          <w:highlight w:val="none"/>
        </w:rPr>
      </w:pPr>
    </w:p>
    <w:p w14:paraId="7FD6D1D7">
      <w:pPr>
        <w:rPr>
          <w:rFonts w:ascii="宋体" w:hAnsi="宋体"/>
          <w:color w:val="auto"/>
          <w:sz w:val="24"/>
          <w:highlight w:val="none"/>
        </w:rPr>
      </w:pPr>
    </w:p>
    <w:p w14:paraId="4CA935DF">
      <w:pPr>
        <w:rPr>
          <w:rFonts w:ascii="宋体" w:hAnsi="宋体"/>
          <w:color w:val="auto"/>
          <w:sz w:val="24"/>
          <w:highlight w:val="none"/>
        </w:rPr>
      </w:pPr>
    </w:p>
    <w:p w14:paraId="3938180D">
      <w:pPr>
        <w:rPr>
          <w:rFonts w:ascii="宋体" w:hAnsi="宋体"/>
          <w:color w:val="auto"/>
          <w:sz w:val="24"/>
          <w:highlight w:val="none"/>
        </w:rPr>
      </w:pPr>
    </w:p>
    <w:p w14:paraId="2EA44338">
      <w:pPr>
        <w:rPr>
          <w:rFonts w:ascii="宋体" w:hAnsi="宋体"/>
          <w:color w:val="auto"/>
          <w:sz w:val="24"/>
          <w:highlight w:val="none"/>
        </w:rPr>
      </w:pPr>
    </w:p>
    <w:p w14:paraId="0B42AEBD">
      <w:pPr>
        <w:rPr>
          <w:rFonts w:ascii="宋体" w:hAnsi="宋体"/>
          <w:color w:val="auto"/>
          <w:sz w:val="24"/>
          <w:highlight w:val="none"/>
        </w:rPr>
      </w:pPr>
    </w:p>
    <w:p w14:paraId="64835AC0">
      <w:pPr>
        <w:rPr>
          <w:rFonts w:ascii="宋体" w:hAnsi="宋体"/>
          <w:color w:val="auto"/>
          <w:sz w:val="24"/>
          <w:highlight w:val="none"/>
        </w:rPr>
      </w:pPr>
    </w:p>
    <w:p w14:paraId="3E9D1ED4">
      <w:pPr>
        <w:rPr>
          <w:rFonts w:ascii="宋体" w:hAnsi="宋体"/>
          <w:color w:val="auto"/>
          <w:sz w:val="24"/>
          <w:highlight w:val="none"/>
        </w:rPr>
      </w:pPr>
    </w:p>
    <w:p w14:paraId="778D4139">
      <w:pPr>
        <w:rPr>
          <w:rFonts w:ascii="宋体" w:hAnsi="宋体"/>
          <w:color w:val="auto"/>
          <w:sz w:val="24"/>
          <w:highlight w:val="none"/>
        </w:rPr>
      </w:pPr>
    </w:p>
    <w:p w14:paraId="58063126">
      <w:pPr>
        <w:rPr>
          <w:rFonts w:ascii="宋体" w:hAnsi="宋体"/>
          <w:color w:val="auto"/>
          <w:sz w:val="24"/>
          <w:highlight w:val="none"/>
        </w:rPr>
      </w:pPr>
    </w:p>
    <w:p w14:paraId="69145A36">
      <w:pPr>
        <w:rPr>
          <w:rFonts w:ascii="宋体" w:hAnsi="宋体"/>
          <w:color w:val="auto"/>
          <w:sz w:val="24"/>
          <w:highlight w:val="none"/>
        </w:rPr>
      </w:pPr>
    </w:p>
    <w:p w14:paraId="2F9E99D4">
      <w:pPr>
        <w:rPr>
          <w:rFonts w:ascii="宋体" w:hAnsi="宋体"/>
          <w:color w:val="auto"/>
          <w:sz w:val="24"/>
          <w:highlight w:val="none"/>
        </w:rPr>
      </w:pPr>
    </w:p>
    <w:p w14:paraId="497F71E6">
      <w:pPr>
        <w:rPr>
          <w:rFonts w:ascii="宋体" w:hAnsi="宋体"/>
          <w:color w:val="auto"/>
          <w:sz w:val="24"/>
          <w:highlight w:val="none"/>
        </w:rPr>
      </w:pPr>
    </w:p>
    <w:p w14:paraId="5E1026C3">
      <w:pPr>
        <w:rPr>
          <w:rFonts w:ascii="宋体" w:hAnsi="宋体"/>
          <w:color w:val="auto"/>
          <w:sz w:val="24"/>
          <w:highlight w:val="none"/>
        </w:rPr>
      </w:pPr>
    </w:p>
    <w:p w14:paraId="31E62BA8">
      <w:pPr>
        <w:rPr>
          <w:rFonts w:ascii="宋体" w:hAnsi="宋体"/>
          <w:color w:val="auto"/>
          <w:sz w:val="24"/>
          <w:highlight w:val="none"/>
        </w:rPr>
      </w:pPr>
    </w:p>
    <w:p w14:paraId="76FA3A40">
      <w:pPr>
        <w:spacing w:line="360" w:lineRule="auto"/>
        <w:contextualSpacing/>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供应商直接控股股东信息表</w:t>
      </w:r>
    </w:p>
    <w:p w14:paraId="57B1A97F">
      <w:pPr>
        <w:spacing w:line="360" w:lineRule="auto"/>
        <w:contextualSpacing/>
        <w:jc w:val="center"/>
        <w:rPr>
          <w:rFonts w:hint="eastAsia" w:ascii="宋体" w:hAnsi="宋体"/>
          <w:b/>
          <w:color w:val="auto"/>
          <w:sz w:val="22"/>
          <w:szCs w:val="22"/>
          <w:highlight w:val="none"/>
        </w:rPr>
      </w:pPr>
    </w:p>
    <w:tbl>
      <w:tblPr>
        <w:tblStyle w:val="2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07899BE">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82C24F">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1926B3">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312F86">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2EB15">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80AE3">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22258DB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531C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37E366">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B42A6">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A88CC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7DF87A">
            <w:pPr>
              <w:widowControl/>
              <w:spacing w:line="360" w:lineRule="auto"/>
              <w:contextualSpacing/>
              <w:jc w:val="center"/>
              <w:rPr>
                <w:rFonts w:hint="eastAsia" w:ascii="宋体" w:hAnsi="宋体" w:cs="宋体"/>
                <w:color w:val="auto"/>
                <w:kern w:val="0"/>
                <w:sz w:val="22"/>
                <w:szCs w:val="22"/>
                <w:highlight w:val="none"/>
              </w:rPr>
            </w:pPr>
          </w:p>
        </w:tc>
      </w:tr>
      <w:tr w14:paraId="6EB27DE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ADEFAC">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D60A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FAF8C4">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2565D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47D0B">
            <w:pPr>
              <w:widowControl/>
              <w:spacing w:line="360" w:lineRule="auto"/>
              <w:contextualSpacing/>
              <w:jc w:val="center"/>
              <w:rPr>
                <w:rFonts w:hint="eastAsia" w:ascii="宋体" w:hAnsi="宋体" w:cs="宋体"/>
                <w:color w:val="auto"/>
                <w:kern w:val="0"/>
                <w:sz w:val="22"/>
                <w:szCs w:val="22"/>
                <w:highlight w:val="none"/>
              </w:rPr>
            </w:pPr>
          </w:p>
        </w:tc>
      </w:tr>
      <w:tr w14:paraId="2A3A5EA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77B02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5AB2F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C80AE0">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9BD8F7">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0CCFBD">
            <w:pPr>
              <w:widowControl/>
              <w:spacing w:line="360" w:lineRule="auto"/>
              <w:contextualSpacing/>
              <w:jc w:val="center"/>
              <w:rPr>
                <w:rFonts w:hint="eastAsia" w:ascii="宋体" w:hAnsi="宋体" w:cs="宋体"/>
                <w:color w:val="auto"/>
                <w:kern w:val="0"/>
                <w:sz w:val="22"/>
                <w:szCs w:val="22"/>
                <w:highlight w:val="none"/>
              </w:rPr>
            </w:pPr>
          </w:p>
        </w:tc>
      </w:tr>
      <w:tr w14:paraId="3CD769C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F413D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33CA1">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0C0EC0">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65D2AB">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07B41">
            <w:pPr>
              <w:widowControl/>
              <w:spacing w:line="360" w:lineRule="auto"/>
              <w:contextualSpacing/>
              <w:jc w:val="center"/>
              <w:rPr>
                <w:rFonts w:hint="eastAsia" w:ascii="宋体" w:hAnsi="宋体" w:cs="宋体"/>
                <w:color w:val="auto"/>
                <w:kern w:val="0"/>
                <w:sz w:val="22"/>
                <w:szCs w:val="22"/>
                <w:highlight w:val="none"/>
              </w:rPr>
            </w:pPr>
          </w:p>
        </w:tc>
      </w:tr>
    </w:tbl>
    <w:p w14:paraId="0AC53FBE">
      <w:pPr>
        <w:spacing w:line="360" w:lineRule="auto"/>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FF121C3">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E01279">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48B04794">
      <w:pPr>
        <w:spacing w:line="360" w:lineRule="auto"/>
        <w:ind w:firstLine="420" w:firstLineChars="20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w:t>
      </w:r>
      <w:r>
        <w:rPr>
          <w:rFonts w:hint="eastAsia" w:ascii="宋体" w:hAnsi="宋体"/>
          <w:color w:val="auto"/>
          <w:sz w:val="21"/>
          <w:szCs w:val="21"/>
          <w:highlight w:val="none"/>
        </w:rPr>
        <w:t>则在“直接控股股东名称”填“无”</w:t>
      </w:r>
      <w:r>
        <w:rPr>
          <w:rFonts w:hint="eastAsia" w:ascii="宋体" w:hAnsi="宋体" w:cs="宋体"/>
          <w:color w:val="auto"/>
          <w:sz w:val="21"/>
          <w:szCs w:val="21"/>
          <w:highlight w:val="none"/>
        </w:rPr>
        <w:t>。</w:t>
      </w:r>
    </w:p>
    <w:p w14:paraId="10A07B21">
      <w:pPr>
        <w:spacing w:line="360" w:lineRule="auto"/>
        <w:ind w:firstLine="420" w:firstLineChars="200"/>
        <w:contextualSpacing/>
        <w:jc w:val="left"/>
        <w:rPr>
          <w:rFonts w:ascii="宋体" w:hAnsi="宋体" w:cs="宋体"/>
          <w:color w:val="auto"/>
          <w:sz w:val="21"/>
          <w:szCs w:val="21"/>
          <w:highlight w:val="none"/>
        </w:rPr>
      </w:pPr>
    </w:p>
    <w:p w14:paraId="0A44B07B">
      <w:pPr>
        <w:spacing w:line="360" w:lineRule="auto"/>
        <w:ind w:right="480"/>
        <w:contextualSpacing/>
        <w:jc w:val="both"/>
        <w:rPr>
          <w:rFonts w:hint="eastAsia" w:ascii="宋体" w:hAnsi="宋体" w:cs="宋体"/>
          <w:color w:val="auto"/>
          <w:sz w:val="21"/>
          <w:szCs w:val="21"/>
          <w:highlight w:val="none"/>
        </w:rPr>
      </w:pPr>
    </w:p>
    <w:p w14:paraId="7698C03D">
      <w:pPr>
        <w:spacing w:line="360" w:lineRule="auto"/>
        <w:ind w:right="480" w:firstLine="1260" w:firstLineChars="600"/>
        <w:contextualSpacing/>
        <w:jc w:val="both"/>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法定代表人或者委托代理人</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签字或盖章或电子签名）</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ascii="宋体" w:hAnsi="宋体" w:cs="宋体"/>
          <w:color w:val="auto"/>
          <w:sz w:val="21"/>
          <w:szCs w:val="21"/>
          <w:highlight w:val="none"/>
          <w:u w:val="single"/>
        </w:rPr>
        <w:t xml:space="preserve">      </w:t>
      </w:r>
    </w:p>
    <w:p w14:paraId="3316847F">
      <w:pPr>
        <w:spacing w:line="360" w:lineRule="auto"/>
        <w:ind w:right="480" w:firstLine="3885" w:firstLineChars="1850"/>
        <w:contextualSpacing/>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olor w:val="auto"/>
          <w:sz w:val="21"/>
          <w:szCs w:val="21"/>
          <w:highlight w:val="none"/>
        </w:rPr>
        <w:t>（电子签章）</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u w:val="single"/>
        </w:rPr>
        <w:t xml:space="preserve">                     </w:t>
      </w:r>
    </w:p>
    <w:p w14:paraId="6A37F80D">
      <w:pP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cs="仿宋_GB2312"/>
          <w:color w:val="auto"/>
          <w:sz w:val="22"/>
          <w:szCs w:val="22"/>
          <w:highlight w:val="none"/>
          <w:lang w:val="en-US" w:eastAsia="zh-CN"/>
        </w:rPr>
        <w:t xml:space="preserve"> </w:t>
      </w:r>
      <w:r>
        <w:rPr>
          <w:rFonts w:hint="eastAsia" w:asciiTheme="minorEastAsia" w:hAnsiTheme="minorEastAsia" w:eastAsiaTheme="minorEastAsia" w:cstheme="minorEastAsia"/>
          <w:color w:val="auto"/>
          <w:kern w:val="2"/>
          <w:sz w:val="22"/>
          <w:szCs w:val="22"/>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F66ADC0">
      <w:pPr>
        <w:rPr>
          <w:rFonts w:hint="eastAsia" w:ascii="宋体" w:hAnsi="宋体" w:cs="宋体"/>
          <w:color w:val="auto"/>
          <w:sz w:val="21"/>
          <w:szCs w:val="21"/>
          <w:highlight w:val="none"/>
          <w:lang w:val="en-US" w:eastAsia="zh-CN"/>
        </w:rPr>
      </w:pPr>
    </w:p>
    <w:p w14:paraId="56456874">
      <w:pPr>
        <w:rPr>
          <w:rFonts w:hint="eastAsia" w:ascii="宋体" w:hAnsi="宋体" w:cs="宋体"/>
          <w:color w:val="auto"/>
          <w:sz w:val="21"/>
          <w:szCs w:val="21"/>
          <w:highlight w:val="none"/>
          <w:lang w:val="en-US" w:eastAsia="zh-CN"/>
        </w:rPr>
      </w:pPr>
    </w:p>
    <w:p w14:paraId="235A7A69">
      <w:pPr>
        <w:rPr>
          <w:rFonts w:hint="eastAsia" w:ascii="宋体" w:hAnsi="宋体" w:cs="宋体"/>
          <w:color w:val="auto"/>
          <w:sz w:val="21"/>
          <w:szCs w:val="21"/>
          <w:highlight w:val="none"/>
          <w:lang w:val="en-US" w:eastAsia="zh-CN"/>
        </w:rPr>
      </w:pPr>
    </w:p>
    <w:p w14:paraId="232D5549">
      <w:pPr>
        <w:rPr>
          <w:rFonts w:hint="eastAsia" w:ascii="宋体" w:hAnsi="宋体" w:cs="宋体"/>
          <w:color w:val="auto"/>
          <w:sz w:val="21"/>
          <w:szCs w:val="21"/>
          <w:highlight w:val="none"/>
          <w:lang w:val="en-US" w:eastAsia="zh-CN"/>
        </w:rPr>
      </w:pPr>
    </w:p>
    <w:p w14:paraId="03E86B1C">
      <w:pPr>
        <w:rPr>
          <w:rFonts w:hint="eastAsia" w:ascii="宋体" w:hAnsi="宋体" w:cs="宋体"/>
          <w:color w:val="auto"/>
          <w:sz w:val="21"/>
          <w:szCs w:val="21"/>
          <w:highlight w:val="none"/>
          <w:lang w:val="en-US" w:eastAsia="zh-CN"/>
        </w:rPr>
      </w:pPr>
    </w:p>
    <w:p w14:paraId="617E58C1">
      <w:pPr>
        <w:rPr>
          <w:rFonts w:hint="eastAsia" w:ascii="宋体" w:hAnsi="宋体" w:cs="宋体"/>
          <w:color w:val="auto"/>
          <w:sz w:val="21"/>
          <w:szCs w:val="21"/>
          <w:highlight w:val="none"/>
          <w:lang w:val="en-US" w:eastAsia="zh-CN"/>
        </w:rPr>
      </w:pPr>
    </w:p>
    <w:p w14:paraId="72172338">
      <w:pPr>
        <w:rPr>
          <w:rFonts w:hint="eastAsia" w:ascii="宋体" w:hAnsi="宋体" w:cs="宋体"/>
          <w:color w:val="auto"/>
          <w:sz w:val="21"/>
          <w:szCs w:val="21"/>
          <w:highlight w:val="none"/>
          <w:lang w:val="en-US" w:eastAsia="zh-CN"/>
        </w:rPr>
      </w:pPr>
    </w:p>
    <w:p w14:paraId="6F94A96E">
      <w:pPr>
        <w:rPr>
          <w:rFonts w:hint="eastAsia" w:ascii="宋体" w:hAnsi="宋体" w:cs="宋体"/>
          <w:color w:val="auto"/>
          <w:sz w:val="21"/>
          <w:szCs w:val="21"/>
          <w:highlight w:val="none"/>
          <w:lang w:val="en-US" w:eastAsia="zh-CN"/>
        </w:rPr>
      </w:pPr>
    </w:p>
    <w:p w14:paraId="195EF312">
      <w:pPr>
        <w:rPr>
          <w:rFonts w:hint="eastAsia" w:ascii="宋体" w:hAnsi="宋体" w:cs="宋体"/>
          <w:color w:val="auto"/>
          <w:sz w:val="21"/>
          <w:szCs w:val="21"/>
          <w:highlight w:val="none"/>
          <w:lang w:val="en-US" w:eastAsia="zh-CN"/>
        </w:rPr>
      </w:pPr>
    </w:p>
    <w:p w14:paraId="53C212D9">
      <w:pPr>
        <w:rPr>
          <w:rFonts w:hint="eastAsia" w:ascii="宋体" w:hAnsi="宋体" w:cs="宋体"/>
          <w:color w:val="auto"/>
          <w:sz w:val="21"/>
          <w:szCs w:val="21"/>
          <w:highlight w:val="none"/>
          <w:lang w:val="en-US" w:eastAsia="zh-CN"/>
        </w:rPr>
      </w:pPr>
    </w:p>
    <w:p w14:paraId="44FC7C45">
      <w:pPr>
        <w:rPr>
          <w:rFonts w:hint="eastAsia" w:ascii="宋体" w:hAnsi="宋体" w:cs="宋体"/>
          <w:color w:val="auto"/>
          <w:sz w:val="21"/>
          <w:szCs w:val="21"/>
          <w:highlight w:val="none"/>
          <w:lang w:val="en-US" w:eastAsia="zh-CN"/>
        </w:rPr>
      </w:pPr>
    </w:p>
    <w:p w14:paraId="1C77B2D8">
      <w:pPr>
        <w:rPr>
          <w:rFonts w:hint="eastAsia" w:ascii="宋体" w:hAnsi="宋体" w:cs="宋体"/>
          <w:color w:val="auto"/>
          <w:sz w:val="21"/>
          <w:szCs w:val="21"/>
          <w:highlight w:val="none"/>
          <w:lang w:val="en-US" w:eastAsia="zh-CN"/>
        </w:rPr>
      </w:pPr>
    </w:p>
    <w:p w14:paraId="5FA069C8">
      <w:pPr>
        <w:rPr>
          <w:rFonts w:hint="eastAsia" w:ascii="宋体" w:hAnsi="宋体" w:cs="宋体"/>
          <w:color w:val="auto"/>
          <w:sz w:val="21"/>
          <w:szCs w:val="21"/>
          <w:highlight w:val="none"/>
          <w:lang w:val="en-US" w:eastAsia="zh-CN"/>
        </w:rPr>
      </w:pPr>
    </w:p>
    <w:p w14:paraId="17FEC91B">
      <w:pPr>
        <w:rPr>
          <w:rFonts w:hint="eastAsia" w:ascii="宋体" w:hAnsi="宋体" w:cs="宋体"/>
          <w:color w:val="auto"/>
          <w:sz w:val="21"/>
          <w:szCs w:val="21"/>
          <w:highlight w:val="none"/>
          <w:lang w:val="en-US" w:eastAsia="zh-CN"/>
        </w:rPr>
      </w:pPr>
    </w:p>
    <w:p w14:paraId="3C484E6D">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247926BB">
      <w:pPr>
        <w:snapToGrid w:val="0"/>
        <w:spacing w:line="360" w:lineRule="auto"/>
        <w:jc w:val="center"/>
        <w:rPr>
          <w:rFonts w:hint="eastAsia" w:ascii="宋体" w:hAnsi="宋体"/>
          <w:b/>
          <w:color w:val="auto"/>
          <w:sz w:val="22"/>
          <w:szCs w:val="22"/>
          <w:highlight w:val="none"/>
        </w:rPr>
      </w:pPr>
    </w:p>
    <w:tbl>
      <w:tblPr>
        <w:tblStyle w:val="2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31F37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93DB1B">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116885">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D0D93B">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A3020D">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0043A0E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50265">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57FD5B">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465142">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EF393B">
            <w:pPr>
              <w:widowControl/>
              <w:spacing w:line="360" w:lineRule="auto"/>
              <w:contextualSpacing/>
              <w:jc w:val="center"/>
              <w:rPr>
                <w:rFonts w:ascii="宋体" w:hAnsi="宋体" w:cs="宋体"/>
                <w:color w:val="auto"/>
                <w:kern w:val="0"/>
                <w:sz w:val="22"/>
                <w:szCs w:val="22"/>
                <w:highlight w:val="none"/>
              </w:rPr>
            </w:pPr>
          </w:p>
        </w:tc>
      </w:tr>
      <w:tr w14:paraId="7FDB657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4FD88B">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3FFDD7">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131F32">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55067">
            <w:pPr>
              <w:widowControl/>
              <w:spacing w:line="360" w:lineRule="auto"/>
              <w:contextualSpacing/>
              <w:jc w:val="center"/>
              <w:rPr>
                <w:rFonts w:ascii="宋体" w:hAnsi="宋体" w:cs="宋体"/>
                <w:color w:val="auto"/>
                <w:kern w:val="0"/>
                <w:sz w:val="22"/>
                <w:szCs w:val="22"/>
                <w:highlight w:val="none"/>
              </w:rPr>
            </w:pPr>
          </w:p>
        </w:tc>
      </w:tr>
      <w:tr w14:paraId="5B88770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CB918C">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BF46E4">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51D25">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388C8">
            <w:pPr>
              <w:widowControl/>
              <w:spacing w:line="360" w:lineRule="auto"/>
              <w:contextualSpacing/>
              <w:jc w:val="center"/>
              <w:rPr>
                <w:rFonts w:ascii="宋体" w:hAnsi="宋体" w:cs="宋体"/>
                <w:color w:val="auto"/>
                <w:kern w:val="0"/>
                <w:sz w:val="22"/>
                <w:szCs w:val="22"/>
                <w:highlight w:val="none"/>
              </w:rPr>
            </w:pPr>
          </w:p>
        </w:tc>
      </w:tr>
      <w:tr w14:paraId="6A6163A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74F1B">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835EC5">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D3E513">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F1FFE">
            <w:pPr>
              <w:widowControl/>
              <w:spacing w:line="360" w:lineRule="auto"/>
              <w:contextualSpacing/>
              <w:jc w:val="center"/>
              <w:rPr>
                <w:rFonts w:ascii="宋体" w:hAnsi="宋体" w:cs="宋体"/>
                <w:color w:val="auto"/>
                <w:kern w:val="0"/>
                <w:sz w:val="22"/>
                <w:szCs w:val="22"/>
                <w:highlight w:val="none"/>
              </w:rPr>
            </w:pPr>
          </w:p>
        </w:tc>
      </w:tr>
    </w:tbl>
    <w:p w14:paraId="2229C62C">
      <w:pPr>
        <w:spacing w:line="360" w:lineRule="auto"/>
        <w:contextualSpacing/>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1666B4DE">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0FFCA5AA">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0D9E2592">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3.供应商不存在直接管理关系的，则在“直接管理关系单位名称”填“无”。</w:t>
      </w:r>
    </w:p>
    <w:p w14:paraId="1CBDBD24">
      <w:pPr>
        <w:spacing w:line="360" w:lineRule="auto"/>
        <w:contextualSpacing/>
        <w:jc w:val="left"/>
        <w:rPr>
          <w:rFonts w:hint="eastAsia" w:ascii="宋体" w:hAnsi="宋体"/>
          <w:color w:val="auto"/>
          <w:sz w:val="21"/>
          <w:szCs w:val="21"/>
          <w:highlight w:val="none"/>
        </w:rPr>
      </w:pPr>
    </w:p>
    <w:p w14:paraId="29B0E464">
      <w:pPr>
        <w:spacing w:line="360" w:lineRule="auto"/>
        <w:contextualSpacing/>
        <w:jc w:val="left"/>
        <w:rPr>
          <w:rFonts w:hint="eastAsia" w:ascii="宋体" w:hAnsi="宋体"/>
          <w:color w:val="auto"/>
          <w:sz w:val="21"/>
          <w:szCs w:val="21"/>
          <w:highlight w:val="none"/>
        </w:rPr>
      </w:pPr>
    </w:p>
    <w:p w14:paraId="58869046">
      <w:pPr>
        <w:spacing w:line="360" w:lineRule="auto"/>
        <w:contextualSpacing/>
        <w:jc w:val="left"/>
        <w:rPr>
          <w:rFonts w:hint="eastAsia"/>
          <w:color w:val="auto"/>
          <w:sz w:val="21"/>
          <w:szCs w:val="21"/>
          <w:highlight w:val="none"/>
        </w:rPr>
      </w:pPr>
    </w:p>
    <w:p w14:paraId="7A03D11C">
      <w:pPr>
        <w:spacing w:line="360" w:lineRule="auto"/>
        <w:contextualSpacing/>
        <w:jc w:val="left"/>
        <w:rPr>
          <w:rFonts w:hint="eastAsia"/>
          <w:color w:val="auto"/>
          <w:sz w:val="21"/>
          <w:szCs w:val="21"/>
          <w:highlight w:val="none"/>
        </w:rPr>
      </w:pPr>
    </w:p>
    <w:p w14:paraId="4A5EE1F6">
      <w:pPr>
        <w:spacing w:line="360" w:lineRule="auto"/>
        <w:contextualSpacing/>
        <w:jc w:val="left"/>
        <w:rPr>
          <w:rFonts w:hint="eastAsia"/>
          <w:color w:val="auto"/>
          <w:sz w:val="21"/>
          <w:szCs w:val="21"/>
          <w:highlight w:val="none"/>
        </w:rPr>
      </w:pPr>
    </w:p>
    <w:p w14:paraId="3E656E23">
      <w:pPr>
        <w:spacing w:line="360" w:lineRule="auto"/>
        <w:ind w:right="480" w:firstLine="2730" w:firstLineChars="1300"/>
        <w:contextualSpacing/>
        <w:jc w:val="both"/>
        <w:rPr>
          <w:rFonts w:hint="eastAsia" w:ascii="宋体" w:hAnsi="宋体"/>
          <w:color w:val="auto"/>
          <w:sz w:val="21"/>
          <w:szCs w:val="21"/>
          <w:highlight w:val="none"/>
          <w:u w:val="single"/>
        </w:rPr>
      </w:pPr>
      <w:r>
        <w:rPr>
          <w:rFonts w:hint="eastAsia" w:ascii="宋体" w:hAnsi="宋体"/>
          <w:color w:val="auto"/>
          <w:sz w:val="21"/>
          <w:szCs w:val="21"/>
          <w:highlight w:val="none"/>
        </w:rPr>
        <w:t>法定代表人或者委托代理人（</w:t>
      </w:r>
      <w:r>
        <w:rPr>
          <w:rFonts w:hint="eastAsia" w:ascii="宋体" w:hAnsi="宋体"/>
          <w:color w:val="auto"/>
          <w:sz w:val="21"/>
          <w:szCs w:val="21"/>
          <w:highlight w:val="none"/>
          <w:lang w:val="en-US" w:eastAsia="zh-CN"/>
        </w:rPr>
        <w:t>签字或盖章或电子签名）</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p>
    <w:p w14:paraId="16FD30A8">
      <w:pPr>
        <w:spacing w:line="360" w:lineRule="auto"/>
        <w:ind w:right="480" w:firstLine="5460" w:firstLineChars="2600"/>
        <w:contextualSpacing/>
        <w:rPr>
          <w:rFonts w:hint="eastAsia" w:ascii="宋体" w:hAnsi="宋体"/>
          <w:color w:val="auto"/>
          <w:sz w:val="21"/>
          <w:szCs w:val="21"/>
          <w:highlight w:val="none"/>
          <w:lang w:val="en-US" w:eastAsia="zh-CN"/>
        </w:rPr>
      </w:pPr>
      <w:r>
        <w:rPr>
          <w:rFonts w:hint="eastAsia" w:ascii="宋体" w:hAnsi="宋体"/>
          <w:color w:val="auto"/>
          <w:sz w:val="21"/>
          <w:szCs w:val="21"/>
          <w:highlight w:val="none"/>
        </w:rPr>
        <w:t>供应商（电子签章）：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 xml:space="preserve">         </w:t>
      </w:r>
    </w:p>
    <w:p w14:paraId="0C8FB02A">
      <w:pPr>
        <w:spacing w:line="360" w:lineRule="auto"/>
        <w:ind w:firstLine="6300" w:firstLineChars="30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AFAE349">
      <w:pPr>
        <w:spacing w:line="360" w:lineRule="auto"/>
        <w:ind w:firstLine="6930" w:firstLineChars="3300"/>
        <w:contextualSpacing/>
        <w:jc w:val="left"/>
        <w:rPr>
          <w:rFonts w:hint="eastAsia" w:ascii="宋体" w:hAnsi="宋体"/>
          <w:color w:val="auto"/>
          <w:sz w:val="21"/>
          <w:szCs w:val="21"/>
          <w:highlight w:val="none"/>
        </w:rPr>
      </w:pPr>
    </w:p>
    <w:p w14:paraId="43AE55AF">
      <w:pPr>
        <w:spacing w:line="360" w:lineRule="auto"/>
        <w:ind w:firstLine="6930" w:firstLineChars="3300"/>
        <w:contextualSpacing/>
        <w:jc w:val="left"/>
        <w:rPr>
          <w:rFonts w:hint="eastAsia" w:ascii="宋体" w:hAnsi="宋体"/>
          <w:color w:val="auto"/>
          <w:sz w:val="21"/>
          <w:szCs w:val="21"/>
          <w:highlight w:val="none"/>
        </w:rPr>
      </w:pPr>
    </w:p>
    <w:p w14:paraId="1C6467B0">
      <w:pPr>
        <w:spacing w:line="360" w:lineRule="auto"/>
        <w:ind w:firstLine="6930" w:firstLineChars="3300"/>
        <w:contextualSpacing/>
        <w:jc w:val="left"/>
        <w:rPr>
          <w:rFonts w:hint="eastAsia" w:ascii="宋体" w:hAnsi="宋体"/>
          <w:color w:val="auto"/>
          <w:sz w:val="21"/>
          <w:szCs w:val="21"/>
          <w:highlight w:val="none"/>
        </w:rPr>
      </w:pPr>
    </w:p>
    <w:p w14:paraId="216A9C91">
      <w:pPr>
        <w:spacing w:line="360" w:lineRule="auto"/>
        <w:contextualSpacing/>
        <w:jc w:val="left"/>
        <w:rPr>
          <w:rFonts w:hint="eastAsia" w:ascii="宋体" w:hAnsi="宋体"/>
          <w:color w:val="auto"/>
          <w:sz w:val="21"/>
          <w:szCs w:val="21"/>
          <w:highlight w:val="none"/>
        </w:rPr>
      </w:pPr>
    </w:p>
    <w:p w14:paraId="1EDDCC6F">
      <w:pPr>
        <w:spacing w:line="360" w:lineRule="auto"/>
        <w:contextualSpacing/>
        <w:jc w:val="left"/>
        <w:rPr>
          <w:rFonts w:hint="eastAsia" w:ascii="宋体" w:hAnsi="宋体"/>
          <w:color w:val="auto"/>
          <w:sz w:val="21"/>
          <w:szCs w:val="21"/>
          <w:highlight w:val="none"/>
        </w:rPr>
      </w:pPr>
    </w:p>
    <w:p w14:paraId="669A2DA9">
      <w:pPr>
        <w:spacing w:line="360" w:lineRule="auto"/>
        <w:contextualSpacing/>
        <w:jc w:val="left"/>
        <w:rPr>
          <w:rFonts w:hint="eastAsia" w:ascii="宋体" w:hAnsi="宋体"/>
          <w:color w:val="auto"/>
          <w:sz w:val="21"/>
          <w:szCs w:val="21"/>
          <w:highlight w:val="none"/>
        </w:rPr>
      </w:pPr>
    </w:p>
    <w:p w14:paraId="4CB2336F">
      <w:pPr>
        <w:spacing w:line="360" w:lineRule="auto"/>
        <w:contextualSpacing/>
        <w:jc w:val="left"/>
        <w:rPr>
          <w:rFonts w:hint="eastAsia" w:ascii="宋体" w:hAnsi="宋体"/>
          <w:color w:val="auto"/>
          <w:sz w:val="21"/>
          <w:szCs w:val="21"/>
          <w:highlight w:val="none"/>
        </w:rPr>
      </w:pPr>
    </w:p>
    <w:p w14:paraId="0F8E05A6">
      <w:pPr>
        <w:spacing w:line="360" w:lineRule="auto"/>
        <w:contextualSpacing/>
        <w:jc w:val="left"/>
        <w:rPr>
          <w:rFonts w:hint="eastAsia" w:ascii="宋体" w:hAnsi="宋体"/>
          <w:color w:val="auto"/>
          <w:sz w:val="21"/>
          <w:szCs w:val="21"/>
          <w:highlight w:val="none"/>
        </w:rPr>
      </w:pPr>
    </w:p>
    <w:p w14:paraId="5125E876">
      <w:pPr>
        <w:spacing w:line="360" w:lineRule="auto"/>
        <w:contextualSpacing/>
        <w:jc w:val="left"/>
        <w:rPr>
          <w:rFonts w:hint="eastAsia" w:ascii="宋体" w:hAnsi="宋体"/>
          <w:color w:val="auto"/>
          <w:sz w:val="21"/>
          <w:szCs w:val="21"/>
          <w:highlight w:val="none"/>
        </w:rPr>
      </w:pPr>
    </w:p>
    <w:p w14:paraId="7DC4BABA">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竞标声明</w:t>
      </w:r>
    </w:p>
    <w:p w14:paraId="42BD653C">
      <w:pPr>
        <w:spacing w:line="320" w:lineRule="exact"/>
        <w:jc w:val="center"/>
        <w:rPr>
          <w:rFonts w:hint="eastAsia" w:ascii="宋体" w:hAnsi="宋体"/>
          <w:color w:val="auto"/>
          <w:sz w:val="22"/>
          <w:szCs w:val="18"/>
          <w:highlight w:val="none"/>
        </w:rPr>
      </w:pPr>
    </w:p>
    <w:p w14:paraId="2FD2254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（采购人名称）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w:t>
      </w:r>
    </w:p>
    <w:p w14:paraId="6008893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供应商名称）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系中华人民共和国合法供应商，经营</w:t>
      </w:r>
      <w:r>
        <w:rPr>
          <w:rFonts w:hint="eastAsia" w:ascii="宋体" w:hAnsi="宋体" w:cs="Times New Roman"/>
          <w:color w:val="auto"/>
          <w:sz w:val="21"/>
          <w:szCs w:val="21"/>
          <w:highlight w:val="none"/>
          <w:lang w:val="en-US" w:eastAsia="zh-CN"/>
        </w:rPr>
        <w:t>地</w:t>
      </w:r>
      <w:r>
        <w:rPr>
          <w:rFonts w:hint="eastAsia" w:ascii="宋体" w:hAnsi="宋体" w:eastAsia="宋体" w:cs="Times New Roman"/>
          <w:color w:val="auto"/>
          <w:sz w:val="21"/>
          <w:szCs w:val="21"/>
          <w:highlight w:val="none"/>
        </w:rPr>
        <w:t>址</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565AFDC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我方愿意参加贵方组织的</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项目的竞标，为便于贵方公正、择优地确定成交供应商及其竞标产品和服务，我方就本次竞标有关事项郑重声明如下：</w:t>
      </w:r>
    </w:p>
    <w:p w14:paraId="75BF9EF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1.我方向贵方提交的所有响应文件、资料都是准确的和真实的。</w:t>
      </w:r>
    </w:p>
    <w:p w14:paraId="16A699B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2.我方不是为本次采购项目提供整体设计、规范编制或者项目管理、监理、检测等服务的供应商。</w:t>
      </w:r>
    </w:p>
    <w:p w14:paraId="0B0B96A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3.在此，我方宣布同意如下：</w:t>
      </w:r>
    </w:p>
    <w:p w14:paraId="5250D4A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（1）将按</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文件的约定履行合同责任和义务；</w:t>
      </w:r>
    </w:p>
    <w:p w14:paraId="20BEE4D9">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（2）已详细审查全部</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文件，包括澄清或者更正公告（如有）；</w:t>
      </w:r>
    </w:p>
    <w:p w14:paraId="383A75B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（3）同意提供按照贵方可能要求的与</w:t>
      </w:r>
      <w:r>
        <w:rPr>
          <w:rFonts w:hint="eastAsia" w:ascii="宋体" w:hAnsi="宋体" w:cs="Times New Roman"/>
          <w:color w:val="auto"/>
          <w:sz w:val="21"/>
          <w:szCs w:val="21"/>
          <w:highlight w:val="none"/>
          <w:lang w:val="en-US" w:eastAsia="zh-CN"/>
        </w:rPr>
        <w:t>谈判</w:t>
      </w:r>
      <w:r>
        <w:rPr>
          <w:rFonts w:hint="eastAsia" w:ascii="宋体" w:hAnsi="宋体" w:eastAsia="宋体" w:cs="Times New Roman"/>
          <w:color w:val="auto"/>
          <w:sz w:val="21"/>
          <w:szCs w:val="21"/>
          <w:highlight w:val="none"/>
        </w:rPr>
        <w:t>有关的一切数据或者资料；</w:t>
      </w:r>
    </w:p>
    <w:p w14:paraId="32023C5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（4）响应</w:t>
      </w:r>
      <w:r>
        <w:rPr>
          <w:rFonts w:hint="eastAsia" w:ascii="宋体" w:hAnsi="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文件规定的竞标有效期。</w:t>
      </w:r>
    </w:p>
    <w:p w14:paraId="6D96070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4.我方承诺符合《中华人民共和国政府采购法》第二十二条规定：</w:t>
      </w:r>
    </w:p>
    <w:p w14:paraId="3C488C0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（1）具有独立承担民事责任的能力；</w:t>
      </w:r>
    </w:p>
    <w:p w14:paraId="39A551E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（2）具有良好的商业信誉和健全的财务会计制度；</w:t>
      </w:r>
    </w:p>
    <w:p w14:paraId="0E6F9C6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（3）具有履行合同所必需的设备和专业技术能力；</w:t>
      </w:r>
    </w:p>
    <w:p w14:paraId="17CB874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（4）有依法缴纳税收和社会保障资金的良好记录；</w:t>
      </w:r>
    </w:p>
    <w:p w14:paraId="6E2A2AE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（5）参加政府采购活动前三年内，在经营活动中没有重大违法记录；</w:t>
      </w:r>
    </w:p>
    <w:p w14:paraId="4D55C798">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（6）法律、行政法规规定的其他条件。</w:t>
      </w:r>
    </w:p>
    <w:p w14:paraId="3B79B9F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69242D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ABE9FE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□我方本次响应文件内容中未涉及商业秘密；</w:t>
      </w:r>
    </w:p>
    <w:p w14:paraId="2BF1B47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□我方本次响应文件涉及商业秘密的内容有：</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72BE3901">
      <w:pPr>
        <w:spacing w:line="360" w:lineRule="auto"/>
        <w:ind w:firstLine="420" w:firstLineChars="200"/>
        <w:contextualSpacing/>
        <w:jc w:val="left"/>
        <w:rPr>
          <w:rFonts w:hint="default"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rPr>
        <w:t>7.与本</w:t>
      </w:r>
      <w:r>
        <w:rPr>
          <w:rFonts w:hint="eastAsia" w:ascii="宋体" w:hAnsi="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 xml:space="preserve">有关的一切正式往来信函请寄：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邮政编号： </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val="en-US" w:eastAsia="zh-CN"/>
        </w:rPr>
        <w:t xml:space="preserve">     </w:t>
      </w:r>
    </w:p>
    <w:p w14:paraId="79A669E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电话/传真：</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电子</w:t>
      </w:r>
      <w:r>
        <w:rPr>
          <w:rFonts w:hint="eastAsia" w:ascii="宋体" w:hAnsi="宋体" w:eastAsia="宋体" w:cs="Times New Roman"/>
          <w:color w:val="auto"/>
          <w:sz w:val="21"/>
          <w:szCs w:val="21"/>
          <w:highlight w:val="none"/>
          <w:lang w:eastAsia="zh-CN"/>
        </w:rPr>
        <w:t>邮箱</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7FA1DEC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开户银行：</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r>
        <w:rPr>
          <w:rFonts w:hint="eastAsia" w:ascii="宋体" w:hAnsi="宋体" w:cs="Times New Roman"/>
          <w:color w:val="auto"/>
          <w:sz w:val="21"/>
          <w:szCs w:val="21"/>
          <w:highlight w:val="none"/>
          <w:lang w:eastAsia="zh-CN"/>
        </w:rPr>
        <w:t>账</w:t>
      </w:r>
      <w:r>
        <w:rPr>
          <w:rFonts w:hint="eastAsia" w:ascii="宋体" w:hAnsi="宋体" w:eastAsia="宋体" w:cs="Times New Roman"/>
          <w:color w:val="auto"/>
          <w:sz w:val="21"/>
          <w:szCs w:val="21"/>
          <w:highlight w:val="none"/>
        </w:rPr>
        <w:t>号：</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03E9820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8.以上事项如有虚假或者隐瞒，我方愿意承担一切后果，并不再寻求任何旨在减轻或者免除法律责任的辩解。</w:t>
      </w:r>
    </w:p>
    <w:p w14:paraId="728CCC4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特此承诺。</w:t>
      </w:r>
    </w:p>
    <w:p w14:paraId="316074CC">
      <w:pPr>
        <w:spacing w:line="360" w:lineRule="auto"/>
        <w:contextualSpacing/>
        <w:jc w:val="left"/>
        <w:rPr>
          <w:rFonts w:hint="eastAsia" w:ascii="宋体" w:hAnsi="宋体"/>
          <w:b/>
          <w:color w:val="auto"/>
          <w:sz w:val="22"/>
          <w:szCs w:val="22"/>
          <w:highlight w:val="none"/>
        </w:rPr>
      </w:pPr>
      <w:r>
        <w:rPr>
          <w:rFonts w:hint="eastAsia" w:ascii="宋体" w:hAnsi="宋体" w:cs="宋体"/>
          <w:b/>
          <w:color w:val="auto"/>
          <w:sz w:val="22"/>
          <w:szCs w:val="22"/>
          <w:highlight w:val="none"/>
        </w:rPr>
        <w:t>注：如为联合体竞标，盖章处须加盖联合体牵头人电子签章并由联合体牵头人法定代表人分别签字或者盖章或者电子签名，否则响应文件按无效处理。</w:t>
      </w:r>
    </w:p>
    <w:p w14:paraId="070554E1">
      <w:pPr>
        <w:spacing w:line="360" w:lineRule="auto"/>
        <w:contextualSpacing/>
        <w:jc w:val="left"/>
        <w:rPr>
          <w:rFonts w:hint="eastAsia" w:ascii="宋体" w:hAnsi="宋体" w:cs="宋体"/>
          <w:color w:val="auto"/>
          <w:sz w:val="20"/>
          <w:szCs w:val="20"/>
          <w:highlight w:val="none"/>
        </w:rPr>
      </w:pPr>
    </w:p>
    <w:p w14:paraId="10B82FF2">
      <w:pPr>
        <w:spacing w:line="360" w:lineRule="auto"/>
        <w:ind w:firstLine="2310" w:firstLineChars="1100"/>
        <w:contextualSpacing/>
        <w:rPr>
          <w:rFonts w:hint="eastAsia"/>
          <w:color w:val="auto"/>
          <w:sz w:val="21"/>
          <w:szCs w:val="21"/>
          <w:highlight w:val="none"/>
        </w:rPr>
      </w:pPr>
      <w:r>
        <w:rPr>
          <w:rFonts w:hint="eastAsia" w:ascii="宋体" w:hAnsi="宋体" w:eastAsia="宋体" w:cs="Times New Roman"/>
          <w:color w:val="auto"/>
          <w:sz w:val="21"/>
          <w:szCs w:val="21"/>
          <w:highlight w:val="none"/>
        </w:rPr>
        <w:t>法定代表人</w:t>
      </w:r>
      <w:r>
        <w:rPr>
          <w:rFonts w:hint="eastAsia" w:ascii="宋体" w:hAnsi="宋体" w:eastAsia="宋体" w:cs="宋体"/>
          <w:color w:val="auto"/>
          <w:sz w:val="21"/>
          <w:szCs w:val="21"/>
          <w:highlight w:val="none"/>
        </w:rPr>
        <w:t>（签字或盖章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电子签名）</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 xml:space="preserve">                                    </w:t>
      </w:r>
    </w:p>
    <w:p w14:paraId="4C562756">
      <w:pPr>
        <w:spacing w:line="360" w:lineRule="auto"/>
        <w:ind w:firstLine="3990" w:firstLineChars="1900"/>
        <w:contextualSpacing/>
        <w:rPr>
          <w:rFonts w:hint="eastAsia" w:ascii="宋体" w:hAnsi="宋体" w:cs="宋体"/>
          <w:color w:val="auto"/>
          <w:sz w:val="21"/>
          <w:szCs w:val="21"/>
          <w:highlight w:val="none"/>
          <w:u w:val="single"/>
        </w:rPr>
      </w:pPr>
      <w:r>
        <w:rPr>
          <w:rFonts w:hint="eastAsia"/>
          <w:color w:val="auto"/>
          <w:sz w:val="21"/>
          <w:szCs w:val="21"/>
          <w:highlight w:val="none"/>
        </w:rPr>
        <w:t>供应商（电子签章）：</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ascii="宋体" w:hAnsi="宋体" w:cs="宋体"/>
          <w:color w:val="auto"/>
          <w:sz w:val="21"/>
          <w:szCs w:val="21"/>
          <w:highlight w:val="none"/>
        </w:rPr>
        <w:t xml:space="preserve">    </w:t>
      </w:r>
    </w:p>
    <w:p w14:paraId="252F52F1">
      <w:pPr>
        <w:pStyle w:val="12"/>
        <w:tabs>
          <w:tab w:val="left" w:pos="939"/>
        </w:tabs>
        <w:spacing w:line="360" w:lineRule="auto"/>
        <w:ind w:left="0" w:leftChars="0" w:firstLine="420" w:firstLineChars="200"/>
        <w:rPr>
          <w:rFonts w:hint="eastAsia"/>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仿宋_GB2312"/>
          <w:color w:val="auto"/>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p>
    <w:p w14:paraId="7AAC9103">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346122DD">
      <w:pPr>
        <w:rPr>
          <w:rFonts w:hint="eastAsia" w:ascii="宋体" w:hAnsi="宋体" w:cs="宋体"/>
          <w:color w:val="auto"/>
          <w:sz w:val="21"/>
          <w:szCs w:val="21"/>
          <w:highlight w:val="none"/>
          <w:lang w:val="en-US" w:eastAsia="zh-CN"/>
        </w:rPr>
      </w:pPr>
    </w:p>
    <w:p w14:paraId="6E28184C">
      <w:pPr>
        <w:rPr>
          <w:rFonts w:hint="eastAsia" w:ascii="宋体" w:hAnsi="宋体" w:cs="宋体"/>
          <w:color w:val="auto"/>
          <w:sz w:val="21"/>
          <w:szCs w:val="21"/>
          <w:highlight w:val="none"/>
          <w:lang w:val="en-US" w:eastAsia="zh-CN"/>
        </w:rPr>
      </w:pPr>
    </w:p>
    <w:p w14:paraId="3C0BFB74">
      <w:pPr>
        <w:rPr>
          <w:rFonts w:hint="eastAsia" w:ascii="宋体" w:hAnsi="宋体" w:cs="宋体"/>
          <w:color w:val="auto"/>
          <w:sz w:val="21"/>
          <w:szCs w:val="21"/>
          <w:highlight w:val="none"/>
          <w:lang w:val="en-US" w:eastAsia="zh-CN"/>
        </w:rPr>
      </w:pPr>
    </w:p>
    <w:p w14:paraId="39B0A9B9">
      <w:pPr>
        <w:rPr>
          <w:rFonts w:hint="eastAsia" w:ascii="宋体" w:hAnsi="宋体" w:cs="宋体"/>
          <w:color w:val="auto"/>
          <w:sz w:val="21"/>
          <w:szCs w:val="21"/>
          <w:highlight w:val="none"/>
          <w:lang w:val="en-US" w:eastAsia="zh-CN"/>
        </w:rPr>
      </w:pPr>
    </w:p>
    <w:p w14:paraId="485C2429">
      <w:pPr>
        <w:rPr>
          <w:rFonts w:hint="eastAsia" w:ascii="宋体" w:hAnsi="宋体" w:cs="宋体"/>
          <w:color w:val="auto"/>
          <w:sz w:val="21"/>
          <w:szCs w:val="21"/>
          <w:highlight w:val="none"/>
          <w:lang w:val="en-US" w:eastAsia="zh-CN"/>
        </w:rPr>
      </w:pPr>
    </w:p>
    <w:p w14:paraId="4181B5B2">
      <w:pPr>
        <w:rPr>
          <w:rFonts w:hint="eastAsia" w:ascii="宋体" w:hAnsi="宋体" w:cs="宋体"/>
          <w:color w:val="auto"/>
          <w:sz w:val="21"/>
          <w:szCs w:val="21"/>
          <w:highlight w:val="none"/>
          <w:lang w:val="en-US" w:eastAsia="zh-CN"/>
        </w:rPr>
      </w:pPr>
    </w:p>
    <w:p w14:paraId="39A45982">
      <w:pPr>
        <w:rPr>
          <w:rFonts w:hint="eastAsia" w:ascii="宋体" w:hAnsi="宋体" w:cs="宋体"/>
          <w:color w:val="auto"/>
          <w:sz w:val="21"/>
          <w:szCs w:val="21"/>
          <w:highlight w:val="none"/>
          <w:lang w:val="en-US" w:eastAsia="zh-CN"/>
        </w:rPr>
      </w:pPr>
    </w:p>
    <w:p w14:paraId="7D9DB896">
      <w:pPr>
        <w:rPr>
          <w:rFonts w:hint="eastAsia" w:ascii="宋体" w:hAnsi="宋体" w:cs="宋体"/>
          <w:color w:val="auto"/>
          <w:sz w:val="21"/>
          <w:szCs w:val="21"/>
          <w:highlight w:val="none"/>
          <w:lang w:val="en-US" w:eastAsia="zh-CN"/>
        </w:rPr>
      </w:pPr>
    </w:p>
    <w:p w14:paraId="696E347C">
      <w:pPr>
        <w:rPr>
          <w:rFonts w:hint="eastAsia" w:ascii="宋体" w:hAnsi="宋体" w:cs="宋体"/>
          <w:color w:val="auto"/>
          <w:sz w:val="21"/>
          <w:szCs w:val="21"/>
          <w:highlight w:val="none"/>
          <w:lang w:val="en-US" w:eastAsia="zh-CN"/>
        </w:rPr>
      </w:pPr>
    </w:p>
    <w:p w14:paraId="781E5899">
      <w:pPr>
        <w:rPr>
          <w:rFonts w:hint="eastAsia" w:ascii="宋体" w:hAnsi="宋体" w:cs="宋体"/>
          <w:color w:val="auto"/>
          <w:sz w:val="21"/>
          <w:szCs w:val="21"/>
          <w:highlight w:val="none"/>
          <w:lang w:val="en-US" w:eastAsia="zh-CN"/>
        </w:rPr>
      </w:pPr>
    </w:p>
    <w:p w14:paraId="05DB7939">
      <w:pPr>
        <w:rPr>
          <w:rFonts w:hint="eastAsia" w:ascii="宋体" w:hAnsi="宋体" w:cs="宋体"/>
          <w:color w:val="auto"/>
          <w:sz w:val="21"/>
          <w:szCs w:val="21"/>
          <w:highlight w:val="none"/>
          <w:lang w:val="en-US" w:eastAsia="zh-CN"/>
        </w:rPr>
      </w:pPr>
    </w:p>
    <w:p w14:paraId="230939F6">
      <w:pPr>
        <w:rPr>
          <w:rFonts w:hint="eastAsia" w:ascii="宋体" w:hAnsi="宋体" w:cs="宋体"/>
          <w:color w:val="auto"/>
          <w:sz w:val="21"/>
          <w:szCs w:val="21"/>
          <w:highlight w:val="none"/>
          <w:lang w:val="en-US" w:eastAsia="zh-CN"/>
        </w:rPr>
      </w:pPr>
    </w:p>
    <w:p w14:paraId="58CDB0EF">
      <w:pPr>
        <w:rPr>
          <w:rFonts w:hint="eastAsia" w:ascii="宋体" w:hAnsi="宋体" w:cs="宋体"/>
          <w:color w:val="auto"/>
          <w:sz w:val="21"/>
          <w:szCs w:val="21"/>
          <w:highlight w:val="none"/>
          <w:lang w:val="en-US" w:eastAsia="zh-CN"/>
        </w:rPr>
      </w:pPr>
    </w:p>
    <w:p w14:paraId="3BDED4C3">
      <w:pPr>
        <w:rPr>
          <w:rFonts w:hint="eastAsia" w:ascii="宋体" w:hAnsi="宋体" w:cs="宋体"/>
          <w:color w:val="auto"/>
          <w:sz w:val="21"/>
          <w:szCs w:val="21"/>
          <w:highlight w:val="none"/>
          <w:lang w:val="en-US" w:eastAsia="zh-CN"/>
        </w:rPr>
      </w:pPr>
    </w:p>
    <w:p w14:paraId="0C436051">
      <w:pPr>
        <w:rPr>
          <w:rFonts w:hint="eastAsia" w:ascii="宋体" w:hAnsi="宋体" w:cs="宋体"/>
          <w:color w:val="auto"/>
          <w:sz w:val="21"/>
          <w:szCs w:val="21"/>
          <w:highlight w:val="none"/>
          <w:lang w:val="en-US" w:eastAsia="zh-CN"/>
        </w:rPr>
      </w:pPr>
    </w:p>
    <w:p w14:paraId="7155FCDF">
      <w:pPr>
        <w:rPr>
          <w:rFonts w:hint="eastAsia" w:ascii="宋体" w:hAnsi="宋体" w:cs="宋体"/>
          <w:color w:val="auto"/>
          <w:sz w:val="21"/>
          <w:szCs w:val="21"/>
          <w:highlight w:val="none"/>
          <w:lang w:val="en-US" w:eastAsia="zh-CN"/>
        </w:rPr>
      </w:pPr>
    </w:p>
    <w:p w14:paraId="7DE8FB51">
      <w:pPr>
        <w:rPr>
          <w:rFonts w:hint="eastAsia" w:ascii="宋体" w:hAnsi="宋体" w:cs="宋体"/>
          <w:color w:val="auto"/>
          <w:sz w:val="21"/>
          <w:szCs w:val="21"/>
          <w:highlight w:val="none"/>
          <w:lang w:val="en-US" w:eastAsia="zh-CN"/>
        </w:rPr>
      </w:pPr>
    </w:p>
    <w:p w14:paraId="659A790A">
      <w:pPr>
        <w:rPr>
          <w:rFonts w:hint="eastAsia" w:ascii="宋体" w:hAnsi="宋体" w:cs="宋体"/>
          <w:color w:val="auto"/>
          <w:sz w:val="21"/>
          <w:szCs w:val="21"/>
          <w:highlight w:val="none"/>
          <w:lang w:val="en-US" w:eastAsia="zh-CN"/>
        </w:rPr>
      </w:pPr>
    </w:p>
    <w:p w14:paraId="7FDC9D69">
      <w:pPr>
        <w:rPr>
          <w:rFonts w:hint="eastAsia" w:ascii="宋体" w:hAnsi="宋体" w:cs="宋体"/>
          <w:color w:val="auto"/>
          <w:sz w:val="21"/>
          <w:szCs w:val="21"/>
          <w:highlight w:val="none"/>
          <w:lang w:val="en-US" w:eastAsia="zh-CN"/>
        </w:rPr>
      </w:pPr>
    </w:p>
    <w:p w14:paraId="32775FC9">
      <w:pPr>
        <w:rPr>
          <w:rFonts w:hint="eastAsia" w:ascii="宋体" w:hAnsi="宋体" w:cs="宋体"/>
          <w:color w:val="auto"/>
          <w:sz w:val="21"/>
          <w:szCs w:val="21"/>
          <w:highlight w:val="none"/>
          <w:lang w:val="en-US" w:eastAsia="zh-CN"/>
        </w:rPr>
      </w:pPr>
    </w:p>
    <w:p w14:paraId="3BF48FB2">
      <w:pPr>
        <w:autoSpaceDE w:val="0"/>
        <w:autoSpaceDN w:val="0"/>
        <w:spacing w:line="360" w:lineRule="auto"/>
        <w:rPr>
          <w:rFonts w:hint="eastAsia" w:ascii="宋体" w:hAnsi="宋体" w:eastAsia="宋体" w:cs="宋体"/>
          <w:color w:val="auto"/>
          <w:kern w:val="0"/>
          <w:sz w:val="21"/>
          <w:szCs w:val="21"/>
          <w:highlight w:val="none"/>
          <w:lang w:val="zh-CN"/>
        </w:rPr>
      </w:pPr>
    </w:p>
    <w:p w14:paraId="5A111B10">
      <w:pPr>
        <w:autoSpaceDE w:val="0"/>
        <w:autoSpaceDN w:val="0"/>
        <w:spacing w:line="360" w:lineRule="auto"/>
        <w:rPr>
          <w:rFonts w:hint="eastAsia" w:ascii="宋体" w:hAnsi="宋体" w:eastAsia="宋体" w:cs="宋体"/>
          <w:color w:val="auto"/>
          <w:kern w:val="0"/>
          <w:sz w:val="21"/>
          <w:szCs w:val="21"/>
          <w:highlight w:val="none"/>
          <w:lang w:val="zh-CN"/>
        </w:rPr>
      </w:pPr>
    </w:p>
    <w:p w14:paraId="7D2817C9">
      <w:pPr>
        <w:autoSpaceDE w:val="0"/>
        <w:autoSpaceDN w:val="0"/>
        <w:spacing w:line="360" w:lineRule="auto"/>
        <w:rPr>
          <w:rFonts w:hint="eastAsia" w:ascii="宋体" w:hAnsi="宋体" w:eastAsia="宋体" w:cs="宋体"/>
          <w:color w:val="auto"/>
          <w:kern w:val="0"/>
          <w:sz w:val="21"/>
          <w:szCs w:val="21"/>
          <w:highlight w:val="none"/>
          <w:lang w:val="zh-CN"/>
        </w:rPr>
      </w:pPr>
    </w:p>
    <w:p w14:paraId="471FAD05">
      <w:pPr>
        <w:autoSpaceDE w:val="0"/>
        <w:autoSpaceDN w:val="0"/>
        <w:spacing w:line="360" w:lineRule="auto"/>
        <w:rPr>
          <w:rFonts w:hint="eastAsia" w:ascii="宋体" w:hAnsi="宋体" w:eastAsia="宋体" w:cs="宋体"/>
          <w:color w:val="auto"/>
          <w:kern w:val="0"/>
          <w:sz w:val="21"/>
          <w:szCs w:val="21"/>
          <w:highlight w:val="none"/>
          <w:lang w:val="zh-CN"/>
        </w:rPr>
      </w:pPr>
    </w:p>
    <w:p w14:paraId="49A6B26B">
      <w:pPr>
        <w:autoSpaceDE w:val="0"/>
        <w:autoSpaceDN w:val="0"/>
        <w:spacing w:line="360" w:lineRule="auto"/>
        <w:rPr>
          <w:rFonts w:hint="eastAsia" w:ascii="宋体" w:hAnsi="宋体" w:eastAsia="宋体" w:cs="宋体"/>
          <w:color w:val="auto"/>
          <w:kern w:val="0"/>
          <w:sz w:val="21"/>
          <w:szCs w:val="21"/>
          <w:highlight w:val="none"/>
          <w:lang w:val="zh-CN"/>
        </w:rPr>
      </w:pPr>
    </w:p>
    <w:p w14:paraId="11AA4A8E">
      <w:pPr>
        <w:spacing w:line="360" w:lineRule="auto"/>
        <w:ind w:right="420"/>
        <w:contextualSpacing/>
        <w:jc w:val="left"/>
        <w:rPr>
          <w:rFonts w:ascii="宋体" w:hAnsi="宋体"/>
          <w:b/>
          <w:color w:val="auto"/>
          <w:sz w:val="28"/>
          <w:szCs w:val="28"/>
          <w:highlight w:val="none"/>
        </w:rPr>
      </w:pPr>
      <w:r>
        <w:rPr>
          <w:rFonts w:hint="eastAsia" w:ascii="宋体" w:hAnsi="宋体"/>
          <w:b/>
          <w:bCs/>
          <w:color w:val="auto"/>
          <w:sz w:val="28"/>
          <w:szCs w:val="28"/>
          <w:highlight w:val="none"/>
        </w:rPr>
        <w:t>二、</w:t>
      </w:r>
      <w:r>
        <w:rPr>
          <w:rFonts w:hint="eastAsia" w:ascii="宋体" w:hAnsi="宋体"/>
          <w:b/>
          <w:color w:val="auto"/>
          <w:sz w:val="28"/>
          <w:szCs w:val="28"/>
          <w:highlight w:val="none"/>
        </w:rPr>
        <w:t xml:space="preserve">报价文件格式 </w:t>
      </w:r>
    </w:p>
    <w:p w14:paraId="49DD03F0">
      <w:pPr>
        <w:spacing w:line="36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1.报价文件封面格式</w:t>
      </w:r>
    </w:p>
    <w:p w14:paraId="529E7207">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22765412">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609D769A">
      <w:pPr>
        <w:snapToGrid w:val="0"/>
        <w:spacing w:before="156" w:beforeLines="50" w:after="50"/>
        <w:rPr>
          <w:rFonts w:hint="eastAsia" w:ascii="宋体" w:hAnsi="宋体"/>
          <w:color w:val="auto"/>
          <w:sz w:val="22"/>
          <w:szCs w:val="18"/>
          <w:highlight w:val="none"/>
        </w:rPr>
      </w:pPr>
    </w:p>
    <w:p w14:paraId="2C2C1DF6">
      <w:pPr>
        <w:snapToGrid w:val="0"/>
        <w:spacing w:before="156" w:beforeLines="50" w:after="50"/>
        <w:rPr>
          <w:rFonts w:hint="eastAsia" w:ascii="宋体" w:hAnsi="宋体"/>
          <w:color w:val="auto"/>
          <w:sz w:val="22"/>
          <w:szCs w:val="18"/>
          <w:highlight w:val="none"/>
        </w:rPr>
      </w:pPr>
    </w:p>
    <w:p w14:paraId="40784D45">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报  价  文  件</w:t>
      </w:r>
    </w:p>
    <w:p w14:paraId="68ED675C">
      <w:pPr>
        <w:snapToGrid w:val="0"/>
        <w:spacing w:before="156" w:beforeLines="50" w:after="50"/>
        <w:rPr>
          <w:rFonts w:hint="eastAsia" w:ascii="宋体" w:hAnsi="宋体"/>
          <w:bCs/>
          <w:color w:val="auto"/>
          <w:sz w:val="22"/>
          <w:szCs w:val="18"/>
          <w:highlight w:val="none"/>
        </w:rPr>
      </w:pPr>
    </w:p>
    <w:p w14:paraId="61554732">
      <w:pPr>
        <w:snapToGrid w:val="0"/>
        <w:spacing w:before="156" w:beforeLines="50" w:after="50"/>
        <w:rPr>
          <w:rFonts w:hint="eastAsia" w:ascii="宋体" w:hAnsi="宋体"/>
          <w:bCs/>
          <w:color w:val="auto"/>
          <w:sz w:val="22"/>
          <w:szCs w:val="18"/>
          <w:highlight w:val="none"/>
        </w:rPr>
      </w:pPr>
    </w:p>
    <w:p w14:paraId="0A22F35E">
      <w:pPr>
        <w:snapToGrid w:val="0"/>
        <w:spacing w:before="156" w:beforeLines="50" w:after="50"/>
        <w:rPr>
          <w:rFonts w:hint="eastAsia" w:ascii="宋体" w:hAnsi="宋体"/>
          <w:bCs/>
          <w:color w:val="auto"/>
          <w:sz w:val="22"/>
          <w:szCs w:val="18"/>
          <w:highlight w:val="none"/>
        </w:rPr>
      </w:pPr>
    </w:p>
    <w:p w14:paraId="12C09DF6">
      <w:pPr>
        <w:snapToGrid w:val="0"/>
        <w:spacing w:before="156" w:beforeLines="50" w:after="50"/>
        <w:rPr>
          <w:rFonts w:hint="eastAsia" w:ascii="宋体" w:hAnsi="宋体"/>
          <w:bCs/>
          <w:color w:val="auto"/>
          <w:sz w:val="22"/>
          <w:szCs w:val="18"/>
          <w:highlight w:val="none"/>
        </w:rPr>
      </w:pPr>
    </w:p>
    <w:p w14:paraId="42503029">
      <w:pPr>
        <w:snapToGrid w:val="0"/>
        <w:spacing w:before="156" w:beforeLines="50" w:after="50"/>
        <w:rPr>
          <w:rFonts w:hint="eastAsia" w:ascii="宋体" w:hAnsi="宋体"/>
          <w:bCs/>
          <w:color w:val="auto"/>
          <w:sz w:val="22"/>
          <w:szCs w:val="18"/>
          <w:highlight w:val="none"/>
        </w:rPr>
      </w:pPr>
    </w:p>
    <w:p w14:paraId="6C1D4313">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531C683E">
      <w:pPr>
        <w:snapToGrid w:val="0"/>
        <w:spacing w:before="156" w:beforeLines="50" w:after="50"/>
        <w:ind w:firstLine="630" w:firstLineChars="225"/>
        <w:rPr>
          <w:rFonts w:hint="eastAsia" w:ascii="宋体" w:hAnsi="宋体" w:cs="仿宋_GB2312"/>
          <w:bCs/>
          <w:color w:val="auto"/>
          <w:sz w:val="28"/>
          <w:szCs w:val="28"/>
          <w:highlight w:val="none"/>
        </w:rPr>
      </w:pPr>
    </w:p>
    <w:p w14:paraId="5EAFD487">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6E5E650E">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5897C65">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lang w:val="en-US" w:eastAsia="zh-CN"/>
        </w:rPr>
        <w:t>所竞分标（如有则填写，无分标时填写“无”或者留空）：</w:t>
      </w:r>
    </w:p>
    <w:p w14:paraId="5D068AA9">
      <w:pPr>
        <w:pStyle w:val="7"/>
        <w:snapToGrid w:val="0"/>
        <w:spacing w:before="50" w:after="50"/>
        <w:ind w:firstLine="560" w:firstLineChars="200"/>
        <w:rPr>
          <w:rFonts w:hint="eastAsia" w:ascii="宋体" w:hAnsi="宋体" w:cs="仿宋_GB2312"/>
          <w:bCs/>
          <w:color w:val="auto"/>
          <w:sz w:val="28"/>
          <w:szCs w:val="28"/>
          <w:highlight w:val="none"/>
        </w:rPr>
      </w:pPr>
    </w:p>
    <w:p w14:paraId="040C627E">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27ECEAD9">
      <w:pPr>
        <w:pStyle w:val="7"/>
        <w:snapToGrid w:val="0"/>
        <w:spacing w:before="50" w:after="50"/>
        <w:ind w:firstLine="560" w:firstLineChars="200"/>
        <w:rPr>
          <w:rFonts w:hint="eastAsia" w:ascii="宋体" w:hAnsi="宋体" w:cs="仿宋_GB2312"/>
          <w:bCs/>
          <w:color w:val="auto"/>
          <w:sz w:val="28"/>
          <w:szCs w:val="28"/>
          <w:highlight w:val="none"/>
        </w:rPr>
      </w:pPr>
    </w:p>
    <w:p w14:paraId="574DB379">
      <w:pPr>
        <w:pStyle w:val="7"/>
        <w:snapToGrid w:val="0"/>
        <w:spacing w:before="50" w:after="50"/>
        <w:ind w:firstLine="630" w:firstLineChars="225"/>
        <w:rPr>
          <w:rFonts w:hint="eastAsia" w:ascii="宋体" w:hAnsi="宋体" w:cs="仿宋_GB2312"/>
          <w:bCs/>
          <w:color w:val="auto"/>
          <w:sz w:val="28"/>
          <w:szCs w:val="28"/>
          <w:highlight w:val="none"/>
        </w:rPr>
      </w:pPr>
    </w:p>
    <w:p w14:paraId="48C4DFD3">
      <w:pPr>
        <w:pStyle w:val="7"/>
        <w:snapToGrid w:val="0"/>
        <w:spacing w:before="50" w:after="50"/>
        <w:ind w:firstLine="0"/>
        <w:rPr>
          <w:rFonts w:hint="eastAsia" w:ascii="宋体" w:hAnsi="宋体" w:cs="仿宋_GB2312"/>
          <w:bCs/>
          <w:color w:val="auto"/>
          <w:sz w:val="28"/>
          <w:szCs w:val="28"/>
          <w:highlight w:val="none"/>
        </w:rPr>
      </w:pPr>
    </w:p>
    <w:p w14:paraId="1BD1C9BA">
      <w:pPr>
        <w:pStyle w:val="7"/>
        <w:snapToGrid w:val="0"/>
        <w:spacing w:before="50" w:after="50"/>
        <w:ind w:firstLine="1120" w:firstLineChars="400"/>
        <w:rPr>
          <w:rFonts w:hint="eastAsia" w:ascii="宋体" w:hAnsi="宋体" w:cs="仿宋_GB2312"/>
          <w:bCs/>
          <w:color w:val="auto"/>
          <w:sz w:val="28"/>
          <w:szCs w:val="28"/>
          <w:highlight w:val="none"/>
        </w:rPr>
      </w:pPr>
    </w:p>
    <w:p w14:paraId="6830E626">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5A381819">
      <w:pPr>
        <w:snapToGrid w:val="0"/>
        <w:spacing w:before="156" w:beforeLines="50" w:after="50" w:line="360" w:lineRule="auto"/>
        <w:ind w:left="142"/>
        <w:jc w:val="left"/>
        <w:rPr>
          <w:rFonts w:hint="eastAsia" w:ascii="宋体" w:hAnsi="宋体"/>
          <w:color w:val="auto"/>
          <w:sz w:val="20"/>
          <w:szCs w:val="20"/>
          <w:highlight w:val="none"/>
        </w:rPr>
      </w:pPr>
      <w:r>
        <w:rPr>
          <w:rFonts w:hint="eastAsia" w:ascii="宋体" w:hAnsi="宋体"/>
          <w:color w:val="auto"/>
          <w:sz w:val="20"/>
          <w:szCs w:val="20"/>
          <w:highlight w:val="none"/>
        </w:rPr>
        <w:br w:type="page"/>
      </w:r>
    </w:p>
    <w:p w14:paraId="1CD74E20">
      <w:pPr>
        <w:autoSpaceDE w:val="0"/>
        <w:autoSpaceDN w:val="0"/>
        <w:spacing w:line="360" w:lineRule="auto"/>
        <w:ind w:firstLine="5355" w:firstLineChars="2550"/>
        <w:rPr>
          <w:rFonts w:hint="eastAsia" w:ascii="宋体" w:hAnsi="宋体" w:eastAsia="宋体" w:cs="宋体"/>
          <w:color w:val="auto"/>
          <w:kern w:val="0"/>
          <w:sz w:val="21"/>
          <w:szCs w:val="21"/>
          <w:highlight w:val="none"/>
          <w:lang w:val="zh-CN"/>
        </w:rPr>
      </w:pPr>
    </w:p>
    <w:p w14:paraId="43CD3506">
      <w:pPr>
        <w:autoSpaceDE w:val="0"/>
        <w:autoSpaceDN w:val="0"/>
        <w:spacing w:line="360" w:lineRule="auto"/>
        <w:ind w:firstLine="5355" w:firstLineChars="2550"/>
        <w:rPr>
          <w:rFonts w:hint="eastAsia" w:ascii="宋体" w:hAnsi="宋体" w:eastAsia="宋体" w:cs="宋体"/>
          <w:color w:val="auto"/>
          <w:kern w:val="0"/>
          <w:sz w:val="21"/>
          <w:szCs w:val="21"/>
          <w:highlight w:val="none"/>
          <w:lang w:val="zh-CN"/>
        </w:rPr>
      </w:pPr>
    </w:p>
    <w:p w14:paraId="09FA962F">
      <w:pPr>
        <w:keepNext w:val="0"/>
        <w:keepLines w:val="0"/>
        <w:widowControl/>
        <w:suppressLineNumbers w:val="0"/>
        <w:jc w:val="center"/>
        <w:rPr>
          <w:color w:val="auto"/>
          <w:highlight w:val="none"/>
        </w:rPr>
      </w:pPr>
      <w:r>
        <w:rPr>
          <w:rFonts w:hint="eastAsia" w:ascii="宋体" w:hAnsi="宋体" w:eastAsia="宋体" w:cs="宋体"/>
          <w:b/>
          <w:bCs/>
          <w:color w:val="auto"/>
          <w:kern w:val="0"/>
          <w:sz w:val="31"/>
          <w:szCs w:val="31"/>
          <w:highlight w:val="none"/>
          <w:lang w:val="en-US" w:eastAsia="zh-CN" w:bidi="ar"/>
        </w:rPr>
        <w:t>报价商务技术文件目录</w:t>
      </w:r>
    </w:p>
    <w:p w14:paraId="124EA91B">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26149BA5">
      <w:pPr>
        <w:keepNext w:val="0"/>
        <w:keepLines w:val="0"/>
        <w:widowControl/>
        <w:suppressLineNumbers w:val="0"/>
        <w:ind w:firstLine="720" w:firstLineChars="30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根据谈判文件规定及供应商提供的材料自行编写目录（部分格式后附）。</w:t>
      </w:r>
    </w:p>
    <w:p w14:paraId="66FD3163">
      <w:pPr>
        <w:autoSpaceDE w:val="0"/>
        <w:autoSpaceDN w:val="0"/>
        <w:spacing w:line="360" w:lineRule="auto"/>
        <w:ind w:firstLine="5355" w:firstLineChars="2550"/>
        <w:rPr>
          <w:rFonts w:hint="eastAsia" w:ascii="宋体" w:hAnsi="宋体" w:eastAsia="宋体" w:cs="宋体"/>
          <w:color w:val="auto"/>
          <w:kern w:val="0"/>
          <w:sz w:val="21"/>
          <w:szCs w:val="21"/>
          <w:highlight w:val="none"/>
          <w:lang w:val="zh-CN"/>
        </w:rPr>
      </w:pPr>
    </w:p>
    <w:p w14:paraId="362827B0">
      <w:pPr>
        <w:rPr>
          <w:rFonts w:hint="eastAsia" w:ascii="宋体" w:hAnsi="宋体" w:cs="宋体"/>
          <w:color w:val="auto"/>
          <w:sz w:val="21"/>
          <w:szCs w:val="21"/>
          <w:highlight w:val="none"/>
          <w:lang w:val="en-US" w:eastAsia="zh-CN"/>
        </w:rPr>
      </w:pPr>
    </w:p>
    <w:p w14:paraId="5241D849">
      <w:pPr>
        <w:rPr>
          <w:rFonts w:hint="eastAsia" w:ascii="宋体" w:hAnsi="宋体" w:cs="宋体"/>
          <w:color w:val="auto"/>
          <w:sz w:val="21"/>
          <w:szCs w:val="21"/>
          <w:highlight w:val="none"/>
          <w:lang w:val="en-US" w:eastAsia="zh-CN"/>
        </w:rPr>
      </w:pPr>
    </w:p>
    <w:p w14:paraId="3FBED540">
      <w:pPr>
        <w:rPr>
          <w:rFonts w:hint="eastAsia" w:ascii="宋体" w:hAnsi="宋体" w:cs="宋体"/>
          <w:color w:val="auto"/>
          <w:sz w:val="21"/>
          <w:szCs w:val="21"/>
          <w:highlight w:val="none"/>
          <w:lang w:val="en-US" w:eastAsia="zh-CN"/>
        </w:rPr>
      </w:pPr>
    </w:p>
    <w:p w14:paraId="6130A990">
      <w:pPr>
        <w:rPr>
          <w:rFonts w:hint="eastAsia" w:ascii="宋体" w:hAnsi="宋体" w:cs="宋体"/>
          <w:color w:val="auto"/>
          <w:sz w:val="21"/>
          <w:szCs w:val="21"/>
          <w:highlight w:val="none"/>
          <w:lang w:val="en-US" w:eastAsia="zh-CN"/>
        </w:rPr>
      </w:pPr>
    </w:p>
    <w:p w14:paraId="57E0C222">
      <w:pPr>
        <w:rPr>
          <w:rFonts w:hint="eastAsia" w:ascii="宋体" w:hAnsi="宋体" w:cs="宋体"/>
          <w:color w:val="auto"/>
          <w:sz w:val="21"/>
          <w:szCs w:val="21"/>
          <w:highlight w:val="none"/>
          <w:lang w:val="en-US" w:eastAsia="zh-CN"/>
        </w:rPr>
      </w:pPr>
    </w:p>
    <w:p w14:paraId="78651F9F">
      <w:pPr>
        <w:rPr>
          <w:rFonts w:hint="eastAsia" w:ascii="宋体" w:hAnsi="宋体" w:cs="宋体"/>
          <w:color w:val="auto"/>
          <w:sz w:val="21"/>
          <w:szCs w:val="21"/>
          <w:highlight w:val="none"/>
          <w:lang w:val="en-US" w:eastAsia="zh-CN"/>
        </w:rPr>
      </w:pPr>
    </w:p>
    <w:p w14:paraId="74594C52">
      <w:pPr>
        <w:rPr>
          <w:rFonts w:hint="eastAsia" w:ascii="宋体" w:hAnsi="宋体" w:cs="宋体"/>
          <w:color w:val="auto"/>
          <w:sz w:val="21"/>
          <w:szCs w:val="21"/>
          <w:highlight w:val="none"/>
          <w:lang w:val="en-US" w:eastAsia="zh-CN"/>
        </w:rPr>
      </w:pPr>
    </w:p>
    <w:p w14:paraId="4DACF5AA">
      <w:pPr>
        <w:rPr>
          <w:rFonts w:hint="eastAsia" w:ascii="宋体" w:hAnsi="宋体" w:cs="宋体"/>
          <w:color w:val="auto"/>
          <w:sz w:val="21"/>
          <w:szCs w:val="21"/>
          <w:highlight w:val="none"/>
          <w:lang w:val="en-US" w:eastAsia="zh-CN"/>
        </w:rPr>
      </w:pPr>
    </w:p>
    <w:p w14:paraId="219E1227">
      <w:pPr>
        <w:rPr>
          <w:rFonts w:hint="eastAsia" w:ascii="宋体" w:hAnsi="宋体" w:cs="宋体"/>
          <w:color w:val="auto"/>
          <w:sz w:val="21"/>
          <w:szCs w:val="21"/>
          <w:highlight w:val="none"/>
          <w:lang w:val="en-US" w:eastAsia="zh-CN"/>
        </w:rPr>
      </w:pPr>
    </w:p>
    <w:p w14:paraId="0F54D9C2">
      <w:pPr>
        <w:rPr>
          <w:rFonts w:hint="eastAsia" w:ascii="宋体" w:hAnsi="宋体" w:cs="宋体"/>
          <w:color w:val="auto"/>
          <w:sz w:val="21"/>
          <w:szCs w:val="21"/>
          <w:highlight w:val="none"/>
          <w:lang w:val="en-US" w:eastAsia="zh-CN"/>
        </w:rPr>
      </w:pPr>
    </w:p>
    <w:p w14:paraId="598321E0">
      <w:pPr>
        <w:rPr>
          <w:rFonts w:hint="eastAsia" w:ascii="宋体" w:hAnsi="宋体" w:cs="宋体"/>
          <w:color w:val="auto"/>
          <w:sz w:val="21"/>
          <w:szCs w:val="21"/>
          <w:highlight w:val="none"/>
          <w:lang w:val="en-US" w:eastAsia="zh-CN"/>
        </w:rPr>
      </w:pPr>
    </w:p>
    <w:p w14:paraId="75500B8F">
      <w:pPr>
        <w:rPr>
          <w:rFonts w:hint="eastAsia" w:ascii="宋体" w:hAnsi="宋体" w:cs="宋体"/>
          <w:color w:val="auto"/>
          <w:sz w:val="21"/>
          <w:szCs w:val="21"/>
          <w:highlight w:val="none"/>
          <w:lang w:val="en-US" w:eastAsia="zh-CN"/>
        </w:rPr>
      </w:pPr>
    </w:p>
    <w:p w14:paraId="535E5414">
      <w:pPr>
        <w:rPr>
          <w:rFonts w:hint="eastAsia" w:ascii="宋体" w:hAnsi="宋体" w:cs="宋体"/>
          <w:color w:val="auto"/>
          <w:sz w:val="21"/>
          <w:szCs w:val="21"/>
          <w:highlight w:val="none"/>
          <w:lang w:val="en-US" w:eastAsia="zh-CN"/>
        </w:rPr>
      </w:pPr>
    </w:p>
    <w:p w14:paraId="6B26A413">
      <w:pPr>
        <w:rPr>
          <w:rFonts w:hint="eastAsia" w:ascii="宋体" w:hAnsi="宋体" w:cs="宋体"/>
          <w:color w:val="auto"/>
          <w:sz w:val="21"/>
          <w:szCs w:val="21"/>
          <w:highlight w:val="none"/>
          <w:lang w:val="en-US" w:eastAsia="zh-CN"/>
        </w:rPr>
      </w:pPr>
    </w:p>
    <w:p w14:paraId="22308DA9">
      <w:pPr>
        <w:rPr>
          <w:rFonts w:hint="eastAsia" w:ascii="宋体" w:hAnsi="宋体" w:cs="宋体"/>
          <w:color w:val="auto"/>
          <w:sz w:val="21"/>
          <w:szCs w:val="21"/>
          <w:highlight w:val="none"/>
          <w:lang w:val="en-US" w:eastAsia="zh-CN"/>
        </w:rPr>
      </w:pPr>
    </w:p>
    <w:p w14:paraId="0F5EF6F1">
      <w:pPr>
        <w:rPr>
          <w:rFonts w:hint="eastAsia" w:ascii="宋体" w:hAnsi="宋体" w:cs="宋体"/>
          <w:color w:val="auto"/>
          <w:sz w:val="21"/>
          <w:szCs w:val="21"/>
          <w:highlight w:val="none"/>
          <w:lang w:val="en-US" w:eastAsia="zh-CN"/>
        </w:rPr>
      </w:pPr>
    </w:p>
    <w:p w14:paraId="6C8CE2BD">
      <w:pPr>
        <w:rPr>
          <w:rFonts w:hint="eastAsia" w:ascii="宋体" w:hAnsi="宋体" w:cs="宋体"/>
          <w:color w:val="auto"/>
          <w:sz w:val="21"/>
          <w:szCs w:val="21"/>
          <w:highlight w:val="none"/>
          <w:lang w:val="en-US" w:eastAsia="zh-CN"/>
        </w:rPr>
      </w:pPr>
    </w:p>
    <w:p w14:paraId="31A11EFB">
      <w:pPr>
        <w:rPr>
          <w:rFonts w:hint="eastAsia" w:ascii="宋体" w:hAnsi="宋体" w:cs="宋体"/>
          <w:color w:val="auto"/>
          <w:sz w:val="21"/>
          <w:szCs w:val="21"/>
          <w:highlight w:val="none"/>
          <w:lang w:val="en-US" w:eastAsia="zh-CN"/>
        </w:rPr>
      </w:pPr>
    </w:p>
    <w:p w14:paraId="3D92FF8F">
      <w:pPr>
        <w:rPr>
          <w:rFonts w:hint="eastAsia" w:ascii="宋体" w:hAnsi="宋体" w:cs="宋体"/>
          <w:color w:val="auto"/>
          <w:sz w:val="21"/>
          <w:szCs w:val="21"/>
          <w:highlight w:val="none"/>
          <w:lang w:val="en-US" w:eastAsia="zh-CN"/>
        </w:rPr>
      </w:pPr>
    </w:p>
    <w:p w14:paraId="121AD3EB">
      <w:pPr>
        <w:rPr>
          <w:rFonts w:hint="eastAsia" w:ascii="宋体" w:hAnsi="宋体" w:cs="宋体"/>
          <w:color w:val="auto"/>
          <w:sz w:val="21"/>
          <w:szCs w:val="21"/>
          <w:highlight w:val="none"/>
          <w:lang w:val="en-US" w:eastAsia="zh-CN"/>
        </w:rPr>
      </w:pPr>
    </w:p>
    <w:p w14:paraId="58647E22">
      <w:pPr>
        <w:rPr>
          <w:rFonts w:hint="eastAsia" w:ascii="宋体" w:hAnsi="宋体" w:cs="宋体"/>
          <w:color w:val="auto"/>
          <w:sz w:val="21"/>
          <w:szCs w:val="21"/>
          <w:highlight w:val="none"/>
          <w:lang w:val="en-US" w:eastAsia="zh-CN"/>
        </w:rPr>
      </w:pPr>
    </w:p>
    <w:p w14:paraId="32FA0198">
      <w:pPr>
        <w:rPr>
          <w:rFonts w:hint="eastAsia" w:ascii="宋体" w:hAnsi="宋体" w:cs="宋体"/>
          <w:color w:val="auto"/>
          <w:sz w:val="21"/>
          <w:szCs w:val="21"/>
          <w:highlight w:val="none"/>
          <w:lang w:val="en-US" w:eastAsia="zh-CN"/>
        </w:rPr>
      </w:pPr>
    </w:p>
    <w:p w14:paraId="35146007">
      <w:pPr>
        <w:rPr>
          <w:rFonts w:hint="eastAsia" w:ascii="宋体" w:hAnsi="宋体" w:cs="宋体"/>
          <w:color w:val="auto"/>
          <w:sz w:val="21"/>
          <w:szCs w:val="21"/>
          <w:highlight w:val="none"/>
          <w:lang w:val="en-US" w:eastAsia="zh-CN"/>
        </w:rPr>
      </w:pPr>
    </w:p>
    <w:p w14:paraId="55ED8289">
      <w:pPr>
        <w:rPr>
          <w:rFonts w:hint="eastAsia" w:ascii="宋体" w:hAnsi="宋体" w:cs="宋体"/>
          <w:color w:val="auto"/>
          <w:sz w:val="21"/>
          <w:szCs w:val="21"/>
          <w:highlight w:val="none"/>
          <w:lang w:val="en-US" w:eastAsia="zh-CN"/>
        </w:rPr>
      </w:pPr>
    </w:p>
    <w:p w14:paraId="6BD9208E">
      <w:pPr>
        <w:rPr>
          <w:rFonts w:hint="eastAsia" w:ascii="宋体" w:hAnsi="宋体" w:cs="宋体"/>
          <w:color w:val="auto"/>
          <w:sz w:val="21"/>
          <w:szCs w:val="21"/>
          <w:highlight w:val="none"/>
          <w:lang w:val="en-US" w:eastAsia="zh-CN"/>
        </w:rPr>
      </w:pPr>
    </w:p>
    <w:p w14:paraId="2682A9C0">
      <w:pPr>
        <w:rPr>
          <w:rFonts w:hint="eastAsia" w:ascii="宋体" w:hAnsi="宋体" w:cs="宋体"/>
          <w:color w:val="auto"/>
          <w:sz w:val="21"/>
          <w:szCs w:val="21"/>
          <w:highlight w:val="none"/>
          <w:lang w:val="en-US" w:eastAsia="zh-CN"/>
        </w:rPr>
      </w:pPr>
    </w:p>
    <w:p w14:paraId="137A8D88">
      <w:pPr>
        <w:rPr>
          <w:rFonts w:hint="eastAsia" w:ascii="宋体" w:hAnsi="宋体" w:cs="宋体"/>
          <w:color w:val="auto"/>
          <w:sz w:val="21"/>
          <w:szCs w:val="21"/>
          <w:highlight w:val="none"/>
          <w:lang w:val="en-US" w:eastAsia="zh-CN"/>
        </w:rPr>
      </w:pPr>
    </w:p>
    <w:p w14:paraId="7FA4D863">
      <w:pPr>
        <w:rPr>
          <w:rFonts w:hint="eastAsia" w:ascii="宋体" w:hAnsi="宋体" w:cs="宋体"/>
          <w:color w:val="auto"/>
          <w:sz w:val="21"/>
          <w:szCs w:val="21"/>
          <w:highlight w:val="none"/>
          <w:lang w:val="en-US" w:eastAsia="zh-CN"/>
        </w:rPr>
      </w:pPr>
    </w:p>
    <w:p w14:paraId="14FDC02D">
      <w:pPr>
        <w:rPr>
          <w:rFonts w:hint="eastAsia" w:ascii="宋体" w:hAnsi="宋体" w:cs="宋体"/>
          <w:color w:val="auto"/>
          <w:sz w:val="21"/>
          <w:szCs w:val="21"/>
          <w:highlight w:val="none"/>
          <w:lang w:val="en-US" w:eastAsia="zh-CN"/>
        </w:rPr>
      </w:pPr>
    </w:p>
    <w:p w14:paraId="64F38C4D">
      <w:pPr>
        <w:rPr>
          <w:rFonts w:hint="eastAsia" w:ascii="宋体" w:hAnsi="宋体" w:cs="宋体"/>
          <w:color w:val="auto"/>
          <w:sz w:val="21"/>
          <w:szCs w:val="21"/>
          <w:highlight w:val="none"/>
          <w:lang w:val="en-US" w:eastAsia="zh-CN"/>
        </w:rPr>
      </w:pPr>
    </w:p>
    <w:p w14:paraId="74BA16E4">
      <w:pPr>
        <w:rPr>
          <w:rFonts w:hint="eastAsia" w:ascii="宋体" w:hAnsi="宋体" w:cs="宋体"/>
          <w:color w:val="auto"/>
          <w:sz w:val="21"/>
          <w:szCs w:val="21"/>
          <w:highlight w:val="none"/>
          <w:lang w:val="en-US" w:eastAsia="zh-CN"/>
        </w:rPr>
      </w:pPr>
    </w:p>
    <w:p w14:paraId="3A27DB8B">
      <w:pPr>
        <w:rPr>
          <w:rFonts w:hint="eastAsia" w:ascii="宋体" w:hAnsi="宋体" w:cs="宋体"/>
          <w:color w:val="auto"/>
          <w:sz w:val="21"/>
          <w:szCs w:val="21"/>
          <w:highlight w:val="none"/>
          <w:lang w:val="en-US" w:eastAsia="zh-CN"/>
        </w:rPr>
      </w:pPr>
    </w:p>
    <w:p w14:paraId="6BA7B71B">
      <w:pPr>
        <w:rPr>
          <w:rFonts w:hint="eastAsia" w:ascii="宋体" w:hAnsi="宋体" w:cs="宋体"/>
          <w:color w:val="auto"/>
          <w:sz w:val="21"/>
          <w:szCs w:val="21"/>
          <w:highlight w:val="none"/>
          <w:lang w:val="en-US" w:eastAsia="zh-CN"/>
        </w:rPr>
      </w:pPr>
    </w:p>
    <w:p w14:paraId="40AE2155">
      <w:pPr>
        <w:rPr>
          <w:rFonts w:hint="eastAsia" w:ascii="宋体" w:hAnsi="宋体" w:cs="宋体"/>
          <w:color w:val="auto"/>
          <w:sz w:val="21"/>
          <w:szCs w:val="21"/>
          <w:highlight w:val="none"/>
          <w:lang w:val="en-US" w:eastAsia="zh-CN"/>
        </w:rPr>
      </w:pPr>
    </w:p>
    <w:p w14:paraId="00AD1BAA">
      <w:pPr>
        <w:rPr>
          <w:rFonts w:hint="eastAsia" w:ascii="宋体" w:hAnsi="宋体" w:cs="宋体"/>
          <w:color w:val="auto"/>
          <w:sz w:val="21"/>
          <w:szCs w:val="21"/>
          <w:highlight w:val="none"/>
          <w:lang w:val="en-US" w:eastAsia="zh-CN"/>
        </w:rPr>
      </w:pPr>
    </w:p>
    <w:p w14:paraId="20D74474">
      <w:pPr>
        <w:rPr>
          <w:rFonts w:hint="eastAsia" w:ascii="宋体" w:hAnsi="宋体" w:cs="宋体"/>
          <w:color w:val="auto"/>
          <w:sz w:val="21"/>
          <w:szCs w:val="21"/>
          <w:highlight w:val="none"/>
          <w:lang w:val="en-US" w:eastAsia="zh-CN"/>
        </w:rPr>
      </w:pPr>
    </w:p>
    <w:p w14:paraId="7DF7CCD8">
      <w:pPr>
        <w:rPr>
          <w:rFonts w:hint="eastAsia" w:ascii="宋体" w:hAnsi="宋体" w:cs="宋体"/>
          <w:color w:val="auto"/>
          <w:sz w:val="21"/>
          <w:szCs w:val="21"/>
          <w:highlight w:val="none"/>
          <w:lang w:val="en-US" w:eastAsia="zh-CN"/>
        </w:rPr>
      </w:pPr>
    </w:p>
    <w:p w14:paraId="37552EC2">
      <w:pPr>
        <w:rPr>
          <w:rFonts w:hint="eastAsia" w:ascii="宋体" w:hAnsi="宋体" w:cs="宋体"/>
          <w:color w:val="auto"/>
          <w:sz w:val="21"/>
          <w:szCs w:val="21"/>
          <w:highlight w:val="none"/>
          <w:lang w:val="en-US" w:eastAsia="zh-CN"/>
        </w:rPr>
      </w:pPr>
    </w:p>
    <w:p w14:paraId="5DC0A215">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44F7851">
      <w:pPr>
        <w:spacing w:line="52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竞标报价表</w:t>
      </w:r>
    </w:p>
    <w:p w14:paraId="50F5BDA5">
      <w:pPr>
        <w:spacing w:line="440" w:lineRule="exact"/>
        <w:jc w:val="center"/>
        <w:rPr>
          <w:rFonts w:hint="eastAsia" w:ascii="方正小标宋简体" w:hAnsi="方正小标宋简体" w:eastAsia="方正小标宋简体" w:cs="方正小标宋简体"/>
          <w:bCs/>
          <w:color w:val="auto"/>
          <w:sz w:val="28"/>
          <w:szCs w:val="28"/>
          <w:highlight w:val="none"/>
        </w:rPr>
      </w:pPr>
    </w:p>
    <w:p w14:paraId="104EAAF9">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08896E17">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69307A42">
      <w:pPr>
        <w:snapToGrid w:val="0"/>
        <w:spacing w:before="50" w:after="50" w:line="440" w:lineRule="exac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 xml:space="preserve">                                                                        单位：元</w:t>
      </w:r>
    </w:p>
    <w:tbl>
      <w:tblPr>
        <w:tblStyle w:val="20"/>
        <w:tblpPr w:leftFromText="180" w:rightFromText="180" w:vertAnchor="text" w:horzAnchor="margin" w:tblpXSpec="center" w:tblpY="199"/>
        <w:tblOverlap w:val="never"/>
        <w:tblW w:w="9756"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339"/>
        <w:gridCol w:w="1119"/>
        <w:gridCol w:w="877"/>
        <w:gridCol w:w="912"/>
        <w:gridCol w:w="757"/>
        <w:gridCol w:w="1313"/>
        <w:gridCol w:w="1100"/>
        <w:gridCol w:w="1742"/>
      </w:tblGrid>
      <w:tr w14:paraId="6B27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trPr>
        <w:tc>
          <w:tcPr>
            <w:tcW w:w="597" w:type="dxa"/>
            <w:tcBorders>
              <w:bottom w:val="single" w:color="auto" w:sz="4" w:space="0"/>
            </w:tcBorders>
            <w:noWrap w:val="0"/>
            <w:vAlign w:val="center"/>
          </w:tcPr>
          <w:p w14:paraId="01E0912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39" w:type="dxa"/>
            <w:tcBorders>
              <w:bottom w:val="single" w:color="auto" w:sz="4" w:space="0"/>
            </w:tcBorders>
            <w:noWrap w:val="0"/>
            <w:vAlign w:val="center"/>
          </w:tcPr>
          <w:p w14:paraId="0C15F9A6">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标的</w:t>
            </w:r>
          </w:p>
          <w:p w14:paraId="31D93603">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名称</w:t>
            </w:r>
          </w:p>
        </w:tc>
        <w:tc>
          <w:tcPr>
            <w:tcW w:w="1119" w:type="dxa"/>
            <w:tcBorders>
              <w:bottom w:val="single" w:color="auto" w:sz="4" w:space="0"/>
            </w:tcBorders>
            <w:noWrap w:val="0"/>
            <w:vAlign w:val="center"/>
          </w:tcPr>
          <w:p w14:paraId="1F7E50C3">
            <w:pPr>
              <w:jc w:val="center"/>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所属行业</w:t>
            </w:r>
          </w:p>
        </w:tc>
        <w:tc>
          <w:tcPr>
            <w:tcW w:w="877" w:type="dxa"/>
            <w:tcBorders>
              <w:bottom w:val="single" w:color="auto" w:sz="4" w:space="0"/>
            </w:tcBorders>
            <w:noWrap w:val="0"/>
            <w:vAlign w:val="center"/>
          </w:tcPr>
          <w:p w14:paraId="25CCF3CA">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品牌</w:t>
            </w:r>
          </w:p>
        </w:tc>
        <w:tc>
          <w:tcPr>
            <w:tcW w:w="912" w:type="dxa"/>
            <w:tcBorders>
              <w:bottom w:val="single" w:color="auto" w:sz="4" w:space="0"/>
              <w:right w:val="single" w:color="auto" w:sz="4" w:space="0"/>
            </w:tcBorders>
            <w:noWrap w:val="0"/>
            <w:vAlign w:val="center"/>
          </w:tcPr>
          <w:p w14:paraId="70F8E441">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数量</w:t>
            </w:r>
            <w:r>
              <w:rPr>
                <w:rFonts w:hint="eastAsia" w:ascii="宋体" w:hAnsi="宋体" w:eastAsia="宋体" w:cs="宋体"/>
                <w:b w:val="0"/>
                <w:bCs/>
                <w:color w:val="auto"/>
                <w:sz w:val="21"/>
                <w:szCs w:val="21"/>
                <w:highlight w:val="none"/>
                <w:lang w:val="en-US" w:eastAsia="zh-CN"/>
              </w:rPr>
              <w:t>①</w:t>
            </w:r>
          </w:p>
        </w:tc>
        <w:tc>
          <w:tcPr>
            <w:tcW w:w="757" w:type="dxa"/>
            <w:tcBorders>
              <w:bottom w:val="single" w:color="auto" w:sz="4" w:space="0"/>
              <w:right w:val="single" w:color="auto" w:sz="4" w:space="0"/>
            </w:tcBorders>
            <w:noWrap w:val="0"/>
            <w:vAlign w:val="center"/>
          </w:tcPr>
          <w:p w14:paraId="7C62A0E4">
            <w:pPr>
              <w:jc w:val="center"/>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单位</w:t>
            </w:r>
          </w:p>
        </w:tc>
        <w:tc>
          <w:tcPr>
            <w:tcW w:w="1313" w:type="dxa"/>
            <w:tcBorders>
              <w:bottom w:val="single" w:color="auto" w:sz="4" w:space="0"/>
              <w:right w:val="single" w:color="auto" w:sz="4" w:space="0"/>
            </w:tcBorders>
            <w:noWrap w:val="0"/>
            <w:vAlign w:val="center"/>
          </w:tcPr>
          <w:p w14:paraId="14076876">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规格 </w:t>
            </w:r>
          </w:p>
          <w:p w14:paraId="7F1CC1AD">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型号</w:t>
            </w:r>
          </w:p>
        </w:tc>
        <w:tc>
          <w:tcPr>
            <w:tcW w:w="1100" w:type="dxa"/>
            <w:tcBorders>
              <w:bottom w:val="single" w:color="auto" w:sz="4" w:space="0"/>
              <w:right w:val="single" w:color="auto" w:sz="4" w:space="0"/>
            </w:tcBorders>
            <w:noWrap w:val="0"/>
            <w:vAlign w:val="center"/>
          </w:tcPr>
          <w:p w14:paraId="057C32FD">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单价 </w:t>
            </w:r>
          </w:p>
          <w:p w14:paraId="1D4D17A4">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w:t>
            </w:r>
          </w:p>
        </w:tc>
        <w:tc>
          <w:tcPr>
            <w:tcW w:w="1742" w:type="dxa"/>
            <w:tcBorders>
              <w:bottom w:val="single" w:color="auto" w:sz="4" w:space="0"/>
              <w:right w:val="single" w:color="auto" w:sz="4" w:space="0"/>
            </w:tcBorders>
            <w:noWrap w:val="0"/>
            <w:vAlign w:val="center"/>
          </w:tcPr>
          <w:p w14:paraId="2F31B748">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单项合计</w:t>
            </w:r>
          </w:p>
          <w:p w14:paraId="37011773">
            <w:pPr>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③=①×②</w:t>
            </w:r>
          </w:p>
        </w:tc>
      </w:tr>
      <w:tr w14:paraId="04D1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97" w:type="dxa"/>
            <w:noWrap w:val="0"/>
            <w:vAlign w:val="center"/>
          </w:tcPr>
          <w:p w14:paraId="532471C1">
            <w:pPr>
              <w:spacing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1339" w:type="dxa"/>
            <w:noWrap w:val="0"/>
            <w:vAlign w:val="center"/>
          </w:tcPr>
          <w:p w14:paraId="4E73D453">
            <w:pPr>
              <w:snapToGrid w:val="0"/>
              <w:spacing w:line="380" w:lineRule="exact"/>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脊柱微创手术系统</w:t>
            </w:r>
          </w:p>
        </w:tc>
        <w:tc>
          <w:tcPr>
            <w:tcW w:w="1119" w:type="dxa"/>
            <w:noWrap w:val="0"/>
            <w:vAlign w:val="center"/>
          </w:tcPr>
          <w:p w14:paraId="084440AB">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877" w:type="dxa"/>
            <w:noWrap w:val="0"/>
            <w:vAlign w:val="center"/>
          </w:tcPr>
          <w:p w14:paraId="1FF3DE6A">
            <w:pPr>
              <w:snapToGrid w:val="0"/>
              <w:spacing w:line="380" w:lineRule="exact"/>
              <w:jc w:val="center"/>
              <w:rPr>
                <w:rFonts w:hint="eastAsia" w:ascii="宋体" w:hAnsi="宋体" w:eastAsia="宋体" w:cs="宋体"/>
                <w:b w:val="0"/>
                <w:bCs/>
                <w:color w:val="auto"/>
                <w:sz w:val="21"/>
                <w:szCs w:val="21"/>
                <w:highlight w:val="none"/>
                <w:lang w:val="en-US" w:eastAsia="zh-CN"/>
              </w:rPr>
            </w:pPr>
          </w:p>
        </w:tc>
        <w:tc>
          <w:tcPr>
            <w:tcW w:w="912" w:type="dxa"/>
            <w:noWrap w:val="0"/>
            <w:vAlign w:val="center"/>
          </w:tcPr>
          <w:p w14:paraId="66A014BD">
            <w:pPr>
              <w:spacing w:line="600" w:lineRule="exact"/>
              <w:rPr>
                <w:rFonts w:hint="eastAsia" w:ascii="宋体" w:hAnsi="宋体" w:eastAsia="宋体" w:cs="宋体"/>
                <w:b w:val="0"/>
                <w:bCs/>
                <w:color w:val="auto"/>
                <w:sz w:val="21"/>
                <w:szCs w:val="21"/>
                <w:highlight w:val="none"/>
              </w:rPr>
            </w:pPr>
          </w:p>
        </w:tc>
        <w:tc>
          <w:tcPr>
            <w:tcW w:w="757" w:type="dxa"/>
            <w:noWrap w:val="0"/>
            <w:vAlign w:val="center"/>
          </w:tcPr>
          <w:p w14:paraId="67783B2A">
            <w:pPr>
              <w:spacing w:line="600" w:lineRule="exact"/>
              <w:rPr>
                <w:rFonts w:hint="eastAsia" w:ascii="宋体" w:hAnsi="宋体" w:eastAsia="宋体" w:cs="宋体"/>
                <w:b w:val="0"/>
                <w:bCs/>
                <w:color w:val="auto"/>
                <w:sz w:val="21"/>
                <w:szCs w:val="21"/>
                <w:highlight w:val="none"/>
              </w:rPr>
            </w:pPr>
          </w:p>
        </w:tc>
        <w:tc>
          <w:tcPr>
            <w:tcW w:w="1313" w:type="dxa"/>
            <w:noWrap w:val="0"/>
            <w:vAlign w:val="center"/>
          </w:tcPr>
          <w:p w14:paraId="4B67C9BA">
            <w:pPr>
              <w:spacing w:line="600" w:lineRule="exact"/>
              <w:rPr>
                <w:rFonts w:hint="eastAsia" w:ascii="宋体" w:hAnsi="宋体" w:eastAsia="宋体" w:cs="宋体"/>
                <w:b w:val="0"/>
                <w:bCs/>
                <w:color w:val="auto"/>
                <w:sz w:val="21"/>
                <w:szCs w:val="21"/>
                <w:highlight w:val="none"/>
              </w:rPr>
            </w:pPr>
          </w:p>
        </w:tc>
        <w:tc>
          <w:tcPr>
            <w:tcW w:w="1100" w:type="dxa"/>
            <w:noWrap w:val="0"/>
            <w:vAlign w:val="center"/>
          </w:tcPr>
          <w:p w14:paraId="57CE6E65">
            <w:pPr>
              <w:spacing w:line="600" w:lineRule="exact"/>
              <w:rPr>
                <w:rFonts w:hint="eastAsia" w:ascii="宋体" w:hAnsi="宋体" w:eastAsia="宋体" w:cs="宋体"/>
                <w:b w:val="0"/>
                <w:bCs/>
                <w:color w:val="auto"/>
                <w:sz w:val="21"/>
                <w:szCs w:val="21"/>
                <w:highlight w:val="none"/>
              </w:rPr>
            </w:pPr>
          </w:p>
        </w:tc>
        <w:tc>
          <w:tcPr>
            <w:tcW w:w="1742" w:type="dxa"/>
            <w:noWrap w:val="0"/>
            <w:vAlign w:val="center"/>
          </w:tcPr>
          <w:p w14:paraId="019D74B3">
            <w:pPr>
              <w:spacing w:line="600" w:lineRule="exact"/>
              <w:rPr>
                <w:rFonts w:hint="eastAsia" w:ascii="宋体" w:hAnsi="宋体" w:eastAsia="宋体" w:cs="宋体"/>
                <w:b w:val="0"/>
                <w:bCs/>
                <w:color w:val="auto"/>
                <w:sz w:val="21"/>
                <w:szCs w:val="21"/>
                <w:highlight w:val="none"/>
              </w:rPr>
            </w:pPr>
          </w:p>
        </w:tc>
      </w:tr>
      <w:tr w14:paraId="62B4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756" w:type="dxa"/>
            <w:gridSpan w:val="9"/>
            <w:noWrap w:val="0"/>
            <w:vAlign w:val="center"/>
          </w:tcPr>
          <w:p w14:paraId="402BBDE2">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合计金额大写：人民币</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 </w:t>
            </w:r>
          </w:p>
        </w:tc>
      </w:tr>
      <w:tr w14:paraId="627D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756" w:type="dxa"/>
            <w:gridSpan w:val="9"/>
            <w:noWrap w:val="0"/>
            <w:vAlign w:val="center"/>
          </w:tcPr>
          <w:p w14:paraId="41B29F80">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r>
              <w:rPr>
                <w:rFonts w:hint="eastAsia" w:ascii="新宋体" w:hAnsi="新宋体" w:eastAsia="新宋体" w:cs="新宋体"/>
                <w:color w:val="auto"/>
                <w:kern w:val="0"/>
                <w:sz w:val="21"/>
                <w:szCs w:val="21"/>
                <w:highlight w:val="none"/>
              </w:rPr>
              <w:t>交货时间</w:t>
            </w:r>
            <w:r>
              <w:rPr>
                <w:rFonts w:hint="eastAsia" w:hAnsi="宋体" w:cs="宋体"/>
                <w:color w:val="auto"/>
                <w:spacing w:val="-6"/>
                <w:highlight w:val="none"/>
              </w:rPr>
              <w:t>：</w:t>
            </w:r>
          </w:p>
        </w:tc>
      </w:tr>
      <w:tr w14:paraId="401D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56" w:type="dxa"/>
            <w:gridSpan w:val="9"/>
            <w:noWrap w:val="0"/>
            <w:vAlign w:val="center"/>
          </w:tcPr>
          <w:p w14:paraId="596B464D">
            <w:pPr>
              <w:keepNext w:val="0"/>
              <w:keepLines w:val="0"/>
              <w:widowControl/>
              <w:suppressLineNumbers w:val="0"/>
              <w:spacing w:line="360" w:lineRule="auto"/>
              <w:jc w:val="left"/>
              <w:rPr>
                <w:rFonts w:hint="eastAsia" w:ascii="新宋体" w:hAnsi="新宋体" w:eastAsia="新宋体" w:cs="新宋体"/>
                <w:color w:val="auto"/>
                <w:kern w:val="0"/>
                <w:sz w:val="21"/>
                <w:szCs w:val="21"/>
                <w:highlight w:val="none"/>
              </w:rPr>
            </w:pPr>
            <w:r>
              <w:rPr>
                <w:rFonts w:hint="eastAsia" w:hAnsi="宋体" w:cs="宋体"/>
                <w:color w:val="auto"/>
                <w:spacing w:val="-6"/>
                <w:highlight w:val="none"/>
              </w:rPr>
              <w:t>交货地点：</w:t>
            </w:r>
          </w:p>
        </w:tc>
      </w:tr>
    </w:tbl>
    <w:p w14:paraId="56938CDC">
      <w:pPr>
        <w:snapToGrid w:val="0"/>
        <w:spacing w:before="50" w:after="50" w:line="440" w:lineRule="exact"/>
        <w:rPr>
          <w:rFonts w:hint="eastAsia" w:ascii="宋体" w:hAnsi="宋体" w:eastAsia="宋体" w:cs="宋体"/>
          <w:color w:val="auto"/>
          <w:sz w:val="22"/>
          <w:szCs w:val="22"/>
          <w:highlight w:val="none"/>
        </w:rPr>
      </w:pPr>
    </w:p>
    <w:p w14:paraId="447EB9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注: </w:t>
      </w:r>
    </w:p>
    <w:p w14:paraId="0B957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1. 以上竞标报价表中“标的名称、所属行业、数量、单位、品牌、规格型号”必须如实填写完整，品牌、规格型号没有则填无，填写有缺漏的，其响应文件作无效处理。 </w:t>
      </w:r>
    </w:p>
    <w:p w14:paraId="0607A7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2.供应商的报价表必须加盖供应商公章并由法定代表人或者委托代理人</w:t>
      </w:r>
      <w:r>
        <w:rPr>
          <w:rFonts w:hint="eastAsia" w:ascii="宋体" w:hAnsi="宋体" w:eastAsia="宋体" w:cs="宋体"/>
          <w:color w:val="auto"/>
          <w:sz w:val="21"/>
          <w:szCs w:val="21"/>
          <w:highlight w:val="none"/>
        </w:rPr>
        <w:t>签字或盖章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电子签名</w:t>
      </w:r>
      <w:r>
        <w:rPr>
          <w:rFonts w:hint="eastAsia" w:ascii="宋体" w:hAnsi="宋体" w:cs="宋体"/>
          <w:color w:val="auto"/>
          <w:sz w:val="21"/>
          <w:szCs w:val="21"/>
          <w:highlight w:val="none"/>
          <w:lang w:val="en-US" w:eastAsia="zh-CN"/>
        </w:rPr>
        <w:t xml:space="preserve">，否则其响应文件作无效处理。 </w:t>
      </w:r>
    </w:p>
    <w:p w14:paraId="794E04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3.报价一经涂改，应在涂改处加盖供应商公章或者由法定代表人或者委托代理人</w:t>
      </w:r>
      <w:r>
        <w:rPr>
          <w:rFonts w:hint="eastAsia" w:ascii="宋体" w:hAnsi="宋体" w:eastAsia="宋体" w:cs="宋体"/>
          <w:color w:val="auto"/>
          <w:sz w:val="21"/>
          <w:szCs w:val="21"/>
          <w:highlight w:val="none"/>
        </w:rPr>
        <w:t>签字或盖章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电子签名</w:t>
      </w:r>
      <w:r>
        <w:rPr>
          <w:rFonts w:hint="eastAsia" w:ascii="宋体" w:hAnsi="宋体" w:cs="宋体"/>
          <w:color w:val="auto"/>
          <w:sz w:val="21"/>
          <w:szCs w:val="21"/>
          <w:highlight w:val="none"/>
          <w:lang w:val="en-US" w:eastAsia="zh-CN"/>
        </w:rPr>
        <w:t xml:space="preserve">，否则其响应文件按无效响应处理。 </w:t>
      </w:r>
    </w:p>
    <w:p w14:paraId="3A1B89FF">
      <w:pPr>
        <w:snapToGrid w:val="0"/>
        <w:spacing w:before="50" w:after="50" w:line="440" w:lineRule="exact"/>
        <w:ind w:right="-817" w:rightChars="-389"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法定代表人或委托代理人（签字或盖章</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61AA1432">
      <w:pPr>
        <w:snapToGrid w:val="0"/>
        <w:spacing w:before="50" w:after="50" w:line="440" w:lineRule="exact"/>
        <w:ind w:right="-817" w:rightChars="-389" w:firstLine="4620" w:firstLineChars="2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079E81AB">
      <w:pPr>
        <w:snapToGrid w:val="0"/>
        <w:spacing w:before="50" w:after="50" w:line="440" w:lineRule="exact"/>
        <w:ind w:firstLine="5670" w:firstLineChars="2700"/>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82D442B">
      <w:pPr>
        <w:snapToGrid w:val="0"/>
        <w:spacing w:before="50" w:after="50" w:line="440" w:lineRule="exact"/>
        <w:rPr>
          <w:rFonts w:hint="eastAsia" w:ascii="宋体" w:hAnsi="宋体" w:eastAsia="宋体" w:cs="宋体"/>
          <w:color w:val="auto"/>
          <w:sz w:val="22"/>
          <w:szCs w:val="22"/>
          <w:highlight w:val="none"/>
        </w:rPr>
      </w:pPr>
    </w:p>
    <w:p w14:paraId="0D42BCEE">
      <w:pPr>
        <w:snapToGrid w:val="0"/>
        <w:spacing w:before="50" w:after="50" w:line="440" w:lineRule="exact"/>
        <w:rPr>
          <w:rFonts w:hint="eastAsia" w:ascii="宋体" w:hAnsi="宋体" w:eastAsia="宋体" w:cs="宋体"/>
          <w:color w:val="auto"/>
          <w:sz w:val="22"/>
          <w:szCs w:val="22"/>
          <w:highlight w:val="none"/>
        </w:rPr>
      </w:pPr>
    </w:p>
    <w:p w14:paraId="13D82E3C">
      <w:pPr>
        <w:snapToGrid w:val="0"/>
        <w:spacing w:before="50" w:after="50" w:line="440" w:lineRule="exact"/>
        <w:rPr>
          <w:rFonts w:hint="eastAsia" w:ascii="宋体" w:hAnsi="宋体" w:eastAsia="宋体" w:cs="宋体"/>
          <w:color w:val="auto"/>
          <w:sz w:val="22"/>
          <w:szCs w:val="22"/>
          <w:highlight w:val="none"/>
        </w:rPr>
      </w:pPr>
    </w:p>
    <w:p w14:paraId="68611B27">
      <w:pPr>
        <w:snapToGrid w:val="0"/>
        <w:spacing w:before="50" w:after="50" w:line="440" w:lineRule="exact"/>
        <w:rPr>
          <w:rFonts w:hint="eastAsia" w:ascii="宋体" w:hAnsi="宋体" w:eastAsia="宋体" w:cs="宋体"/>
          <w:color w:val="auto"/>
          <w:sz w:val="22"/>
          <w:szCs w:val="22"/>
          <w:highlight w:val="none"/>
        </w:rPr>
      </w:pPr>
    </w:p>
    <w:p w14:paraId="61E5496D">
      <w:pPr>
        <w:snapToGrid w:val="0"/>
        <w:spacing w:before="50" w:after="50" w:line="440" w:lineRule="exact"/>
        <w:rPr>
          <w:rFonts w:hint="eastAsia" w:ascii="宋体" w:hAnsi="宋体" w:eastAsia="宋体" w:cs="宋体"/>
          <w:color w:val="auto"/>
          <w:sz w:val="22"/>
          <w:szCs w:val="22"/>
          <w:highlight w:val="none"/>
        </w:rPr>
      </w:pPr>
    </w:p>
    <w:p w14:paraId="1A5D34FF">
      <w:pPr>
        <w:snapToGrid w:val="0"/>
        <w:spacing w:before="50" w:after="50" w:line="440" w:lineRule="exact"/>
        <w:rPr>
          <w:rFonts w:hint="eastAsia" w:ascii="宋体" w:hAnsi="宋体" w:eastAsia="宋体" w:cs="宋体"/>
          <w:color w:val="auto"/>
          <w:sz w:val="22"/>
          <w:szCs w:val="22"/>
          <w:highlight w:val="none"/>
        </w:rPr>
      </w:pPr>
    </w:p>
    <w:p w14:paraId="7406DFC4">
      <w:pPr>
        <w:snapToGrid w:val="0"/>
        <w:spacing w:before="50" w:after="50" w:line="440" w:lineRule="exact"/>
        <w:rPr>
          <w:rFonts w:hint="eastAsia" w:ascii="宋体" w:hAnsi="宋体" w:eastAsia="宋体" w:cs="宋体"/>
          <w:color w:val="auto"/>
          <w:sz w:val="22"/>
          <w:szCs w:val="22"/>
          <w:highlight w:val="none"/>
        </w:rPr>
      </w:pPr>
    </w:p>
    <w:p w14:paraId="39EAD053">
      <w:pPr>
        <w:spacing w:line="52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中小企业声明函</w:t>
      </w:r>
    </w:p>
    <w:p w14:paraId="4B59ABA1">
      <w:pPr>
        <w:spacing w:before="2" w:line="500" w:lineRule="exact"/>
        <w:rPr>
          <w:rFonts w:ascii="宋体" w:hAnsi="宋体" w:cs="宋体"/>
          <w:b/>
          <w:bCs/>
          <w:color w:val="auto"/>
          <w:sz w:val="27"/>
          <w:szCs w:val="27"/>
          <w:highlight w:val="none"/>
        </w:rPr>
      </w:pPr>
    </w:p>
    <w:p w14:paraId="3A4F9955">
      <w:pPr>
        <w:pStyle w:val="10"/>
        <w:spacing w:after="0" w:line="360" w:lineRule="auto"/>
        <w:ind w:left="-426" w:right="142" w:firstLine="640"/>
        <w:contextualSpacing/>
        <w:rPr>
          <w:rFonts w:ascii="宋体" w:hAnsi="宋体"/>
          <w:color w:val="auto"/>
          <w:sz w:val="21"/>
          <w:szCs w:val="21"/>
          <w:highlight w:val="none"/>
        </w:rPr>
      </w:pPr>
      <w:r>
        <w:rPr>
          <w:rFonts w:ascii="宋体" w:hAnsi="宋体"/>
          <w:color w:val="auto"/>
          <w:sz w:val="21"/>
          <w:szCs w:val="21"/>
          <w:highlight w:val="none"/>
        </w:rPr>
        <w:t>本公司（联合体）郑重声明，根据《政府采购促进中小企业发展管理办法》（财库﹝2020﹞46号）的规定，本公司（联合体）参加</w:t>
      </w:r>
      <w:r>
        <w:rPr>
          <w:rFonts w:ascii="宋体" w:hAnsi="宋体"/>
          <w:color w:val="auto"/>
          <w:sz w:val="21"/>
          <w:szCs w:val="21"/>
          <w:highlight w:val="none"/>
          <w:u w:val="single"/>
        </w:rPr>
        <w:t>（单位名称）</w:t>
      </w:r>
      <w:r>
        <w:rPr>
          <w:rFonts w:ascii="宋体" w:hAnsi="宋体"/>
          <w:color w:val="auto"/>
          <w:sz w:val="21"/>
          <w:szCs w:val="21"/>
          <w:highlight w:val="none"/>
        </w:rPr>
        <w:t>的</w:t>
      </w:r>
      <w:r>
        <w:rPr>
          <w:rFonts w:ascii="宋体" w:hAnsi="宋体"/>
          <w:color w:val="auto"/>
          <w:sz w:val="21"/>
          <w:szCs w:val="21"/>
          <w:highlight w:val="none"/>
          <w:u w:val="single"/>
        </w:rPr>
        <w:t>（项目名称）</w:t>
      </w:r>
      <w:r>
        <w:rPr>
          <w:rFonts w:ascii="宋体" w:hAnsi="宋体"/>
          <w:color w:val="auto"/>
          <w:sz w:val="21"/>
          <w:szCs w:val="21"/>
          <w:highlight w:val="none"/>
        </w:rPr>
        <w:t>采购活动，提供的货物全部由符合政策要求的中小企业制造。相关企业（含联合体中的中小企业、签订分包意向协议的中小企业）的具体情况如下：</w:t>
      </w:r>
    </w:p>
    <w:p w14:paraId="79F3F22E">
      <w:pPr>
        <w:tabs>
          <w:tab w:val="left" w:pos="1384"/>
          <w:tab w:val="left" w:pos="4562"/>
          <w:tab w:val="left" w:pos="6803"/>
        </w:tabs>
        <w:spacing w:line="360" w:lineRule="auto"/>
        <w:ind w:left="-426" w:right="-58" w:firstLine="655"/>
        <w:contextualSpacing/>
        <w:rPr>
          <w:rFonts w:ascii="宋体" w:hAnsi="宋体"/>
          <w:color w:val="auto"/>
          <w:sz w:val="21"/>
          <w:szCs w:val="21"/>
          <w:highlight w:val="none"/>
        </w:rPr>
      </w:pPr>
      <w:r>
        <w:rPr>
          <w:rFonts w:ascii="宋体" w:hAnsi="宋体"/>
          <w:color w:val="auto"/>
          <w:sz w:val="21"/>
          <w:szCs w:val="21"/>
          <w:highlight w:val="none"/>
        </w:rPr>
        <w:t>1.</w:t>
      </w:r>
      <w:r>
        <w:rPr>
          <w:rFonts w:ascii="宋体" w:hAnsi="宋体"/>
          <w:color w:val="auto"/>
          <w:sz w:val="21"/>
          <w:szCs w:val="21"/>
          <w:highlight w:val="none"/>
          <w:u w:val="single"/>
        </w:rPr>
        <w:t>（标的名称）</w:t>
      </w:r>
      <w:r>
        <w:rPr>
          <w:rFonts w:ascii="宋体" w:hAnsi="宋体"/>
          <w:color w:val="auto"/>
          <w:sz w:val="21"/>
          <w:szCs w:val="21"/>
          <w:highlight w:val="none"/>
        </w:rPr>
        <w:t>，属于</w:t>
      </w:r>
      <w:r>
        <w:rPr>
          <w:rFonts w:ascii="宋体" w:hAnsi="宋体"/>
          <w:color w:val="auto"/>
          <w:sz w:val="21"/>
          <w:szCs w:val="21"/>
          <w:highlight w:val="none"/>
          <w:u w:val="single"/>
        </w:rPr>
        <w:t>（采购文件中明确的所属行业）</w:t>
      </w:r>
      <w:r>
        <w:rPr>
          <w:rFonts w:ascii="宋体" w:hAnsi="宋体"/>
          <w:color w:val="auto"/>
          <w:sz w:val="21"/>
          <w:szCs w:val="21"/>
          <w:highlight w:val="none"/>
        </w:rPr>
        <w:t>行业；制造商为</w:t>
      </w:r>
      <w:r>
        <w:rPr>
          <w:rFonts w:ascii="宋体" w:hAnsi="宋体"/>
          <w:color w:val="auto"/>
          <w:sz w:val="21"/>
          <w:szCs w:val="21"/>
          <w:highlight w:val="none"/>
          <w:u w:val="single"/>
        </w:rPr>
        <w:t>（企业名称）</w:t>
      </w:r>
      <w:r>
        <w:rPr>
          <w:rFonts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万元，属于</w:t>
      </w:r>
      <w:r>
        <w:rPr>
          <w:rFonts w:ascii="宋体" w:hAnsi="宋体"/>
          <w:color w:val="auto"/>
          <w:sz w:val="21"/>
          <w:szCs w:val="21"/>
          <w:highlight w:val="none"/>
          <w:u w:val="single"/>
        </w:rPr>
        <w:t>（中型企业、小型企业、微型企业）</w:t>
      </w:r>
      <w:r>
        <w:rPr>
          <w:rFonts w:ascii="宋体" w:hAnsi="宋体"/>
          <w:color w:val="auto"/>
          <w:sz w:val="21"/>
          <w:szCs w:val="21"/>
          <w:highlight w:val="none"/>
        </w:rPr>
        <w:t>；</w:t>
      </w:r>
    </w:p>
    <w:p w14:paraId="5DB4B677">
      <w:pPr>
        <w:tabs>
          <w:tab w:val="left" w:pos="1065"/>
          <w:tab w:val="left" w:pos="6477"/>
        </w:tabs>
        <w:spacing w:line="360" w:lineRule="auto"/>
        <w:ind w:left="-426" w:right="-58" w:firstLine="655"/>
        <w:contextualSpacing/>
        <w:rPr>
          <w:rFonts w:ascii="宋体" w:hAnsi="宋体"/>
          <w:color w:val="auto"/>
          <w:sz w:val="21"/>
          <w:szCs w:val="21"/>
          <w:highlight w:val="none"/>
        </w:rPr>
      </w:pPr>
      <w:r>
        <w:rPr>
          <w:rFonts w:ascii="宋体" w:hAnsi="宋体"/>
          <w:color w:val="auto"/>
          <w:sz w:val="21"/>
          <w:szCs w:val="21"/>
          <w:highlight w:val="none"/>
        </w:rPr>
        <w:t>2.</w:t>
      </w:r>
      <w:r>
        <w:rPr>
          <w:rFonts w:ascii="宋体" w:hAnsi="宋体"/>
          <w:color w:val="auto"/>
          <w:sz w:val="21"/>
          <w:szCs w:val="21"/>
          <w:highlight w:val="none"/>
          <w:u w:val="single"/>
        </w:rPr>
        <w:t>（标的名称）</w:t>
      </w:r>
      <w:r>
        <w:rPr>
          <w:rFonts w:ascii="宋体" w:hAnsi="宋体"/>
          <w:color w:val="auto"/>
          <w:sz w:val="21"/>
          <w:szCs w:val="21"/>
          <w:highlight w:val="none"/>
        </w:rPr>
        <w:t>，属于</w:t>
      </w:r>
      <w:r>
        <w:rPr>
          <w:rFonts w:ascii="宋体" w:hAnsi="宋体"/>
          <w:color w:val="auto"/>
          <w:sz w:val="21"/>
          <w:szCs w:val="21"/>
          <w:highlight w:val="none"/>
          <w:u w:val="single"/>
        </w:rPr>
        <w:t>（采购文件中明确的所属行业）</w:t>
      </w:r>
      <w:r>
        <w:rPr>
          <w:rFonts w:ascii="宋体" w:hAnsi="宋体"/>
          <w:color w:val="auto"/>
          <w:sz w:val="21"/>
          <w:szCs w:val="21"/>
          <w:highlight w:val="none"/>
        </w:rPr>
        <w:t>行业；制造商为</w:t>
      </w:r>
      <w:r>
        <w:rPr>
          <w:rFonts w:ascii="宋体" w:hAnsi="宋体"/>
          <w:color w:val="auto"/>
          <w:sz w:val="21"/>
          <w:szCs w:val="21"/>
          <w:highlight w:val="none"/>
          <w:u w:val="single"/>
        </w:rPr>
        <w:t>（企业名称）</w:t>
      </w:r>
      <w:r>
        <w:rPr>
          <w:rFonts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ascii="宋体" w:hAnsi="宋体"/>
          <w:color w:val="auto"/>
          <w:sz w:val="21"/>
          <w:szCs w:val="21"/>
          <w:highlight w:val="none"/>
        </w:rPr>
        <w:t>万元，属于</w:t>
      </w:r>
      <w:r>
        <w:rPr>
          <w:rFonts w:ascii="宋体" w:hAnsi="宋体"/>
          <w:color w:val="auto"/>
          <w:sz w:val="21"/>
          <w:szCs w:val="21"/>
          <w:highlight w:val="none"/>
          <w:u w:val="single"/>
        </w:rPr>
        <w:t>（中型企业、小型企业、微型企业）</w:t>
      </w:r>
      <w:r>
        <w:rPr>
          <w:rFonts w:ascii="宋体" w:hAnsi="宋体"/>
          <w:color w:val="auto"/>
          <w:sz w:val="21"/>
          <w:szCs w:val="21"/>
          <w:highlight w:val="none"/>
        </w:rPr>
        <w:t>；</w:t>
      </w:r>
    </w:p>
    <w:p w14:paraId="15FC2812">
      <w:pPr>
        <w:pStyle w:val="10"/>
        <w:spacing w:after="0" w:line="360" w:lineRule="auto"/>
        <w:ind w:left="142" w:right="142"/>
        <w:contextualSpacing/>
        <w:rPr>
          <w:rFonts w:ascii="宋体" w:hAnsi="宋体"/>
          <w:color w:val="auto"/>
          <w:sz w:val="21"/>
          <w:szCs w:val="21"/>
          <w:highlight w:val="none"/>
        </w:rPr>
      </w:pPr>
      <w:r>
        <w:rPr>
          <w:rFonts w:ascii="宋体" w:hAnsi="宋体"/>
          <w:color w:val="auto"/>
          <w:sz w:val="21"/>
          <w:szCs w:val="21"/>
          <w:highlight w:val="none"/>
        </w:rPr>
        <w:t xml:space="preserve">…… </w:t>
      </w:r>
    </w:p>
    <w:p w14:paraId="10AEFE63">
      <w:pPr>
        <w:pStyle w:val="10"/>
        <w:spacing w:after="0" w:line="360" w:lineRule="auto"/>
        <w:ind w:left="-405" w:leftChars="-193" w:right="142" w:firstLine="396" w:firstLineChars="189"/>
        <w:contextualSpacing/>
        <w:rPr>
          <w:rFonts w:ascii="宋体" w:hAnsi="宋体"/>
          <w:color w:val="auto"/>
          <w:sz w:val="21"/>
          <w:szCs w:val="21"/>
          <w:highlight w:val="none"/>
        </w:rPr>
      </w:pPr>
      <w:r>
        <w:rPr>
          <w:rFonts w:ascii="宋体" w:hAnsi="宋体"/>
          <w:color w:val="auto"/>
          <w:sz w:val="21"/>
          <w:szCs w:val="21"/>
          <w:highlight w:val="none"/>
        </w:rPr>
        <w:t>以上企业，不属于大企业的分支机构，不存在控股股东为大企业的情形，也不存在与大企业的负责人为同一人的情形。</w:t>
      </w:r>
    </w:p>
    <w:p w14:paraId="1E47E0B3">
      <w:pPr>
        <w:pStyle w:val="10"/>
        <w:spacing w:after="0" w:line="360" w:lineRule="auto"/>
        <w:ind w:left="-426" w:right="142" w:firstLine="567"/>
        <w:contextualSpacing/>
        <w:rPr>
          <w:rFonts w:ascii="宋体" w:hAnsi="宋体"/>
          <w:color w:val="auto"/>
          <w:sz w:val="21"/>
          <w:szCs w:val="21"/>
          <w:highlight w:val="none"/>
        </w:rPr>
      </w:pPr>
      <w:r>
        <w:rPr>
          <w:rFonts w:ascii="宋体" w:hAnsi="宋体"/>
          <w:color w:val="auto"/>
          <w:sz w:val="21"/>
          <w:szCs w:val="21"/>
          <w:highlight w:val="none"/>
        </w:rPr>
        <w:t>本企业对上述声明内容的真实性负责。如有虚假，将依法承担相应责任。</w:t>
      </w:r>
    </w:p>
    <w:p w14:paraId="436A6490">
      <w:pPr>
        <w:pStyle w:val="10"/>
        <w:spacing w:after="0" w:line="360" w:lineRule="auto"/>
        <w:ind w:left="3960" w:right="1808"/>
        <w:contextualSpacing/>
        <w:rPr>
          <w:rFonts w:hint="eastAsia" w:ascii="宋体" w:hAnsi="宋体"/>
          <w:color w:val="auto"/>
          <w:sz w:val="21"/>
          <w:szCs w:val="21"/>
          <w:highlight w:val="none"/>
        </w:rPr>
      </w:pPr>
    </w:p>
    <w:p w14:paraId="57AFF729">
      <w:pPr>
        <w:spacing w:line="360" w:lineRule="auto"/>
        <w:ind w:left="4830" w:leftChars="2000" w:hanging="630" w:hangingChars="300"/>
        <w:jc w:val="lef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日</w:t>
      </w:r>
    </w:p>
    <w:p w14:paraId="76FA3828">
      <w:pPr>
        <w:spacing w:line="360" w:lineRule="auto"/>
        <w:ind w:left="4830" w:leftChars="2000" w:hanging="630" w:hangingChars="300"/>
        <w:jc w:val="left"/>
        <w:rPr>
          <w:rFonts w:hint="eastAsia" w:ascii="宋体" w:hAnsi="宋体" w:eastAsia="宋体" w:cs="宋体"/>
          <w:color w:val="auto"/>
          <w:sz w:val="21"/>
          <w:szCs w:val="21"/>
          <w:highlight w:val="none"/>
          <w:u w:val="none"/>
          <w:lang w:eastAsia="zh-CN"/>
        </w:rPr>
      </w:pPr>
    </w:p>
    <w:p w14:paraId="19F810D0">
      <w:pPr>
        <w:spacing w:line="360" w:lineRule="auto"/>
        <w:ind w:left="4830" w:leftChars="2000" w:hanging="630" w:hangingChars="300"/>
        <w:jc w:val="left"/>
        <w:rPr>
          <w:rFonts w:hint="eastAsia" w:ascii="宋体" w:hAnsi="宋体" w:eastAsia="宋体" w:cs="宋体"/>
          <w:color w:val="auto"/>
          <w:sz w:val="21"/>
          <w:szCs w:val="21"/>
          <w:highlight w:val="none"/>
          <w:u w:val="none"/>
          <w:lang w:eastAsia="zh-CN"/>
        </w:rPr>
      </w:pPr>
    </w:p>
    <w:p w14:paraId="4A793198">
      <w:pPr>
        <w:spacing w:line="360" w:lineRule="auto"/>
        <w:ind w:left="4830" w:leftChars="2000" w:hanging="630" w:hangingChars="300"/>
        <w:jc w:val="left"/>
        <w:rPr>
          <w:rFonts w:hint="eastAsia" w:ascii="宋体" w:hAnsi="宋体" w:eastAsia="宋体" w:cs="宋体"/>
          <w:color w:val="auto"/>
          <w:sz w:val="21"/>
          <w:szCs w:val="21"/>
          <w:highlight w:val="none"/>
          <w:u w:val="none"/>
          <w:lang w:eastAsia="zh-CN"/>
        </w:rPr>
      </w:pPr>
    </w:p>
    <w:p w14:paraId="12936DC9">
      <w:pPr>
        <w:spacing w:line="360" w:lineRule="auto"/>
        <w:contextualSpacing/>
        <w:jc w:val="left"/>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33E3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9E616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229556E3">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ab/>
      </w:r>
    </w:p>
    <w:p w14:paraId="4369329C">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217D4E06">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B6595BF">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C6EDEFE">
      <w:pPr>
        <w:keepNext w:val="0"/>
        <w:keepLines w:val="0"/>
        <w:pageBreakBefore w:val="0"/>
        <w:widowControl w:val="0"/>
        <w:tabs>
          <w:tab w:val="left" w:pos="6432"/>
        </w:tabs>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C1176B0">
      <w:pPr>
        <w:spacing w:line="520" w:lineRule="exact"/>
        <w:jc w:val="both"/>
        <w:rPr>
          <w:rFonts w:hint="eastAsia" w:asciiTheme="minorEastAsia" w:hAnsiTheme="minorEastAsia" w:eastAsiaTheme="minorEastAsia" w:cstheme="minorEastAsia"/>
          <w:b/>
          <w:bCs/>
          <w:color w:val="auto"/>
          <w:sz w:val="30"/>
          <w:szCs w:val="30"/>
          <w:highlight w:val="none"/>
        </w:rPr>
      </w:pPr>
    </w:p>
    <w:p w14:paraId="0A6DDC87">
      <w:pPr>
        <w:spacing w:line="52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残疾人福利性单位声明函</w:t>
      </w:r>
    </w:p>
    <w:p w14:paraId="53B25F7B">
      <w:pPr>
        <w:spacing w:line="520" w:lineRule="exact"/>
        <w:rPr>
          <w:rFonts w:hint="eastAsia" w:ascii="仿宋_GB2312" w:hAnsi="仿宋_GB2312" w:eastAsia="仿宋_GB2312" w:cs="仿宋_GB2312"/>
          <w:color w:val="auto"/>
          <w:sz w:val="32"/>
          <w:szCs w:val="32"/>
          <w:highlight w:val="none"/>
        </w:rPr>
      </w:pPr>
    </w:p>
    <w:p w14:paraId="25909555">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单位的</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64A254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本单位对上述声明的真实性负责。如有虚假，将依法承担相应责任。</w:t>
      </w:r>
    </w:p>
    <w:p w14:paraId="23959D25">
      <w:pPr>
        <w:spacing w:line="360" w:lineRule="auto"/>
        <w:rPr>
          <w:rFonts w:hint="eastAsia" w:asciiTheme="minorEastAsia" w:hAnsiTheme="minorEastAsia" w:eastAsiaTheme="minorEastAsia" w:cstheme="minorEastAsia"/>
          <w:color w:val="auto"/>
          <w:sz w:val="21"/>
          <w:szCs w:val="21"/>
          <w:highlight w:val="none"/>
        </w:rPr>
      </w:pPr>
    </w:p>
    <w:p w14:paraId="27631569">
      <w:pPr>
        <w:spacing w:line="360" w:lineRule="auto"/>
        <w:rPr>
          <w:rFonts w:hint="eastAsia" w:asciiTheme="minorEastAsia" w:hAnsiTheme="minorEastAsia" w:eastAsiaTheme="minorEastAsia" w:cstheme="minorEastAsia"/>
          <w:color w:val="auto"/>
          <w:sz w:val="21"/>
          <w:szCs w:val="21"/>
          <w:highlight w:val="none"/>
        </w:rPr>
      </w:pPr>
    </w:p>
    <w:p w14:paraId="5AA390E8">
      <w:pPr>
        <w:spacing w:line="360" w:lineRule="auto"/>
        <w:rPr>
          <w:rFonts w:hint="eastAsia" w:asciiTheme="minorEastAsia" w:hAnsiTheme="minorEastAsia" w:eastAsiaTheme="minorEastAsia" w:cstheme="minorEastAsia"/>
          <w:color w:val="auto"/>
          <w:sz w:val="21"/>
          <w:szCs w:val="21"/>
          <w:highlight w:val="none"/>
        </w:rPr>
      </w:pPr>
    </w:p>
    <w:p w14:paraId="1C454503">
      <w:pPr>
        <w:spacing w:line="360" w:lineRule="auto"/>
        <w:ind w:firstLine="4200" w:firstLineChars="2000"/>
        <w:jc w:val="left"/>
        <w:rPr>
          <w:rFonts w:hint="eastAsia" w:ascii="宋体" w:hAnsi="宋体" w:eastAsia="宋体" w:cs="宋体"/>
          <w:color w:val="auto"/>
          <w:highlight w:val="none"/>
          <w:u w:val="single"/>
        </w:rPr>
      </w:pP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u w:val="single"/>
        </w:rPr>
        <w:t xml:space="preserve">                     </w:t>
      </w:r>
    </w:p>
    <w:p w14:paraId="401D3B0E">
      <w:pPr>
        <w:pStyle w:val="32"/>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日</w:t>
      </w:r>
    </w:p>
    <w:p w14:paraId="4D182EB5">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p w14:paraId="50B31B10">
      <w:pPr>
        <w:spacing w:line="360" w:lineRule="auto"/>
        <w:rPr>
          <w:rFonts w:hint="eastAsia" w:asciiTheme="minorEastAsia" w:hAnsiTheme="minorEastAsia" w:eastAsiaTheme="minorEastAsia" w:cstheme="minorEastAsia"/>
          <w:color w:val="auto"/>
          <w:sz w:val="21"/>
          <w:szCs w:val="21"/>
          <w:highlight w:val="none"/>
        </w:rPr>
      </w:pPr>
    </w:p>
    <w:p w14:paraId="69B810CF">
      <w:pPr>
        <w:spacing w:line="360" w:lineRule="auto"/>
        <w:rPr>
          <w:rFonts w:hint="eastAsia" w:asciiTheme="minorEastAsia" w:hAnsiTheme="minorEastAsia" w:eastAsiaTheme="minorEastAsia" w:cstheme="minorEastAsia"/>
          <w:color w:val="auto"/>
          <w:sz w:val="21"/>
          <w:szCs w:val="21"/>
          <w:highlight w:val="none"/>
        </w:rPr>
      </w:pPr>
    </w:p>
    <w:p w14:paraId="12294181">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2E9BDA2">
      <w:pPr>
        <w:pStyle w:val="2"/>
        <w:rPr>
          <w:rFonts w:hint="eastAsia" w:asciiTheme="minorEastAsia" w:hAnsiTheme="minorEastAsia" w:eastAsiaTheme="minorEastAsia" w:cstheme="minorEastAsia"/>
          <w:color w:val="auto"/>
          <w:sz w:val="21"/>
          <w:szCs w:val="21"/>
          <w:highlight w:val="none"/>
        </w:rPr>
      </w:pPr>
    </w:p>
    <w:p w14:paraId="4FD21036">
      <w:pPr>
        <w:rPr>
          <w:rFonts w:hint="eastAsia" w:asciiTheme="minorEastAsia" w:hAnsiTheme="minorEastAsia" w:eastAsiaTheme="minorEastAsia" w:cstheme="minorEastAsia"/>
          <w:color w:val="auto"/>
          <w:sz w:val="21"/>
          <w:szCs w:val="21"/>
          <w:highlight w:val="none"/>
        </w:rPr>
      </w:pPr>
    </w:p>
    <w:p w14:paraId="59707CE6">
      <w:pPr>
        <w:pStyle w:val="2"/>
        <w:rPr>
          <w:rFonts w:hint="eastAsia" w:asciiTheme="minorEastAsia" w:hAnsiTheme="minorEastAsia" w:eastAsiaTheme="minorEastAsia" w:cstheme="minorEastAsia"/>
          <w:color w:val="auto"/>
          <w:sz w:val="21"/>
          <w:szCs w:val="21"/>
          <w:highlight w:val="none"/>
        </w:rPr>
      </w:pPr>
    </w:p>
    <w:p w14:paraId="70C00C5F">
      <w:pPr>
        <w:rPr>
          <w:rFonts w:hint="eastAsia" w:asciiTheme="minorEastAsia" w:hAnsiTheme="minorEastAsia" w:eastAsiaTheme="minorEastAsia" w:cstheme="minorEastAsia"/>
          <w:color w:val="auto"/>
          <w:sz w:val="21"/>
          <w:szCs w:val="21"/>
          <w:highlight w:val="none"/>
        </w:rPr>
      </w:pPr>
    </w:p>
    <w:p w14:paraId="24E721F6">
      <w:pPr>
        <w:pStyle w:val="2"/>
        <w:rPr>
          <w:rFonts w:hint="eastAsia" w:asciiTheme="minorEastAsia" w:hAnsiTheme="minorEastAsia" w:eastAsiaTheme="minorEastAsia" w:cstheme="minorEastAsia"/>
          <w:color w:val="auto"/>
          <w:sz w:val="21"/>
          <w:szCs w:val="21"/>
          <w:highlight w:val="none"/>
        </w:rPr>
      </w:pPr>
    </w:p>
    <w:p w14:paraId="3AC72212">
      <w:pPr>
        <w:rPr>
          <w:rFonts w:hint="eastAsia" w:asciiTheme="minorEastAsia" w:hAnsiTheme="minorEastAsia" w:eastAsiaTheme="minorEastAsia" w:cstheme="minorEastAsia"/>
          <w:color w:val="auto"/>
          <w:sz w:val="21"/>
          <w:szCs w:val="21"/>
          <w:highlight w:val="none"/>
        </w:rPr>
      </w:pPr>
    </w:p>
    <w:p w14:paraId="6FAB8657">
      <w:pPr>
        <w:pStyle w:val="2"/>
        <w:rPr>
          <w:rFonts w:hint="eastAsia" w:asciiTheme="minorEastAsia" w:hAnsiTheme="minorEastAsia" w:eastAsiaTheme="minorEastAsia" w:cstheme="minorEastAsia"/>
          <w:color w:val="auto"/>
          <w:sz w:val="21"/>
          <w:szCs w:val="21"/>
          <w:highlight w:val="none"/>
        </w:rPr>
      </w:pPr>
    </w:p>
    <w:p w14:paraId="1C7BC499">
      <w:pPr>
        <w:rPr>
          <w:rFonts w:hint="eastAsia" w:asciiTheme="minorEastAsia" w:hAnsiTheme="minorEastAsia" w:eastAsiaTheme="minorEastAsia" w:cstheme="minorEastAsia"/>
          <w:color w:val="auto"/>
          <w:sz w:val="21"/>
          <w:szCs w:val="21"/>
          <w:highlight w:val="none"/>
        </w:rPr>
      </w:pPr>
    </w:p>
    <w:p w14:paraId="2F9F1604">
      <w:pPr>
        <w:pStyle w:val="2"/>
        <w:rPr>
          <w:rFonts w:hint="eastAsia" w:asciiTheme="minorEastAsia" w:hAnsiTheme="minorEastAsia" w:eastAsiaTheme="minorEastAsia" w:cstheme="minorEastAsia"/>
          <w:color w:val="auto"/>
          <w:sz w:val="21"/>
          <w:szCs w:val="21"/>
          <w:highlight w:val="none"/>
        </w:rPr>
      </w:pPr>
    </w:p>
    <w:p w14:paraId="3DC40827">
      <w:pPr>
        <w:rPr>
          <w:rFonts w:hint="eastAsia" w:asciiTheme="minorEastAsia" w:hAnsiTheme="minorEastAsia" w:eastAsiaTheme="minorEastAsia" w:cstheme="minorEastAsia"/>
          <w:color w:val="auto"/>
          <w:sz w:val="21"/>
          <w:szCs w:val="21"/>
          <w:highlight w:val="none"/>
        </w:rPr>
      </w:pPr>
    </w:p>
    <w:p w14:paraId="2417B7D1">
      <w:pPr>
        <w:pStyle w:val="2"/>
        <w:rPr>
          <w:rFonts w:hint="eastAsia" w:asciiTheme="minorEastAsia" w:hAnsiTheme="minorEastAsia" w:eastAsiaTheme="minorEastAsia" w:cstheme="minorEastAsia"/>
          <w:color w:val="auto"/>
          <w:sz w:val="21"/>
          <w:szCs w:val="21"/>
          <w:highlight w:val="none"/>
        </w:rPr>
      </w:pPr>
    </w:p>
    <w:p w14:paraId="0DC4840E">
      <w:pPr>
        <w:rPr>
          <w:rFonts w:hint="eastAsia" w:asciiTheme="minorEastAsia" w:hAnsiTheme="minorEastAsia" w:eastAsiaTheme="minorEastAsia" w:cstheme="minorEastAsia"/>
          <w:color w:val="auto"/>
          <w:sz w:val="21"/>
          <w:szCs w:val="21"/>
          <w:highlight w:val="none"/>
        </w:rPr>
      </w:pPr>
    </w:p>
    <w:p w14:paraId="0702B139">
      <w:pPr>
        <w:pStyle w:val="2"/>
        <w:rPr>
          <w:rFonts w:hint="eastAsia" w:asciiTheme="minorEastAsia" w:hAnsiTheme="minorEastAsia" w:eastAsiaTheme="minorEastAsia" w:cstheme="minorEastAsia"/>
          <w:color w:val="auto"/>
          <w:sz w:val="21"/>
          <w:szCs w:val="21"/>
          <w:highlight w:val="none"/>
        </w:rPr>
      </w:pPr>
    </w:p>
    <w:p w14:paraId="2B184477">
      <w:pPr>
        <w:rPr>
          <w:rFonts w:hint="eastAsia" w:asciiTheme="minorEastAsia" w:hAnsiTheme="minorEastAsia" w:eastAsiaTheme="minorEastAsia" w:cstheme="minorEastAsia"/>
          <w:color w:val="auto"/>
          <w:sz w:val="21"/>
          <w:szCs w:val="21"/>
          <w:highlight w:val="none"/>
        </w:rPr>
      </w:pPr>
    </w:p>
    <w:p w14:paraId="29557B0C">
      <w:pPr>
        <w:pStyle w:val="2"/>
        <w:rPr>
          <w:rFonts w:hint="eastAsia" w:asciiTheme="minorEastAsia" w:hAnsiTheme="minorEastAsia" w:eastAsiaTheme="minorEastAsia" w:cstheme="minorEastAsia"/>
          <w:color w:val="auto"/>
          <w:sz w:val="21"/>
          <w:szCs w:val="21"/>
          <w:highlight w:val="none"/>
        </w:rPr>
      </w:pPr>
    </w:p>
    <w:p w14:paraId="19067223">
      <w:pPr>
        <w:rPr>
          <w:rFonts w:hint="eastAsia" w:asciiTheme="minorEastAsia" w:hAnsiTheme="minorEastAsia" w:eastAsiaTheme="minorEastAsia" w:cstheme="minorEastAsia"/>
          <w:color w:val="auto"/>
          <w:sz w:val="21"/>
          <w:szCs w:val="21"/>
          <w:highlight w:val="none"/>
        </w:rPr>
      </w:pPr>
    </w:p>
    <w:p w14:paraId="241A7963">
      <w:pPr>
        <w:pStyle w:val="2"/>
        <w:rPr>
          <w:rFonts w:hint="eastAsia" w:asciiTheme="minorEastAsia" w:hAnsiTheme="minorEastAsia" w:eastAsiaTheme="minorEastAsia" w:cstheme="minorEastAsia"/>
          <w:color w:val="auto"/>
          <w:sz w:val="21"/>
          <w:szCs w:val="21"/>
          <w:highlight w:val="none"/>
        </w:rPr>
      </w:pPr>
    </w:p>
    <w:p w14:paraId="10BD4299">
      <w:pPr>
        <w:rPr>
          <w:rFonts w:hint="eastAsia" w:asciiTheme="minorEastAsia" w:hAnsiTheme="minorEastAsia" w:eastAsiaTheme="minorEastAsia" w:cstheme="minorEastAsia"/>
          <w:color w:val="auto"/>
          <w:sz w:val="21"/>
          <w:szCs w:val="21"/>
          <w:highlight w:val="none"/>
        </w:rPr>
      </w:pPr>
    </w:p>
    <w:p w14:paraId="1288B6FF">
      <w:pPr>
        <w:pStyle w:val="2"/>
        <w:rPr>
          <w:rFonts w:hint="eastAsia" w:asciiTheme="minorEastAsia" w:hAnsiTheme="minorEastAsia" w:eastAsiaTheme="minorEastAsia" w:cstheme="minorEastAsia"/>
          <w:color w:val="auto"/>
          <w:sz w:val="21"/>
          <w:szCs w:val="21"/>
          <w:highlight w:val="none"/>
        </w:rPr>
      </w:pPr>
    </w:p>
    <w:p w14:paraId="71210199">
      <w:pPr>
        <w:rPr>
          <w:rFonts w:hint="eastAsia" w:asciiTheme="minorEastAsia" w:hAnsiTheme="minorEastAsia" w:eastAsiaTheme="minorEastAsia" w:cstheme="minorEastAsia"/>
          <w:color w:val="auto"/>
          <w:sz w:val="21"/>
          <w:szCs w:val="21"/>
          <w:highlight w:val="none"/>
        </w:rPr>
      </w:pPr>
    </w:p>
    <w:p w14:paraId="45942DFF">
      <w:pPr>
        <w:pStyle w:val="2"/>
        <w:rPr>
          <w:rFonts w:hint="eastAsia" w:asciiTheme="minorEastAsia" w:hAnsiTheme="minorEastAsia" w:eastAsiaTheme="minorEastAsia" w:cstheme="minorEastAsia"/>
          <w:color w:val="auto"/>
          <w:sz w:val="21"/>
          <w:szCs w:val="21"/>
          <w:highlight w:val="none"/>
        </w:rPr>
      </w:pPr>
    </w:p>
    <w:p w14:paraId="3A434E0D">
      <w:pPr>
        <w:rPr>
          <w:rFonts w:hint="eastAsia" w:asciiTheme="minorEastAsia" w:hAnsiTheme="minorEastAsia" w:eastAsiaTheme="minorEastAsia" w:cstheme="minorEastAsia"/>
          <w:color w:val="auto"/>
          <w:sz w:val="21"/>
          <w:szCs w:val="21"/>
          <w:highlight w:val="none"/>
        </w:rPr>
      </w:pPr>
    </w:p>
    <w:p w14:paraId="38BF8F42">
      <w:pPr>
        <w:keepNext w:val="0"/>
        <w:keepLines w:val="0"/>
        <w:widowControl/>
        <w:suppressLineNumbers w:val="0"/>
        <w:jc w:val="center"/>
        <w:rPr>
          <w:color w:val="auto"/>
          <w:highlight w:val="none"/>
        </w:rPr>
      </w:pPr>
      <w:r>
        <w:rPr>
          <w:rFonts w:hint="eastAsia" w:ascii="宋体" w:hAnsi="宋体" w:eastAsia="宋体" w:cs="宋体"/>
          <w:b/>
          <w:bCs/>
          <w:color w:val="auto"/>
          <w:kern w:val="0"/>
          <w:sz w:val="31"/>
          <w:szCs w:val="31"/>
          <w:highlight w:val="none"/>
          <w:lang w:val="en-US" w:eastAsia="zh-CN" w:bidi="ar"/>
        </w:rPr>
        <w:t>关于符合本国产品标准的声明函</w:t>
      </w:r>
    </w:p>
    <w:p w14:paraId="1DB3C0A8">
      <w:pPr>
        <w:pStyle w:val="2"/>
        <w:rPr>
          <w:rFonts w:hint="eastAsia"/>
          <w:color w:val="auto"/>
          <w:highlight w:val="none"/>
        </w:rPr>
      </w:pPr>
    </w:p>
    <w:p w14:paraId="5D76313F">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本公司（单位）郑重声明，根据《国务院办公厅关于在政府采购中实施本国产品标准及相关政策的通知》（国办发〔</w:t>
      </w:r>
      <w:r>
        <w:rPr>
          <w:rFonts w:hint="default" w:asciiTheme="minorEastAsia" w:hAnsiTheme="minorEastAsia" w:eastAsiaTheme="minorEastAsia" w:cstheme="minorEastAsia"/>
          <w:color w:val="auto"/>
          <w:sz w:val="21"/>
          <w:szCs w:val="21"/>
          <w:highlight w:val="none"/>
          <w:lang w:val="en-US" w:eastAsia="zh-CN"/>
        </w:rPr>
        <w:t>2025</w:t>
      </w:r>
      <w:r>
        <w:rPr>
          <w:rFonts w:hint="eastAsia" w:asciiTheme="minorEastAsia" w:hAnsiTheme="minorEastAsia" w:eastAsiaTheme="minorEastAsia" w:cstheme="minorEastAsia"/>
          <w:color w:val="auto"/>
          <w:sz w:val="21"/>
          <w:szCs w:val="21"/>
          <w:highlight w:val="none"/>
          <w:lang w:val="en-US" w:eastAsia="zh-CN"/>
        </w:rPr>
        <w:t>〕</w:t>
      </w:r>
      <w:r>
        <w:rPr>
          <w:rFonts w:hint="default" w:asciiTheme="minorEastAsia" w:hAnsiTheme="minorEastAsia" w:eastAsiaTheme="minorEastAsia" w:cstheme="minorEastAsia"/>
          <w:color w:val="auto"/>
          <w:sz w:val="21"/>
          <w:szCs w:val="21"/>
          <w:highlight w:val="none"/>
          <w:lang w:val="en-US" w:eastAsia="zh-CN"/>
        </w:rPr>
        <w:t xml:space="preserve">34 </w:t>
      </w:r>
      <w:r>
        <w:rPr>
          <w:rFonts w:hint="eastAsia" w:asciiTheme="minorEastAsia" w:hAnsiTheme="minorEastAsia" w:eastAsiaTheme="minorEastAsia" w:cstheme="minorEastAsia"/>
          <w:color w:val="auto"/>
          <w:sz w:val="21"/>
          <w:szCs w:val="21"/>
          <w:highlight w:val="none"/>
          <w:lang w:val="en-US" w:eastAsia="zh-CN"/>
        </w:rPr>
        <w:t xml:space="preserve">号）的规定，本公司（单位）提供的以下产品属于本国产品。具体情况如下： </w:t>
      </w:r>
    </w:p>
    <w:p w14:paraId="0204AC94">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w:t>
      </w:r>
      <w:r>
        <w:rPr>
          <w:rFonts w:hint="default"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CN"/>
        </w:rPr>
        <w:t>，生产厂为</w:t>
      </w:r>
      <w:r>
        <w:rPr>
          <w:rFonts w:hint="eastAsia" w:asciiTheme="minorEastAsia" w:hAnsiTheme="minorEastAsia" w:eastAsiaTheme="minorEastAsia" w:cstheme="minorEastAsia"/>
          <w:color w:val="auto"/>
          <w:sz w:val="21"/>
          <w:szCs w:val="21"/>
          <w:highlight w:val="none"/>
          <w:u w:val="single"/>
          <w:lang w:val="en-US" w:eastAsia="zh-CN"/>
        </w:rPr>
        <w:t>（厂名）</w:t>
      </w:r>
      <w:r>
        <w:rPr>
          <w:rFonts w:hint="default"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CN"/>
        </w:rPr>
        <w:t>，厂址为</w:t>
      </w:r>
      <w:r>
        <w:rPr>
          <w:rFonts w:hint="eastAsia" w:asciiTheme="minorEastAsia" w:hAnsiTheme="minorEastAsia" w:eastAsiaTheme="minorEastAsia" w:cstheme="minorEastAsia"/>
          <w:color w:val="auto"/>
          <w:sz w:val="21"/>
          <w:szCs w:val="21"/>
          <w:highlight w:val="none"/>
          <w:u w:val="single"/>
          <w:lang w:val="en-US" w:eastAsia="zh-CN"/>
        </w:rPr>
        <w:t>（生产厂址）</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的中国境内生产的组件成本占比</w:t>
      </w:r>
      <w:r>
        <w:rPr>
          <w:rFonts w:hint="default"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（规定比例）</w:t>
      </w:r>
      <w:r>
        <w:rPr>
          <w:rFonts w:hint="default"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（关键组件）</w:t>
      </w:r>
      <w:r>
        <w:rPr>
          <w:rFonts w:hint="default" w:asciiTheme="minorEastAsia" w:hAnsiTheme="minorEastAsia" w:eastAsiaTheme="minorEastAsia" w:cstheme="minorEastAsia"/>
          <w:color w:val="auto"/>
          <w:sz w:val="21"/>
          <w:szCs w:val="21"/>
          <w:highlight w:val="none"/>
          <w:lang w:val="en-US" w:eastAsia="zh-CN"/>
        </w:rPr>
        <w:t xml:space="preserve">4 </w:t>
      </w:r>
      <w:r>
        <w:rPr>
          <w:rFonts w:hint="eastAsia" w:asciiTheme="minorEastAsia" w:hAnsiTheme="minorEastAsia" w:eastAsiaTheme="minorEastAsia" w:cstheme="minorEastAsia"/>
          <w:color w:val="auto"/>
          <w:sz w:val="21"/>
          <w:szCs w:val="21"/>
          <w:highlight w:val="none"/>
          <w:lang w:val="en-US" w:eastAsia="zh-CN"/>
        </w:rPr>
        <w:t>在中国境内生产。</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（关键工序）</w:t>
      </w:r>
      <w:r>
        <w:rPr>
          <w:rFonts w:hint="default" w:asciiTheme="minorEastAsia" w:hAnsiTheme="minorEastAsia" w:eastAsiaTheme="minorEastAsia" w:cstheme="minorEastAsia"/>
          <w:color w:val="auto"/>
          <w:sz w:val="21"/>
          <w:szCs w:val="21"/>
          <w:highlight w:val="none"/>
          <w:lang w:val="en-US" w:eastAsia="zh-CN"/>
        </w:rPr>
        <w:t xml:space="preserve">5 </w:t>
      </w:r>
      <w:r>
        <w:rPr>
          <w:rFonts w:hint="eastAsia" w:asciiTheme="minorEastAsia" w:hAnsiTheme="minorEastAsia" w:eastAsiaTheme="minorEastAsia" w:cstheme="minorEastAsia"/>
          <w:color w:val="auto"/>
          <w:sz w:val="21"/>
          <w:szCs w:val="21"/>
          <w:highlight w:val="none"/>
          <w:lang w:val="en-US" w:eastAsia="zh-CN"/>
        </w:rPr>
        <w:t xml:space="preserve">在中国境内完成。 </w:t>
      </w:r>
    </w:p>
    <w:p w14:paraId="2A1A31A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，生产厂为</w:t>
      </w:r>
      <w:r>
        <w:rPr>
          <w:rFonts w:hint="eastAsia" w:asciiTheme="minorEastAsia" w:hAnsiTheme="minorEastAsia" w:eastAsiaTheme="minorEastAsia" w:cstheme="minorEastAsia"/>
          <w:color w:val="auto"/>
          <w:sz w:val="21"/>
          <w:szCs w:val="21"/>
          <w:highlight w:val="none"/>
          <w:u w:val="single"/>
          <w:lang w:val="en-US" w:eastAsia="zh-CN"/>
        </w:rPr>
        <w:t>（厂名）</w:t>
      </w:r>
      <w:r>
        <w:rPr>
          <w:rFonts w:hint="eastAsia" w:asciiTheme="minorEastAsia" w:hAnsiTheme="minorEastAsia" w:eastAsiaTheme="minorEastAsia" w:cstheme="minorEastAsia"/>
          <w:color w:val="auto"/>
          <w:sz w:val="21"/>
          <w:szCs w:val="21"/>
          <w:highlight w:val="none"/>
          <w:lang w:val="en-US" w:eastAsia="zh-CN"/>
        </w:rPr>
        <w:t>，厂址为</w:t>
      </w:r>
      <w:r>
        <w:rPr>
          <w:rFonts w:hint="eastAsia" w:asciiTheme="minorEastAsia" w:hAnsiTheme="minorEastAsia" w:eastAsiaTheme="minorEastAsia" w:cstheme="minorEastAsia"/>
          <w:color w:val="auto"/>
          <w:sz w:val="21"/>
          <w:szCs w:val="21"/>
          <w:highlight w:val="none"/>
          <w:u w:val="single"/>
          <w:lang w:val="en-US" w:eastAsia="zh-CN"/>
        </w:rPr>
        <w:t>（生产厂址）</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的中国境内生产的组件成本占比</w:t>
      </w:r>
      <w:r>
        <w:rPr>
          <w:rFonts w:hint="default"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（规定比例）</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（关键组件）</w:t>
      </w:r>
      <w:r>
        <w:rPr>
          <w:rFonts w:hint="eastAsia" w:asciiTheme="minorEastAsia" w:hAnsiTheme="minorEastAsia" w:eastAsiaTheme="minorEastAsia" w:cstheme="minorEastAsia"/>
          <w:color w:val="auto"/>
          <w:sz w:val="21"/>
          <w:szCs w:val="21"/>
          <w:highlight w:val="none"/>
          <w:lang w:val="en-US" w:eastAsia="zh-CN"/>
        </w:rPr>
        <w:t>在中国境内生产。</w:t>
      </w:r>
      <w:r>
        <w:rPr>
          <w:rFonts w:hint="eastAsia" w:asciiTheme="minorEastAsia" w:hAnsiTheme="minorEastAsia" w:eastAsiaTheme="minorEastAsia" w:cstheme="minorEastAsia"/>
          <w:color w:val="auto"/>
          <w:sz w:val="21"/>
          <w:szCs w:val="21"/>
          <w:highlight w:val="none"/>
          <w:u w:val="single"/>
          <w:lang w:val="en-US" w:eastAsia="zh-CN"/>
        </w:rPr>
        <w:t xml:space="preserve">（产品名称 </w:t>
      </w:r>
      <w:r>
        <w:rPr>
          <w:rFonts w:hint="default" w:asciiTheme="minorEastAsia" w:hAnsiTheme="minorEastAsia" w:eastAsiaTheme="minorEastAsia" w:cstheme="minorEastAsia"/>
          <w:color w:val="auto"/>
          <w:sz w:val="21"/>
          <w:szCs w:val="21"/>
          <w:highlight w:val="none"/>
          <w:u w:val="singl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（关键工序）</w:t>
      </w:r>
      <w:r>
        <w:rPr>
          <w:rFonts w:hint="eastAsia" w:asciiTheme="minorEastAsia" w:hAnsiTheme="minorEastAsia" w:eastAsiaTheme="minorEastAsia" w:cstheme="minorEastAsia"/>
          <w:color w:val="auto"/>
          <w:sz w:val="21"/>
          <w:szCs w:val="21"/>
          <w:highlight w:val="none"/>
          <w:lang w:val="en-US" w:eastAsia="zh-CN"/>
        </w:rPr>
        <w:t xml:space="preserve">在中国境内完成。 </w:t>
      </w:r>
    </w:p>
    <w:p w14:paraId="0ED8A937">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sz w:val="21"/>
          <w:szCs w:val="21"/>
          <w:highlight w:val="none"/>
          <w:lang w:val="en-US" w:eastAsia="zh-CN"/>
        </w:rPr>
        <w:t xml:space="preserve">…… </w:t>
      </w:r>
    </w:p>
    <w:p w14:paraId="777673E1">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 xml:space="preserve">本公司（单位）对上述声明内容的真实性负责。如有虚假，愿承担相应法律责任。 </w:t>
      </w:r>
    </w:p>
    <w:p w14:paraId="4035F49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57C5C58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2102FCEE">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3FB45FF">
      <w:pPr>
        <w:keepNext w:val="0"/>
        <w:keepLines w:val="0"/>
        <w:widowControl/>
        <w:suppressLineNumbers w:val="0"/>
        <w:ind w:firstLine="4800" w:firstLineChars="240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公司（单位）名称（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0"/>
          <w:szCs w:val="20"/>
          <w:highlight w:val="none"/>
          <w:lang w:val="en-US" w:eastAsia="zh-CN" w:bidi="ar"/>
        </w:rPr>
        <w:t xml:space="preserve">）： </w:t>
      </w:r>
    </w:p>
    <w:p w14:paraId="76A06FEE">
      <w:pPr>
        <w:pStyle w:val="2"/>
        <w:rPr>
          <w:color w:val="auto"/>
          <w:highlight w:val="none"/>
        </w:rPr>
      </w:pPr>
    </w:p>
    <w:p w14:paraId="1ABF0131">
      <w:pPr>
        <w:keepNext w:val="0"/>
        <w:keepLines w:val="0"/>
        <w:widowControl/>
        <w:suppressLineNumbers w:val="0"/>
        <w:ind w:firstLine="5200" w:firstLineChars="260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日期：   年    月    日</w:t>
      </w:r>
    </w:p>
    <w:p w14:paraId="361DB934">
      <w:pPr>
        <w:pStyle w:val="2"/>
        <w:rPr>
          <w:rFonts w:hint="eastAsia" w:ascii="宋体" w:hAnsi="宋体" w:eastAsia="宋体" w:cs="宋体"/>
          <w:color w:val="auto"/>
          <w:kern w:val="0"/>
          <w:sz w:val="20"/>
          <w:szCs w:val="20"/>
          <w:highlight w:val="none"/>
          <w:lang w:val="en-US" w:eastAsia="zh-CN" w:bidi="ar"/>
        </w:rPr>
      </w:pPr>
    </w:p>
    <w:p w14:paraId="59ACE93B">
      <w:pPr>
        <w:rPr>
          <w:rFonts w:hint="eastAsia" w:ascii="宋体" w:hAnsi="宋体" w:eastAsia="宋体" w:cs="宋体"/>
          <w:color w:val="auto"/>
          <w:kern w:val="0"/>
          <w:sz w:val="20"/>
          <w:szCs w:val="20"/>
          <w:highlight w:val="none"/>
          <w:lang w:val="en-US" w:eastAsia="zh-CN" w:bidi="ar"/>
        </w:rPr>
      </w:pPr>
    </w:p>
    <w:p w14:paraId="16606EFA">
      <w:pPr>
        <w:pStyle w:val="2"/>
        <w:rPr>
          <w:rFonts w:hint="eastAsia" w:ascii="宋体" w:hAnsi="宋体" w:eastAsia="宋体" w:cs="宋体"/>
          <w:color w:val="auto"/>
          <w:kern w:val="0"/>
          <w:sz w:val="20"/>
          <w:szCs w:val="20"/>
          <w:highlight w:val="none"/>
          <w:lang w:val="en-US" w:eastAsia="zh-CN" w:bidi="ar"/>
        </w:rPr>
      </w:pPr>
    </w:p>
    <w:p w14:paraId="7766D344">
      <w:pPr>
        <w:rPr>
          <w:rFonts w:hint="eastAsia" w:ascii="宋体" w:hAnsi="宋体" w:eastAsia="宋体" w:cs="宋体"/>
          <w:color w:val="auto"/>
          <w:kern w:val="0"/>
          <w:sz w:val="20"/>
          <w:szCs w:val="20"/>
          <w:highlight w:val="none"/>
          <w:lang w:val="en-US" w:eastAsia="zh-CN" w:bidi="ar"/>
        </w:rPr>
      </w:pPr>
    </w:p>
    <w:p w14:paraId="2815524B">
      <w:pPr>
        <w:pStyle w:val="2"/>
        <w:rPr>
          <w:rFonts w:hint="eastAsia" w:ascii="宋体" w:hAnsi="宋体" w:eastAsia="宋体" w:cs="宋体"/>
          <w:color w:val="auto"/>
          <w:kern w:val="0"/>
          <w:sz w:val="20"/>
          <w:szCs w:val="20"/>
          <w:highlight w:val="none"/>
          <w:lang w:val="en-US" w:eastAsia="zh-CN" w:bidi="ar"/>
        </w:rPr>
      </w:pPr>
    </w:p>
    <w:p w14:paraId="3968AECE">
      <w:pPr>
        <w:rPr>
          <w:rFonts w:hint="eastAsia" w:ascii="宋体" w:hAnsi="宋体" w:eastAsia="宋体" w:cs="宋体"/>
          <w:color w:val="auto"/>
          <w:kern w:val="0"/>
          <w:sz w:val="20"/>
          <w:szCs w:val="20"/>
          <w:highlight w:val="none"/>
          <w:lang w:val="en-US" w:eastAsia="zh-CN" w:bidi="ar"/>
        </w:rPr>
      </w:pPr>
    </w:p>
    <w:p w14:paraId="30AEA1CA">
      <w:pPr>
        <w:pStyle w:val="2"/>
        <w:rPr>
          <w:rFonts w:hint="eastAsia" w:ascii="宋体" w:hAnsi="宋体" w:eastAsia="宋体" w:cs="宋体"/>
          <w:color w:val="auto"/>
          <w:kern w:val="0"/>
          <w:sz w:val="20"/>
          <w:szCs w:val="20"/>
          <w:highlight w:val="none"/>
          <w:lang w:val="en-US" w:eastAsia="zh-CN" w:bidi="ar"/>
        </w:rPr>
      </w:pPr>
    </w:p>
    <w:p w14:paraId="5B1F03A2">
      <w:pPr>
        <w:rPr>
          <w:rFonts w:hint="default"/>
          <w:color w:val="auto"/>
          <w:highlight w:val="none"/>
          <w:u w:val="single"/>
          <w:lang w:val="en-US" w:eastAsia="zh-CN"/>
        </w:rPr>
      </w:pPr>
      <w:r>
        <w:rPr>
          <w:rFonts w:hint="eastAsia"/>
          <w:color w:val="auto"/>
          <w:highlight w:val="none"/>
          <w:u w:val="single"/>
          <w:lang w:val="en-US" w:eastAsia="zh-CN"/>
        </w:rPr>
        <w:t xml:space="preserve">                         </w:t>
      </w:r>
    </w:p>
    <w:p w14:paraId="45D2EBD9">
      <w:pPr>
        <w:pStyle w:val="2"/>
        <w:rPr>
          <w:rFonts w:hint="eastAsia" w:ascii="宋体" w:hAnsi="宋体" w:eastAsia="宋体" w:cs="宋体"/>
          <w:color w:val="auto"/>
          <w:kern w:val="0"/>
          <w:sz w:val="20"/>
          <w:szCs w:val="20"/>
          <w:highlight w:val="none"/>
          <w:lang w:val="en-US" w:eastAsia="zh-CN" w:bidi="ar"/>
        </w:rPr>
      </w:pPr>
    </w:p>
    <w:p w14:paraId="51CA6499">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1．产品如有型号，请在“产品名称”栏一并填写。 </w:t>
      </w:r>
    </w:p>
    <w:p w14:paraId="6F09D4A2">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2．生产厂名与厂址应与生产厂营业执照载明的相关信息保持一致。 </w:t>
      </w:r>
    </w:p>
    <w:p w14:paraId="4ACA18F7">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3．该产品的中国境内生产的组件成本占比相关要求实施前，“规定比例”栏可不填，下同。 </w:t>
      </w:r>
    </w:p>
    <w:p w14:paraId="0C7F0BAE">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4．该产品的关键组件要求实施前，“关键组件”栏可不填，下同。 </w:t>
      </w:r>
    </w:p>
    <w:p w14:paraId="3FF37E60">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5．该产品的关键工序要求实施前，“关键工序”栏可不填，下同。</w:t>
      </w:r>
    </w:p>
    <w:p w14:paraId="352D5C6E">
      <w:pPr>
        <w:spacing w:line="360" w:lineRule="auto"/>
        <w:ind w:right="420"/>
        <w:contextualSpacing/>
        <w:jc w:val="left"/>
        <w:rPr>
          <w:rFonts w:hint="eastAsia" w:ascii="宋体" w:hAnsi="宋体"/>
          <w:b/>
          <w:bCs/>
          <w:color w:val="auto"/>
          <w:sz w:val="28"/>
          <w:szCs w:val="28"/>
          <w:highlight w:val="none"/>
        </w:rPr>
      </w:pPr>
    </w:p>
    <w:p w14:paraId="77910632">
      <w:pPr>
        <w:spacing w:line="360" w:lineRule="auto"/>
        <w:ind w:right="420" w:firstLine="3373" w:firstLineChars="1200"/>
        <w:contextualSpacing/>
        <w:jc w:val="left"/>
        <w:rPr>
          <w:rFonts w:hint="eastAsia" w:ascii="宋体" w:hAnsi="宋体"/>
          <w:b/>
          <w:bCs/>
          <w:color w:val="auto"/>
          <w:sz w:val="28"/>
          <w:szCs w:val="28"/>
          <w:highlight w:val="none"/>
        </w:rPr>
      </w:pPr>
    </w:p>
    <w:p w14:paraId="7D1DB4F3">
      <w:pPr>
        <w:spacing w:line="360" w:lineRule="auto"/>
        <w:ind w:right="420" w:firstLine="3373" w:firstLineChars="1200"/>
        <w:contextualSpacing/>
        <w:jc w:val="left"/>
        <w:rPr>
          <w:rFonts w:hint="eastAsia" w:ascii="宋体" w:hAnsi="宋体"/>
          <w:b/>
          <w:bCs/>
          <w:color w:val="auto"/>
          <w:sz w:val="28"/>
          <w:szCs w:val="28"/>
          <w:highlight w:val="none"/>
        </w:rPr>
      </w:pPr>
    </w:p>
    <w:p w14:paraId="46BD99B6">
      <w:pPr>
        <w:spacing w:line="360" w:lineRule="auto"/>
        <w:ind w:right="420"/>
        <w:contextualSpacing/>
        <w:jc w:val="left"/>
        <w:rPr>
          <w:rFonts w:hint="eastAsia" w:ascii="宋体" w:hAnsi="宋体"/>
          <w:b/>
          <w:bCs/>
          <w:color w:val="auto"/>
          <w:sz w:val="28"/>
          <w:szCs w:val="28"/>
          <w:highlight w:val="none"/>
        </w:rPr>
      </w:pPr>
    </w:p>
    <w:p w14:paraId="00058922">
      <w:pPr>
        <w:spacing w:line="360" w:lineRule="auto"/>
        <w:ind w:right="420" w:firstLine="3373" w:firstLineChars="1200"/>
        <w:contextualSpacing/>
        <w:jc w:val="left"/>
        <w:rPr>
          <w:rFonts w:hint="eastAsia" w:ascii="宋体" w:hAnsi="宋体"/>
          <w:b/>
          <w:color w:val="auto"/>
          <w:sz w:val="28"/>
          <w:szCs w:val="28"/>
          <w:highlight w:val="none"/>
        </w:rPr>
      </w:pPr>
      <w:r>
        <w:rPr>
          <w:rFonts w:hint="eastAsia" w:ascii="宋体" w:hAnsi="宋体"/>
          <w:b/>
          <w:bCs/>
          <w:color w:val="auto"/>
          <w:sz w:val="28"/>
          <w:szCs w:val="28"/>
          <w:highlight w:val="none"/>
        </w:rPr>
        <w:t>三、</w:t>
      </w:r>
      <w:r>
        <w:rPr>
          <w:rFonts w:hint="eastAsia" w:ascii="宋体" w:hAnsi="宋体"/>
          <w:b/>
          <w:color w:val="auto"/>
          <w:sz w:val="28"/>
          <w:szCs w:val="28"/>
          <w:highlight w:val="none"/>
        </w:rPr>
        <w:t xml:space="preserve">商务技术文件格式 </w:t>
      </w:r>
    </w:p>
    <w:p w14:paraId="4279F18C">
      <w:pPr>
        <w:snapToGrid w:val="0"/>
        <w:spacing w:before="156" w:beforeLines="50" w:after="50" w:line="360" w:lineRule="auto"/>
        <w:jc w:val="left"/>
        <w:rPr>
          <w:rFonts w:ascii="宋体" w:hAnsi="宋体"/>
          <w:b/>
          <w:color w:val="auto"/>
          <w:sz w:val="28"/>
          <w:szCs w:val="28"/>
          <w:highlight w:val="none"/>
        </w:rPr>
      </w:pPr>
      <w:r>
        <w:rPr>
          <w:rFonts w:hint="eastAsia" w:ascii="宋体" w:hAnsi="宋体"/>
          <w:b/>
          <w:color w:val="auto"/>
          <w:sz w:val="28"/>
          <w:szCs w:val="28"/>
          <w:highlight w:val="none"/>
        </w:rPr>
        <w:t>1.商务技术文件封面格式</w:t>
      </w:r>
    </w:p>
    <w:p w14:paraId="08F3724F">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48E19572">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3E8AC7A5">
      <w:pPr>
        <w:snapToGrid w:val="0"/>
        <w:spacing w:before="156" w:beforeLines="50" w:after="50"/>
        <w:rPr>
          <w:rFonts w:hint="eastAsia" w:ascii="宋体" w:hAnsi="宋体"/>
          <w:color w:val="auto"/>
          <w:sz w:val="22"/>
          <w:szCs w:val="18"/>
          <w:highlight w:val="none"/>
        </w:rPr>
      </w:pPr>
    </w:p>
    <w:p w14:paraId="508F2930">
      <w:pPr>
        <w:snapToGrid w:val="0"/>
        <w:spacing w:before="156" w:beforeLines="50" w:after="50"/>
        <w:rPr>
          <w:rFonts w:hint="eastAsia" w:ascii="宋体" w:hAnsi="宋体"/>
          <w:color w:val="auto"/>
          <w:sz w:val="22"/>
          <w:szCs w:val="18"/>
          <w:highlight w:val="none"/>
        </w:rPr>
      </w:pPr>
    </w:p>
    <w:p w14:paraId="6113F1AF">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商  务  技  术  文  件</w:t>
      </w:r>
    </w:p>
    <w:p w14:paraId="7242FCD0">
      <w:pPr>
        <w:snapToGrid w:val="0"/>
        <w:spacing w:before="156" w:beforeLines="50" w:after="50"/>
        <w:rPr>
          <w:rFonts w:hint="eastAsia" w:ascii="宋体" w:hAnsi="宋体"/>
          <w:bCs/>
          <w:color w:val="auto"/>
          <w:sz w:val="22"/>
          <w:szCs w:val="18"/>
          <w:highlight w:val="none"/>
        </w:rPr>
      </w:pPr>
    </w:p>
    <w:p w14:paraId="590CE4A6">
      <w:pPr>
        <w:snapToGrid w:val="0"/>
        <w:spacing w:before="156" w:beforeLines="50" w:after="50"/>
        <w:rPr>
          <w:rFonts w:hint="eastAsia" w:ascii="宋体" w:hAnsi="宋体"/>
          <w:bCs/>
          <w:color w:val="auto"/>
          <w:sz w:val="22"/>
          <w:szCs w:val="18"/>
          <w:highlight w:val="none"/>
        </w:rPr>
      </w:pPr>
    </w:p>
    <w:p w14:paraId="527052DF">
      <w:pPr>
        <w:snapToGrid w:val="0"/>
        <w:spacing w:before="156" w:beforeLines="50" w:after="50"/>
        <w:rPr>
          <w:rFonts w:hint="eastAsia" w:ascii="宋体" w:hAnsi="宋体"/>
          <w:bCs/>
          <w:color w:val="auto"/>
          <w:sz w:val="22"/>
          <w:szCs w:val="18"/>
          <w:highlight w:val="none"/>
        </w:rPr>
      </w:pPr>
    </w:p>
    <w:p w14:paraId="582A5E82">
      <w:pPr>
        <w:snapToGrid w:val="0"/>
        <w:spacing w:before="156" w:beforeLines="50" w:after="50"/>
        <w:rPr>
          <w:rFonts w:hint="eastAsia" w:ascii="宋体" w:hAnsi="宋体"/>
          <w:bCs/>
          <w:color w:val="auto"/>
          <w:sz w:val="22"/>
          <w:szCs w:val="18"/>
          <w:highlight w:val="none"/>
        </w:rPr>
      </w:pPr>
    </w:p>
    <w:p w14:paraId="4C42CC22">
      <w:pPr>
        <w:snapToGrid w:val="0"/>
        <w:spacing w:before="156" w:beforeLines="50" w:after="50"/>
        <w:rPr>
          <w:rFonts w:hint="eastAsia" w:ascii="宋体" w:hAnsi="宋体"/>
          <w:bCs/>
          <w:color w:val="auto"/>
          <w:sz w:val="22"/>
          <w:szCs w:val="18"/>
          <w:highlight w:val="none"/>
        </w:rPr>
      </w:pPr>
    </w:p>
    <w:p w14:paraId="68D7B262">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B2A8C0F">
      <w:pPr>
        <w:snapToGrid w:val="0"/>
        <w:spacing w:before="156" w:beforeLines="50" w:after="50"/>
        <w:ind w:firstLine="630" w:firstLineChars="225"/>
        <w:rPr>
          <w:rFonts w:hint="eastAsia" w:ascii="宋体" w:hAnsi="宋体" w:cs="仿宋_GB2312"/>
          <w:bCs/>
          <w:color w:val="auto"/>
          <w:sz w:val="28"/>
          <w:szCs w:val="28"/>
          <w:highlight w:val="none"/>
        </w:rPr>
      </w:pPr>
    </w:p>
    <w:p w14:paraId="71BBDFD7">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4F46EC66">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45B0994">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lang w:val="en-US" w:eastAsia="zh-CN"/>
        </w:rPr>
        <w:t>所竞分标（如有则填写，无分标时填写“无”或者留空）：</w:t>
      </w:r>
    </w:p>
    <w:p w14:paraId="2942693A">
      <w:pPr>
        <w:pStyle w:val="7"/>
        <w:snapToGrid w:val="0"/>
        <w:spacing w:before="50" w:after="50"/>
        <w:ind w:firstLine="560" w:firstLineChars="200"/>
        <w:rPr>
          <w:rFonts w:hint="eastAsia" w:ascii="宋体" w:hAnsi="宋体" w:cs="仿宋_GB2312"/>
          <w:bCs/>
          <w:color w:val="auto"/>
          <w:sz w:val="28"/>
          <w:szCs w:val="28"/>
          <w:highlight w:val="none"/>
        </w:rPr>
      </w:pPr>
    </w:p>
    <w:p w14:paraId="321B14A9">
      <w:pPr>
        <w:pStyle w:val="7"/>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3400E098">
      <w:pPr>
        <w:pStyle w:val="7"/>
        <w:snapToGrid w:val="0"/>
        <w:spacing w:before="50" w:after="50"/>
        <w:ind w:firstLine="560" w:firstLineChars="200"/>
        <w:rPr>
          <w:rFonts w:hint="eastAsia" w:ascii="宋体" w:hAnsi="宋体" w:cs="仿宋_GB2312"/>
          <w:bCs/>
          <w:color w:val="auto"/>
          <w:sz w:val="28"/>
          <w:szCs w:val="28"/>
          <w:highlight w:val="none"/>
        </w:rPr>
      </w:pPr>
    </w:p>
    <w:p w14:paraId="0EC9F4A0">
      <w:pPr>
        <w:pStyle w:val="7"/>
        <w:snapToGrid w:val="0"/>
        <w:spacing w:before="50" w:after="50"/>
        <w:ind w:firstLine="630" w:firstLineChars="225"/>
        <w:rPr>
          <w:rFonts w:hint="eastAsia" w:ascii="宋体" w:hAnsi="宋体" w:cs="仿宋_GB2312"/>
          <w:bCs/>
          <w:color w:val="auto"/>
          <w:sz w:val="28"/>
          <w:szCs w:val="28"/>
          <w:highlight w:val="none"/>
        </w:rPr>
      </w:pPr>
    </w:p>
    <w:p w14:paraId="6B805394">
      <w:pPr>
        <w:pStyle w:val="7"/>
        <w:snapToGrid w:val="0"/>
        <w:spacing w:before="50" w:after="50"/>
        <w:ind w:firstLine="0"/>
        <w:rPr>
          <w:rFonts w:hint="eastAsia" w:ascii="宋体" w:hAnsi="宋体" w:cs="仿宋_GB2312"/>
          <w:bCs/>
          <w:color w:val="auto"/>
          <w:sz w:val="28"/>
          <w:szCs w:val="28"/>
          <w:highlight w:val="none"/>
        </w:rPr>
      </w:pPr>
    </w:p>
    <w:p w14:paraId="5E3EB00C">
      <w:pPr>
        <w:pStyle w:val="7"/>
        <w:snapToGrid w:val="0"/>
        <w:spacing w:before="50" w:after="50"/>
        <w:ind w:firstLine="1120" w:firstLineChars="400"/>
        <w:rPr>
          <w:rFonts w:hint="eastAsia" w:ascii="宋体" w:hAnsi="宋体" w:cs="仿宋_GB2312"/>
          <w:bCs/>
          <w:color w:val="auto"/>
          <w:sz w:val="28"/>
          <w:szCs w:val="28"/>
          <w:highlight w:val="none"/>
        </w:rPr>
      </w:pPr>
    </w:p>
    <w:p w14:paraId="2449B7D2">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0B7385CC">
      <w:pPr>
        <w:snapToGrid w:val="0"/>
        <w:spacing w:before="156" w:beforeLines="50" w:after="50" w:line="360" w:lineRule="auto"/>
        <w:ind w:right="480" w:firstLine="220" w:firstLineChars="100"/>
        <w:jc w:val="left"/>
        <w:rPr>
          <w:rFonts w:ascii="宋体" w:hAnsi="宋体"/>
          <w:color w:val="auto"/>
          <w:sz w:val="22"/>
          <w:szCs w:val="22"/>
          <w:highlight w:val="none"/>
        </w:rPr>
      </w:pPr>
      <w:r>
        <w:rPr>
          <w:rFonts w:ascii="宋体" w:hAnsi="宋体"/>
          <w:color w:val="auto"/>
          <w:sz w:val="22"/>
          <w:szCs w:val="22"/>
          <w:highlight w:val="none"/>
        </w:rPr>
        <w:br w:type="page"/>
      </w:r>
    </w:p>
    <w:p w14:paraId="2CD16218">
      <w:pPr>
        <w:snapToGrid w:val="0"/>
        <w:spacing w:before="156" w:beforeLines="50" w:after="50" w:line="360" w:lineRule="auto"/>
        <w:ind w:right="480" w:firstLine="281" w:firstLineChars="100"/>
        <w:jc w:val="left"/>
        <w:rPr>
          <w:rFonts w:hint="eastAsia" w:ascii="宋体" w:hAnsi="宋体"/>
          <w:b/>
          <w:bCs/>
          <w:color w:val="auto"/>
          <w:sz w:val="28"/>
          <w:szCs w:val="28"/>
          <w:highlight w:val="none"/>
        </w:rPr>
      </w:pPr>
    </w:p>
    <w:p w14:paraId="4340E6BF">
      <w:pPr>
        <w:snapToGrid w:val="0"/>
        <w:spacing w:before="156" w:beforeLines="50" w:after="50" w:line="360" w:lineRule="auto"/>
        <w:ind w:right="480" w:firstLine="3654" w:firstLineChars="1300"/>
        <w:jc w:val="left"/>
        <w:rPr>
          <w:rFonts w:hint="eastAsia" w:ascii="宋体" w:hAnsi="宋体"/>
          <w:b/>
          <w:bCs/>
          <w:color w:val="auto"/>
          <w:sz w:val="22"/>
          <w:szCs w:val="22"/>
          <w:highlight w:val="none"/>
        </w:rPr>
      </w:pPr>
      <w:r>
        <w:rPr>
          <w:rFonts w:hint="eastAsia" w:ascii="宋体" w:hAnsi="宋体"/>
          <w:b/>
          <w:bCs/>
          <w:color w:val="auto"/>
          <w:sz w:val="28"/>
          <w:szCs w:val="28"/>
          <w:highlight w:val="none"/>
        </w:rPr>
        <w:t>商务技术文件目录</w:t>
      </w:r>
    </w:p>
    <w:p w14:paraId="7B438C4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根据谈判文件规定及供应商提供的材料自行编写目录（部分格式后附）。</w:t>
      </w:r>
    </w:p>
    <w:p w14:paraId="4B276796">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C5C39C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2B5F373">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6761CBF">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2AEF975">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20E43C">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9218555">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338E9A0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670AA7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8A4F5A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CBEFB7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B02B64">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8BE7F26">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ADF0AE7">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0878B2E">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6B1E82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392FB1">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4CF15D74">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5B0C6CED">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783814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52F839E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D0C107">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5A1A46B">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9B1682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FDF2150">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19DB0B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ACAF29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6B547967">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无串通竞标行为的承诺函</w:t>
      </w:r>
    </w:p>
    <w:p w14:paraId="3B64AAA5">
      <w:pPr>
        <w:spacing w:line="360" w:lineRule="auto"/>
        <w:ind w:firstLine="560" w:firstLineChars="200"/>
        <w:contextualSpacing/>
        <w:rPr>
          <w:rFonts w:hint="eastAsia" w:ascii="仿宋_GB2312" w:hAnsi="仿宋_GB2312" w:eastAsia="仿宋_GB2312" w:cs="仿宋_GB2312"/>
          <w:color w:val="auto"/>
          <w:sz w:val="28"/>
          <w:szCs w:val="28"/>
          <w:highlight w:val="none"/>
        </w:rPr>
      </w:pPr>
    </w:p>
    <w:p w14:paraId="5944F5FB">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一、我方承诺无下列相互串通竞标的情形：</w:t>
      </w:r>
    </w:p>
    <w:p w14:paraId="66A9C445">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1.不同供应商的响应文件由同一单位或者个人编制；或者不同供应商报名的IP地址一致的； </w:t>
      </w:r>
    </w:p>
    <w:p w14:paraId="144C5822">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2.不同供应商委托同一单位或者个人办理竞标事宜；</w:t>
      </w:r>
    </w:p>
    <w:p w14:paraId="7368188B">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3.不同供应商的响应文件载明的项目管理员为同一个人；</w:t>
      </w:r>
    </w:p>
    <w:p w14:paraId="2FF92DB5">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4.不</w:t>
      </w:r>
      <w:r>
        <w:rPr>
          <w:rFonts w:hint="eastAsia" w:ascii="宋体" w:hAnsi="宋体" w:cs="仿宋_GB2312"/>
          <w:color w:val="auto"/>
          <w:spacing w:val="-6"/>
          <w:sz w:val="22"/>
          <w:szCs w:val="22"/>
          <w:highlight w:val="none"/>
        </w:rPr>
        <w:t>同供应商的响应文件异常一致或者竞标报价呈规律性差异；</w:t>
      </w:r>
    </w:p>
    <w:p w14:paraId="58D351EB">
      <w:pPr>
        <w:spacing w:line="360" w:lineRule="auto"/>
        <w:ind w:firstLine="440" w:firstLineChars="200"/>
        <w:contextualSpacing/>
        <w:rPr>
          <w:rFonts w:hint="eastAsia" w:ascii="宋体" w:hAnsi="宋体" w:eastAsia="宋体" w:cs="仿宋_GB2312"/>
          <w:color w:val="auto"/>
          <w:sz w:val="22"/>
          <w:szCs w:val="22"/>
          <w:highlight w:val="none"/>
          <w:lang w:eastAsia="zh-CN"/>
        </w:rPr>
      </w:pPr>
      <w:r>
        <w:rPr>
          <w:rFonts w:hint="eastAsia" w:ascii="宋体" w:hAnsi="宋体" w:cs="仿宋_GB2312"/>
          <w:color w:val="auto"/>
          <w:sz w:val="22"/>
          <w:szCs w:val="22"/>
          <w:highlight w:val="none"/>
        </w:rPr>
        <w:t>5.不同供应商的响应文件相互混装</w:t>
      </w:r>
      <w:r>
        <w:rPr>
          <w:rFonts w:hint="eastAsia" w:ascii="宋体" w:hAnsi="宋体" w:cs="仿宋_GB2312"/>
          <w:color w:val="auto"/>
          <w:sz w:val="22"/>
          <w:szCs w:val="22"/>
          <w:highlight w:val="none"/>
          <w:lang w:eastAsia="zh-CN"/>
        </w:rPr>
        <w:t>。</w:t>
      </w:r>
    </w:p>
    <w:p w14:paraId="349D3CCD">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二、我方承诺无下列恶意串通的情形：</w:t>
      </w:r>
    </w:p>
    <w:p w14:paraId="70E3E6D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1.供应商直接或者间接从采购人或者采购代理机构处获得其他供应商的相关信息并修改其响应文件；</w:t>
      </w:r>
    </w:p>
    <w:p w14:paraId="707E8F8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2.供应商按照采购人或者采购代理机构的授意撤换、修改响应文件；</w:t>
      </w:r>
    </w:p>
    <w:p w14:paraId="5D61817B">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3.供</w:t>
      </w:r>
      <w:r>
        <w:rPr>
          <w:rFonts w:hint="eastAsia" w:ascii="宋体" w:hAnsi="宋体" w:cs="仿宋_GB2312"/>
          <w:color w:val="auto"/>
          <w:spacing w:val="-6"/>
          <w:sz w:val="22"/>
          <w:szCs w:val="22"/>
          <w:highlight w:val="none"/>
        </w:rPr>
        <w:t>应商之间协商报价、技术方案等响应文件的实质性内容；</w:t>
      </w:r>
    </w:p>
    <w:p w14:paraId="6ACB8FDC">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4.属于同一集团、协会、商会等组织成员的供应商按照该组织要求协同参加政府采购活动；</w:t>
      </w:r>
    </w:p>
    <w:p w14:paraId="61AF54B8">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5.供应商之间事先约定一致抬高或者压低竞标报价，或者在竞争性</w:t>
      </w:r>
      <w:r>
        <w:rPr>
          <w:rFonts w:hint="eastAsia" w:ascii="宋体" w:hAnsi="宋体" w:cs="仿宋_GB2312"/>
          <w:color w:val="auto"/>
          <w:sz w:val="22"/>
          <w:szCs w:val="22"/>
          <w:highlight w:val="none"/>
          <w:lang w:eastAsia="zh-CN"/>
        </w:rPr>
        <w:t>谈判</w:t>
      </w:r>
      <w:r>
        <w:rPr>
          <w:rFonts w:hint="eastAsia" w:ascii="宋体" w:hAnsi="宋体" w:cs="仿宋_GB2312"/>
          <w:color w:val="auto"/>
          <w:sz w:val="22"/>
          <w:szCs w:val="22"/>
          <w:highlight w:val="none"/>
        </w:rPr>
        <w:t>项目中事先约定轮流以高价位或者低价位成交，或者事先约定由某一特定供应商成交，然后再参加竞标；</w:t>
      </w:r>
    </w:p>
    <w:p w14:paraId="0F430F20">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6.供应商之间商定部分供应商放弃参加政府采购活动或者放弃成交；</w:t>
      </w:r>
    </w:p>
    <w:p w14:paraId="5A168D70">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7.供应商与采购人或者采购代理机构之间、供应商相互之间，为</w:t>
      </w:r>
      <w:r>
        <w:rPr>
          <w:rFonts w:hint="eastAsia" w:ascii="宋体" w:hAnsi="宋体" w:cs="仿宋_GB2312"/>
          <w:color w:val="auto"/>
          <w:spacing w:val="-6"/>
          <w:sz w:val="22"/>
          <w:szCs w:val="22"/>
          <w:highlight w:val="none"/>
        </w:rPr>
        <w:t>谋求特定供应商成交或者排斥其他供应商的其他串通行为。</w:t>
      </w:r>
    </w:p>
    <w:p w14:paraId="2CF620D2">
      <w:pPr>
        <w:spacing w:line="360" w:lineRule="auto"/>
        <w:ind w:firstLine="440" w:firstLineChars="200"/>
        <w:contextualSpacing/>
        <w:rPr>
          <w:rFonts w:hint="eastAsia" w:ascii="宋体" w:hAnsi="宋体" w:cs="仿宋_GB2312"/>
          <w:color w:val="auto"/>
          <w:sz w:val="22"/>
          <w:szCs w:val="22"/>
          <w:highlight w:val="none"/>
        </w:rPr>
      </w:pPr>
    </w:p>
    <w:p w14:paraId="74E9AC31">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以上情形一经核查属实，我方愿意承担一切后果，并不再寻求任何旨在减轻或者免除法律责任的辩解。</w:t>
      </w:r>
    </w:p>
    <w:p w14:paraId="18B9CEFB">
      <w:pPr>
        <w:spacing w:line="360" w:lineRule="auto"/>
        <w:contextualSpacing/>
        <w:rPr>
          <w:rFonts w:hint="eastAsia" w:ascii="宋体" w:hAnsi="宋体" w:cs="仿宋_GB2312"/>
          <w:color w:val="auto"/>
          <w:sz w:val="22"/>
          <w:szCs w:val="22"/>
          <w:highlight w:val="none"/>
        </w:rPr>
      </w:pPr>
    </w:p>
    <w:p w14:paraId="34007E82">
      <w:pPr>
        <w:spacing w:line="360" w:lineRule="auto"/>
        <w:ind w:left="540"/>
        <w:contextualSpacing/>
        <w:jc w:val="center"/>
        <w:rPr>
          <w:rFonts w:hint="eastAsia" w:ascii="宋体" w:hAnsi="宋体" w:cs="仿宋_GB2312"/>
          <w:color w:val="auto"/>
          <w:sz w:val="22"/>
          <w:szCs w:val="22"/>
          <w:highlight w:val="none"/>
        </w:rPr>
      </w:pP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供应商（电子签章）：</w:t>
      </w:r>
      <w:r>
        <w:rPr>
          <w:rFonts w:hint="eastAsia" w:ascii="宋体" w:hAnsi="宋体" w:cs="仿宋_GB2312"/>
          <w:color w:val="auto"/>
          <w:sz w:val="22"/>
          <w:szCs w:val="22"/>
          <w:highlight w:val="none"/>
          <w:u w:val="single"/>
        </w:rPr>
        <w:t xml:space="preserve">               </w:t>
      </w:r>
    </w:p>
    <w:p w14:paraId="1B61EE18">
      <w:pPr>
        <w:spacing w:line="360" w:lineRule="auto"/>
        <w:ind w:firstLine="5500" w:firstLineChars="2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u w:val="none"/>
          <w:lang w:val="en-US" w:eastAsia="zh-CN"/>
        </w:rPr>
        <w:t>日期：</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年</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月</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日</w:t>
      </w:r>
    </w:p>
    <w:p w14:paraId="3314CB18">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75D7B03A">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234C5FB">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A48B9DC">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265E7BE1">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cs="宋体"/>
          <w:color w:val="auto"/>
          <w:sz w:val="21"/>
          <w:szCs w:val="21"/>
          <w:highlight w:val="none"/>
          <w:lang w:val="en-US" w:eastAsia="zh-CN"/>
        </w:rPr>
      </w:pPr>
    </w:p>
    <w:p w14:paraId="0F5041AF">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法定代表人证明书</w:t>
      </w:r>
    </w:p>
    <w:p w14:paraId="3BEE8BDE">
      <w:pPr>
        <w:spacing w:line="360" w:lineRule="auto"/>
        <w:ind w:left="540"/>
        <w:contextualSpacing/>
        <w:rPr>
          <w:rFonts w:hint="eastAsia" w:ascii="仿宋_GB2312" w:hAnsi="仿宋_GB2312" w:eastAsia="仿宋_GB2312" w:cs="仿宋_GB2312"/>
          <w:color w:val="auto"/>
          <w:sz w:val="28"/>
          <w:szCs w:val="28"/>
          <w:highlight w:val="none"/>
        </w:rPr>
      </w:pPr>
    </w:p>
    <w:p w14:paraId="48C3AAC9">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供应商名称：</w:t>
      </w:r>
      <w:r>
        <w:rPr>
          <w:rFonts w:hint="eastAsia" w:ascii="宋体" w:hAnsi="宋体" w:cs="仿宋_GB2312"/>
          <w:color w:val="auto"/>
          <w:sz w:val="22"/>
          <w:szCs w:val="22"/>
          <w:highlight w:val="none"/>
          <w:u w:val="single"/>
        </w:rPr>
        <w:t xml:space="preserve">                                                        </w:t>
      </w:r>
    </w:p>
    <w:p w14:paraId="193C82C9">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地    址：</w:t>
      </w:r>
      <w:r>
        <w:rPr>
          <w:rFonts w:hint="eastAsia" w:ascii="宋体" w:hAnsi="宋体" w:cs="仿宋_GB2312"/>
          <w:color w:val="auto"/>
          <w:sz w:val="22"/>
          <w:szCs w:val="22"/>
          <w:highlight w:val="none"/>
          <w:u w:val="single"/>
        </w:rPr>
        <w:t xml:space="preserve">                                                        </w:t>
      </w:r>
    </w:p>
    <w:p w14:paraId="49E4543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姓    名：</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性     别：</w:t>
      </w:r>
      <w:r>
        <w:rPr>
          <w:rFonts w:hint="eastAsia" w:ascii="宋体" w:hAnsi="宋体" w:cs="仿宋_GB2312"/>
          <w:color w:val="auto"/>
          <w:sz w:val="22"/>
          <w:szCs w:val="22"/>
          <w:highlight w:val="none"/>
          <w:u w:val="single"/>
        </w:rPr>
        <w:t xml:space="preserve">                </w:t>
      </w:r>
    </w:p>
    <w:p w14:paraId="1484DCB7">
      <w:pPr>
        <w:spacing w:line="360" w:lineRule="auto"/>
        <w:ind w:left="540"/>
        <w:contextualSpacing/>
        <w:rPr>
          <w:rFonts w:hint="eastAsia" w:ascii="宋体" w:hAnsi="宋体" w:cs="仿宋_GB2312"/>
          <w:color w:val="auto"/>
          <w:sz w:val="22"/>
          <w:szCs w:val="22"/>
          <w:highlight w:val="none"/>
          <w:u w:val="single"/>
        </w:rPr>
      </w:pPr>
      <w:r>
        <w:rPr>
          <w:rFonts w:hint="eastAsia" w:ascii="宋体" w:hAnsi="宋体" w:cs="仿宋_GB2312"/>
          <w:color w:val="auto"/>
          <w:sz w:val="22"/>
          <w:szCs w:val="22"/>
          <w:highlight w:val="none"/>
        </w:rPr>
        <w:t>年    龄：</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职     务：</w:t>
      </w:r>
      <w:r>
        <w:rPr>
          <w:rFonts w:hint="eastAsia" w:ascii="宋体" w:hAnsi="宋体" w:cs="仿宋_GB2312"/>
          <w:color w:val="auto"/>
          <w:sz w:val="22"/>
          <w:szCs w:val="22"/>
          <w:highlight w:val="none"/>
          <w:u w:val="single"/>
        </w:rPr>
        <w:t xml:space="preserve">                </w:t>
      </w:r>
    </w:p>
    <w:p w14:paraId="4C9C0A2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身份证号码：</w:t>
      </w:r>
      <w:r>
        <w:rPr>
          <w:rFonts w:hint="eastAsia" w:ascii="宋体" w:hAnsi="宋体" w:cs="仿宋_GB2312"/>
          <w:color w:val="auto"/>
          <w:sz w:val="22"/>
          <w:szCs w:val="22"/>
          <w:highlight w:val="none"/>
          <w:u w:val="single"/>
        </w:rPr>
        <w:t xml:space="preserve">                                        </w:t>
      </w:r>
    </w:p>
    <w:p w14:paraId="03B0414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（供应商名称）</w:t>
      </w:r>
      <w:r>
        <w:rPr>
          <w:rFonts w:hint="eastAsia" w:ascii="宋体" w:hAnsi="宋体" w:cs="仿宋_GB2312"/>
          <w:color w:val="auto"/>
          <w:sz w:val="22"/>
          <w:szCs w:val="22"/>
          <w:highlight w:val="none"/>
        </w:rPr>
        <w:t>的法定代表人。</w:t>
      </w:r>
    </w:p>
    <w:p w14:paraId="7762181A">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特此证明。</w:t>
      </w:r>
    </w:p>
    <w:p w14:paraId="1237C124">
      <w:pPr>
        <w:spacing w:line="360" w:lineRule="auto"/>
        <w:ind w:left="540"/>
        <w:contextualSpacing/>
        <w:rPr>
          <w:rFonts w:hint="eastAsia" w:ascii="宋体" w:hAnsi="宋体" w:cs="仿宋_GB2312"/>
          <w:color w:val="auto"/>
          <w:sz w:val="22"/>
          <w:szCs w:val="22"/>
          <w:highlight w:val="none"/>
        </w:rPr>
      </w:pPr>
    </w:p>
    <w:p w14:paraId="62BE73DB">
      <w:pPr>
        <w:spacing w:line="360" w:lineRule="auto"/>
        <w:ind w:left="540"/>
        <w:contextualSpacing/>
        <w:rPr>
          <w:rFonts w:hint="eastAsia" w:ascii="宋体" w:hAnsi="宋体" w:cs="仿宋_GB2312"/>
          <w:color w:val="auto"/>
          <w:sz w:val="22"/>
          <w:szCs w:val="22"/>
          <w:highlight w:val="none"/>
        </w:rPr>
      </w:pPr>
    </w:p>
    <w:p w14:paraId="05D2A839">
      <w:pPr>
        <w:spacing w:line="360" w:lineRule="auto"/>
        <w:ind w:left="540"/>
        <w:contextualSpacing/>
        <w:rPr>
          <w:rFonts w:hint="eastAsia" w:ascii="宋体" w:hAnsi="宋体" w:cs="仿宋_GB2312"/>
          <w:color w:val="auto"/>
          <w:sz w:val="22"/>
          <w:szCs w:val="22"/>
          <w:highlight w:val="none"/>
        </w:rPr>
      </w:pPr>
    </w:p>
    <w:p w14:paraId="5ABB53D2">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附件：法定代表人有效身份证正反面复印件</w:t>
      </w:r>
    </w:p>
    <w:p w14:paraId="13DA501F">
      <w:pPr>
        <w:spacing w:line="360" w:lineRule="auto"/>
        <w:ind w:left="540"/>
        <w:contextualSpacing/>
        <w:rPr>
          <w:rFonts w:hint="eastAsia" w:ascii="宋体" w:hAnsi="宋体" w:cs="仿宋_GB2312"/>
          <w:color w:val="auto"/>
          <w:sz w:val="22"/>
          <w:szCs w:val="22"/>
          <w:highlight w:val="none"/>
        </w:rPr>
      </w:pPr>
    </w:p>
    <w:p w14:paraId="4BD9247F">
      <w:pPr>
        <w:spacing w:line="360" w:lineRule="auto"/>
        <w:ind w:left="540"/>
        <w:contextualSpacing/>
        <w:jc w:val="center"/>
        <w:rPr>
          <w:rFonts w:hint="eastAsia" w:ascii="宋体" w:hAnsi="宋体" w:cs="仿宋_GB2312"/>
          <w:color w:val="auto"/>
          <w:sz w:val="22"/>
          <w:szCs w:val="22"/>
          <w:highlight w:val="none"/>
        </w:rPr>
      </w:pP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供应商（电子签章）：</w:t>
      </w:r>
      <w:r>
        <w:rPr>
          <w:rFonts w:hint="eastAsia" w:ascii="宋体" w:hAnsi="宋体" w:cs="仿宋_GB2312"/>
          <w:color w:val="auto"/>
          <w:sz w:val="22"/>
          <w:szCs w:val="22"/>
          <w:highlight w:val="none"/>
          <w:u w:val="single"/>
        </w:rPr>
        <w:t xml:space="preserve">               </w:t>
      </w:r>
    </w:p>
    <w:p w14:paraId="2568D0EE">
      <w:pPr>
        <w:spacing w:line="360" w:lineRule="auto"/>
        <w:ind w:firstLine="5500" w:firstLineChars="2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u w:val="none"/>
          <w:lang w:val="en-US" w:eastAsia="zh-CN"/>
        </w:rPr>
        <w:t>日期：</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年</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月</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日</w:t>
      </w:r>
    </w:p>
    <w:p w14:paraId="76DC2128">
      <w:pPr>
        <w:spacing w:line="360" w:lineRule="auto"/>
        <w:contextualSpacing/>
        <w:jc w:val="center"/>
        <w:rPr>
          <w:rFonts w:hint="eastAsia" w:ascii="宋体" w:hAnsi="宋体" w:cs="仿宋_GB2312"/>
          <w:b/>
          <w:color w:val="auto"/>
          <w:sz w:val="22"/>
          <w:szCs w:val="22"/>
          <w:highlight w:val="none"/>
        </w:rPr>
      </w:pPr>
    </w:p>
    <w:p w14:paraId="1CA33675">
      <w:pPr>
        <w:spacing w:line="360" w:lineRule="auto"/>
        <w:contextualSpacing/>
        <w:jc w:val="left"/>
        <w:rPr>
          <w:rFonts w:hint="eastAsia" w:ascii="宋体" w:hAnsi="宋体" w:cs="仿宋_GB2312"/>
          <w:color w:val="auto"/>
          <w:sz w:val="22"/>
          <w:szCs w:val="22"/>
          <w:highlight w:val="none"/>
        </w:rPr>
      </w:pPr>
    </w:p>
    <w:p w14:paraId="046B0624">
      <w:pPr>
        <w:spacing w:line="360" w:lineRule="auto"/>
        <w:contextualSpacing/>
        <w:jc w:val="left"/>
        <w:rPr>
          <w:rFonts w:ascii="宋体" w:hAnsi="宋体" w:cs="仿宋_GB2312"/>
          <w:color w:val="auto"/>
          <w:sz w:val="22"/>
          <w:szCs w:val="22"/>
          <w:highlight w:val="none"/>
        </w:rPr>
      </w:pPr>
      <w:r>
        <w:rPr>
          <w:rFonts w:hint="eastAsia" w:ascii="宋体" w:hAnsi="宋体" w:cs="仿宋_GB2312"/>
          <w:color w:val="auto"/>
          <w:sz w:val="22"/>
          <w:szCs w:val="22"/>
          <w:highlight w:val="none"/>
        </w:rPr>
        <w:t>注：自然人竞标的无需提供，联合体竞标的只需牵头人出具。</w:t>
      </w:r>
    </w:p>
    <w:p w14:paraId="309D0AB8">
      <w:pPr>
        <w:adjustRightInd w:val="0"/>
        <w:snapToGrid w:val="0"/>
        <w:spacing w:line="300" w:lineRule="auto"/>
        <w:jc w:val="left"/>
        <w:rPr>
          <w:rFonts w:hint="eastAsia" w:ascii="宋体" w:hAnsi="宋体"/>
          <w:b/>
          <w:color w:val="auto"/>
          <w:sz w:val="20"/>
          <w:szCs w:val="20"/>
          <w:highlight w:val="none"/>
        </w:rPr>
      </w:pPr>
    </w:p>
    <w:p w14:paraId="497BCF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br w:type="page"/>
      </w:r>
    </w:p>
    <w:p w14:paraId="6AD11E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rPr>
      </w:pPr>
    </w:p>
    <w:p w14:paraId="55AB2750">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授权委托书</w:t>
      </w:r>
    </w:p>
    <w:p w14:paraId="42F27975">
      <w:pPr>
        <w:spacing w:line="520" w:lineRule="exact"/>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rPr>
        <w:t>（非联合体竞标格式）</w:t>
      </w:r>
    </w:p>
    <w:p w14:paraId="4F8B0272">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28"/>
          <w:szCs w:val="28"/>
          <w:highlight w:val="none"/>
        </w:rPr>
        <w:t>（如有委托时）</w:t>
      </w:r>
    </w:p>
    <w:p w14:paraId="5D1C4803">
      <w:pPr>
        <w:spacing w:line="520" w:lineRule="exact"/>
        <w:rPr>
          <w:rFonts w:hint="eastAsia" w:ascii="仿宋_GB2312" w:hAnsi="仿宋_GB2312" w:eastAsia="仿宋_GB2312" w:cs="仿宋_GB2312"/>
          <w:color w:val="auto"/>
          <w:sz w:val="28"/>
          <w:szCs w:val="28"/>
          <w:highlight w:val="none"/>
        </w:rPr>
      </w:pPr>
    </w:p>
    <w:p w14:paraId="6515FB46">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致：</w:t>
      </w:r>
      <w:r>
        <w:rPr>
          <w:rFonts w:hint="eastAsia" w:ascii="宋体" w:hAnsi="宋体" w:cs="仿宋_GB2312"/>
          <w:color w:val="auto"/>
          <w:sz w:val="22"/>
          <w:szCs w:val="22"/>
          <w:highlight w:val="none"/>
          <w:u w:val="single"/>
        </w:rPr>
        <w:t>（采购人名称）</w:t>
      </w:r>
      <w:r>
        <w:rPr>
          <w:rFonts w:hint="eastAsia" w:ascii="宋体" w:hAnsi="宋体" w:cs="仿宋_GB2312"/>
          <w:color w:val="auto"/>
          <w:sz w:val="22"/>
          <w:szCs w:val="22"/>
          <w:highlight w:val="none"/>
        </w:rPr>
        <w:t>：</w:t>
      </w:r>
    </w:p>
    <w:p w14:paraId="462B92C8">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我</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 xml:space="preserve">  （供应商名称）  </w:t>
      </w:r>
      <w:r>
        <w:rPr>
          <w:rFonts w:hint="eastAsia" w:ascii="宋体" w:hAnsi="宋体" w:cs="仿宋_GB2312"/>
          <w:color w:val="auto"/>
          <w:sz w:val="22"/>
          <w:szCs w:val="22"/>
          <w:highlight w:val="none"/>
        </w:rPr>
        <w:t>的（</w:t>
      </w:r>
      <w:r>
        <w:rPr>
          <w:rFonts w:hint="eastAsia" w:ascii="宋体" w:hAnsi="宋体" w:cs="仿宋_GB2312"/>
          <w:color w:val="auto"/>
          <w:sz w:val="22"/>
          <w:szCs w:val="22"/>
          <w:highlight w:val="none"/>
          <w:u w:val="single"/>
        </w:rPr>
        <w:t>□法定代表人/□负责人/□自然人本人</w:t>
      </w:r>
      <w:r>
        <w:rPr>
          <w:rFonts w:hint="eastAsia" w:ascii="宋体" w:hAnsi="宋体" w:cs="仿宋_GB2312"/>
          <w:color w:val="auto"/>
          <w:sz w:val="22"/>
          <w:szCs w:val="22"/>
          <w:highlight w:val="none"/>
        </w:rPr>
        <w:t>），现授权</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以我方的名义参加</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项目的竞标活动，并代表我方全权办理针对上述项目的所有采购程序和环节的具体事务和签署相关文件。</w:t>
      </w:r>
    </w:p>
    <w:p w14:paraId="05DE6D27">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我方对委托代理人的签字</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事项负全部责任。</w:t>
      </w:r>
    </w:p>
    <w:p w14:paraId="31BE314D">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本授权书自签署之日起生效，在撤销授权的书面通知以前，本授权书一直有效。委托代理人在授权书有效期内签署的所有文件不因授权的撤销而失效。</w:t>
      </w:r>
    </w:p>
    <w:p w14:paraId="50E852B7">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委托代理人无转委托权，特此委托。</w:t>
      </w:r>
    </w:p>
    <w:p w14:paraId="5E6016C1">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附：法定代表人有效身份证及委托代理人有效身份证正反面复印件</w:t>
      </w:r>
    </w:p>
    <w:p w14:paraId="6F331B5F">
      <w:pPr>
        <w:spacing w:line="360" w:lineRule="auto"/>
        <w:ind w:firstLine="440" w:firstLineChars="200"/>
        <w:rPr>
          <w:rFonts w:hint="eastAsia" w:ascii="宋体" w:hAnsi="宋体" w:cs="仿宋_GB2312"/>
          <w:color w:val="auto"/>
          <w:sz w:val="22"/>
          <w:szCs w:val="22"/>
          <w:highlight w:val="none"/>
        </w:rPr>
      </w:pPr>
    </w:p>
    <w:p w14:paraId="77A5C193">
      <w:pPr>
        <w:spacing w:line="360" w:lineRule="auto"/>
        <w:rPr>
          <w:rFonts w:hint="eastAsia" w:ascii="宋体" w:hAnsi="宋体" w:cs="仿宋_GB2312"/>
          <w:color w:val="auto"/>
          <w:sz w:val="22"/>
          <w:szCs w:val="22"/>
          <w:highlight w:val="none"/>
        </w:rPr>
      </w:pPr>
    </w:p>
    <w:p w14:paraId="68328B84">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w:t>
      </w:r>
      <w:r>
        <w:rPr>
          <w:rFonts w:hint="eastAsia" w:ascii="宋体" w:hAnsi="宋体" w:cs="仿宋_GB2312"/>
          <w:color w:val="auto"/>
          <w:sz w:val="21"/>
          <w:szCs w:val="21"/>
          <w:highlight w:val="none"/>
          <w:lang w:val="en-US" w:eastAsia="zh-CN"/>
        </w:rPr>
        <w:t>签字或电子签名</w:t>
      </w:r>
      <w:r>
        <w:rPr>
          <w:rFonts w:hint="eastAsia" w:ascii="宋体" w:hAnsi="宋体" w:cs="仿宋_GB2312"/>
          <w:color w:val="auto"/>
          <w:sz w:val="21"/>
          <w:szCs w:val="21"/>
          <w:highlight w:val="none"/>
        </w:rPr>
        <w:t xml:space="preserve">）：    </w:t>
      </w:r>
      <w:r>
        <w:rPr>
          <w:rFonts w:hint="eastAsia" w:ascii="宋体" w:hAnsi="宋体" w:cs="仿宋_GB2312"/>
          <w:color w:val="auto"/>
          <w:sz w:val="21"/>
          <w:szCs w:val="21"/>
          <w:highlight w:val="none"/>
          <w:lang w:val="en-US" w:eastAsia="zh-CN"/>
        </w:rPr>
        <w:t xml:space="preserve">        </w:t>
      </w:r>
      <w:r>
        <w:rPr>
          <w:rFonts w:hint="eastAsia" w:ascii="宋体" w:hAnsi="宋体" w:cs="仿宋_GB2312"/>
          <w:color w:val="auto"/>
          <w:sz w:val="21"/>
          <w:szCs w:val="21"/>
          <w:highlight w:val="none"/>
        </w:rPr>
        <w:t xml:space="preserve"> 法定代表人（签字或盖章</w:t>
      </w:r>
      <w:r>
        <w:rPr>
          <w:rFonts w:hint="eastAsia" w:ascii="宋体" w:hAnsi="宋体"/>
          <w:color w:val="auto"/>
          <w:sz w:val="21"/>
          <w:szCs w:val="21"/>
          <w:highlight w:val="none"/>
        </w:rPr>
        <w:t>或电子签名</w:t>
      </w:r>
      <w:r>
        <w:rPr>
          <w:rFonts w:hint="eastAsia" w:ascii="宋体" w:hAnsi="宋体" w:cs="仿宋_GB2312"/>
          <w:color w:val="auto"/>
          <w:sz w:val="21"/>
          <w:szCs w:val="21"/>
          <w:highlight w:val="none"/>
          <w:lang w:val="en-US" w:eastAsia="zh-CN"/>
        </w:rPr>
        <w:t>）</w:t>
      </w:r>
      <w:r>
        <w:rPr>
          <w:rFonts w:hint="eastAsia" w:ascii="宋体" w:hAnsi="宋体" w:cs="仿宋_GB2312"/>
          <w:color w:val="auto"/>
          <w:sz w:val="21"/>
          <w:szCs w:val="21"/>
          <w:highlight w:val="none"/>
        </w:rPr>
        <w:t xml:space="preserve">：                    </w:t>
      </w:r>
    </w:p>
    <w:p w14:paraId="735399E6">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1"/>
          <w:szCs w:val="21"/>
          <w:highlight w:val="none"/>
        </w:rPr>
        <w:t xml:space="preserve">委托代理人身份证号码：    </w:t>
      </w:r>
      <w:r>
        <w:rPr>
          <w:rFonts w:hint="eastAsia" w:ascii="宋体" w:hAnsi="宋体" w:cs="仿宋_GB2312"/>
          <w:color w:val="auto"/>
          <w:sz w:val="22"/>
          <w:szCs w:val="22"/>
          <w:highlight w:val="none"/>
        </w:rPr>
        <w:t xml:space="preserve">                          </w:t>
      </w:r>
    </w:p>
    <w:p w14:paraId="3BB321FC">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p>
    <w:p w14:paraId="02C0B65A">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供应商（电子签章）：                      </w:t>
      </w:r>
    </w:p>
    <w:p w14:paraId="427CF8EE">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Theme="minorEastAsia" w:hAnsiTheme="minorEastAsia" w:eastAsiaTheme="minorEastAsia" w:cstheme="minorEastAsia"/>
          <w:color w:val="auto"/>
          <w:kern w:val="2"/>
          <w:sz w:val="22"/>
          <w:szCs w:val="22"/>
          <w:highlight w:val="none"/>
          <w:lang w:val="en-US" w:eastAsia="zh-CN"/>
        </w:rPr>
        <w:t xml:space="preserve"> </w:t>
      </w: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5E1DDB4D">
      <w:pPr>
        <w:spacing w:line="360" w:lineRule="auto"/>
        <w:rPr>
          <w:rFonts w:ascii="宋体" w:hAnsi="宋体" w:cs="仿宋_GB2312"/>
          <w:color w:val="auto"/>
          <w:sz w:val="22"/>
          <w:szCs w:val="22"/>
          <w:highlight w:val="none"/>
        </w:rPr>
      </w:pPr>
      <w:r>
        <w:rPr>
          <w:rFonts w:hint="eastAsia" w:ascii="宋体" w:hAnsi="宋体" w:cs="仿宋_GB2312"/>
          <w:color w:val="auto"/>
          <w:sz w:val="22"/>
          <w:szCs w:val="22"/>
          <w:highlight w:val="none"/>
        </w:rPr>
        <w:t>注：1. 法定代表人必须在授权委托书上签字或者盖章</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，委托代理人必须在授权委托书上签字或者电子签名，</w:t>
      </w:r>
      <w:r>
        <w:rPr>
          <w:rFonts w:hint="eastAsia" w:ascii="宋体" w:hAnsi="宋体" w:cs="仿宋_GB2312"/>
          <w:b/>
          <w:color w:val="auto"/>
          <w:sz w:val="22"/>
          <w:szCs w:val="22"/>
          <w:highlight w:val="none"/>
        </w:rPr>
        <w:t>否则其响应文件按无效响应处理。</w:t>
      </w:r>
    </w:p>
    <w:p w14:paraId="707B83A6">
      <w:pPr>
        <w:spacing w:line="360" w:lineRule="auto"/>
        <w:ind w:firstLine="440" w:firstLineChars="200"/>
        <w:jc w:val="left"/>
        <w:rPr>
          <w:rFonts w:hint="eastAsia" w:ascii="宋体" w:hAnsi="宋体" w:cs="仿宋_GB2312"/>
          <w:color w:val="auto"/>
          <w:sz w:val="22"/>
          <w:szCs w:val="22"/>
          <w:highlight w:val="none"/>
        </w:rPr>
      </w:pPr>
      <w:r>
        <w:rPr>
          <w:rFonts w:ascii="宋体" w:hAnsi="宋体" w:cs="仿宋_GB2312"/>
          <w:color w:val="auto"/>
          <w:sz w:val="22"/>
          <w:szCs w:val="22"/>
          <w:highlight w:val="none"/>
        </w:rPr>
        <w:t>2.</w:t>
      </w:r>
      <w:bookmarkStart w:id="49" w:name="_Hlk65853109"/>
      <w:bookmarkStart w:id="50" w:name="_Hlk65853542"/>
      <w:r>
        <w:rPr>
          <w:rFonts w:hint="eastAsia" w:ascii="宋体" w:hAnsi="宋体" w:cs="仿宋_GB2312"/>
          <w:color w:val="auto"/>
          <w:sz w:val="22"/>
          <w:szCs w:val="22"/>
          <w:highlight w:val="none"/>
        </w:rPr>
        <w:t>法人、其他组织竞标时“我方”是指“我单位”，自然人竞标时“我方”是指“本人”。</w:t>
      </w:r>
      <w:bookmarkEnd w:id="49"/>
    </w:p>
    <w:bookmarkEnd w:id="50"/>
    <w:p w14:paraId="14EE47BB">
      <w:pPr>
        <w:spacing w:line="360" w:lineRule="auto"/>
        <w:ind w:firstLine="400" w:firstLineChars="200"/>
        <w:jc w:val="left"/>
        <w:rPr>
          <w:rFonts w:hint="eastAsia" w:ascii="仿宋_GB2312" w:hAnsi="仿宋_GB2312" w:eastAsia="仿宋_GB2312" w:cs="仿宋_GB2312"/>
          <w:color w:val="auto"/>
          <w:sz w:val="20"/>
          <w:szCs w:val="20"/>
          <w:highlight w:val="none"/>
        </w:rPr>
      </w:pPr>
    </w:p>
    <w:p w14:paraId="20741E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auto"/>
          <w:sz w:val="40"/>
          <w:szCs w:val="40"/>
          <w:highlight w:val="none"/>
          <w:lang w:val="en-US" w:eastAsia="zh-CN"/>
        </w:rPr>
      </w:pPr>
    </w:p>
    <w:p w14:paraId="44218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525DC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1C918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84DF6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7D2D04E">
      <w:pPr>
        <w:spacing w:line="360" w:lineRule="exact"/>
        <w:jc w:val="center"/>
        <w:rPr>
          <w:rFonts w:hint="eastAsia" w:ascii="宋体" w:hAnsi="宋体" w:eastAsia="宋体" w:cs="宋体"/>
          <w:b/>
          <w:color w:val="auto"/>
          <w:sz w:val="32"/>
          <w:szCs w:val="32"/>
          <w:highlight w:val="none"/>
        </w:rPr>
      </w:pPr>
    </w:p>
    <w:p w14:paraId="39448ED1">
      <w:pPr>
        <w:spacing w:line="360" w:lineRule="exact"/>
        <w:jc w:val="center"/>
        <w:rPr>
          <w:rFonts w:hint="eastAsia" w:ascii="宋体" w:hAnsi="宋体" w:cs="宋体"/>
          <w:b/>
          <w:color w:val="auto"/>
          <w:sz w:val="32"/>
          <w:szCs w:val="32"/>
          <w:highlight w:val="none"/>
          <w:lang w:eastAsia="zh-CN"/>
        </w:rPr>
      </w:pPr>
      <w:r>
        <w:rPr>
          <w:rFonts w:hint="eastAsia" w:ascii="宋体" w:hAnsi="宋体" w:eastAsia="宋体" w:cs="宋体"/>
          <w:b/>
          <w:color w:val="auto"/>
          <w:sz w:val="32"/>
          <w:szCs w:val="32"/>
          <w:highlight w:val="none"/>
        </w:rPr>
        <w:t>商务条款偏离表</w:t>
      </w:r>
    </w:p>
    <w:p w14:paraId="57C292E0">
      <w:pPr>
        <w:spacing w:line="360" w:lineRule="exact"/>
        <w:jc w:val="center"/>
        <w:rPr>
          <w:rFonts w:hint="eastAsia"/>
          <w:color w:val="auto"/>
          <w:highlight w:val="none"/>
        </w:rPr>
      </w:pPr>
      <w:r>
        <w:rPr>
          <w:rFonts w:hint="eastAsia" w:asciiTheme="minorEastAsia" w:hAnsiTheme="minorEastAsia" w:eastAsiaTheme="minorEastAsia" w:cstheme="minorEastAsia"/>
          <w:b/>
          <w:bCs w:val="0"/>
          <w:color w:val="auto"/>
          <w:sz w:val="32"/>
          <w:szCs w:val="32"/>
          <w:highlight w:val="none"/>
        </w:rPr>
        <w:t>(注：按采购需求具体条款修改)</w:t>
      </w:r>
    </w:p>
    <w:p w14:paraId="47BA09DC">
      <w:pPr>
        <w:snapToGrid w:val="0"/>
        <w:spacing w:before="50"/>
        <w:jc w:val="left"/>
        <w:rPr>
          <w:rFonts w:hint="eastAsia" w:ascii="宋体" w:hAnsi="宋体" w:eastAsia="宋体" w:cs="宋体"/>
          <w:color w:val="auto"/>
          <w:sz w:val="22"/>
          <w:szCs w:val="22"/>
          <w:highlight w:val="none"/>
        </w:rPr>
      </w:pPr>
    </w:p>
    <w:tbl>
      <w:tblPr>
        <w:tblStyle w:val="20"/>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3C69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0199AF8">
            <w:pPr>
              <w:snapToGrid w:val="0"/>
              <w:spacing w:before="156"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245F371">
            <w:pPr>
              <w:snapToGrid w:val="0"/>
              <w:spacing w:before="156"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lang w:eastAsia="zh-CN"/>
              </w:rPr>
              <w:t>竞争性谈判</w:t>
            </w:r>
            <w:r>
              <w:rPr>
                <w:rFonts w:hint="eastAsia" w:ascii="宋体" w:hAnsi="宋体" w:cs="仿宋_GB2312"/>
                <w:color w:val="auto"/>
                <w:sz w:val="21"/>
                <w:szCs w:val="21"/>
                <w:highlight w:val="none"/>
              </w:rPr>
              <w:t>文件商务条款要求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9646DFA">
            <w:pPr>
              <w:snapToGrid w:val="0"/>
              <w:spacing w:before="156"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供应商的承诺</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5795087">
            <w:pPr>
              <w:snapToGrid w:val="0"/>
              <w:spacing w:before="156"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偏离说明</w:t>
            </w:r>
          </w:p>
        </w:tc>
      </w:tr>
      <w:tr w14:paraId="564F8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DA4AFE0">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5392BB0">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2DFFD93">
            <w:pPr>
              <w:snapToGrid w:val="0"/>
              <w:spacing w:before="156" w:beforeLines="50" w:line="360" w:lineRule="auto"/>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20A53A2">
            <w:pPr>
              <w:snapToGrid w:val="0"/>
              <w:spacing w:before="156" w:beforeLines="50" w:line="360" w:lineRule="auto"/>
              <w:jc w:val="center"/>
              <w:rPr>
                <w:rFonts w:hint="eastAsia" w:ascii="宋体" w:hAnsi="宋体" w:cs="仿宋_GB2312"/>
                <w:color w:val="auto"/>
                <w:sz w:val="21"/>
                <w:szCs w:val="21"/>
                <w:highlight w:val="none"/>
              </w:rPr>
            </w:pPr>
          </w:p>
        </w:tc>
      </w:tr>
      <w:tr w14:paraId="7DCD4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4"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E9C5CE">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06BB0D5">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DB7E75C">
            <w:pPr>
              <w:snapToGrid w:val="0"/>
              <w:spacing w:before="156" w:beforeLines="50" w:line="360" w:lineRule="auto"/>
              <w:ind w:left="43"/>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333E0FD">
            <w:pPr>
              <w:snapToGrid w:val="0"/>
              <w:spacing w:before="156" w:beforeLines="50" w:line="360" w:lineRule="auto"/>
              <w:ind w:left="43"/>
              <w:jc w:val="center"/>
              <w:rPr>
                <w:rFonts w:hint="eastAsia" w:ascii="宋体" w:hAnsi="宋体" w:cs="仿宋_GB2312"/>
                <w:color w:val="auto"/>
                <w:sz w:val="21"/>
                <w:szCs w:val="21"/>
                <w:highlight w:val="none"/>
              </w:rPr>
            </w:pPr>
          </w:p>
        </w:tc>
      </w:tr>
      <w:tr w14:paraId="1FA464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7D0E43">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3E56E8E">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F8C8474">
            <w:pPr>
              <w:snapToGrid w:val="0"/>
              <w:spacing w:before="156" w:beforeLines="50" w:line="360" w:lineRule="auto"/>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E00CE4B">
            <w:pPr>
              <w:snapToGrid w:val="0"/>
              <w:spacing w:before="156" w:beforeLines="50" w:line="360" w:lineRule="auto"/>
              <w:jc w:val="center"/>
              <w:rPr>
                <w:rFonts w:hint="eastAsia" w:ascii="宋体" w:hAnsi="宋体" w:cs="仿宋_GB2312"/>
                <w:color w:val="auto"/>
                <w:sz w:val="21"/>
                <w:szCs w:val="21"/>
                <w:highlight w:val="none"/>
              </w:rPr>
            </w:pPr>
          </w:p>
        </w:tc>
      </w:tr>
      <w:tr w14:paraId="3E8D0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16CE847B">
            <w:pPr>
              <w:snapToGrid w:val="0"/>
              <w:spacing w:before="156" w:beforeLines="50"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EC35D3">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752D935">
            <w:pPr>
              <w:snapToGrid w:val="0"/>
              <w:spacing w:before="156" w:beforeLines="50" w:line="360" w:lineRule="auto"/>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908F3C1">
            <w:pPr>
              <w:snapToGrid w:val="0"/>
              <w:spacing w:before="156" w:beforeLines="50" w:line="360" w:lineRule="auto"/>
              <w:jc w:val="center"/>
              <w:rPr>
                <w:rFonts w:hint="eastAsia" w:ascii="宋体" w:hAnsi="宋体" w:cs="仿宋_GB2312"/>
                <w:color w:val="auto"/>
                <w:sz w:val="21"/>
                <w:szCs w:val="21"/>
                <w:highlight w:val="none"/>
              </w:rPr>
            </w:pPr>
          </w:p>
        </w:tc>
      </w:tr>
      <w:tr w14:paraId="314F8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339685FA">
            <w:pPr>
              <w:snapToGrid w:val="0"/>
              <w:spacing w:before="156" w:beforeLines="50" w:line="360" w:lineRule="auto"/>
              <w:jc w:val="center"/>
              <w:rPr>
                <w:rFonts w:hint="default" w:ascii="宋体" w:hAnsi="宋体" w:eastAsia="宋体" w:cs="仿宋_GB2312"/>
                <w:color w:val="auto"/>
                <w:sz w:val="21"/>
                <w:szCs w:val="21"/>
                <w:highlight w:val="none"/>
                <w:lang w:val="en-US" w:eastAsia="zh-CN"/>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0FA4B9">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B0D1267">
            <w:pPr>
              <w:snapToGrid w:val="0"/>
              <w:spacing w:before="156" w:beforeLines="50" w:line="360" w:lineRule="auto"/>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B6DB8E2">
            <w:pPr>
              <w:snapToGrid w:val="0"/>
              <w:spacing w:before="156" w:beforeLines="50" w:line="360" w:lineRule="auto"/>
              <w:jc w:val="center"/>
              <w:rPr>
                <w:rFonts w:hint="eastAsia" w:ascii="宋体" w:hAnsi="宋体" w:cs="仿宋_GB2312"/>
                <w:color w:val="auto"/>
                <w:sz w:val="21"/>
                <w:szCs w:val="21"/>
                <w:highlight w:val="none"/>
              </w:rPr>
            </w:pPr>
          </w:p>
        </w:tc>
      </w:tr>
      <w:tr w14:paraId="4FABF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221E3A5">
            <w:pPr>
              <w:snapToGrid w:val="0"/>
              <w:spacing w:before="156" w:beforeLines="50"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51F4D8D">
            <w:pPr>
              <w:snapToGrid w:val="0"/>
              <w:spacing w:before="156" w:beforeLines="50" w:line="360" w:lineRule="auto"/>
              <w:jc w:val="center"/>
              <w:rPr>
                <w:rFonts w:hint="eastAsia" w:ascii="宋体" w:hAnsi="宋体" w:cs="仿宋_GB2312"/>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133B679">
            <w:pPr>
              <w:snapToGrid w:val="0"/>
              <w:spacing w:before="156" w:beforeLines="50" w:line="360" w:lineRule="auto"/>
              <w:jc w:val="center"/>
              <w:rPr>
                <w:rFonts w:hint="eastAsia" w:ascii="宋体" w:hAnsi="宋体" w:cs="仿宋_GB2312"/>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E803AFD">
            <w:pPr>
              <w:snapToGrid w:val="0"/>
              <w:spacing w:before="156" w:beforeLines="50" w:line="360" w:lineRule="auto"/>
              <w:jc w:val="center"/>
              <w:rPr>
                <w:rFonts w:hint="eastAsia" w:ascii="宋体" w:hAnsi="宋体" w:cs="仿宋_GB2312"/>
                <w:color w:val="auto"/>
                <w:sz w:val="21"/>
                <w:szCs w:val="21"/>
                <w:highlight w:val="none"/>
              </w:rPr>
            </w:pPr>
          </w:p>
        </w:tc>
      </w:tr>
    </w:tbl>
    <w:p w14:paraId="08D931E5">
      <w:pPr>
        <w:pStyle w:val="9"/>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5870329F">
      <w:pPr>
        <w:pStyle w:val="9"/>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1. 说明：应对照</w:t>
      </w:r>
      <w:r>
        <w:rPr>
          <w:rFonts w:hint="eastAsia" w:ascii="宋体" w:hAnsi="宋体"/>
          <w:color w:val="auto"/>
          <w:kern w:val="0"/>
          <w:sz w:val="21"/>
          <w:szCs w:val="21"/>
          <w:highlight w:val="none"/>
          <w:lang w:eastAsia="zh-CN"/>
        </w:rPr>
        <w:t>谈判</w:t>
      </w:r>
      <w:r>
        <w:rPr>
          <w:rFonts w:hint="eastAsia" w:ascii="宋体" w:hAnsi="宋体"/>
          <w:color w:val="auto"/>
          <w:kern w:val="0"/>
          <w:sz w:val="21"/>
          <w:szCs w:val="21"/>
          <w:highlight w:val="none"/>
        </w:rPr>
        <w:t>文件“第三章 采购需求”中的商务要求逐条作出明确响应，并作出偏离说明。</w:t>
      </w:r>
    </w:p>
    <w:p w14:paraId="63DD721D">
      <w:pPr>
        <w:spacing w:line="360" w:lineRule="auto"/>
        <w:contextualSpacing/>
        <w:jc w:val="left"/>
        <w:rPr>
          <w:rFonts w:hint="eastAsia" w:ascii="宋体" w:hAnsi="宋体" w:cs="仿宋_GB2312"/>
          <w:color w:val="auto"/>
          <w:sz w:val="21"/>
          <w:szCs w:val="21"/>
          <w:highlight w:val="none"/>
          <w:u w:val="single"/>
        </w:rPr>
      </w:pPr>
      <w:r>
        <w:rPr>
          <w:rFonts w:hint="eastAsia" w:ascii="宋体" w:hAnsi="宋体"/>
          <w:color w:val="auto"/>
          <w:kern w:val="0"/>
          <w:sz w:val="21"/>
          <w:szCs w:val="21"/>
          <w:highlight w:val="none"/>
        </w:rPr>
        <w:t>2.供应商应根据自身的承诺，对照</w:t>
      </w:r>
      <w:r>
        <w:rPr>
          <w:rFonts w:hint="eastAsia" w:ascii="宋体" w:hAnsi="宋体"/>
          <w:color w:val="auto"/>
          <w:kern w:val="0"/>
          <w:sz w:val="21"/>
          <w:szCs w:val="21"/>
          <w:highlight w:val="none"/>
          <w:lang w:eastAsia="zh-CN"/>
        </w:rPr>
        <w:t>谈判</w:t>
      </w:r>
      <w:r>
        <w:rPr>
          <w:rFonts w:hint="eastAsia" w:ascii="宋体" w:hAnsi="宋体"/>
          <w:color w:val="auto"/>
          <w:kern w:val="0"/>
          <w:sz w:val="21"/>
          <w:szCs w:val="21"/>
          <w:highlight w:val="none"/>
        </w:rPr>
        <w:t>文件要求在“偏离说明”中注明“正偏离”、“负偏离”或者“无偏离”。既不属于“正偏离”也不属于“负偏离”即为“无偏离”。</w:t>
      </w:r>
    </w:p>
    <w:p w14:paraId="7A09ABD8">
      <w:pPr>
        <w:spacing w:line="360" w:lineRule="auto"/>
        <w:ind w:right="-817" w:rightChars="-389"/>
        <w:contextualSpacing/>
        <w:rPr>
          <w:rFonts w:hint="eastAsia" w:ascii="宋体" w:hAnsi="宋体" w:cs="仿宋_GB2312"/>
          <w:color w:val="auto"/>
          <w:sz w:val="21"/>
          <w:szCs w:val="21"/>
          <w:highlight w:val="none"/>
        </w:rPr>
      </w:pPr>
    </w:p>
    <w:p w14:paraId="7E139EB6">
      <w:pPr>
        <w:keepNext w:val="0"/>
        <w:keepLines w:val="0"/>
        <w:widowControl/>
        <w:suppressLineNumbers w:val="0"/>
        <w:jc w:val="left"/>
        <w:rPr>
          <w:rFonts w:hint="default" w:ascii="宋体" w:hAnsi="宋体" w:eastAsia="宋体" w:cs="仿宋_GB2312"/>
          <w:color w:val="auto"/>
          <w:sz w:val="21"/>
          <w:szCs w:val="21"/>
          <w:highlight w:val="none"/>
          <w:u w:val="single"/>
          <w:lang w:val="en-US" w:eastAsia="zh-CN"/>
        </w:rPr>
      </w:pPr>
      <w:r>
        <w:rPr>
          <w:rFonts w:hint="eastAsia" w:ascii="宋体" w:hAnsi="宋体" w:cs="仿宋_GB2312"/>
          <w:color w:val="auto"/>
          <w:sz w:val="21"/>
          <w:szCs w:val="21"/>
          <w:highlight w:val="none"/>
          <w:lang w:val="en-US" w:eastAsia="zh-CN"/>
        </w:rPr>
        <w:t xml:space="preserve">        </w:t>
      </w:r>
      <w:r>
        <w:rPr>
          <w:rFonts w:hint="eastAsia" w:ascii="宋体" w:hAnsi="宋体" w:cs="仿宋_GB2312"/>
          <w:color w:val="auto"/>
          <w:sz w:val="21"/>
          <w:szCs w:val="21"/>
          <w:highlight w:val="none"/>
        </w:rPr>
        <w:t>法定代表人或者委托代理</w:t>
      </w:r>
      <w:r>
        <w:rPr>
          <w:rFonts w:hint="eastAsia" w:ascii="宋体" w:hAnsi="宋体" w:eastAsia="宋体" w:cs="仿宋_GB2312"/>
          <w:color w:val="auto"/>
          <w:sz w:val="21"/>
          <w:szCs w:val="21"/>
          <w:highlight w:val="none"/>
        </w:rPr>
        <w:t>人（</w:t>
      </w:r>
      <w:r>
        <w:rPr>
          <w:rFonts w:hint="eastAsia" w:ascii="宋体" w:hAnsi="宋体"/>
          <w:color w:val="auto"/>
          <w:sz w:val="21"/>
          <w:szCs w:val="21"/>
          <w:highlight w:val="none"/>
          <w:lang w:val="en-US" w:eastAsia="zh-CN"/>
        </w:rPr>
        <w:t>签字或盖章或电子签名</w:t>
      </w:r>
      <w:r>
        <w:rPr>
          <w:rFonts w:hint="eastAsia" w:ascii="宋体" w:hAnsi="宋体" w:eastAsia="宋体" w:cs="仿宋_GB2312"/>
          <w:color w:val="auto"/>
          <w:sz w:val="21"/>
          <w:szCs w:val="21"/>
          <w:highlight w:val="none"/>
        </w:rPr>
        <w:t>）：</w:t>
      </w:r>
      <w:r>
        <w:rPr>
          <w:rFonts w:hint="eastAsia" w:ascii="宋体" w:hAnsi="宋体" w:cs="仿宋_GB2312"/>
          <w:color w:val="auto"/>
          <w:sz w:val="21"/>
          <w:szCs w:val="21"/>
          <w:highlight w:val="none"/>
          <w:u w:val="single"/>
          <w:lang w:val="en-US" w:eastAsia="zh-CN"/>
        </w:rPr>
        <w:t xml:space="preserve">                        </w:t>
      </w:r>
    </w:p>
    <w:p w14:paraId="2CC4E928">
      <w:pPr>
        <w:spacing w:line="360" w:lineRule="auto"/>
        <w:ind w:right="-817" w:rightChars="-389" w:firstLine="3570" w:firstLineChars="17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供应商（电子签章）：</w:t>
      </w:r>
      <w:r>
        <w:rPr>
          <w:rFonts w:hint="eastAsia" w:ascii="宋体" w:hAnsi="宋体" w:cs="仿宋_GB2312"/>
          <w:color w:val="auto"/>
          <w:sz w:val="21"/>
          <w:szCs w:val="21"/>
          <w:highlight w:val="none"/>
          <w:u w:val="single"/>
          <w:lang w:val="en-US" w:eastAsia="zh-CN"/>
        </w:rPr>
        <w:t xml:space="preserve">                     </w:t>
      </w:r>
      <w:r>
        <w:rPr>
          <w:rFonts w:hint="eastAsia" w:ascii="宋体" w:hAnsi="宋体" w:cs="仿宋_GB2312"/>
          <w:color w:val="auto"/>
          <w:sz w:val="21"/>
          <w:szCs w:val="21"/>
          <w:highlight w:val="none"/>
        </w:rPr>
        <w:t xml:space="preserve">      </w:t>
      </w:r>
    </w:p>
    <w:p w14:paraId="4208E7E0">
      <w:pPr>
        <w:spacing w:line="360" w:lineRule="auto"/>
        <w:ind w:right="-817" w:rightChars="-389" w:firstLine="5040" w:firstLineChars="2400"/>
        <w:contextualSpacing/>
        <w:rPr>
          <w:rFonts w:hint="eastAsia" w:ascii="仿宋_GB2312" w:hAnsi="仿宋_GB2312" w:eastAsia="仿宋_GB2312" w:cs="仿宋_GB2312"/>
          <w:b/>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85B8095">
      <w:pPr>
        <w:adjustRightInd w:val="0"/>
        <w:snapToGrid w:val="0"/>
        <w:spacing w:line="520" w:lineRule="exact"/>
        <w:ind w:firstLine="3360" w:firstLineChars="1600"/>
        <w:jc w:val="center"/>
        <w:rPr>
          <w:rFonts w:hint="eastAsia" w:ascii="宋体" w:hAnsi="宋体" w:eastAsia="宋体" w:cs="宋体"/>
          <w:bCs/>
          <w:color w:val="auto"/>
          <w:sz w:val="21"/>
          <w:szCs w:val="21"/>
          <w:highlight w:val="none"/>
        </w:rPr>
      </w:pPr>
    </w:p>
    <w:p w14:paraId="080BC575">
      <w:pPr>
        <w:pStyle w:val="2"/>
        <w:rPr>
          <w:rFonts w:hint="eastAsia" w:ascii="宋体" w:hAnsi="宋体" w:eastAsia="宋体" w:cs="宋体"/>
          <w:bCs/>
          <w:color w:val="auto"/>
          <w:sz w:val="40"/>
          <w:szCs w:val="40"/>
          <w:highlight w:val="none"/>
        </w:rPr>
      </w:pPr>
    </w:p>
    <w:p w14:paraId="154179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144F1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414EEC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572D86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6529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4BF326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71DD48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0F8F8E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0F843D73">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r>
        <w:rPr>
          <w:rFonts w:hint="eastAsia" w:ascii="方正小标宋简体" w:hAnsi="方正小标宋简体" w:eastAsia="方正小标宋简体" w:cs="方正小标宋简体"/>
          <w:bCs/>
          <w:color w:val="auto"/>
          <w:sz w:val="28"/>
          <w:szCs w:val="28"/>
          <w:highlight w:val="none"/>
          <w:lang w:val="en-US" w:eastAsia="zh-CN"/>
        </w:rPr>
        <w:t>货物配置清单</w:t>
      </w:r>
    </w:p>
    <w:p w14:paraId="3A68FED1">
      <w:pPr>
        <w:snapToGrid w:val="0"/>
        <w:spacing w:before="50" w:after="50"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p w14:paraId="1BF6462E">
      <w:pPr>
        <w:snapToGrid w:val="0"/>
        <w:spacing w:before="50" w:after="50"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C902E2E">
      <w:pPr>
        <w:spacing w:line="300" w:lineRule="auto"/>
        <w:rPr>
          <w:rFonts w:hint="eastAsia" w:ascii="宋体" w:hAnsi="宋体"/>
          <w:color w:val="auto"/>
          <w:sz w:val="21"/>
          <w:szCs w:val="21"/>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1372"/>
        <w:gridCol w:w="885"/>
        <w:gridCol w:w="985"/>
        <w:gridCol w:w="1967"/>
        <w:gridCol w:w="1372"/>
        <w:gridCol w:w="812"/>
        <w:gridCol w:w="1648"/>
      </w:tblGrid>
      <w:tr w14:paraId="3CA70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640B338">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99265B0">
            <w:pPr>
              <w:snapToGrid w:val="0"/>
              <w:spacing w:before="50" w:after="50"/>
              <w:jc w:val="center"/>
              <w:rPr>
                <w:rFonts w:hint="eastAsia" w:ascii="宋体" w:hAnsi="宋体"/>
                <w:color w:val="auto"/>
                <w:sz w:val="21"/>
                <w:szCs w:val="21"/>
                <w:highlight w:val="none"/>
              </w:rPr>
            </w:pPr>
            <w:r>
              <w:rPr>
                <w:rFonts w:hint="eastAsia" w:ascii="宋体" w:hAnsi="宋体" w:eastAsia="宋体" w:cs="宋体"/>
                <w:color w:val="auto"/>
                <w:kern w:val="0"/>
                <w:szCs w:val="21"/>
                <w:highlight w:val="none"/>
                <w:lang w:val="en-US" w:eastAsia="zh-CN"/>
              </w:rPr>
              <w:t>标的名称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35EDC5D4">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58543B8">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2F32D7D0">
            <w:pPr>
              <w:snapToGrid w:val="0"/>
              <w:spacing w:before="50" w:after="50"/>
              <w:jc w:val="center"/>
              <w:rPr>
                <w:rFonts w:ascii="宋体" w:hAnsi="宋体"/>
                <w:color w:val="auto"/>
                <w:sz w:val="21"/>
                <w:szCs w:val="21"/>
                <w:highlight w:val="none"/>
              </w:rPr>
            </w:pPr>
          </w:p>
          <w:p w14:paraId="4C51C80E">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5392560">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0AD1100">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CE4EEC">
            <w:pPr>
              <w:snapToGrid w:val="0"/>
              <w:spacing w:before="50" w:after="50"/>
              <w:jc w:val="center"/>
              <w:rPr>
                <w:rFonts w:hint="eastAsia" w:ascii="宋体" w:hAnsi="宋体"/>
                <w:color w:val="auto"/>
                <w:sz w:val="21"/>
                <w:szCs w:val="21"/>
                <w:highlight w:val="none"/>
              </w:rPr>
            </w:pPr>
            <w:r>
              <w:rPr>
                <w:rFonts w:hint="eastAsia" w:ascii="宋体" w:hAnsi="宋体"/>
                <w:color w:val="auto"/>
                <w:sz w:val="21"/>
                <w:szCs w:val="21"/>
                <w:highlight w:val="none"/>
                <w:lang w:val="en-US" w:eastAsia="zh-CN"/>
              </w:rPr>
              <w:t>技术参数要求</w:t>
            </w:r>
          </w:p>
        </w:tc>
      </w:tr>
      <w:tr w14:paraId="53EC7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2F2FB569">
            <w:pPr>
              <w:snapToGrid w:val="0"/>
              <w:spacing w:before="50" w:after="5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44149AE5">
            <w:pPr>
              <w:snapToGrid w:val="0"/>
              <w:spacing w:before="50" w:after="50"/>
              <w:jc w:val="center"/>
              <w:rPr>
                <w:rFonts w:hint="eastAsia" w:ascii="宋体" w:hAnsi="宋体"/>
                <w:color w:val="auto"/>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0DE894C">
            <w:pPr>
              <w:snapToGrid w:val="0"/>
              <w:spacing w:before="50" w:after="50"/>
              <w:jc w:val="center"/>
              <w:rPr>
                <w:rFonts w:hint="eastAsia" w:ascii="宋体" w:hAnsi="宋体"/>
                <w:color w:val="auto"/>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1483050">
            <w:pPr>
              <w:snapToGrid w:val="0"/>
              <w:spacing w:before="50" w:after="50"/>
              <w:jc w:val="center"/>
              <w:rPr>
                <w:rFonts w:hint="eastAsia" w:ascii="宋体" w:hAnsi="宋体"/>
                <w:color w:val="auto"/>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04F343DF">
            <w:pPr>
              <w:snapToGrid w:val="0"/>
              <w:spacing w:before="50" w:after="50"/>
              <w:jc w:val="center"/>
              <w:rPr>
                <w:rFonts w:hint="eastAsia" w:ascii="宋体" w:hAnsi="宋体"/>
                <w:color w:val="auto"/>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7229C0E">
            <w:pPr>
              <w:snapToGrid w:val="0"/>
              <w:spacing w:before="50" w:after="50"/>
              <w:jc w:val="center"/>
              <w:rPr>
                <w:rFonts w:hint="eastAsia" w:ascii="宋体" w:hAnsi="宋体"/>
                <w:color w:val="auto"/>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B71886D">
            <w:pPr>
              <w:snapToGrid w:val="0"/>
              <w:spacing w:before="50" w:after="50"/>
              <w:jc w:val="center"/>
              <w:rPr>
                <w:rFonts w:hint="eastAsia" w:ascii="宋体" w:hAnsi="宋体"/>
                <w:color w:val="auto"/>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0CAE8E">
            <w:pPr>
              <w:snapToGrid w:val="0"/>
              <w:spacing w:before="50" w:after="50"/>
              <w:jc w:val="center"/>
              <w:rPr>
                <w:rFonts w:hint="eastAsia" w:ascii="宋体" w:hAnsi="宋体"/>
                <w:color w:val="auto"/>
                <w:sz w:val="21"/>
                <w:szCs w:val="21"/>
                <w:highlight w:val="none"/>
              </w:rPr>
            </w:pPr>
          </w:p>
        </w:tc>
      </w:tr>
      <w:tr w14:paraId="014B2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A3A3605">
            <w:pPr>
              <w:snapToGrid w:val="0"/>
              <w:spacing w:before="50" w:after="5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414BDD2">
            <w:pPr>
              <w:snapToGrid w:val="0"/>
              <w:spacing w:before="50" w:after="50"/>
              <w:jc w:val="center"/>
              <w:rPr>
                <w:rFonts w:hint="eastAsia" w:ascii="宋体" w:hAnsi="宋体"/>
                <w:color w:val="auto"/>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21189BF6">
            <w:pPr>
              <w:snapToGrid w:val="0"/>
              <w:spacing w:before="50" w:after="50"/>
              <w:jc w:val="center"/>
              <w:rPr>
                <w:rFonts w:hint="eastAsia" w:ascii="宋体" w:hAnsi="宋体"/>
                <w:color w:val="auto"/>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168AE2">
            <w:pPr>
              <w:snapToGrid w:val="0"/>
              <w:spacing w:before="50" w:after="50"/>
              <w:jc w:val="center"/>
              <w:rPr>
                <w:rFonts w:hint="eastAsia" w:ascii="宋体" w:hAnsi="宋体"/>
                <w:color w:val="auto"/>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67BF6C9E">
            <w:pPr>
              <w:snapToGrid w:val="0"/>
              <w:spacing w:before="50" w:after="50"/>
              <w:jc w:val="center"/>
              <w:rPr>
                <w:rFonts w:hint="eastAsia" w:ascii="宋体" w:hAnsi="宋体"/>
                <w:color w:val="auto"/>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F2362FC">
            <w:pPr>
              <w:snapToGrid w:val="0"/>
              <w:spacing w:before="50" w:after="50"/>
              <w:jc w:val="center"/>
              <w:rPr>
                <w:rFonts w:hint="eastAsia" w:ascii="宋体" w:hAnsi="宋体"/>
                <w:color w:val="auto"/>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69094FA">
            <w:pPr>
              <w:snapToGrid w:val="0"/>
              <w:spacing w:before="50" w:after="50"/>
              <w:jc w:val="center"/>
              <w:rPr>
                <w:rFonts w:hint="eastAsia" w:ascii="宋体" w:hAnsi="宋体"/>
                <w:color w:val="auto"/>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3BCB1B5">
            <w:pPr>
              <w:snapToGrid w:val="0"/>
              <w:spacing w:before="50" w:after="50"/>
              <w:jc w:val="center"/>
              <w:rPr>
                <w:rFonts w:hint="eastAsia" w:ascii="宋体" w:hAnsi="宋体"/>
                <w:color w:val="auto"/>
                <w:sz w:val="21"/>
                <w:szCs w:val="21"/>
                <w:highlight w:val="none"/>
              </w:rPr>
            </w:pPr>
          </w:p>
        </w:tc>
      </w:tr>
      <w:tr w14:paraId="56F13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5716B4C0">
            <w:pPr>
              <w:snapToGrid w:val="0"/>
              <w:spacing w:before="50" w:after="5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FBCBD9E">
            <w:pPr>
              <w:snapToGrid w:val="0"/>
              <w:spacing w:before="50" w:after="50"/>
              <w:jc w:val="center"/>
              <w:rPr>
                <w:rFonts w:hint="eastAsia" w:ascii="宋体" w:hAnsi="宋体"/>
                <w:color w:val="auto"/>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393737E">
            <w:pPr>
              <w:snapToGrid w:val="0"/>
              <w:spacing w:before="50" w:after="50"/>
              <w:jc w:val="center"/>
              <w:rPr>
                <w:rFonts w:hint="eastAsia" w:ascii="宋体" w:hAnsi="宋体"/>
                <w:color w:val="auto"/>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4E48E017">
            <w:pPr>
              <w:snapToGrid w:val="0"/>
              <w:spacing w:before="50" w:after="50"/>
              <w:jc w:val="center"/>
              <w:rPr>
                <w:rFonts w:hint="eastAsia" w:ascii="宋体" w:hAnsi="宋体"/>
                <w:color w:val="auto"/>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5FEA623">
            <w:pPr>
              <w:snapToGrid w:val="0"/>
              <w:spacing w:before="50" w:after="50"/>
              <w:jc w:val="center"/>
              <w:rPr>
                <w:rFonts w:hint="eastAsia" w:ascii="宋体" w:hAnsi="宋体"/>
                <w:color w:val="auto"/>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36C53ED">
            <w:pPr>
              <w:snapToGrid w:val="0"/>
              <w:spacing w:before="50" w:after="50"/>
              <w:jc w:val="center"/>
              <w:rPr>
                <w:rFonts w:hint="eastAsia" w:ascii="宋体" w:hAnsi="宋体"/>
                <w:color w:val="auto"/>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F889C0A">
            <w:pPr>
              <w:snapToGrid w:val="0"/>
              <w:spacing w:before="50" w:after="50"/>
              <w:jc w:val="center"/>
              <w:rPr>
                <w:rFonts w:hint="eastAsia" w:ascii="宋体" w:hAnsi="宋体"/>
                <w:color w:val="auto"/>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29C7013">
            <w:pPr>
              <w:snapToGrid w:val="0"/>
              <w:spacing w:before="50" w:after="50"/>
              <w:jc w:val="center"/>
              <w:rPr>
                <w:rFonts w:hint="eastAsia" w:ascii="宋体" w:hAnsi="宋体"/>
                <w:color w:val="auto"/>
                <w:sz w:val="21"/>
                <w:szCs w:val="21"/>
                <w:highlight w:val="none"/>
              </w:rPr>
            </w:pPr>
          </w:p>
        </w:tc>
      </w:tr>
    </w:tbl>
    <w:p w14:paraId="666C48E3">
      <w:pPr>
        <w:spacing w:line="360" w:lineRule="auto"/>
        <w:contextualSpacing/>
        <w:rPr>
          <w:rFonts w:hint="eastAsia" w:ascii="宋体" w:hAnsi="宋体" w:cs="宋体"/>
          <w:color w:val="auto"/>
          <w:sz w:val="21"/>
          <w:szCs w:val="21"/>
          <w:highlight w:val="none"/>
        </w:rPr>
      </w:pPr>
    </w:p>
    <w:p w14:paraId="2548CD74">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备注：</w:t>
      </w:r>
    </w:p>
    <w:p w14:paraId="57AB028B">
      <w:pPr>
        <w:tabs>
          <w:tab w:val="left" w:pos="1065"/>
        </w:tabs>
        <w:adjustRightInd w:val="0"/>
        <w:spacing w:line="360" w:lineRule="auto"/>
        <w:contextualSpacing/>
        <w:rPr>
          <w:rFonts w:hint="eastAsia" w:ascii="宋体" w:hAnsi="宋体" w:cs="宋体"/>
          <w:color w:val="auto"/>
          <w:sz w:val="21"/>
          <w:szCs w:val="21"/>
          <w:highlight w:val="none"/>
        </w:rPr>
      </w:pPr>
      <w:r>
        <w:rPr>
          <w:rFonts w:hint="eastAsia" w:ascii="宋体" w:hAnsi="宋体" w:cs="宋体"/>
          <w:b/>
          <w:bCs/>
          <w:color w:val="auto"/>
          <w:sz w:val="21"/>
          <w:szCs w:val="21"/>
          <w:highlight w:val="none"/>
        </w:rPr>
        <w:t>以上性能配置清单中“</w:t>
      </w:r>
      <w:r>
        <w:rPr>
          <w:rFonts w:hint="eastAsia" w:ascii="宋体" w:hAnsi="宋体" w:cs="宋体"/>
          <w:b/>
          <w:bCs/>
          <w:color w:val="auto"/>
          <w:sz w:val="21"/>
          <w:szCs w:val="21"/>
          <w:highlight w:val="none"/>
          <w:lang w:val="en-US" w:eastAsia="zh-CN"/>
        </w:rPr>
        <w:t>标的</w:t>
      </w:r>
      <w:r>
        <w:rPr>
          <w:rFonts w:hint="eastAsia" w:ascii="宋体" w:hAnsi="宋体" w:cs="宋体"/>
          <w:b/>
          <w:bCs/>
          <w:color w:val="auto"/>
          <w:sz w:val="21"/>
          <w:szCs w:val="21"/>
          <w:highlight w:val="none"/>
        </w:rPr>
        <w:t>名称、数量及单位、品牌、规格型号、制造商、原产地、</w:t>
      </w:r>
      <w:r>
        <w:rPr>
          <w:rFonts w:hint="eastAsia" w:ascii="宋体" w:hAnsi="宋体" w:cs="宋体"/>
          <w:b/>
          <w:bCs/>
          <w:color w:val="auto"/>
          <w:sz w:val="21"/>
          <w:szCs w:val="21"/>
          <w:highlight w:val="none"/>
          <w:lang w:val="en-US" w:eastAsia="zh-CN"/>
        </w:rPr>
        <w:t>技术参数要求</w:t>
      </w:r>
      <w:r>
        <w:rPr>
          <w:rFonts w:hint="eastAsia" w:ascii="宋体" w:hAnsi="宋体" w:cs="宋体"/>
          <w:b/>
          <w:bCs/>
          <w:color w:val="auto"/>
          <w:sz w:val="21"/>
          <w:szCs w:val="21"/>
          <w:highlight w:val="none"/>
        </w:rPr>
        <w:t>”必须如实填写完整，品牌、规格型号没有则填无，填写有缺漏的，响应文件作无效处理</w:t>
      </w:r>
      <w:r>
        <w:rPr>
          <w:rFonts w:hint="eastAsia" w:ascii="宋体" w:hAnsi="宋体" w:cs="宋体"/>
          <w:b/>
          <w:color w:val="auto"/>
          <w:sz w:val="21"/>
          <w:szCs w:val="21"/>
          <w:highlight w:val="none"/>
        </w:rPr>
        <w:t>。</w:t>
      </w:r>
      <w:r>
        <w:rPr>
          <w:rFonts w:hint="eastAsia" w:ascii="宋体" w:hAnsi="宋体" w:cs="宋体"/>
          <w:b w:val="0"/>
          <w:bCs/>
          <w:color w:val="auto"/>
          <w:sz w:val="21"/>
          <w:szCs w:val="21"/>
          <w:highlight w:val="none"/>
          <w:lang w:val="en-US" w:eastAsia="zh-CN"/>
        </w:rPr>
        <w:t>标的</w:t>
      </w:r>
      <w:r>
        <w:rPr>
          <w:rFonts w:hint="eastAsia" w:ascii="宋体" w:hAnsi="宋体" w:cs="宋体"/>
          <w:b w:val="0"/>
          <w:bCs/>
          <w:color w:val="auto"/>
          <w:sz w:val="21"/>
          <w:szCs w:val="21"/>
          <w:highlight w:val="none"/>
        </w:rPr>
        <w:t>名称</w:t>
      </w:r>
      <w:r>
        <w:rPr>
          <w:rFonts w:hint="eastAsia" w:ascii="宋体" w:hAnsi="宋体" w:cs="宋体"/>
          <w:color w:val="auto"/>
          <w:sz w:val="21"/>
          <w:szCs w:val="21"/>
          <w:highlight w:val="none"/>
        </w:rPr>
        <w:t>、数量及单位必须与“</w:t>
      </w:r>
      <w:r>
        <w:rPr>
          <w:rFonts w:hint="eastAsia" w:ascii="宋体" w:hAnsi="宋体" w:cs="宋体"/>
          <w:color w:val="auto"/>
          <w:sz w:val="21"/>
          <w:szCs w:val="21"/>
          <w:highlight w:val="none"/>
          <w:lang w:val="en-US" w:eastAsia="zh-CN"/>
        </w:rPr>
        <w:t>采购</w:t>
      </w:r>
      <w:r>
        <w:rPr>
          <w:rFonts w:hint="eastAsia" w:ascii="宋体" w:hAnsi="宋体" w:cs="宋体"/>
          <w:color w:val="auto"/>
          <w:sz w:val="21"/>
          <w:szCs w:val="21"/>
          <w:highlight w:val="none"/>
        </w:rPr>
        <w:t>需求表”一致，</w:t>
      </w:r>
      <w:r>
        <w:rPr>
          <w:rFonts w:hint="eastAsia" w:ascii="宋体" w:hAnsi="宋体" w:cs="宋体"/>
          <w:bCs/>
          <w:color w:val="auto"/>
          <w:sz w:val="21"/>
          <w:szCs w:val="21"/>
          <w:highlight w:val="none"/>
        </w:rPr>
        <w:t>否则响应文件作无效处理</w:t>
      </w:r>
      <w:r>
        <w:rPr>
          <w:rFonts w:hint="eastAsia" w:ascii="宋体" w:hAnsi="宋体" w:cs="宋体"/>
          <w:b/>
          <w:color w:val="auto"/>
          <w:sz w:val="21"/>
          <w:szCs w:val="21"/>
          <w:highlight w:val="none"/>
        </w:rPr>
        <w:t>。</w:t>
      </w:r>
      <w:r>
        <w:rPr>
          <w:rFonts w:hint="eastAsia" w:ascii="宋体" w:hAnsi="宋体" w:cs="宋体"/>
          <w:color w:val="auto"/>
          <w:sz w:val="21"/>
          <w:szCs w:val="21"/>
          <w:highlight w:val="none"/>
        </w:rPr>
        <w:tab/>
      </w:r>
    </w:p>
    <w:p w14:paraId="18EBDB5A">
      <w:pPr>
        <w:adjustRightInd w:val="0"/>
        <w:spacing w:line="360" w:lineRule="auto"/>
        <w:contextualSpacing/>
        <w:jc w:val="left"/>
        <w:rPr>
          <w:rFonts w:hint="eastAsia" w:ascii="宋体" w:hAnsi="宋体" w:cs="宋体"/>
          <w:color w:val="auto"/>
          <w:sz w:val="21"/>
          <w:szCs w:val="21"/>
          <w:highlight w:val="none"/>
        </w:rPr>
      </w:pPr>
    </w:p>
    <w:p w14:paraId="7633D8F3">
      <w:pPr>
        <w:autoSpaceDE w:val="0"/>
        <w:autoSpaceDN w:val="0"/>
        <w:spacing w:line="360" w:lineRule="auto"/>
        <w:ind w:firstLine="3150" w:firstLineChars="1500"/>
        <w:rPr>
          <w:rFonts w:hint="eastAsia" w:ascii="宋体" w:hAnsi="宋体" w:cs="宋体"/>
          <w:color w:val="auto"/>
          <w:kern w:val="0"/>
          <w:sz w:val="21"/>
          <w:szCs w:val="21"/>
          <w:highlight w:val="none"/>
          <w:lang w:val="zh-CN" w:eastAsia="zh-CN"/>
        </w:rPr>
      </w:pPr>
    </w:p>
    <w:p w14:paraId="402F2CD2">
      <w:pPr>
        <w:autoSpaceDE w:val="0"/>
        <w:autoSpaceDN w:val="0"/>
        <w:spacing w:line="360" w:lineRule="auto"/>
        <w:ind w:firstLine="3150" w:firstLineChars="1500"/>
        <w:rPr>
          <w:rFonts w:hint="default" w:ascii="宋体" w:hAnsi="宋体" w:cs="宋体"/>
          <w:color w:val="auto"/>
          <w:kern w:val="0"/>
          <w:sz w:val="21"/>
          <w:szCs w:val="21"/>
          <w:highlight w:val="none"/>
          <w:u w:val="single"/>
          <w:lang w:val="en-US"/>
        </w:rPr>
      </w:pPr>
      <w:r>
        <w:rPr>
          <w:rFonts w:hint="eastAsia" w:ascii="宋体" w:hAnsi="宋体" w:cs="宋体"/>
          <w:color w:val="auto"/>
          <w:kern w:val="0"/>
          <w:sz w:val="21"/>
          <w:szCs w:val="21"/>
          <w:highlight w:val="none"/>
          <w:lang w:val="zh-CN" w:eastAsia="zh-CN"/>
        </w:rPr>
        <w:t>法定代表人或者委托代理人</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签字或盖章或电子签名）</w:t>
      </w:r>
      <w:r>
        <w:rPr>
          <w:rFonts w:hint="eastAsia" w:ascii="宋体" w:hAnsi="宋体" w:cs="宋体"/>
          <w:color w:val="auto"/>
          <w:kern w:val="0"/>
          <w:sz w:val="21"/>
          <w:szCs w:val="21"/>
          <w:highlight w:val="none"/>
          <w:lang w:val="zh-CN" w:eastAsia="zh-CN"/>
        </w:rPr>
        <w:t xml:space="preserve">： </w:t>
      </w:r>
      <w:r>
        <w:rPr>
          <w:rFonts w:hint="eastAsia" w:ascii="宋体" w:hAnsi="宋体" w:cs="宋体"/>
          <w:color w:val="auto"/>
          <w:kern w:val="0"/>
          <w:sz w:val="21"/>
          <w:szCs w:val="21"/>
          <w:highlight w:val="none"/>
          <w:u w:val="single"/>
          <w:lang w:val="en-US" w:eastAsia="zh-CN"/>
        </w:rPr>
        <w:t xml:space="preserve">              </w:t>
      </w:r>
    </w:p>
    <w:p w14:paraId="708112E1">
      <w:pPr>
        <w:autoSpaceDE w:val="0"/>
        <w:autoSpaceDN w:val="0"/>
        <w:spacing w:line="360" w:lineRule="auto"/>
        <w:ind w:firstLine="5670" w:firstLineChars="2700"/>
        <w:rPr>
          <w:rFonts w:hint="default" w:ascii="宋体" w:hAnsi="宋体" w:cs="宋体"/>
          <w:color w:val="auto"/>
          <w:kern w:val="0"/>
          <w:sz w:val="21"/>
          <w:szCs w:val="21"/>
          <w:highlight w:val="none"/>
          <w:u w:val="single"/>
          <w:lang w:val="en-US"/>
        </w:rPr>
      </w:pPr>
      <w:r>
        <w:rPr>
          <w:rFonts w:hint="eastAsia" w:ascii="宋体" w:hAnsi="宋体" w:cs="宋体"/>
          <w:color w:val="auto"/>
          <w:kern w:val="0"/>
          <w:sz w:val="21"/>
          <w:szCs w:val="21"/>
          <w:highlight w:val="none"/>
          <w:lang w:val="zh-CN" w:eastAsia="zh-CN"/>
        </w:rPr>
        <w:t>供应商（盖公章）：</w:t>
      </w:r>
      <w:r>
        <w:rPr>
          <w:rFonts w:hint="eastAsia" w:ascii="宋体" w:hAnsi="宋体" w:cs="宋体"/>
          <w:color w:val="auto"/>
          <w:kern w:val="0"/>
          <w:sz w:val="21"/>
          <w:szCs w:val="21"/>
          <w:highlight w:val="none"/>
          <w:u w:val="single"/>
          <w:lang w:val="en-US" w:eastAsia="zh-CN"/>
        </w:rPr>
        <w:t xml:space="preserve">                  </w:t>
      </w:r>
    </w:p>
    <w:p w14:paraId="4332D35C">
      <w:pPr>
        <w:autoSpaceDE w:val="0"/>
        <w:autoSpaceDN w:val="0"/>
        <w:spacing w:line="360" w:lineRule="auto"/>
        <w:ind w:firstLine="6720" w:firstLineChars="3200"/>
        <w:rPr>
          <w:rFonts w:hint="eastAsia" w:ascii="宋体" w:hAnsi="宋体" w:cs="宋体"/>
          <w:color w:val="auto"/>
          <w:kern w:val="0"/>
          <w:sz w:val="21"/>
          <w:szCs w:val="21"/>
          <w:highlight w:val="none"/>
          <w:lang w:val="zh-CN"/>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D25326B">
      <w:pPr>
        <w:autoSpaceDE w:val="0"/>
        <w:autoSpaceDN w:val="0"/>
        <w:spacing w:line="360" w:lineRule="auto"/>
        <w:ind w:firstLine="6930" w:firstLineChars="3300"/>
        <w:rPr>
          <w:rFonts w:hint="eastAsia" w:ascii="宋体" w:hAnsi="宋体" w:cs="宋体"/>
          <w:color w:val="auto"/>
          <w:kern w:val="0"/>
          <w:sz w:val="21"/>
          <w:szCs w:val="21"/>
          <w:highlight w:val="none"/>
          <w:lang w:val="zh-CN"/>
        </w:rPr>
      </w:pPr>
    </w:p>
    <w:p w14:paraId="73459C12">
      <w:pPr>
        <w:autoSpaceDE w:val="0"/>
        <w:autoSpaceDN w:val="0"/>
        <w:spacing w:line="360" w:lineRule="auto"/>
        <w:ind w:firstLine="6930" w:firstLineChars="3300"/>
        <w:rPr>
          <w:rFonts w:hint="eastAsia" w:ascii="宋体" w:hAnsi="宋体" w:cs="宋体"/>
          <w:color w:val="auto"/>
          <w:kern w:val="0"/>
          <w:sz w:val="21"/>
          <w:szCs w:val="21"/>
          <w:highlight w:val="none"/>
          <w:lang w:val="zh-CN"/>
        </w:rPr>
      </w:pPr>
    </w:p>
    <w:p w14:paraId="27745F2D">
      <w:pPr>
        <w:autoSpaceDE w:val="0"/>
        <w:autoSpaceDN w:val="0"/>
        <w:spacing w:line="360" w:lineRule="auto"/>
        <w:ind w:firstLine="6930" w:firstLineChars="3300"/>
        <w:rPr>
          <w:rFonts w:hint="eastAsia" w:ascii="宋体" w:hAnsi="宋体" w:cs="宋体"/>
          <w:color w:val="auto"/>
          <w:kern w:val="0"/>
          <w:sz w:val="21"/>
          <w:szCs w:val="21"/>
          <w:highlight w:val="none"/>
          <w:lang w:val="zh-CN"/>
        </w:rPr>
      </w:pPr>
    </w:p>
    <w:p w14:paraId="5ADE3C8F">
      <w:pPr>
        <w:autoSpaceDE w:val="0"/>
        <w:autoSpaceDN w:val="0"/>
        <w:spacing w:line="360" w:lineRule="auto"/>
        <w:ind w:firstLine="6930" w:firstLineChars="3300"/>
        <w:rPr>
          <w:rFonts w:hint="eastAsia" w:ascii="宋体" w:hAnsi="宋体" w:cs="宋体"/>
          <w:color w:val="auto"/>
          <w:kern w:val="0"/>
          <w:sz w:val="21"/>
          <w:szCs w:val="21"/>
          <w:highlight w:val="none"/>
          <w:lang w:val="zh-CN"/>
        </w:rPr>
      </w:pPr>
    </w:p>
    <w:p w14:paraId="4539D82C">
      <w:pPr>
        <w:adjustRightInd w:val="0"/>
        <w:snapToGrid w:val="0"/>
        <w:spacing w:line="300" w:lineRule="auto"/>
        <w:jc w:val="both"/>
        <w:rPr>
          <w:rFonts w:hint="eastAsia" w:ascii="方正小标宋简体" w:hAnsi="方正小标宋简体" w:eastAsia="方正小标宋简体" w:cs="方正小标宋简体"/>
          <w:bCs/>
          <w:color w:val="auto"/>
          <w:sz w:val="28"/>
          <w:szCs w:val="28"/>
          <w:highlight w:val="none"/>
          <w:lang w:val="en-US" w:eastAsia="zh-CN"/>
        </w:rPr>
      </w:pPr>
    </w:p>
    <w:p w14:paraId="5FF59745">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p>
    <w:p w14:paraId="7377D62A">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p>
    <w:p w14:paraId="595B92A1">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p>
    <w:p w14:paraId="72AB3125">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p>
    <w:p w14:paraId="2376EC88">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lang w:val="en-US" w:eastAsia="zh-CN"/>
        </w:rPr>
      </w:pPr>
    </w:p>
    <w:p w14:paraId="6B6E404A">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lang w:val="en-US" w:eastAsia="zh-CN"/>
        </w:rPr>
        <w:t>技术</w:t>
      </w:r>
      <w:r>
        <w:rPr>
          <w:rFonts w:hint="eastAsia" w:ascii="方正小标宋简体" w:hAnsi="方正小标宋简体" w:eastAsia="方正小标宋简体" w:cs="方正小标宋简体"/>
          <w:bCs/>
          <w:color w:val="auto"/>
          <w:sz w:val="28"/>
          <w:szCs w:val="28"/>
          <w:highlight w:val="none"/>
        </w:rPr>
        <w:t>需求偏离表</w:t>
      </w:r>
    </w:p>
    <w:p w14:paraId="22FE2E24">
      <w:pPr>
        <w:spacing w:line="520" w:lineRule="exact"/>
        <w:rPr>
          <w:rFonts w:hint="eastAsia" w:ascii="仿宋_GB2312" w:hAnsi="仿宋_GB2312" w:eastAsia="仿宋_GB2312" w:cs="仿宋_GB2312"/>
          <w:color w:val="auto"/>
          <w:sz w:val="32"/>
          <w:szCs w:val="32"/>
          <w:highlight w:val="none"/>
        </w:rPr>
      </w:pPr>
    </w:p>
    <w:p w14:paraId="44E50529">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项目编号：</w:t>
      </w:r>
      <w:r>
        <w:rPr>
          <w:rFonts w:hint="eastAsia" w:asciiTheme="minorEastAsia" w:hAnsiTheme="minorEastAsia" w:eastAsiaTheme="minorEastAsia" w:cstheme="minorEastAsia"/>
          <w:color w:val="auto"/>
          <w:sz w:val="21"/>
          <w:szCs w:val="21"/>
          <w:highlight w:val="none"/>
          <w:u w:val="single"/>
        </w:rPr>
        <w:t xml:space="preserve">                 </w:t>
      </w:r>
    </w:p>
    <w:p w14:paraId="6C3F7DD4">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项目名称：</w:t>
      </w:r>
      <w:r>
        <w:rPr>
          <w:rFonts w:hint="eastAsia" w:asciiTheme="minorEastAsia" w:hAnsiTheme="minorEastAsia" w:eastAsiaTheme="minorEastAsia" w:cstheme="minorEastAsia"/>
          <w:color w:val="auto"/>
          <w:sz w:val="21"/>
          <w:szCs w:val="21"/>
          <w:highlight w:val="none"/>
          <w:u w:val="single"/>
        </w:rPr>
        <w:t xml:space="preserve">                 </w:t>
      </w:r>
    </w:p>
    <w:tbl>
      <w:tblPr>
        <w:tblStyle w:val="20"/>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1430"/>
        <w:gridCol w:w="2523"/>
        <w:gridCol w:w="2734"/>
        <w:gridCol w:w="1492"/>
      </w:tblGrid>
      <w:tr w14:paraId="7DF5E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16" w:type="dxa"/>
            <w:noWrap w:val="0"/>
            <w:vAlign w:val="center"/>
          </w:tcPr>
          <w:p w14:paraId="53D820F7">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51" w:name="_Toc254970588"/>
            <w:bookmarkStart w:id="52" w:name="_Toc173066401"/>
            <w:bookmarkStart w:id="53" w:name="_Toc297193185"/>
            <w:bookmarkStart w:id="54" w:name="_Toc254970729"/>
            <w:bookmarkStart w:id="55" w:name="_Toc373333689"/>
            <w:bookmarkStart w:id="56" w:name="_Toc383699906"/>
            <w:bookmarkStart w:id="57" w:name="_Toc301781611"/>
            <w:bookmarkStart w:id="58" w:name="_Toc295404981"/>
            <w:bookmarkStart w:id="59" w:name="_Toc173211900"/>
            <w:r>
              <w:rPr>
                <w:rFonts w:hint="eastAsia" w:asciiTheme="minorEastAsia" w:hAnsiTheme="minorEastAsia" w:eastAsiaTheme="minorEastAsia" w:cstheme="minorEastAsia"/>
                <w:color w:val="auto"/>
                <w:kern w:val="2"/>
                <w:sz w:val="21"/>
                <w:szCs w:val="21"/>
                <w:highlight w:val="none"/>
                <w:lang w:val="en-US" w:eastAsia="zh-CN"/>
              </w:rPr>
              <w:t>序号</w:t>
            </w:r>
            <w:bookmarkEnd w:id="51"/>
            <w:bookmarkEnd w:id="52"/>
            <w:bookmarkEnd w:id="53"/>
            <w:bookmarkEnd w:id="54"/>
            <w:bookmarkEnd w:id="55"/>
            <w:bookmarkEnd w:id="56"/>
            <w:bookmarkEnd w:id="57"/>
            <w:bookmarkEnd w:id="58"/>
            <w:bookmarkEnd w:id="59"/>
          </w:p>
        </w:tc>
        <w:tc>
          <w:tcPr>
            <w:tcW w:w="1430" w:type="dxa"/>
            <w:tcBorders>
              <w:right w:val="single" w:color="auto" w:sz="4" w:space="0"/>
            </w:tcBorders>
            <w:noWrap w:val="0"/>
            <w:vAlign w:val="center"/>
          </w:tcPr>
          <w:p w14:paraId="37E28D06">
            <w:pPr>
              <w:pStyle w:val="11"/>
              <w:spacing w:line="360" w:lineRule="auto"/>
              <w:ind w:firstLine="0" w:firstLineChars="0"/>
              <w:jc w:val="center"/>
              <w:rPr>
                <w:rFonts w:hint="default" w:asciiTheme="minorEastAsia" w:hAnsiTheme="minorEastAsia" w:eastAsiaTheme="minorEastAsia" w:cstheme="minorEastAsia"/>
                <w:color w:val="auto"/>
                <w:kern w:val="2"/>
                <w:sz w:val="21"/>
                <w:szCs w:val="21"/>
                <w:highlight w:val="none"/>
                <w:lang w:val="en-US" w:eastAsia="zh-CN"/>
              </w:rPr>
            </w:pPr>
            <w:r>
              <w:rPr>
                <w:rFonts w:hint="default" w:asciiTheme="minorEastAsia" w:hAnsiTheme="minorEastAsia" w:eastAsiaTheme="minorEastAsia" w:cstheme="minorEastAsia"/>
                <w:color w:val="auto"/>
                <w:kern w:val="2"/>
                <w:sz w:val="21"/>
                <w:szCs w:val="21"/>
                <w:highlight w:val="none"/>
                <w:lang w:val="en-US" w:eastAsia="zh-CN"/>
              </w:rPr>
              <w:t>标的名称</w:t>
            </w:r>
          </w:p>
        </w:tc>
        <w:tc>
          <w:tcPr>
            <w:tcW w:w="2523" w:type="dxa"/>
            <w:tcBorders>
              <w:left w:val="single" w:color="auto" w:sz="4" w:space="0"/>
            </w:tcBorders>
            <w:noWrap w:val="0"/>
            <w:vAlign w:val="center"/>
          </w:tcPr>
          <w:p w14:paraId="0F46DB1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谈判文件技术需求</w:t>
            </w:r>
          </w:p>
        </w:tc>
        <w:tc>
          <w:tcPr>
            <w:tcW w:w="2734" w:type="dxa"/>
            <w:noWrap w:val="0"/>
            <w:vAlign w:val="center"/>
          </w:tcPr>
          <w:p w14:paraId="3C2C20BF">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60" w:name="_Toc173066403"/>
            <w:bookmarkStart w:id="61" w:name="_Toc295404983"/>
            <w:bookmarkStart w:id="62" w:name="_Toc301781613"/>
            <w:bookmarkStart w:id="63" w:name="_Toc254970590"/>
            <w:bookmarkStart w:id="64" w:name="_Toc373333691"/>
            <w:bookmarkStart w:id="65" w:name="_Toc383699908"/>
            <w:bookmarkStart w:id="66" w:name="_Toc297193187"/>
            <w:bookmarkStart w:id="67" w:name="_Toc254970731"/>
            <w:bookmarkStart w:id="68" w:name="_Toc173211902"/>
            <w:r>
              <w:rPr>
                <w:rFonts w:hint="eastAsia" w:asciiTheme="minorEastAsia" w:hAnsiTheme="minorEastAsia" w:eastAsiaTheme="minorEastAsia" w:cstheme="minorEastAsia"/>
                <w:color w:val="auto"/>
                <w:kern w:val="2"/>
                <w:sz w:val="21"/>
                <w:szCs w:val="21"/>
                <w:highlight w:val="none"/>
                <w:lang w:val="en-US" w:eastAsia="zh-CN"/>
              </w:rPr>
              <w:t>竞标响应</w:t>
            </w:r>
            <w:bookmarkEnd w:id="60"/>
            <w:bookmarkEnd w:id="61"/>
            <w:bookmarkEnd w:id="62"/>
            <w:bookmarkEnd w:id="63"/>
            <w:bookmarkEnd w:id="64"/>
            <w:bookmarkEnd w:id="65"/>
            <w:bookmarkEnd w:id="66"/>
            <w:bookmarkEnd w:id="67"/>
            <w:bookmarkEnd w:id="68"/>
          </w:p>
        </w:tc>
        <w:tc>
          <w:tcPr>
            <w:tcW w:w="1492" w:type="dxa"/>
            <w:noWrap w:val="0"/>
            <w:vAlign w:val="center"/>
          </w:tcPr>
          <w:p w14:paraId="6F5D5F41">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69" w:name="_Toc295404984"/>
            <w:bookmarkStart w:id="70" w:name="_Toc173211903"/>
            <w:bookmarkStart w:id="71" w:name="_Toc297193188"/>
            <w:bookmarkStart w:id="72" w:name="_Toc254970591"/>
            <w:bookmarkStart w:id="73" w:name="_Toc173066404"/>
            <w:bookmarkStart w:id="74" w:name="_Toc301781614"/>
            <w:bookmarkStart w:id="75" w:name="_Toc383699909"/>
            <w:bookmarkStart w:id="76" w:name="_Toc254970732"/>
            <w:bookmarkStart w:id="77" w:name="_Toc373333692"/>
            <w:r>
              <w:rPr>
                <w:rFonts w:hint="eastAsia" w:asciiTheme="minorEastAsia" w:hAnsiTheme="minorEastAsia" w:eastAsiaTheme="minorEastAsia" w:cstheme="minorEastAsia"/>
                <w:color w:val="auto"/>
                <w:kern w:val="2"/>
                <w:sz w:val="21"/>
                <w:szCs w:val="21"/>
                <w:highlight w:val="none"/>
                <w:lang w:val="en-US" w:eastAsia="zh-CN"/>
              </w:rPr>
              <w:t>偏离</w:t>
            </w:r>
            <w:bookmarkEnd w:id="69"/>
            <w:bookmarkEnd w:id="70"/>
            <w:bookmarkEnd w:id="71"/>
            <w:bookmarkEnd w:id="72"/>
            <w:bookmarkEnd w:id="73"/>
            <w:bookmarkEnd w:id="74"/>
            <w:bookmarkEnd w:id="75"/>
            <w:bookmarkEnd w:id="76"/>
            <w:bookmarkEnd w:id="77"/>
            <w:bookmarkStart w:id="78" w:name="_Toc254970592"/>
            <w:bookmarkStart w:id="79" w:name="_Toc383699910"/>
            <w:bookmarkStart w:id="80" w:name="_Toc254970733"/>
            <w:bookmarkStart w:id="81" w:name="_Toc295404985"/>
            <w:bookmarkStart w:id="82" w:name="_Toc297193189"/>
            <w:bookmarkStart w:id="83" w:name="_Toc173211904"/>
            <w:bookmarkStart w:id="84" w:name="_Toc373333693"/>
            <w:bookmarkStart w:id="85" w:name="_Toc301781615"/>
            <w:bookmarkStart w:id="86" w:name="_Toc173066405"/>
            <w:r>
              <w:rPr>
                <w:rFonts w:hint="eastAsia" w:asciiTheme="minorEastAsia" w:hAnsiTheme="minorEastAsia" w:eastAsiaTheme="minorEastAsia" w:cstheme="minorEastAsia"/>
                <w:color w:val="auto"/>
                <w:kern w:val="2"/>
                <w:sz w:val="21"/>
                <w:szCs w:val="21"/>
                <w:highlight w:val="none"/>
                <w:lang w:val="en-US" w:eastAsia="zh-CN"/>
              </w:rPr>
              <w:t>说明</w:t>
            </w:r>
            <w:bookmarkEnd w:id="78"/>
            <w:bookmarkEnd w:id="79"/>
            <w:bookmarkEnd w:id="80"/>
            <w:bookmarkEnd w:id="81"/>
            <w:bookmarkEnd w:id="82"/>
            <w:bookmarkEnd w:id="83"/>
            <w:bookmarkEnd w:id="84"/>
            <w:bookmarkEnd w:id="85"/>
            <w:bookmarkEnd w:id="86"/>
          </w:p>
        </w:tc>
      </w:tr>
      <w:tr w14:paraId="58AE7B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BBA1E38">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87" w:name="_Toc254970734"/>
            <w:bookmarkStart w:id="88" w:name="_Toc173066406"/>
            <w:bookmarkStart w:id="89" w:name="_Toc173211905"/>
            <w:bookmarkStart w:id="90" w:name="_Toc373333694"/>
            <w:bookmarkStart w:id="91" w:name="_Toc297193190"/>
            <w:bookmarkStart w:id="92" w:name="_Toc383699911"/>
            <w:bookmarkStart w:id="93" w:name="_Toc301781616"/>
            <w:bookmarkStart w:id="94" w:name="_Toc254970593"/>
            <w:bookmarkStart w:id="95" w:name="_Toc295404986"/>
            <w:r>
              <w:rPr>
                <w:rFonts w:hint="eastAsia" w:asciiTheme="minorEastAsia" w:hAnsiTheme="minorEastAsia" w:eastAsiaTheme="minorEastAsia" w:cstheme="minorEastAsia"/>
                <w:color w:val="auto"/>
                <w:kern w:val="2"/>
                <w:sz w:val="21"/>
                <w:szCs w:val="21"/>
                <w:highlight w:val="none"/>
                <w:lang w:val="en-US" w:eastAsia="zh-CN"/>
              </w:rPr>
              <w:t>1</w:t>
            </w:r>
            <w:bookmarkEnd w:id="87"/>
            <w:bookmarkEnd w:id="88"/>
            <w:bookmarkEnd w:id="89"/>
            <w:bookmarkEnd w:id="90"/>
            <w:bookmarkEnd w:id="91"/>
            <w:bookmarkEnd w:id="92"/>
            <w:bookmarkEnd w:id="93"/>
            <w:bookmarkEnd w:id="94"/>
            <w:bookmarkEnd w:id="95"/>
          </w:p>
        </w:tc>
        <w:tc>
          <w:tcPr>
            <w:tcW w:w="1430" w:type="dxa"/>
            <w:tcBorders>
              <w:right w:val="single" w:color="auto" w:sz="4" w:space="0"/>
            </w:tcBorders>
            <w:noWrap w:val="0"/>
            <w:vAlign w:val="center"/>
          </w:tcPr>
          <w:p w14:paraId="00F8C923">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6A4352D4">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624500DE">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noWrap w:val="0"/>
            <w:vAlign w:val="center"/>
          </w:tcPr>
          <w:p w14:paraId="2D8EC1E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r w14:paraId="0482CB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1387A451">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96" w:name="_Toc254970735"/>
            <w:bookmarkStart w:id="97" w:name="_Toc383699912"/>
            <w:bookmarkStart w:id="98" w:name="_Toc254970594"/>
            <w:bookmarkStart w:id="99" w:name="_Toc373333695"/>
            <w:bookmarkStart w:id="100" w:name="_Toc297193191"/>
            <w:bookmarkStart w:id="101" w:name="_Toc173211906"/>
            <w:bookmarkStart w:id="102" w:name="_Toc173066407"/>
            <w:bookmarkStart w:id="103" w:name="_Toc301781617"/>
            <w:bookmarkStart w:id="104" w:name="_Toc295404987"/>
            <w:r>
              <w:rPr>
                <w:rFonts w:hint="eastAsia" w:asciiTheme="minorEastAsia" w:hAnsiTheme="minorEastAsia" w:eastAsiaTheme="minorEastAsia" w:cstheme="minorEastAsia"/>
                <w:color w:val="auto"/>
                <w:kern w:val="2"/>
                <w:sz w:val="21"/>
                <w:szCs w:val="21"/>
                <w:highlight w:val="none"/>
                <w:lang w:val="en-US" w:eastAsia="zh-CN"/>
              </w:rPr>
              <w:t>2</w:t>
            </w:r>
            <w:bookmarkEnd w:id="96"/>
            <w:bookmarkEnd w:id="97"/>
            <w:bookmarkEnd w:id="98"/>
            <w:bookmarkEnd w:id="99"/>
            <w:bookmarkEnd w:id="100"/>
            <w:bookmarkEnd w:id="101"/>
            <w:bookmarkEnd w:id="102"/>
            <w:bookmarkEnd w:id="103"/>
            <w:bookmarkEnd w:id="104"/>
          </w:p>
        </w:tc>
        <w:tc>
          <w:tcPr>
            <w:tcW w:w="1430" w:type="dxa"/>
            <w:tcBorders>
              <w:right w:val="single" w:color="auto" w:sz="4" w:space="0"/>
            </w:tcBorders>
            <w:noWrap w:val="0"/>
            <w:vAlign w:val="center"/>
          </w:tcPr>
          <w:p w14:paraId="21C2993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720D8903">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2B76C1B1">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noWrap w:val="0"/>
            <w:vAlign w:val="center"/>
          </w:tcPr>
          <w:p w14:paraId="3950CCD5">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r w14:paraId="7D7C36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014A3886">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105" w:name="_Toc383699913"/>
            <w:bookmarkStart w:id="106" w:name="_Toc173211907"/>
            <w:bookmarkStart w:id="107" w:name="_Toc173066408"/>
            <w:bookmarkStart w:id="108" w:name="_Toc295404988"/>
            <w:bookmarkStart w:id="109" w:name="_Toc254970736"/>
            <w:bookmarkStart w:id="110" w:name="_Toc254970595"/>
            <w:bookmarkStart w:id="111" w:name="_Toc297193192"/>
            <w:bookmarkStart w:id="112" w:name="_Toc301781618"/>
            <w:bookmarkStart w:id="113" w:name="_Toc373333696"/>
            <w:r>
              <w:rPr>
                <w:rFonts w:hint="eastAsia" w:asciiTheme="minorEastAsia" w:hAnsiTheme="minorEastAsia" w:eastAsiaTheme="minorEastAsia" w:cstheme="minorEastAsia"/>
                <w:color w:val="auto"/>
                <w:kern w:val="2"/>
                <w:sz w:val="21"/>
                <w:szCs w:val="21"/>
                <w:highlight w:val="none"/>
                <w:lang w:val="en-US" w:eastAsia="zh-CN"/>
              </w:rPr>
              <w:t>3</w:t>
            </w:r>
            <w:bookmarkEnd w:id="105"/>
            <w:bookmarkEnd w:id="106"/>
            <w:bookmarkEnd w:id="107"/>
            <w:bookmarkEnd w:id="108"/>
            <w:bookmarkEnd w:id="109"/>
            <w:bookmarkEnd w:id="110"/>
            <w:bookmarkEnd w:id="111"/>
            <w:bookmarkEnd w:id="112"/>
            <w:bookmarkEnd w:id="113"/>
          </w:p>
        </w:tc>
        <w:tc>
          <w:tcPr>
            <w:tcW w:w="1430" w:type="dxa"/>
            <w:tcBorders>
              <w:right w:val="single" w:color="auto" w:sz="4" w:space="0"/>
            </w:tcBorders>
            <w:noWrap w:val="0"/>
            <w:vAlign w:val="center"/>
          </w:tcPr>
          <w:p w14:paraId="46B34CAA">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3A0C6BF8">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09E399A2">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noWrap w:val="0"/>
            <w:vAlign w:val="center"/>
          </w:tcPr>
          <w:p w14:paraId="667799FC">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r w14:paraId="7EDE22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72F6C3B">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114" w:name="_Toc173066409"/>
            <w:bookmarkStart w:id="115" w:name="_Toc254970596"/>
            <w:bookmarkStart w:id="116" w:name="_Toc173211908"/>
            <w:bookmarkStart w:id="117" w:name="_Toc254970737"/>
            <w:bookmarkStart w:id="118" w:name="_Toc301781619"/>
            <w:bookmarkStart w:id="119" w:name="_Toc297193193"/>
            <w:bookmarkStart w:id="120" w:name="_Toc373333697"/>
            <w:bookmarkStart w:id="121" w:name="_Toc295404989"/>
            <w:bookmarkStart w:id="122" w:name="_Toc383699914"/>
            <w:r>
              <w:rPr>
                <w:rFonts w:hint="eastAsia" w:asciiTheme="minorEastAsia" w:hAnsiTheme="minorEastAsia" w:eastAsiaTheme="minorEastAsia" w:cstheme="minorEastAsia"/>
                <w:color w:val="auto"/>
                <w:kern w:val="2"/>
                <w:sz w:val="21"/>
                <w:szCs w:val="21"/>
                <w:highlight w:val="none"/>
                <w:lang w:val="en-US" w:eastAsia="zh-CN"/>
              </w:rPr>
              <w:t>4</w:t>
            </w:r>
            <w:bookmarkEnd w:id="114"/>
            <w:bookmarkEnd w:id="115"/>
            <w:bookmarkEnd w:id="116"/>
            <w:bookmarkEnd w:id="117"/>
            <w:bookmarkEnd w:id="118"/>
            <w:bookmarkEnd w:id="119"/>
            <w:bookmarkEnd w:id="120"/>
            <w:bookmarkEnd w:id="121"/>
            <w:bookmarkEnd w:id="122"/>
          </w:p>
        </w:tc>
        <w:tc>
          <w:tcPr>
            <w:tcW w:w="1430" w:type="dxa"/>
            <w:tcBorders>
              <w:right w:val="single" w:color="auto" w:sz="4" w:space="0"/>
            </w:tcBorders>
            <w:noWrap w:val="0"/>
            <w:vAlign w:val="center"/>
          </w:tcPr>
          <w:p w14:paraId="5CB398A7">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085370E8">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7C941580">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noWrap w:val="0"/>
            <w:vAlign w:val="center"/>
          </w:tcPr>
          <w:p w14:paraId="75ACDA3C">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r w14:paraId="31B83B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E9554D3">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123" w:name="_Toc173066410"/>
            <w:bookmarkStart w:id="124" w:name="_Toc301781620"/>
            <w:bookmarkStart w:id="125" w:name="_Toc383699915"/>
            <w:bookmarkStart w:id="126" w:name="_Toc254970597"/>
            <w:bookmarkStart w:id="127" w:name="_Toc254970738"/>
            <w:bookmarkStart w:id="128" w:name="_Toc295404990"/>
            <w:bookmarkStart w:id="129" w:name="_Toc173211909"/>
            <w:bookmarkStart w:id="130" w:name="_Toc373333698"/>
            <w:bookmarkStart w:id="131" w:name="_Toc297193194"/>
            <w:r>
              <w:rPr>
                <w:rFonts w:hint="eastAsia" w:asciiTheme="minorEastAsia" w:hAnsiTheme="minorEastAsia" w:eastAsiaTheme="minorEastAsia" w:cstheme="minorEastAsia"/>
                <w:color w:val="auto"/>
                <w:kern w:val="2"/>
                <w:sz w:val="21"/>
                <w:szCs w:val="21"/>
                <w:highlight w:val="none"/>
                <w:lang w:val="en-US" w:eastAsia="zh-CN"/>
              </w:rPr>
              <w:t>5</w:t>
            </w:r>
            <w:bookmarkEnd w:id="123"/>
            <w:bookmarkEnd w:id="124"/>
            <w:bookmarkEnd w:id="125"/>
            <w:bookmarkEnd w:id="126"/>
            <w:bookmarkEnd w:id="127"/>
            <w:bookmarkEnd w:id="128"/>
            <w:bookmarkEnd w:id="129"/>
            <w:bookmarkEnd w:id="130"/>
            <w:bookmarkEnd w:id="131"/>
          </w:p>
        </w:tc>
        <w:tc>
          <w:tcPr>
            <w:tcW w:w="1430" w:type="dxa"/>
            <w:tcBorders>
              <w:right w:val="single" w:color="auto" w:sz="4" w:space="0"/>
            </w:tcBorders>
            <w:noWrap w:val="0"/>
            <w:vAlign w:val="center"/>
          </w:tcPr>
          <w:p w14:paraId="78A9F091">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141905A5">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50134F9C">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noWrap w:val="0"/>
            <w:vAlign w:val="center"/>
          </w:tcPr>
          <w:p w14:paraId="1168822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r w14:paraId="7F32AB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noWrap w:val="0"/>
            <w:vAlign w:val="center"/>
          </w:tcPr>
          <w:p w14:paraId="3243AA71">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bookmarkStart w:id="132" w:name="_Toc373333699"/>
            <w:bookmarkStart w:id="133" w:name="_Toc254970602"/>
            <w:bookmarkStart w:id="134" w:name="_Toc297193195"/>
            <w:bookmarkStart w:id="135" w:name="_Toc173211914"/>
            <w:bookmarkStart w:id="136" w:name="_Toc295404991"/>
            <w:bookmarkStart w:id="137" w:name="_Toc383699916"/>
            <w:bookmarkStart w:id="138" w:name="_Toc254970743"/>
            <w:bookmarkStart w:id="139" w:name="_Toc301781621"/>
            <w:bookmarkStart w:id="140" w:name="_Toc173066415"/>
            <w:r>
              <w:rPr>
                <w:rFonts w:hint="eastAsia" w:asciiTheme="minorEastAsia" w:hAnsiTheme="minorEastAsia" w:eastAsiaTheme="minorEastAsia" w:cstheme="minorEastAsia"/>
                <w:color w:val="auto"/>
                <w:kern w:val="2"/>
                <w:sz w:val="21"/>
                <w:szCs w:val="21"/>
                <w:highlight w:val="none"/>
                <w:lang w:val="en-US" w:eastAsia="zh-CN"/>
              </w:rPr>
              <w:t>…</w:t>
            </w:r>
            <w:bookmarkEnd w:id="132"/>
            <w:bookmarkEnd w:id="133"/>
            <w:bookmarkEnd w:id="134"/>
            <w:bookmarkEnd w:id="135"/>
            <w:bookmarkEnd w:id="136"/>
            <w:bookmarkEnd w:id="137"/>
            <w:bookmarkEnd w:id="138"/>
            <w:bookmarkEnd w:id="139"/>
            <w:bookmarkEnd w:id="140"/>
          </w:p>
        </w:tc>
        <w:tc>
          <w:tcPr>
            <w:tcW w:w="1430" w:type="dxa"/>
            <w:tcBorders>
              <w:right w:val="single" w:color="auto" w:sz="4" w:space="0"/>
            </w:tcBorders>
            <w:noWrap w:val="0"/>
            <w:vAlign w:val="center"/>
          </w:tcPr>
          <w:p w14:paraId="697E9D1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523" w:type="dxa"/>
            <w:tcBorders>
              <w:left w:val="single" w:color="auto" w:sz="4" w:space="0"/>
            </w:tcBorders>
            <w:noWrap w:val="0"/>
            <w:vAlign w:val="center"/>
          </w:tcPr>
          <w:p w14:paraId="3D269429">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2734" w:type="dxa"/>
            <w:noWrap w:val="0"/>
            <w:vAlign w:val="center"/>
          </w:tcPr>
          <w:p w14:paraId="16D6DA25">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c>
          <w:tcPr>
            <w:tcW w:w="1492" w:type="dxa"/>
            <w:tcBorders>
              <w:right w:val="single" w:color="auto" w:sz="4" w:space="0"/>
            </w:tcBorders>
            <w:noWrap w:val="0"/>
            <w:vAlign w:val="center"/>
          </w:tcPr>
          <w:p w14:paraId="42CB061D">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tc>
      </w:tr>
    </w:tbl>
    <w:p w14:paraId="0FF54FDB">
      <w:pPr>
        <w:pStyle w:val="11"/>
        <w:spacing w:line="360" w:lineRule="auto"/>
        <w:ind w:firstLine="420" w:firstLineChars="200"/>
        <w:jc w:val="left"/>
        <w:rPr>
          <w:rFonts w:hint="eastAsia" w:asciiTheme="minorEastAsia" w:hAnsiTheme="minorEastAsia" w:eastAsiaTheme="minorEastAsia" w:cstheme="minorEastAsia"/>
          <w:color w:val="auto"/>
          <w:kern w:val="2"/>
          <w:sz w:val="21"/>
          <w:szCs w:val="21"/>
          <w:highlight w:val="none"/>
          <w:lang w:val="en-US" w:eastAsia="zh-CN"/>
        </w:rPr>
      </w:pPr>
    </w:p>
    <w:p w14:paraId="2D8FB983">
      <w:pPr>
        <w:pStyle w:val="11"/>
        <w:spacing w:line="360" w:lineRule="auto"/>
        <w:ind w:firstLine="420" w:firstLineChars="200"/>
        <w:jc w:val="left"/>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注：</w:t>
      </w:r>
    </w:p>
    <w:p w14:paraId="0CDE9518">
      <w:pPr>
        <w:pStyle w:val="11"/>
        <w:spacing w:line="360" w:lineRule="auto"/>
        <w:ind w:firstLine="420" w:firstLineChars="200"/>
        <w:jc w:val="left"/>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1. 说明：应对照谈判文件“第三章 采购需求”中的技术需求逐条实质性响应，并作出偏离说明。</w:t>
      </w:r>
    </w:p>
    <w:p w14:paraId="1454E158">
      <w:pPr>
        <w:pStyle w:val="11"/>
        <w:spacing w:line="360" w:lineRule="auto"/>
        <w:ind w:firstLine="420" w:firstLineChars="200"/>
        <w:jc w:val="left"/>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2.供应商应根据自身的承诺，对照谈判文件要求，在“偏离说明”中注明“正偏离”、“负偏离”或者“无偏离”。既不属于“正偏离”也不属于“负偏离”即为“无偏离”。</w:t>
      </w:r>
    </w:p>
    <w:p w14:paraId="4811C674">
      <w:pPr>
        <w:pStyle w:val="11"/>
        <w:spacing w:line="360" w:lineRule="auto"/>
        <w:ind w:firstLine="420" w:firstLineChars="200"/>
        <w:jc w:val="both"/>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 xml:space="preserve">3.供应商认为其竞标响应有正偏离的，请在技术需求偏离表中列明，且在响应文件中提供竞标产品的彩页或国家认可有资质的第三方检测机构出具的检测报告复印件或产品生产厂家出具的技术参数说明证明作为佐证，以上佐证材料均需加盖供应商公章。 </w:t>
      </w:r>
    </w:p>
    <w:p w14:paraId="0E2A78F9">
      <w:pPr>
        <w:pStyle w:val="11"/>
        <w:spacing w:line="360" w:lineRule="auto"/>
        <w:ind w:firstLine="420" w:firstLineChars="200"/>
        <w:jc w:val="left"/>
        <w:rPr>
          <w:rFonts w:hint="eastAsia" w:ascii="宋体" w:hAnsi="宋体" w:eastAsia="宋体" w:cs="宋体"/>
          <w:bCs/>
          <w:color w:val="auto"/>
          <w:sz w:val="40"/>
          <w:szCs w:val="40"/>
          <w:highlight w:val="none"/>
        </w:rPr>
      </w:pPr>
      <w:r>
        <w:rPr>
          <w:rFonts w:hint="eastAsia" w:asciiTheme="minorEastAsia" w:hAnsiTheme="minorEastAsia" w:eastAsiaTheme="minorEastAsia" w:cstheme="minorEastAsia"/>
          <w:color w:val="auto"/>
          <w:kern w:val="2"/>
          <w:sz w:val="21"/>
          <w:szCs w:val="21"/>
          <w:highlight w:val="none"/>
          <w:lang w:val="en-US" w:eastAsia="zh-CN"/>
        </w:rPr>
        <w:t>4.如技术要求偏离表中的竞标响应与佐证材料不一致的，以佐证材料为准。</w:t>
      </w:r>
      <w:r>
        <w:rPr>
          <w:rFonts w:hint="eastAsia" w:ascii="宋体" w:hAnsi="宋体" w:eastAsia="宋体" w:cs="宋体"/>
          <w:bCs/>
          <w:color w:val="auto"/>
          <w:sz w:val="40"/>
          <w:szCs w:val="40"/>
          <w:highlight w:val="none"/>
          <w:lang w:val="en-US" w:eastAsia="zh-CN"/>
        </w:rPr>
        <w:t xml:space="preserve"> </w:t>
      </w:r>
    </w:p>
    <w:p w14:paraId="75DF9AD4">
      <w:pPr>
        <w:pStyle w:val="2"/>
        <w:rPr>
          <w:rFonts w:hint="eastAsia" w:ascii="宋体" w:hAnsi="宋体" w:eastAsia="宋体" w:cs="宋体"/>
          <w:bCs/>
          <w:color w:val="auto"/>
          <w:sz w:val="40"/>
          <w:szCs w:val="40"/>
          <w:highlight w:val="none"/>
        </w:rPr>
      </w:pPr>
    </w:p>
    <w:p w14:paraId="25B3D206">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p>
    <w:p w14:paraId="579B1082">
      <w:pPr>
        <w:pStyle w:val="11"/>
        <w:spacing w:line="360" w:lineRule="auto"/>
        <w:ind w:firstLine="0" w:firstLineChars="0"/>
        <w:jc w:val="both"/>
        <w:rPr>
          <w:rFonts w:hint="default" w:asciiTheme="minorEastAsia" w:hAnsiTheme="minorEastAsia" w:eastAsiaTheme="minorEastAsia" w:cstheme="minorEastAsia"/>
          <w:color w:val="auto"/>
          <w:kern w:val="2"/>
          <w:sz w:val="21"/>
          <w:szCs w:val="21"/>
          <w:highlight w:val="none"/>
          <w:u w:val="single"/>
          <w:lang w:val="en-US" w:eastAsia="zh-CN"/>
        </w:rPr>
      </w:pPr>
      <w:r>
        <w:rPr>
          <w:rFonts w:hint="eastAsia" w:asciiTheme="minorEastAsia" w:hAnsiTheme="minorEastAsia" w:eastAsiaTheme="minorEastAsia" w:cstheme="minorEastAsia"/>
          <w:color w:val="auto"/>
          <w:kern w:val="2"/>
          <w:sz w:val="21"/>
          <w:szCs w:val="21"/>
          <w:highlight w:val="none"/>
          <w:lang w:val="en-US" w:eastAsia="zh-CN"/>
        </w:rPr>
        <w:t xml:space="preserve">                 法定代表人或者委托代理人（签字或盖章或电子签名）：</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p>
    <w:p w14:paraId="2E1BF07B">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 xml:space="preserve">                 供应商（电子签章）：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lang w:val="en-US" w:eastAsia="zh-CN"/>
        </w:rPr>
        <w:t xml:space="preserve">     </w:t>
      </w:r>
    </w:p>
    <w:p w14:paraId="354EFBE3">
      <w:pPr>
        <w:pStyle w:val="11"/>
        <w:spacing w:line="360" w:lineRule="auto"/>
        <w:ind w:firstLine="0" w:firstLineChars="0"/>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7A13544">
      <w:pPr>
        <w:adjustRightInd w:val="0"/>
        <w:snapToGrid w:val="0"/>
        <w:spacing w:line="520" w:lineRule="exact"/>
        <w:jc w:val="both"/>
        <w:rPr>
          <w:rFonts w:hint="default" w:ascii="宋体" w:hAnsi="宋体" w:eastAsia="宋体" w:cs="宋体"/>
          <w:bCs/>
          <w:color w:val="auto"/>
          <w:sz w:val="40"/>
          <w:szCs w:val="40"/>
          <w:highlight w:val="none"/>
          <w:lang w:val="en-US" w:eastAsia="zh-CN"/>
        </w:rPr>
      </w:pPr>
      <w:r>
        <w:rPr>
          <w:rFonts w:hint="eastAsia" w:ascii="宋体" w:hAnsi="宋体" w:cs="宋体"/>
          <w:bCs/>
          <w:color w:val="auto"/>
          <w:sz w:val="40"/>
          <w:szCs w:val="40"/>
          <w:highlight w:val="none"/>
          <w:lang w:val="en-US" w:eastAsia="zh-CN"/>
        </w:rPr>
        <w:t xml:space="preserve">             </w:t>
      </w:r>
    </w:p>
    <w:p w14:paraId="79513A3E">
      <w:pPr>
        <w:autoSpaceDE w:val="0"/>
        <w:autoSpaceDN w:val="0"/>
        <w:spacing w:line="360" w:lineRule="auto"/>
        <w:ind w:firstLine="6930" w:firstLineChars="3300"/>
        <w:rPr>
          <w:rFonts w:hint="eastAsia" w:ascii="宋体" w:hAnsi="宋体" w:cs="宋体"/>
          <w:color w:val="auto"/>
          <w:kern w:val="0"/>
          <w:sz w:val="21"/>
          <w:szCs w:val="21"/>
          <w:highlight w:val="none"/>
          <w:lang w:val="zh-CN"/>
        </w:rPr>
      </w:pPr>
    </w:p>
    <w:p w14:paraId="0998CB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BA618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694AA0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lang w:val="en-US" w:eastAsia="zh-CN"/>
        </w:rPr>
      </w:pPr>
    </w:p>
    <w:p w14:paraId="3D962879">
      <w:pPr>
        <w:spacing w:line="300" w:lineRule="auto"/>
        <w:rPr>
          <w:rFonts w:hint="eastAsia" w:ascii="方正小标宋简体" w:hAnsi="方正小标宋简体" w:eastAsia="方正小标宋简体" w:cs="方正小标宋简体"/>
          <w:color w:val="auto"/>
          <w:sz w:val="40"/>
          <w:szCs w:val="40"/>
          <w:highlight w:val="none"/>
        </w:rPr>
      </w:pPr>
      <w:r>
        <w:rPr>
          <w:rFonts w:hint="eastAsia" w:ascii="宋体" w:hAnsi="宋体"/>
          <w:b/>
          <w:bCs/>
          <w:color w:val="auto"/>
          <w:sz w:val="28"/>
          <w:szCs w:val="28"/>
          <w:highlight w:val="none"/>
        </w:rPr>
        <w:t>其他文书、文件格式</w:t>
      </w:r>
    </w:p>
    <w:p w14:paraId="27B69DFE">
      <w:pPr>
        <w:spacing w:line="360" w:lineRule="auto"/>
        <w:jc w:val="center"/>
        <w:rPr>
          <w:rFonts w:hint="eastAsia" w:ascii="方正小标宋简体" w:hAnsi="方正小标宋简体" w:eastAsia="方正小标宋简体" w:cs="方正小标宋简体"/>
          <w:color w:val="auto"/>
          <w:sz w:val="40"/>
          <w:szCs w:val="40"/>
          <w:highlight w:val="none"/>
        </w:rPr>
      </w:pPr>
    </w:p>
    <w:p w14:paraId="6AB6CD83">
      <w:pPr>
        <w:spacing w:line="360" w:lineRule="auto"/>
        <w:jc w:val="center"/>
        <w:rPr>
          <w:rFonts w:hint="eastAsia" w:ascii="宋体" w:hAnsi="宋体"/>
          <w:b/>
          <w:bCs/>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质疑函（格式）</w:t>
      </w:r>
    </w:p>
    <w:p w14:paraId="6DC6D6F4">
      <w:pPr>
        <w:pStyle w:val="13"/>
        <w:spacing w:line="360" w:lineRule="auto"/>
        <w:ind w:firstLine="442" w:firstLineChars="200"/>
        <w:contextualSpacing/>
        <w:rPr>
          <w:rFonts w:hAnsi="宋体"/>
          <w:b/>
          <w:bCs/>
          <w:color w:val="auto"/>
          <w:sz w:val="22"/>
          <w:szCs w:val="22"/>
          <w:highlight w:val="none"/>
        </w:rPr>
      </w:pPr>
      <w:r>
        <w:rPr>
          <w:rFonts w:hint="eastAsia" w:hAnsi="宋体"/>
          <w:b/>
          <w:bCs/>
          <w:color w:val="auto"/>
          <w:sz w:val="22"/>
          <w:szCs w:val="22"/>
          <w:highlight w:val="none"/>
        </w:rPr>
        <w:t>一、质疑供应商基本信息：</w:t>
      </w:r>
    </w:p>
    <w:p w14:paraId="25682CBA">
      <w:pPr>
        <w:pStyle w:val="13"/>
        <w:spacing w:line="360" w:lineRule="auto"/>
        <w:ind w:firstLine="440" w:firstLineChars="200"/>
        <w:contextualSpacing/>
        <w:rPr>
          <w:rFonts w:hint="eastAsia" w:hAnsi="宋体"/>
          <w:bCs/>
          <w:color w:val="auto"/>
          <w:sz w:val="22"/>
          <w:szCs w:val="22"/>
          <w:highlight w:val="none"/>
          <w:u w:val="single"/>
        </w:rPr>
      </w:pPr>
      <w:r>
        <w:rPr>
          <w:rFonts w:hint="eastAsia" w:hAnsi="宋体"/>
          <w:bCs/>
          <w:color w:val="auto"/>
          <w:sz w:val="22"/>
          <w:szCs w:val="22"/>
          <w:highlight w:val="none"/>
        </w:rPr>
        <w:t>质疑供应商：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38CE0B88">
      <w:pPr>
        <w:pStyle w:val="13"/>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013D4A0">
      <w:pPr>
        <w:pStyle w:val="13"/>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联系人</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672202A5">
      <w:pPr>
        <w:pStyle w:val="13"/>
        <w:spacing w:line="360" w:lineRule="auto"/>
        <w:ind w:firstLine="440" w:firstLineChars="200"/>
        <w:contextualSpacing/>
        <w:rPr>
          <w:rFonts w:hint="eastAsia" w:hAnsi="宋体"/>
          <w:bCs/>
          <w:color w:val="auto"/>
          <w:sz w:val="22"/>
          <w:szCs w:val="22"/>
          <w:highlight w:val="non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p>
    <w:p w14:paraId="45EC4E25">
      <w:pPr>
        <w:pStyle w:val="13"/>
        <w:spacing w:line="360" w:lineRule="auto"/>
        <w:ind w:firstLine="440" w:firstLineChars="200"/>
        <w:contextualSpacing/>
        <w:rPr>
          <w:rFonts w:hint="eastAsia" w:hAnsi="宋体"/>
          <w:bCs/>
          <w:color w:val="auto"/>
          <w:sz w:val="22"/>
          <w:szCs w:val="22"/>
          <w:highlight w:val="none"/>
          <w:u w:val="single"/>
        </w:rPr>
      </w:pP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1C5DB38F">
      <w:pPr>
        <w:pStyle w:val="13"/>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C6D5004">
      <w:pPr>
        <w:pStyle w:val="13"/>
        <w:spacing w:line="360" w:lineRule="auto"/>
        <w:ind w:firstLine="442" w:firstLineChars="200"/>
        <w:contextualSpacing/>
        <w:rPr>
          <w:rFonts w:hint="eastAsia" w:hAnsi="宋体"/>
          <w:b/>
          <w:bCs/>
          <w:color w:val="auto"/>
          <w:sz w:val="22"/>
          <w:szCs w:val="22"/>
          <w:highlight w:val="none"/>
        </w:rPr>
      </w:pPr>
      <w:r>
        <w:rPr>
          <w:rFonts w:hint="eastAsia" w:hAnsi="宋体"/>
          <w:b/>
          <w:bCs/>
          <w:color w:val="auto"/>
          <w:sz w:val="22"/>
          <w:szCs w:val="22"/>
          <w:highlight w:val="none"/>
        </w:rPr>
        <w:t>二、质疑项目基本情况：</w:t>
      </w:r>
    </w:p>
    <w:p w14:paraId="6FBC6AF0">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465AB3DD">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086A0C23">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68ABE471">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w:t>
      </w:r>
    </w:p>
    <w:p w14:paraId="1B47EB3D">
      <w:pPr>
        <w:pStyle w:val="13"/>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□采购文件   采购文件获取日期：</w:t>
      </w:r>
      <w:r>
        <w:rPr>
          <w:rFonts w:hint="eastAsia" w:hAnsi="宋体"/>
          <w:bCs/>
          <w:color w:val="auto"/>
          <w:sz w:val="22"/>
          <w:szCs w:val="22"/>
          <w:highlight w:val="none"/>
          <w:u w:val="single"/>
        </w:rPr>
        <w:t xml:space="preserve">                                   </w:t>
      </w:r>
    </w:p>
    <w:p w14:paraId="318F92A0">
      <w:pPr>
        <w:pStyle w:val="13"/>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 xml:space="preserve">□采购过程   </w:t>
      </w:r>
    </w:p>
    <w:p w14:paraId="3EBB6FB1">
      <w:pPr>
        <w:pStyle w:val="13"/>
        <w:spacing w:line="360" w:lineRule="auto"/>
        <w:ind w:left="25" w:leftChars="12" w:firstLine="323" w:firstLineChars="147"/>
        <w:contextualSpacing/>
        <w:rPr>
          <w:rFonts w:hint="eastAsia" w:hAnsi="宋体"/>
          <w:bCs/>
          <w:color w:val="auto"/>
          <w:sz w:val="22"/>
          <w:szCs w:val="22"/>
          <w:highlight w:val="none"/>
          <w:u w:val="single"/>
        </w:rPr>
      </w:pPr>
      <w:r>
        <w:rPr>
          <w:rFonts w:hint="eastAsia" w:hAnsi="宋体"/>
          <w:color w:val="auto"/>
          <w:sz w:val="22"/>
          <w:szCs w:val="22"/>
          <w:highlight w:val="none"/>
        </w:rPr>
        <w:t xml:space="preserve">□成交结果   </w:t>
      </w:r>
    </w:p>
    <w:p w14:paraId="40D205C4">
      <w:pPr>
        <w:pStyle w:val="13"/>
        <w:spacing w:line="360" w:lineRule="auto"/>
        <w:ind w:left="25" w:leftChars="12" w:firstLine="433" w:firstLineChars="196"/>
        <w:contextualSpacing/>
        <w:rPr>
          <w:rFonts w:hint="eastAsia" w:hAnsi="宋体"/>
          <w:b/>
          <w:color w:val="auto"/>
          <w:sz w:val="22"/>
          <w:szCs w:val="22"/>
          <w:highlight w:val="none"/>
        </w:rPr>
      </w:pPr>
      <w:r>
        <w:rPr>
          <w:rFonts w:hint="eastAsia" w:hAnsi="宋体"/>
          <w:b/>
          <w:color w:val="auto"/>
          <w:sz w:val="22"/>
          <w:szCs w:val="22"/>
          <w:highlight w:val="none"/>
        </w:rPr>
        <w:t>三、质疑事项具体内容</w:t>
      </w:r>
    </w:p>
    <w:p w14:paraId="52DCDDC8">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质疑事项1：</w:t>
      </w:r>
      <w:r>
        <w:rPr>
          <w:rFonts w:hint="eastAsia" w:hAnsi="宋体"/>
          <w:bCs/>
          <w:color w:val="auto"/>
          <w:sz w:val="22"/>
          <w:szCs w:val="22"/>
          <w:highlight w:val="none"/>
          <w:u w:val="single"/>
        </w:rPr>
        <w:t xml:space="preserve">                                                                    </w:t>
      </w:r>
    </w:p>
    <w:p w14:paraId="4238D080">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事实依据：</w:t>
      </w:r>
      <w:r>
        <w:rPr>
          <w:rFonts w:hint="eastAsia" w:hAnsi="宋体"/>
          <w:bCs/>
          <w:color w:val="auto"/>
          <w:sz w:val="22"/>
          <w:szCs w:val="22"/>
          <w:highlight w:val="none"/>
          <w:u w:val="single"/>
        </w:rPr>
        <w:t xml:space="preserve">                                                                      </w:t>
      </w:r>
    </w:p>
    <w:p w14:paraId="3DF7F314">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法律依据：</w:t>
      </w:r>
      <w:r>
        <w:rPr>
          <w:rFonts w:hint="eastAsia" w:hAnsi="宋体"/>
          <w:color w:val="auto"/>
          <w:sz w:val="22"/>
          <w:szCs w:val="22"/>
          <w:highlight w:val="none"/>
          <w:u w:val="single"/>
        </w:rPr>
        <w:t xml:space="preserve">                                                        </w:t>
      </w:r>
      <w:r>
        <w:rPr>
          <w:rFonts w:hint="eastAsia" w:hAnsi="宋体"/>
          <w:bCs/>
          <w:color w:val="auto"/>
          <w:sz w:val="22"/>
          <w:szCs w:val="22"/>
          <w:highlight w:val="none"/>
          <w:u w:val="single"/>
        </w:rPr>
        <w:t xml:space="preserve">               </w:t>
      </w:r>
    </w:p>
    <w:p w14:paraId="2641FE40">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质疑事项2</w:t>
      </w:r>
    </w:p>
    <w:p w14:paraId="5A3D9175">
      <w:pPr>
        <w:pStyle w:val="13"/>
        <w:spacing w:line="360" w:lineRule="auto"/>
        <w:ind w:left="25" w:leftChars="12" w:firstLine="433" w:firstLineChars="197"/>
        <w:contextualSpacing/>
        <w:rPr>
          <w:rFonts w:hint="eastAsia" w:hAnsi="宋体"/>
          <w:color w:val="auto"/>
          <w:sz w:val="22"/>
          <w:szCs w:val="22"/>
          <w:highlight w:val="none"/>
        </w:rPr>
      </w:pPr>
      <w:r>
        <w:rPr>
          <w:rFonts w:hAnsi="宋体"/>
          <w:color w:val="auto"/>
          <w:sz w:val="22"/>
          <w:szCs w:val="22"/>
          <w:highlight w:val="none"/>
        </w:rPr>
        <w:t>……</w:t>
      </w:r>
    </w:p>
    <w:p w14:paraId="7D3997E1">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四、与质疑事项相关的质疑请求：</w:t>
      </w:r>
    </w:p>
    <w:p w14:paraId="49D95368">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544E1444">
      <w:pPr>
        <w:pStyle w:val="13"/>
        <w:spacing w:line="360" w:lineRule="auto"/>
        <w:ind w:left="25" w:leftChars="12" w:firstLine="323" w:firstLineChars="147"/>
        <w:contextualSpacing/>
        <w:rPr>
          <w:rFonts w:hint="eastAsia" w:hAnsi="宋体"/>
          <w:color w:val="auto"/>
          <w:sz w:val="22"/>
          <w:szCs w:val="22"/>
          <w:highlight w:val="none"/>
        </w:rPr>
      </w:pPr>
    </w:p>
    <w:p w14:paraId="219E76AC">
      <w:pPr>
        <w:pStyle w:val="13"/>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签字（</w:t>
      </w:r>
      <w:r>
        <w:rPr>
          <w:rFonts w:hint="eastAsia" w:hAnsi="宋体"/>
          <w:color w:val="auto"/>
          <w:sz w:val="22"/>
          <w:szCs w:val="22"/>
          <w:highlight w:val="none"/>
          <w:lang w:val="en-US" w:eastAsia="zh-CN"/>
        </w:rPr>
        <w:t>签字或者电子签名）</w:t>
      </w:r>
      <w:r>
        <w:rPr>
          <w:rFonts w:hint="eastAsia" w:hAnsi="宋体"/>
          <w:color w:val="auto"/>
          <w:sz w:val="22"/>
          <w:szCs w:val="22"/>
          <w:highlight w:val="none"/>
        </w:rPr>
        <w:t>：                          公章：</w:t>
      </w:r>
    </w:p>
    <w:p w14:paraId="59A50BE7">
      <w:pPr>
        <w:pStyle w:val="13"/>
        <w:spacing w:line="360" w:lineRule="auto"/>
        <w:ind w:firstLine="440" w:firstLineChars="200"/>
        <w:contextualSpacing/>
        <w:rPr>
          <w:rFonts w:hint="eastAsia" w:hAnsi="宋体"/>
          <w:b/>
          <w:color w:val="auto"/>
          <w:sz w:val="22"/>
          <w:szCs w:val="22"/>
          <w:highlight w:val="none"/>
        </w:rPr>
      </w:pPr>
      <w:r>
        <w:rPr>
          <w:rFonts w:hint="eastAsia" w:hAnsi="宋体"/>
          <w:color w:val="auto"/>
          <w:sz w:val="22"/>
          <w:szCs w:val="22"/>
          <w:highlight w:val="none"/>
        </w:rPr>
        <w:t>日期：</w:t>
      </w:r>
    </w:p>
    <w:p w14:paraId="0674B113">
      <w:pPr>
        <w:pStyle w:val="13"/>
        <w:spacing w:line="360" w:lineRule="auto"/>
        <w:contextualSpacing/>
        <w:rPr>
          <w:rFonts w:hint="eastAsia" w:hAnsi="宋体"/>
          <w:b/>
          <w:color w:val="auto"/>
          <w:sz w:val="22"/>
          <w:szCs w:val="22"/>
          <w:highlight w:val="none"/>
        </w:rPr>
      </w:pPr>
    </w:p>
    <w:p w14:paraId="5008289C">
      <w:pPr>
        <w:pStyle w:val="13"/>
        <w:spacing w:line="360" w:lineRule="auto"/>
        <w:contextualSpacing/>
        <w:rPr>
          <w:rFonts w:hint="eastAsia" w:hAnsi="宋体"/>
          <w:b/>
          <w:color w:val="auto"/>
          <w:sz w:val="22"/>
          <w:szCs w:val="22"/>
          <w:highlight w:val="none"/>
        </w:rPr>
      </w:pPr>
      <w:r>
        <w:rPr>
          <w:rFonts w:hint="eastAsia" w:hAnsi="宋体"/>
          <w:b/>
          <w:color w:val="auto"/>
          <w:sz w:val="22"/>
          <w:szCs w:val="22"/>
          <w:highlight w:val="none"/>
        </w:rPr>
        <w:t>说明：</w:t>
      </w:r>
    </w:p>
    <w:p w14:paraId="7F33EB36">
      <w:pPr>
        <w:pStyle w:val="13"/>
        <w:spacing w:line="360" w:lineRule="auto"/>
        <w:ind w:left="25" w:leftChars="12" w:firstLine="325" w:firstLineChars="147"/>
        <w:contextualSpacing/>
        <w:rPr>
          <w:rFonts w:hint="eastAsia" w:hAnsi="宋体"/>
          <w:b/>
          <w:bCs/>
          <w:color w:val="auto"/>
          <w:sz w:val="22"/>
          <w:szCs w:val="22"/>
          <w:highlight w:val="none"/>
        </w:rPr>
      </w:pPr>
      <w:r>
        <w:rPr>
          <w:rFonts w:hint="eastAsia" w:hAnsi="宋体"/>
          <w:b/>
          <w:color w:val="auto"/>
          <w:sz w:val="22"/>
          <w:szCs w:val="22"/>
          <w:highlight w:val="none"/>
        </w:rPr>
        <w:t>1.供应商提出质疑时，应提交质疑函和必要的证明材料</w:t>
      </w:r>
      <w:r>
        <w:rPr>
          <w:rFonts w:hint="eastAsia" w:hAnsi="宋体"/>
          <w:b/>
          <w:bCs/>
          <w:color w:val="auto"/>
          <w:sz w:val="22"/>
          <w:szCs w:val="22"/>
          <w:highlight w:val="none"/>
        </w:rPr>
        <w:t>。</w:t>
      </w:r>
    </w:p>
    <w:p w14:paraId="4E3AEC71">
      <w:pPr>
        <w:pStyle w:val="13"/>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65468D">
      <w:pPr>
        <w:pStyle w:val="13"/>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3.质疑函的质疑事项应具体、明确，并有必要的事实依据和法律依据。</w:t>
      </w:r>
    </w:p>
    <w:p w14:paraId="25B1A52E">
      <w:pPr>
        <w:pStyle w:val="13"/>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4.质疑函的质疑请求应与质疑事项相关。</w:t>
      </w:r>
    </w:p>
    <w:p w14:paraId="2371F28A">
      <w:pPr>
        <w:pStyle w:val="13"/>
        <w:spacing w:line="360" w:lineRule="auto"/>
        <w:ind w:left="25" w:leftChars="12" w:firstLine="325" w:firstLineChars="147"/>
        <w:contextualSpacing/>
        <w:rPr>
          <w:rFonts w:hint="eastAsia" w:hAnsi="宋体"/>
          <w:b/>
          <w:color w:val="auto"/>
          <w:sz w:val="20"/>
          <w:szCs w:val="18"/>
          <w:highlight w:val="none"/>
        </w:rPr>
      </w:pPr>
      <w:r>
        <w:rPr>
          <w:rFonts w:hint="eastAsia" w:hAnsi="宋体"/>
          <w:b/>
          <w:color w:val="auto"/>
          <w:sz w:val="22"/>
          <w:szCs w:val="22"/>
          <w:highlight w:val="none"/>
        </w:rPr>
        <w:t>5.质疑供应商为法人或者其他组织的，质疑函应由法定代表人、主要负责人，或者其授权代表签字或者盖章，并加盖公章。</w:t>
      </w:r>
    </w:p>
    <w:p w14:paraId="7ABF7F1D">
      <w:pPr>
        <w:pStyle w:val="13"/>
        <w:snapToGrid w:val="0"/>
        <w:rPr>
          <w:rFonts w:hint="eastAsia"/>
          <w:b/>
          <w:color w:val="auto"/>
          <w:sz w:val="22"/>
          <w:szCs w:val="22"/>
          <w:highlight w:val="none"/>
        </w:rPr>
      </w:pPr>
    </w:p>
    <w:p w14:paraId="782F1EF0">
      <w:pPr>
        <w:rPr>
          <w:rFonts w:hint="eastAsia"/>
          <w:color w:val="auto"/>
          <w:sz w:val="28"/>
          <w:szCs w:val="36"/>
          <w:highlight w:val="none"/>
        </w:rPr>
      </w:pPr>
    </w:p>
    <w:p w14:paraId="1B04A2D3">
      <w:pPr>
        <w:rPr>
          <w:rFonts w:hint="eastAsia"/>
          <w:color w:val="auto"/>
          <w:sz w:val="28"/>
          <w:szCs w:val="36"/>
          <w:highlight w:val="none"/>
        </w:rPr>
      </w:pPr>
    </w:p>
    <w:p w14:paraId="260859B7">
      <w:pPr>
        <w:rPr>
          <w:rFonts w:hint="eastAsia"/>
          <w:color w:val="auto"/>
          <w:sz w:val="28"/>
          <w:szCs w:val="36"/>
          <w:highlight w:val="none"/>
        </w:rPr>
      </w:pPr>
    </w:p>
    <w:p w14:paraId="0FBF1DDC">
      <w:pPr>
        <w:rPr>
          <w:rFonts w:hint="eastAsia"/>
          <w:color w:val="auto"/>
          <w:sz w:val="28"/>
          <w:szCs w:val="36"/>
          <w:highlight w:val="none"/>
        </w:rPr>
      </w:pPr>
    </w:p>
    <w:p w14:paraId="7FD00C8E">
      <w:pPr>
        <w:rPr>
          <w:rFonts w:hint="eastAsia"/>
          <w:color w:val="auto"/>
          <w:sz w:val="28"/>
          <w:szCs w:val="36"/>
          <w:highlight w:val="none"/>
        </w:rPr>
      </w:pPr>
    </w:p>
    <w:p w14:paraId="480E307E">
      <w:pPr>
        <w:rPr>
          <w:rFonts w:hint="eastAsia"/>
          <w:color w:val="auto"/>
          <w:sz w:val="28"/>
          <w:szCs w:val="36"/>
          <w:highlight w:val="none"/>
        </w:rPr>
      </w:pPr>
    </w:p>
    <w:p w14:paraId="10F8CC59">
      <w:pPr>
        <w:rPr>
          <w:rFonts w:hint="eastAsia"/>
          <w:color w:val="auto"/>
          <w:sz w:val="28"/>
          <w:szCs w:val="36"/>
          <w:highlight w:val="none"/>
        </w:rPr>
      </w:pPr>
    </w:p>
    <w:p w14:paraId="7BAACEBA">
      <w:pPr>
        <w:rPr>
          <w:rFonts w:hint="eastAsia"/>
          <w:color w:val="auto"/>
          <w:sz w:val="28"/>
          <w:szCs w:val="36"/>
          <w:highlight w:val="none"/>
        </w:rPr>
      </w:pPr>
    </w:p>
    <w:p w14:paraId="66D435D5">
      <w:pPr>
        <w:rPr>
          <w:rFonts w:hint="eastAsia"/>
          <w:color w:val="auto"/>
          <w:sz w:val="28"/>
          <w:szCs w:val="36"/>
          <w:highlight w:val="none"/>
        </w:rPr>
      </w:pPr>
    </w:p>
    <w:p w14:paraId="20C1BE61">
      <w:pPr>
        <w:rPr>
          <w:rFonts w:hint="eastAsia" w:eastAsia="宋体"/>
          <w:color w:val="auto"/>
          <w:sz w:val="28"/>
          <w:szCs w:val="36"/>
          <w:highlight w:val="none"/>
          <w:lang w:eastAsia="zh-CN"/>
        </w:rPr>
      </w:pPr>
    </w:p>
    <w:p w14:paraId="52663FA4">
      <w:pPr>
        <w:rPr>
          <w:rFonts w:hint="eastAsia"/>
          <w:color w:val="auto"/>
          <w:sz w:val="28"/>
          <w:szCs w:val="36"/>
          <w:highlight w:val="none"/>
        </w:rPr>
      </w:pPr>
    </w:p>
    <w:p w14:paraId="63EED3D5">
      <w:pPr>
        <w:rPr>
          <w:rFonts w:hint="eastAsia"/>
          <w:color w:val="auto"/>
          <w:sz w:val="28"/>
          <w:szCs w:val="36"/>
          <w:highlight w:val="none"/>
        </w:rPr>
      </w:pPr>
    </w:p>
    <w:p w14:paraId="685CD23E">
      <w:pPr>
        <w:rPr>
          <w:rFonts w:hint="eastAsia"/>
          <w:color w:val="auto"/>
          <w:sz w:val="28"/>
          <w:szCs w:val="36"/>
          <w:highlight w:val="none"/>
        </w:rPr>
      </w:pPr>
    </w:p>
    <w:p w14:paraId="4DC3C326">
      <w:pPr>
        <w:pStyle w:val="13"/>
        <w:rPr>
          <w:rFonts w:hint="eastAsia"/>
          <w:color w:val="auto"/>
          <w:highlight w:val="none"/>
        </w:rPr>
      </w:pPr>
    </w:p>
    <w:p w14:paraId="23D4E012">
      <w:pPr>
        <w:spacing w:line="360" w:lineRule="auto"/>
        <w:jc w:val="both"/>
        <w:rPr>
          <w:rFonts w:hint="eastAsia" w:ascii="方正小标宋简体" w:hAnsi="方正小标宋简体" w:eastAsia="方正小标宋简体" w:cs="方正小标宋简体"/>
          <w:color w:val="auto"/>
          <w:sz w:val="40"/>
          <w:szCs w:val="40"/>
          <w:highlight w:val="none"/>
        </w:rPr>
      </w:pPr>
    </w:p>
    <w:p w14:paraId="22EFDD15">
      <w:pPr>
        <w:spacing w:line="360" w:lineRule="auto"/>
        <w:jc w:val="both"/>
        <w:rPr>
          <w:rFonts w:hint="eastAsia" w:ascii="方正小标宋简体" w:hAnsi="方正小标宋简体" w:eastAsia="方正小标宋简体" w:cs="方正小标宋简体"/>
          <w:color w:val="auto"/>
          <w:sz w:val="40"/>
          <w:szCs w:val="40"/>
          <w:highlight w:val="none"/>
        </w:rPr>
      </w:pPr>
    </w:p>
    <w:p w14:paraId="3C05871F">
      <w:pPr>
        <w:pStyle w:val="2"/>
        <w:rPr>
          <w:rFonts w:hint="eastAsia"/>
          <w:color w:val="auto"/>
          <w:highlight w:val="none"/>
        </w:rPr>
      </w:pPr>
    </w:p>
    <w:p w14:paraId="2602F4F2">
      <w:pPr>
        <w:spacing w:line="360" w:lineRule="auto"/>
        <w:jc w:val="center"/>
        <w:rPr>
          <w:rFonts w:hint="eastAsia" w:ascii="方正小标宋简体" w:hAnsi="方正小标宋简体" w:eastAsia="方正小标宋简体" w:cs="方正小标宋简体"/>
          <w:color w:val="auto"/>
          <w:sz w:val="40"/>
          <w:szCs w:val="40"/>
          <w:highlight w:val="none"/>
        </w:rPr>
      </w:pPr>
    </w:p>
    <w:p w14:paraId="65B2B8B8">
      <w:pPr>
        <w:spacing w:line="360" w:lineRule="auto"/>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投诉书（格式）</w:t>
      </w:r>
    </w:p>
    <w:p w14:paraId="69714B4E">
      <w:pPr>
        <w:pStyle w:val="13"/>
        <w:snapToGrid w:val="0"/>
        <w:spacing w:line="360" w:lineRule="auto"/>
        <w:ind w:firstLine="442" w:firstLineChars="200"/>
        <w:rPr>
          <w:rFonts w:hAnsi="宋体"/>
          <w:b/>
          <w:bCs/>
          <w:color w:val="auto"/>
          <w:sz w:val="22"/>
          <w:szCs w:val="22"/>
          <w:highlight w:val="none"/>
        </w:rPr>
      </w:pPr>
      <w:r>
        <w:rPr>
          <w:rFonts w:hint="eastAsia" w:hAnsi="宋体"/>
          <w:b/>
          <w:bCs/>
          <w:color w:val="auto"/>
          <w:sz w:val="22"/>
          <w:szCs w:val="22"/>
          <w:highlight w:val="none"/>
        </w:rPr>
        <w:t>一、投诉相关主体基本情况：</w:t>
      </w:r>
    </w:p>
    <w:p w14:paraId="1CF6F450">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210208DE">
      <w:pPr>
        <w:pStyle w:val="13"/>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37C45DBE">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法定代表人/主要负责人：</w:t>
      </w:r>
      <w:r>
        <w:rPr>
          <w:rFonts w:hint="eastAsia" w:hAnsi="宋体"/>
          <w:bCs/>
          <w:color w:val="auto"/>
          <w:sz w:val="22"/>
          <w:szCs w:val="22"/>
          <w:highlight w:val="none"/>
          <w:u w:val="single"/>
        </w:rPr>
        <w:t xml:space="preserve">                                                         </w:t>
      </w:r>
    </w:p>
    <w:p w14:paraId="44CB23A0">
      <w:pPr>
        <w:pStyle w:val="13"/>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349BDBAA">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25732E82">
      <w:pPr>
        <w:pStyle w:val="13"/>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48FCE234">
      <w:pPr>
        <w:pStyle w:val="13"/>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D5D119D">
      <w:pPr>
        <w:pStyle w:val="13"/>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被投诉人1：</w:t>
      </w:r>
    </w:p>
    <w:p w14:paraId="40D29450">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地址：</w:t>
      </w:r>
      <w:r>
        <w:rPr>
          <w:rFonts w:hint="eastAsia" w:hAnsi="宋体"/>
          <w:bCs/>
          <w:color w:val="auto"/>
          <w:sz w:val="22"/>
          <w:szCs w:val="22"/>
          <w:highlight w:val="none"/>
          <w:u w:val="single"/>
        </w:rPr>
        <w:t xml:space="preserve">                                                            </w:t>
      </w:r>
    </w:p>
    <w:p w14:paraId="3A6B8521">
      <w:pPr>
        <w:pStyle w:val="13"/>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44E3623">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407A05A">
      <w:pPr>
        <w:pStyle w:val="13"/>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被投诉人2：</w:t>
      </w:r>
    </w:p>
    <w:p w14:paraId="36A876AF">
      <w:pPr>
        <w:pStyle w:val="13"/>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w:t>
      </w:r>
    </w:p>
    <w:p w14:paraId="004AD793">
      <w:pPr>
        <w:pStyle w:val="13"/>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相关供应商：</w:t>
      </w:r>
      <w:r>
        <w:rPr>
          <w:rFonts w:hint="eastAsia" w:hAnsi="宋体"/>
          <w:bCs/>
          <w:color w:val="auto"/>
          <w:sz w:val="22"/>
          <w:szCs w:val="22"/>
          <w:highlight w:val="none"/>
          <w:u w:val="single"/>
        </w:rPr>
        <w:t xml:space="preserve">                                                                       </w:t>
      </w:r>
    </w:p>
    <w:p w14:paraId="3F12CB02">
      <w:pPr>
        <w:pStyle w:val="13"/>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97176F4">
      <w:pPr>
        <w:pStyle w:val="13"/>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7A8CE422">
      <w:pPr>
        <w:pStyle w:val="13"/>
        <w:snapToGrid w:val="0"/>
        <w:spacing w:line="36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二、投诉项目基本情况：</w:t>
      </w:r>
    </w:p>
    <w:p w14:paraId="7CBA492B">
      <w:pPr>
        <w:pStyle w:val="13"/>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04CBA36D">
      <w:pPr>
        <w:pStyle w:val="13"/>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18821C36">
      <w:pPr>
        <w:pStyle w:val="13"/>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6385F728">
      <w:pPr>
        <w:pStyle w:val="13"/>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代理机构名称：</w:t>
      </w:r>
      <w:r>
        <w:rPr>
          <w:rFonts w:hint="eastAsia" w:hAnsi="宋体"/>
          <w:bCs/>
          <w:color w:val="auto"/>
          <w:sz w:val="22"/>
          <w:szCs w:val="22"/>
          <w:highlight w:val="none"/>
          <w:u w:val="single"/>
        </w:rPr>
        <w:t xml:space="preserve">                                                                      </w:t>
      </w:r>
    </w:p>
    <w:p w14:paraId="2DD101F9">
      <w:pPr>
        <w:pStyle w:val="13"/>
        <w:spacing w:line="360" w:lineRule="auto"/>
        <w:ind w:left="25" w:leftChars="12" w:firstLine="433" w:firstLineChars="197"/>
        <w:rPr>
          <w:rFonts w:hint="eastAsia" w:hAnsi="宋体"/>
          <w:bCs/>
          <w:color w:val="auto"/>
          <w:sz w:val="22"/>
          <w:szCs w:val="22"/>
          <w:highlight w:val="none"/>
          <w:u w:val="single"/>
        </w:rPr>
      </w:pPr>
      <w:r>
        <w:rPr>
          <w:rFonts w:hint="eastAsia" w:hAnsi="宋体"/>
          <w:bCs/>
          <w:color w:val="auto"/>
          <w:sz w:val="22"/>
          <w:szCs w:val="22"/>
          <w:highlight w:val="none"/>
        </w:rPr>
        <w:t>采购文件公告：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6364BE54">
      <w:pPr>
        <w:pStyle w:val="13"/>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采购结果公告：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0240969A">
      <w:pPr>
        <w:pStyle w:val="13"/>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三、质疑基本情况</w:t>
      </w:r>
    </w:p>
    <w:p w14:paraId="71843835">
      <w:pPr>
        <w:pStyle w:val="13"/>
        <w:spacing w:line="360" w:lineRule="auto"/>
        <w:ind w:firstLine="440" w:firstLineChars="200"/>
        <w:rPr>
          <w:rFonts w:hint="eastAsia" w:hAnsi="宋体"/>
          <w:color w:val="auto"/>
          <w:sz w:val="22"/>
          <w:szCs w:val="22"/>
          <w:highlight w:val="none"/>
        </w:rPr>
      </w:pPr>
      <w:r>
        <w:rPr>
          <w:rFonts w:hint="eastAsia" w:hAnsi="宋体"/>
          <w:color w:val="auto"/>
          <w:sz w:val="22"/>
          <w:szCs w:val="22"/>
          <w:highlight w:val="none"/>
        </w:rPr>
        <w:t>投诉人于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日，向</w:t>
      </w:r>
      <w:r>
        <w:rPr>
          <w:rFonts w:hint="eastAsia" w:hAnsi="宋体"/>
          <w:color w:val="auto"/>
          <w:sz w:val="22"/>
          <w:szCs w:val="22"/>
          <w:highlight w:val="none"/>
          <w:u w:val="single"/>
        </w:rPr>
        <w:t xml:space="preserve">                                </w:t>
      </w:r>
      <w:r>
        <w:rPr>
          <w:rFonts w:hint="eastAsia" w:hAnsi="宋体"/>
          <w:color w:val="auto"/>
          <w:sz w:val="22"/>
          <w:szCs w:val="22"/>
          <w:highlight w:val="none"/>
        </w:rPr>
        <w:t>提出质疑，质疑事项为：</w:t>
      </w:r>
    </w:p>
    <w:p w14:paraId="726273AC">
      <w:pPr>
        <w:pStyle w:val="13"/>
        <w:spacing w:line="360" w:lineRule="auto"/>
        <w:ind w:firstLine="241"/>
        <w:rPr>
          <w:rFonts w:hint="eastAsia" w:hAnsi="宋体"/>
          <w:bCs/>
          <w:color w:val="auto"/>
          <w:sz w:val="22"/>
          <w:szCs w:val="22"/>
          <w:highlight w:val="none"/>
          <w:u w:val="single"/>
        </w:rPr>
      </w:pP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6078AD43">
      <w:pPr>
        <w:pStyle w:val="13"/>
        <w:spacing w:line="360" w:lineRule="auto"/>
        <w:ind w:firstLine="241"/>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6E954672">
      <w:pPr>
        <w:pStyle w:val="13"/>
        <w:spacing w:line="360" w:lineRule="auto"/>
        <w:ind w:firstLine="440" w:firstLineChars="200"/>
        <w:rPr>
          <w:rFonts w:hint="eastAsia" w:hAnsi="宋体"/>
          <w:color w:val="auto"/>
          <w:sz w:val="22"/>
          <w:szCs w:val="22"/>
          <w:highlight w:val="none"/>
        </w:rPr>
      </w:pPr>
      <w:r>
        <w:rPr>
          <w:rFonts w:hint="eastAsia" w:hAnsi="宋体"/>
          <w:bCs/>
          <w:color w:val="auto"/>
          <w:sz w:val="22"/>
          <w:szCs w:val="22"/>
          <w:highlight w:val="none"/>
          <w:u w:val="single"/>
        </w:rPr>
        <w:t>采购人/代理机构</w:t>
      </w:r>
      <w:r>
        <w:rPr>
          <w:rFonts w:hint="eastAsia" w:hAnsi="宋体"/>
          <w:bCs/>
          <w:color w:val="auto"/>
          <w:sz w:val="22"/>
          <w:szCs w:val="22"/>
          <w:highlight w:val="none"/>
        </w:rPr>
        <w:t>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bCs/>
          <w:color w:val="auto"/>
          <w:sz w:val="22"/>
          <w:szCs w:val="22"/>
          <w:highlight w:val="none"/>
        </w:rPr>
        <w:t xml:space="preserve">就质疑事项作出了答复/没有在法定期限内作出答复。                                                                                             </w:t>
      </w:r>
    </w:p>
    <w:p w14:paraId="4E104A8A">
      <w:pPr>
        <w:pStyle w:val="13"/>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四、投诉事项具体内容</w:t>
      </w:r>
    </w:p>
    <w:p w14:paraId="7B1569F7">
      <w:pPr>
        <w:pStyle w:val="13"/>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投诉事项1：</w:t>
      </w:r>
      <w:r>
        <w:rPr>
          <w:rFonts w:hint="eastAsia" w:hAnsi="宋体"/>
          <w:bCs/>
          <w:color w:val="auto"/>
          <w:sz w:val="22"/>
          <w:szCs w:val="22"/>
          <w:highlight w:val="none"/>
          <w:u w:val="single"/>
        </w:rPr>
        <w:t xml:space="preserve">                                                                           </w:t>
      </w:r>
    </w:p>
    <w:p w14:paraId="120DCBA1">
      <w:pPr>
        <w:pStyle w:val="13"/>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事实依据：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11311CDB">
      <w:pPr>
        <w:pStyle w:val="13"/>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u w:val="single"/>
        </w:rPr>
        <w:t xml:space="preserve">                                                                                        </w:t>
      </w:r>
    </w:p>
    <w:p w14:paraId="10168736">
      <w:pPr>
        <w:pStyle w:val="13"/>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法律依据：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1B319D19">
      <w:pPr>
        <w:pStyle w:val="13"/>
        <w:spacing w:line="360" w:lineRule="auto"/>
        <w:ind w:left="25" w:leftChars="12" w:firstLine="323" w:firstLineChars="147"/>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178817E9">
      <w:pPr>
        <w:pStyle w:val="13"/>
        <w:spacing w:line="360" w:lineRule="auto"/>
        <w:ind w:left="25" w:leftChars="12" w:firstLine="433" w:firstLineChars="197"/>
        <w:rPr>
          <w:rFonts w:hint="eastAsia" w:hAnsi="宋体"/>
          <w:bCs/>
          <w:color w:val="auto"/>
          <w:sz w:val="22"/>
          <w:szCs w:val="22"/>
          <w:highlight w:val="none"/>
        </w:rPr>
      </w:pPr>
      <w:r>
        <w:rPr>
          <w:rFonts w:hint="eastAsia" w:hAnsi="宋体"/>
          <w:color w:val="auto"/>
          <w:sz w:val="22"/>
          <w:szCs w:val="22"/>
          <w:highlight w:val="none"/>
        </w:rPr>
        <w:t xml:space="preserve">投诉事项2  </w:t>
      </w:r>
      <w:r>
        <w:rPr>
          <w:rFonts w:hint="eastAsia" w:hAnsi="宋体"/>
          <w:bCs/>
          <w:color w:val="auto"/>
          <w:sz w:val="22"/>
          <w:szCs w:val="22"/>
          <w:highlight w:val="none"/>
        </w:rPr>
        <w:t xml:space="preserve">   </w:t>
      </w:r>
    </w:p>
    <w:p w14:paraId="776FE233">
      <w:pPr>
        <w:pStyle w:val="13"/>
        <w:spacing w:line="360" w:lineRule="auto"/>
        <w:ind w:left="25" w:leftChars="12" w:firstLine="433" w:firstLineChars="197"/>
        <w:rPr>
          <w:rFonts w:hint="eastAsia" w:hAnsi="宋体"/>
          <w:bCs/>
          <w:color w:val="auto"/>
          <w:sz w:val="22"/>
          <w:szCs w:val="22"/>
          <w:highlight w:val="none"/>
        </w:rPr>
      </w:pPr>
      <w:r>
        <w:rPr>
          <w:rFonts w:hAnsi="宋体"/>
          <w:bCs/>
          <w:color w:val="auto"/>
          <w:sz w:val="22"/>
          <w:szCs w:val="22"/>
          <w:highlight w:val="none"/>
        </w:rPr>
        <w:t>……</w:t>
      </w:r>
    </w:p>
    <w:p w14:paraId="33E0E923">
      <w:pPr>
        <w:pStyle w:val="13"/>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五、与投诉事项相关的投诉请求：</w:t>
      </w:r>
    </w:p>
    <w:p w14:paraId="1568D6C5">
      <w:pPr>
        <w:pStyle w:val="13"/>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79D3D5A0">
      <w:pPr>
        <w:pStyle w:val="13"/>
        <w:spacing w:line="360" w:lineRule="auto"/>
        <w:ind w:left="25" w:leftChars="12" w:firstLine="323" w:firstLineChars="147"/>
        <w:rPr>
          <w:rFonts w:hint="eastAsia" w:hAnsi="宋体"/>
          <w:color w:val="auto"/>
          <w:sz w:val="22"/>
          <w:szCs w:val="22"/>
          <w:highlight w:val="none"/>
        </w:rPr>
      </w:pPr>
    </w:p>
    <w:p w14:paraId="41416BD5">
      <w:pPr>
        <w:pStyle w:val="13"/>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签字（签章）：                                       公章：</w:t>
      </w:r>
    </w:p>
    <w:p w14:paraId="6FE92A5C">
      <w:pPr>
        <w:pStyle w:val="13"/>
        <w:spacing w:line="360" w:lineRule="auto"/>
        <w:ind w:left="25" w:leftChars="12" w:firstLine="323" w:firstLineChars="147"/>
        <w:rPr>
          <w:rFonts w:hint="eastAsia" w:hAnsi="宋体"/>
          <w:color w:val="auto"/>
          <w:sz w:val="22"/>
          <w:szCs w:val="22"/>
          <w:highlight w:val="none"/>
        </w:rPr>
      </w:pPr>
    </w:p>
    <w:p w14:paraId="4B9851BF">
      <w:pPr>
        <w:pStyle w:val="13"/>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日期：</w:t>
      </w:r>
    </w:p>
    <w:p w14:paraId="14254048">
      <w:pPr>
        <w:pStyle w:val="13"/>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 xml:space="preserve">                                                                                 </w:t>
      </w:r>
    </w:p>
    <w:p w14:paraId="44AD82DA">
      <w:pPr>
        <w:pStyle w:val="13"/>
        <w:snapToGrid w:val="0"/>
        <w:spacing w:line="360" w:lineRule="auto"/>
        <w:rPr>
          <w:rFonts w:hint="eastAsia" w:hAnsi="宋体"/>
          <w:b/>
          <w:color w:val="auto"/>
          <w:sz w:val="22"/>
          <w:szCs w:val="22"/>
          <w:highlight w:val="none"/>
        </w:rPr>
      </w:pPr>
      <w:r>
        <w:rPr>
          <w:rFonts w:hint="eastAsia" w:hAnsi="宋体"/>
          <w:b/>
          <w:color w:val="auto"/>
          <w:sz w:val="22"/>
          <w:szCs w:val="22"/>
          <w:highlight w:val="none"/>
        </w:rPr>
        <w:t>说明：</w:t>
      </w:r>
    </w:p>
    <w:p w14:paraId="1670A481">
      <w:pPr>
        <w:pStyle w:val="13"/>
        <w:spacing w:line="360" w:lineRule="auto"/>
        <w:ind w:left="25" w:leftChars="12" w:firstLine="325" w:firstLineChars="147"/>
        <w:rPr>
          <w:rFonts w:hint="eastAsia" w:hAnsi="宋体"/>
          <w:b/>
          <w:bCs/>
          <w:color w:val="auto"/>
          <w:sz w:val="22"/>
          <w:szCs w:val="22"/>
          <w:highlight w:val="none"/>
        </w:rPr>
      </w:pPr>
      <w:r>
        <w:rPr>
          <w:rFonts w:hint="eastAsia" w:hAnsi="宋体"/>
          <w:b/>
          <w:color w:val="auto"/>
          <w:sz w:val="22"/>
          <w:szCs w:val="22"/>
          <w:highlight w:val="none"/>
        </w:rPr>
        <w:t>1.投诉人提起投诉时，应当提交投诉书和必要的证明材料，并按照被投诉人和与投诉事项有关的供应商数量提供投诉书副本</w:t>
      </w:r>
      <w:r>
        <w:rPr>
          <w:rFonts w:hint="eastAsia" w:hAnsi="宋体"/>
          <w:b/>
          <w:bCs/>
          <w:color w:val="auto"/>
          <w:sz w:val="22"/>
          <w:szCs w:val="22"/>
          <w:highlight w:val="none"/>
        </w:rPr>
        <w:t>。</w:t>
      </w:r>
    </w:p>
    <w:p w14:paraId="5BA220F1">
      <w:pPr>
        <w:pStyle w:val="13"/>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D95A76">
      <w:pPr>
        <w:pStyle w:val="13"/>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3.投诉书应简要列明质疑事项，质疑函、质疑答复等作为附件材料提供。</w:t>
      </w:r>
    </w:p>
    <w:p w14:paraId="3FA4F08B">
      <w:pPr>
        <w:pStyle w:val="13"/>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4.投诉书的投诉事项应具体、明确，并有必要的事实依据和法律依据。</w:t>
      </w:r>
    </w:p>
    <w:p w14:paraId="7F3D877D">
      <w:pPr>
        <w:pStyle w:val="13"/>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5.投诉书的投诉请求应与投诉事项相关。</w:t>
      </w:r>
    </w:p>
    <w:p w14:paraId="7C568A91">
      <w:pPr>
        <w:pStyle w:val="13"/>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6.投诉人为法人或者其他组织的，投诉书应由法定代表人、主要负责人，或者其授权代表签字或者盖章，并加盖公章。</w:t>
      </w:r>
    </w:p>
    <w:p w14:paraId="4F60413E">
      <w:pPr>
        <w:pStyle w:val="13"/>
        <w:spacing w:line="360" w:lineRule="auto"/>
        <w:ind w:left="25" w:leftChars="12" w:firstLine="325" w:firstLineChars="147"/>
        <w:rPr>
          <w:rFonts w:hint="eastAsia" w:hAnsi="宋体"/>
          <w:b/>
          <w:color w:val="auto"/>
          <w:sz w:val="22"/>
          <w:szCs w:val="22"/>
          <w:highlight w:val="none"/>
        </w:rPr>
      </w:pPr>
    </w:p>
    <w:p w14:paraId="68146B10">
      <w:pPr>
        <w:pStyle w:val="13"/>
        <w:spacing w:line="360" w:lineRule="auto"/>
        <w:ind w:left="25" w:leftChars="12" w:firstLine="325" w:firstLineChars="147"/>
        <w:rPr>
          <w:rFonts w:hint="eastAsia" w:hAnsi="宋体"/>
          <w:b/>
          <w:color w:val="auto"/>
          <w:sz w:val="22"/>
          <w:szCs w:val="22"/>
          <w:highlight w:val="none"/>
        </w:rPr>
      </w:pPr>
    </w:p>
    <w:p w14:paraId="7B74534B">
      <w:pPr>
        <w:pStyle w:val="13"/>
        <w:spacing w:line="360" w:lineRule="auto"/>
        <w:ind w:left="25" w:leftChars="12" w:firstLine="325" w:firstLineChars="147"/>
        <w:rPr>
          <w:rFonts w:hint="eastAsia" w:hAnsi="宋体"/>
          <w:b/>
          <w:color w:val="auto"/>
          <w:sz w:val="22"/>
          <w:szCs w:val="22"/>
          <w:highlight w:val="none"/>
        </w:rPr>
      </w:pPr>
    </w:p>
    <w:p w14:paraId="40443DED">
      <w:pPr>
        <w:pStyle w:val="13"/>
        <w:spacing w:line="360" w:lineRule="auto"/>
        <w:ind w:left="25" w:leftChars="12" w:firstLine="325" w:firstLineChars="147"/>
        <w:rPr>
          <w:rFonts w:hint="eastAsia" w:hAnsi="宋体"/>
          <w:b/>
          <w:color w:val="auto"/>
          <w:sz w:val="22"/>
          <w:szCs w:val="22"/>
          <w:highlight w:val="none"/>
        </w:rPr>
      </w:pPr>
    </w:p>
    <w:p w14:paraId="207EF23B">
      <w:pPr>
        <w:pStyle w:val="13"/>
        <w:spacing w:line="360" w:lineRule="auto"/>
        <w:ind w:left="25" w:leftChars="12" w:firstLine="325" w:firstLineChars="147"/>
        <w:rPr>
          <w:rFonts w:hint="eastAsia" w:hAnsi="宋体"/>
          <w:b/>
          <w:color w:val="auto"/>
          <w:sz w:val="22"/>
          <w:szCs w:val="22"/>
          <w:highlight w:val="none"/>
        </w:rPr>
      </w:pPr>
    </w:p>
    <w:p w14:paraId="7D8097AE">
      <w:pPr>
        <w:pStyle w:val="13"/>
        <w:spacing w:line="360" w:lineRule="auto"/>
        <w:ind w:left="25" w:leftChars="12" w:firstLine="325" w:firstLineChars="147"/>
        <w:rPr>
          <w:rFonts w:hint="eastAsia" w:hAnsi="宋体"/>
          <w:b/>
          <w:color w:val="auto"/>
          <w:sz w:val="22"/>
          <w:szCs w:val="22"/>
          <w:highlight w:val="none"/>
        </w:rPr>
      </w:pPr>
    </w:p>
    <w:p w14:paraId="5E889581">
      <w:pPr>
        <w:pStyle w:val="13"/>
        <w:spacing w:line="360" w:lineRule="auto"/>
        <w:rPr>
          <w:rFonts w:hint="eastAsia" w:hAnsi="宋体"/>
          <w:b/>
          <w:color w:val="auto"/>
          <w:sz w:val="22"/>
          <w:szCs w:val="22"/>
          <w:highlight w:val="none"/>
        </w:rPr>
      </w:pPr>
    </w:p>
    <w:p w14:paraId="3572C418">
      <w:pPr>
        <w:pStyle w:val="13"/>
        <w:spacing w:line="360" w:lineRule="auto"/>
        <w:ind w:left="25" w:leftChars="12" w:firstLine="325" w:firstLineChars="147"/>
        <w:rPr>
          <w:rFonts w:hint="eastAsia" w:hAnsi="宋体"/>
          <w:b/>
          <w:color w:val="auto"/>
          <w:sz w:val="22"/>
          <w:szCs w:val="22"/>
          <w:highlight w:val="none"/>
          <w:lang w:val="en-US" w:eastAsia="zh-CN"/>
        </w:rPr>
      </w:pPr>
    </w:p>
    <w:p w14:paraId="3523DA36">
      <w:pPr>
        <w:pStyle w:val="31"/>
        <w:numPr>
          <w:ilvl w:val="0"/>
          <w:numId w:val="0"/>
        </w:numPr>
        <w:jc w:val="center"/>
        <w:outlineLvl w:val="0"/>
        <w:rPr>
          <w:rFonts w:hint="eastAsia" w:asciiTheme="majorEastAsia" w:hAnsiTheme="majorEastAsia" w:eastAsiaTheme="majorEastAsia" w:cstheme="majorEastAsia"/>
          <w:b/>
          <w:bCs w:val="0"/>
          <w:color w:val="auto"/>
          <w:kern w:val="2"/>
          <w:sz w:val="40"/>
          <w:szCs w:val="52"/>
          <w:highlight w:val="none"/>
          <w:lang w:val="en-US" w:eastAsia="zh-CN" w:bidi="ar-SA"/>
        </w:rPr>
      </w:pPr>
      <w:bookmarkStart w:id="141" w:name="_Toc23433"/>
      <w:r>
        <w:rPr>
          <w:rFonts w:hint="eastAsia" w:asciiTheme="majorEastAsia" w:hAnsiTheme="majorEastAsia" w:eastAsiaTheme="majorEastAsia" w:cstheme="majorEastAsia"/>
          <w:b/>
          <w:bCs w:val="0"/>
          <w:color w:val="auto"/>
          <w:kern w:val="2"/>
          <w:sz w:val="40"/>
          <w:szCs w:val="52"/>
          <w:highlight w:val="none"/>
          <w:lang w:val="en-US" w:eastAsia="zh-CN" w:bidi="ar-SA"/>
        </w:rPr>
        <w:t>第六章 合同文本</w:t>
      </w:r>
      <w:bookmarkEnd w:id="141"/>
    </w:p>
    <w:p w14:paraId="08AC2CEE">
      <w:pPr>
        <w:widowControl/>
        <w:ind w:left="-210" w:leftChars="-100"/>
        <w:jc w:val="center"/>
        <w:rPr>
          <w:rFonts w:hint="eastAsia" w:ascii="宋体" w:hAnsi="宋体" w:cs="宋体"/>
          <w:b/>
          <w:bCs/>
          <w:color w:val="auto"/>
          <w:sz w:val="44"/>
          <w:szCs w:val="44"/>
          <w:highlight w:val="none"/>
        </w:rPr>
      </w:pPr>
    </w:p>
    <w:p w14:paraId="593A36CF">
      <w:pPr>
        <w:widowControl/>
        <w:ind w:left="-210" w:leftChars="-100"/>
        <w:jc w:val="center"/>
        <w:rPr>
          <w:rFonts w:hint="eastAsia" w:ascii="宋体" w:hAnsi="宋体" w:cs="宋体"/>
          <w:b/>
          <w:bCs/>
          <w:color w:val="auto"/>
          <w:sz w:val="44"/>
          <w:szCs w:val="44"/>
          <w:highlight w:val="none"/>
        </w:rPr>
      </w:pPr>
    </w:p>
    <w:p w14:paraId="75632370">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541A1C0C">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25F13C0F">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7EAB3209">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01871444">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6D72F3C6">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4AE53855">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1A0B3E7C">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42F9BC34">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6D969797">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29A48556">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60D29AE7">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19BBF4F0">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5E386EB5">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150F8364">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3A891684">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35B50010">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3D62D45D">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p w14:paraId="48133B1D">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r>
        <w:rPr>
          <w:rFonts w:hint="eastAsia" w:ascii="宋体" w:hAnsi="宋体"/>
          <w:b/>
          <w:color w:val="auto"/>
          <w:sz w:val="32"/>
          <w:szCs w:val="32"/>
          <w:highlight w:val="none"/>
        </w:rPr>
        <w:t>文本</w:t>
      </w:r>
    </w:p>
    <w:p w14:paraId="38C513E7">
      <w:pPr>
        <w:snapToGrid w:val="0"/>
        <w:spacing w:line="400" w:lineRule="exact"/>
        <w:ind w:right="480" w:firstLine="5250" w:firstLineChars="2500"/>
        <w:rPr>
          <w:rFonts w:hint="eastAsia" w:ascii="宋体" w:hAnsi="宋体"/>
          <w:bCs/>
          <w:color w:val="auto"/>
          <w:szCs w:val="21"/>
          <w:highlight w:val="none"/>
        </w:rPr>
      </w:pPr>
    </w:p>
    <w:p w14:paraId="7D49D465">
      <w:pPr>
        <w:snapToGrid w:val="0"/>
        <w:spacing w:line="400" w:lineRule="exact"/>
        <w:ind w:right="480" w:firstLine="5250" w:firstLineChars="2500"/>
        <w:rPr>
          <w:rFonts w:hint="eastAsia" w:ascii="宋体" w:hAnsi="宋体" w:cs="宋体"/>
          <w:bCs/>
          <w:color w:val="auto"/>
          <w:szCs w:val="21"/>
          <w:highlight w:val="none"/>
          <w:u w:val="single"/>
        </w:rPr>
      </w:pPr>
      <w:r>
        <w:rPr>
          <w:rFonts w:hint="eastAsia" w:ascii="宋体" w:hAnsi="宋体" w:cs="宋体"/>
          <w:bCs/>
          <w:color w:val="auto"/>
          <w:szCs w:val="21"/>
          <w:highlight w:val="none"/>
        </w:rPr>
        <w:t>合同编号：</w:t>
      </w:r>
    </w:p>
    <w:p w14:paraId="2FA4BDAE">
      <w:pPr>
        <w:snapToGrid w:val="0"/>
        <w:spacing w:line="400" w:lineRule="exact"/>
        <w:rPr>
          <w:rFonts w:hint="eastAsia" w:ascii="宋体" w:hAnsi="宋体" w:cs="宋体"/>
          <w:color w:val="auto"/>
          <w:szCs w:val="21"/>
          <w:highlight w:val="none"/>
        </w:rPr>
      </w:pPr>
    </w:p>
    <w:p w14:paraId="0BBF2896">
      <w:pPr>
        <w:snapToGrid w:val="0"/>
        <w:spacing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采购人（甲方）：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采购计划号：</w:t>
      </w:r>
      <w:r>
        <w:rPr>
          <w:rFonts w:hint="eastAsia" w:ascii="宋体" w:hAnsi="宋体" w:cs="宋体"/>
          <w:color w:val="auto"/>
          <w:sz w:val="21"/>
          <w:szCs w:val="21"/>
          <w:highlight w:val="none"/>
          <w:u w:val="single"/>
        </w:rPr>
        <w:t xml:space="preserve">                        </w:t>
      </w:r>
    </w:p>
    <w:p w14:paraId="0E36B651">
      <w:pPr>
        <w:snapToGrid w:val="0"/>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供应商（乙方）：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3712A62A">
      <w:pPr>
        <w:snapToGrid w:val="0"/>
        <w:spacing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项目名称：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项目编号：</w:t>
      </w:r>
      <w:r>
        <w:rPr>
          <w:rFonts w:hint="eastAsia" w:ascii="宋体" w:hAnsi="宋体" w:cs="宋体"/>
          <w:color w:val="auto"/>
          <w:sz w:val="21"/>
          <w:szCs w:val="21"/>
          <w:highlight w:val="none"/>
          <w:u w:val="single"/>
        </w:rPr>
        <w:t xml:space="preserve">                          </w:t>
      </w:r>
    </w:p>
    <w:p w14:paraId="65C695B0">
      <w:pPr>
        <w:snapToGrid w:val="0"/>
        <w:spacing w:line="360" w:lineRule="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签订地点：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签订时间：</w:t>
      </w:r>
      <w:r>
        <w:rPr>
          <w:rFonts w:hint="eastAsia" w:ascii="宋体" w:hAnsi="宋体" w:cs="宋体"/>
          <w:color w:val="auto"/>
          <w:sz w:val="21"/>
          <w:szCs w:val="21"/>
          <w:highlight w:val="none"/>
          <w:u w:val="single"/>
        </w:rPr>
        <w:t xml:space="preserve">                          </w:t>
      </w:r>
    </w:p>
    <w:p w14:paraId="1100A068">
      <w:pPr>
        <w:snapToGrid w:val="0"/>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本合同为中小企业预留合同：（是/否）</w:t>
      </w:r>
    </w:p>
    <w:p w14:paraId="7BF55FF4">
      <w:pPr>
        <w:snapToGrid w:val="0"/>
        <w:spacing w:line="360" w:lineRule="auto"/>
        <w:rPr>
          <w:rFonts w:hint="eastAsia" w:ascii="宋体" w:hAnsi="宋体" w:cs="宋体"/>
          <w:color w:val="auto"/>
          <w:sz w:val="21"/>
          <w:szCs w:val="21"/>
          <w:highlight w:val="none"/>
        </w:rPr>
      </w:pPr>
    </w:p>
    <w:p w14:paraId="1FA6EFCA">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根据《中华人民共和国政府采购法》、《中华人民共和国民法典》等法律、法规规定，按照竞争性谈判文件规定条款和成交供应商承诺，甲乙双方签订本合同。</w:t>
      </w:r>
    </w:p>
    <w:p w14:paraId="3F99C6A4">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第一条　合同标的</w:t>
      </w:r>
    </w:p>
    <w:p w14:paraId="35722738">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1.供货一览表</w:t>
      </w:r>
    </w:p>
    <w:tbl>
      <w:tblPr>
        <w:tblStyle w:val="2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095"/>
        <w:gridCol w:w="1145"/>
      </w:tblGrid>
      <w:tr w14:paraId="3058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7C34D63C">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1233" w:type="dxa"/>
            <w:noWrap w:val="0"/>
            <w:vAlign w:val="center"/>
          </w:tcPr>
          <w:p w14:paraId="26CC2E86">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产品名称</w:t>
            </w:r>
          </w:p>
        </w:tc>
        <w:tc>
          <w:tcPr>
            <w:tcW w:w="1059" w:type="dxa"/>
            <w:noWrap w:val="0"/>
            <w:vAlign w:val="center"/>
          </w:tcPr>
          <w:p w14:paraId="12C81B6B">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商标品牌</w:t>
            </w:r>
          </w:p>
        </w:tc>
        <w:tc>
          <w:tcPr>
            <w:tcW w:w="1233" w:type="dxa"/>
            <w:noWrap w:val="0"/>
            <w:vAlign w:val="center"/>
          </w:tcPr>
          <w:p w14:paraId="6B889297">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规格型号</w:t>
            </w:r>
          </w:p>
        </w:tc>
        <w:tc>
          <w:tcPr>
            <w:tcW w:w="1210" w:type="dxa"/>
            <w:noWrap w:val="0"/>
            <w:vAlign w:val="center"/>
          </w:tcPr>
          <w:p w14:paraId="21CABC05">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生产厂家</w:t>
            </w:r>
          </w:p>
        </w:tc>
        <w:tc>
          <w:tcPr>
            <w:tcW w:w="737" w:type="dxa"/>
            <w:noWrap w:val="0"/>
            <w:vAlign w:val="center"/>
          </w:tcPr>
          <w:p w14:paraId="10F214A8">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数量</w:t>
            </w:r>
          </w:p>
        </w:tc>
        <w:tc>
          <w:tcPr>
            <w:tcW w:w="735" w:type="dxa"/>
            <w:noWrap w:val="0"/>
            <w:vAlign w:val="center"/>
          </w:tcPr>
          <w:p w14:paraId="38329D8D">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w:t>
            </w:r>
          </w:p>
        </w:tc>
        <w:tc>
          <w:tcPr>
            <w:tcW w:w="1095" w:type="dxa"/>
            <w:noWrap w:val="0"/>
            <w:vAlign w:val="center"/>
          </w:tcPr>
          <w:p w14:paraId="128A1EDB">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单价（元）</w:t>
            </w:r>
          </w:p>
        </w:tc>
        <w:tc>
          <w:tcPr>
            <w:tcW w:w="1145" w:type="dxa"/>
            <w:noWrap w:val="0"/>
            <w:vAlign w:val="center"/>
          </w:tcPr>
          <w:p w14:paraId="10D90474">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金额（元）</w:t>
            </w:r>
          </w:p>
        </w:tc>
      </w:tr>
      <w:tr w14:paraId="11AE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709" w:type="dxa"/>
            <w:noWrap w:val="0"/>
            <w:vAlign w:val="center"/>
          </w:tcPr>
          <w:p w14:paraId="52C2B7C9">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1233" w:type="dxa"/>
            <w:noWrap w:val="0"/>
            <w:vAlign w:val="center"/>
          </w:tcPr>
          <w:p w14:paraId="797DE75D">
            <w:pPr>
              <w:snapToGrid w:val="0"/>
              <w:spacing w:line="360" w:lineRule="auto"/>
              <w:jc w:val="center"/>
              <w:rPr>
                <w:rFonts w:hint="eastAsia" w:ascii="宋体" w:hAnsi="宋体" w:cs="宋体"/>
                <w:color w:val="auto"/>
                <w:sz w:val="21"/>
                <w:szCs w:val="21"/>
                <w:highlight w:val="none"/>
              </w:rPr>
            </w:pPr>
          </w:p>
        </w:tc>
        <w:tc>
          <w:tcPr>
            <w:tcW w:w="1059" w:type="dxa"/>
            <w:noWrap w:val="0"/>
            <w:vAlign w:val="center"/>
          </w:tcPr>
          <w:p w14:paraId="551B78B7">
            <w:pPr>
              <w:snapToGrid w:val="0"/>
              <w:spacing w:line="360" w:lineRule="auto"/>
              <w:jc w:val="center"/>
              <w:rPr>
                <w:rFonts w:hint="eastAsia" w:ascii="宋体" w:hAnsi="宋体" w:cs="宋体"/>
                <w:color w:val="auto"/>
                <w:sz w:val="21"/>
                <w:szCs w:val="21"/>
                <w:highlight w:val="none"/>
              </w:rPr>
            </w:pPr>
          </w:p>
        </w:tc>
        <w:tc>
          <w:tcPr>
            <w:tcW w:w="1233" w:type="dxa"/>
            <w:noWrap w:val="0"/>
            <w:vAlign w:val="center"/>
          </w:tcPr>
          <w:p w14:paraId="02662822">
            <w:pPr>
              <w:snapToGrid w:val="0"/>
              <w:spacing w:line="360" w:lineRule="auto"/>
              <w:jc w:val="center"/>
              <w:rPr>
                <w:rFonts w:hint="eastAsia" w:ascii="宋体" w:hAnsi="宋体" w:cs="宋体"/>
                <w:color w:val="auto"/>
                <w:sz w:val="21"/>
                <w:szCs w:val="21"/>
                <w:highlight w:val="none"/>
              </w:rPr>
            </w:pPr>
          </w:p>
        </w:tc>
        <w:tc>
          <w:tcPr>
            <w:tcW w:w="1210" w:type="dxa"/>
            <w:noWrap w:val="0"/>
            <w:vAlign w:val="top"/>
          </w:tcPr>
          <w:p w14:paraId="2A1B9E75">
            <w:pPr>
              <w:snapToGrid w:val="0"/>
              <w:spacing w:line="360" w:lineRule="auto"/>
              <w:jc w:val="center"/>
              <w:rPr>
                <w:rFonts w:hint="eastAsia" w:ascii="宋体" w:hAnsi="宋体" w:cs="宋体"/>
                <w:color w:val="auto"/>
                <w:sz w:val="21"/>
                <w:szCs w:val="21"/>
                <w:highlight w:val="none"/>
              </w:rPr>
            </w:pPr>
          </w:p>
        </w:tc>
        <w:tc>
          <w:tcPr>
            <w:tcW w:w="737" w:type="dxa"/>
            <w:noWrap w:val="0"/>
            <w:vAlign w:val="top"/>
          </w:tcPr>
          <w:p w14:paraId="457F6346">
            <w:pPr>
              <w:snapToGrid w:val="0"/>
              <w:spacing w:line="360" w:lineRule="auto"/>
              <w:jc w:val="center"/>
              <w:rPr>
                <w:rFonts w:hint="eastAsia" w:ascii="宋体" w:hAnsi="宋体" w:cs="宋体"/>
                <w:color w:val="auto"/>
                <w:sz w:val="21"/>
                <w:szCs w:val="21"/>
                <w:highlight w:val="none"/>
              </w:rPr>
            </w:pPr>
          </w:p>
        </w:tc>
        <w:tc>
          <w:tcPr>
            <w:tcW w:w="735" w:type="dxa"/>
            <w:noWrap w:val="0"/>
            <w:vAlign w:val="top"/>
          </w:tcPr>
          <w:p w14:paraId="50555020">
            <w:pPr>
              <w:snapToGrid w:val="0"/>
              <w:spacing w:line="360" w:lineRule="auto"/>
              <w:jc w:val="center"/>
              <w:rPr>
                <w:rFonts w:hint="eastAsia" w:ascii="宋体" w:hAnsi="宋体" w:cs="宋体"/>
                <w:color w:val="auto"/>
                <w:sz w:val="21"/>
                <w:szCs w:val="21"/>
                <w:highlight w:val="none"/>
              </w:rPr>
            </w:pPr>
          </w:p>
        </w:tc>
        <w:tc>
          <w:tcPr>
            <w:tcW w:w="1095" w:type="dxa"/>
            <w:noWrap w:val="0"/>
            <w:vAlign w:val="center"/>
          </w:tcPr>
          <w:p w14:paraId="70F0484B">
            <w:pPr>
              <w:snapToGrid w:val="0"/>
              <w:spacing w:line="360" w:lineRule="auto"/>
              <w:jc w:val="center"/>
              <w:rPr>
                <w:rFonts w:hint="eastAsia" w:ascii="宋体" w:hAnsi="宋体" w:cs="宋体"/>
                <w:color w:val="auto"/>
                <w:sz w:val="21"/>
                <w:szCs w:val="21"/>
                <w:highlight w:val="none"/>
              </w:rPr>
            </w:pPr>
          </w:p>
        </w:tc>
        <w:tc>
          <w:tcPr>
            <w:tcW w:w="1145" w:type="dxa"/>
            <w:noWrap w:val="0"/>
            <w:vAlign w:val="center"/>
          </w:tcPr>
          <w:p w14:paraId="476466A1">
            <w:pPr>
              <w:snapToGrid w:val="0"/>
              <w:spacing w:line="360" w:lineRule="auto"/>
              <w:jc w:val="center"/>
              <w:rPr>
                <w:rFonts w:hint="eastAsia" w:ascii="宋体" w:hAnsi="宋体" w:cs="宋体"/>
                <w:color w:val="auto"/>
                <w:sz w:val="21"/>
                <w:szCs w:val="21"/>
                <w:highlight w:val="none"/>
              </w:rPr>
            </w:pPr>
          </w:p>
        </w:tc>
      </w:tr>
      <w:tr w14:paraId="06BF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9156" w:type="dxa"/>
            <w:gridSpan w:val="9"/>
            <w:noWrap w:val="0"/>
            <w:vAlign w:val="center"/>
          </w:tcPr>
          <w:p w14:paraId="7715E438">
            <w:pPr>
              <w:snapToGrid w:val="0"/>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人民币合计金额（大写）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（小写）</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tc>
      </w:tr>
    </w:tbl>
    <w:p w14:paraId="296266FA">
      <w:pPr>
        <w:snapToGrid w:val="0"/>
        <w:spacing w:line="360" w:lineRule="auto"/>
        <w:ind w:right="42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合同合计金额包含货物、货物标准附件、备品备件、专用工具、设备安装辅材、包装、运输、装卸、保险、货到就位的各种费用、税金、售后服务、技术培训、验收等所有成本费用的总和。供应商须自行考虑完成项目所需的全部内容中产生的所有费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合同实施阶段，采购人不再支付任何费用。</w:t>
      </w:r>
    </w:p>
    <w:p w14:paraId="04DD5B35">
      <w:pPr>
        <w:snapToGrid w:val="0"/>
        <w:spacing w:line="360" w:lineRule="auto"/>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第二条　质量要求</w:t>
      </w:r>
    </w:p>
    <w:p w14:paraId="3441B1D5">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009936DD">
      <w:pPr>
        <w:snapToGrid w:val="0"/>
        <w:spacing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2.乙方所提供的货物必须是全新、未使用的原装产品，且在正常安装、使用和保养条件下，其使用寿命期内各项指标均达到竞争性谈判文件规定或者响应文件承诺的质量要求。</w:t>
      </w:r>
    </w:p>
    <w:p w14:paraId="06B72D64">
      <w:pPr>
        <w:snapToGrid w:val="0"/>
        <w:spacing w:line="360" w:lineRule="auto"/>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第三条　权利保证</w:t>
      </w:r>
    </w:p>
    <w:p w14:paraId="511BCC09">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1.乙方应保证所提供货物在使用时不会侵犯任何第三方的专利权、商标权、工业设计权或者其他权利。</w:t>
      </w:r>
    </w:p>
    <w:p w14:paraId="12C323DB">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2.乙方应按竞争性谈判文件规定或者响应文件承诺的时间向甲方提供使用货物的有关技术资料。</w:t>
      </w:r>
    </w:p>
    <w:p w14:paraId="2C021D38">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7416E23A">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4.乙方保证将要交付的货物的所有权完全属于乙方且无任何抵押、质押、查封等产权瑕疵。</w:t>
      </w:r>
    </w:p>
    <w:p w14:paraId="671AC34B">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第四条　包装和运输</w:t>
      </w:r>
    </w:p>
    <w:p w14:paraId="7F1C2EB9">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1.乙方提供的货物均应按竞争性谈判文件规定或者响应文件承诺的要求的包装材料、包装标准、包装方式进行包装，每一包装单元内应附详细的装箱单和质量合格证。</w:t>
      </w:r>
    </w:p>
    <w:p w14:paraId="6113C4C6">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2.货物的运输方式：</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83DD0DD">
      <w:pPr>
        <w:snapToGrid w:val="0"/>
        <w:spacing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3.乙方负责货物运输，货物运输合理损耗及计算方法：</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59302694">
      <w:pPr>
        <w:snapToGrid w:val="0"/>
        <w:spacing w:line="360" w:lineRule="auto"/>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第五条　交付和验收</w:t>
      </w:r>
    </w:p>
    <w:p w14:paraId="53A9351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1.交</w:t>
      </w:r>
      <w:r>
        <w:rPr>
          <w:rFonts w:hint="eastAsia" w:ascii="宋体" w:hAnsi="宋体" w:cs="宋体"/>
          <w:color w:val="auto"/>
          <w:sz w:val="21"/>
          <w:szCs w:val="21"/>
          <w:highlight w:val="none"/>
          <w:lang w:val="en-US" w:eastAsia="zh-CN"/>
        </w:rPr>
        <w:t>货</w:t>
      </w:r>
      <w:r>
        <w:rPr>
          <w:rFonts w:hint="eastAsia" w:ascii="宋体" w:hAnsi="宋体" w:cs="宋体"/>
          <w:color w:val="auto"/>
          <w:sz w:val="21"/>
          <w:szCs w:val="21"/>
          <w:highlight w:val="none"/>
        </w:rPr>
        <w:t>时间：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；交</w:t>
      </w:r>
      <w:r>
        <w:rPr>
          <w:rFonts w:hint="eastAsia" w:ascii="宋体" w:hAnsi="宋体" w:cs="宋体"/>
          <w:color w:val="auto"/>
          <w:sz w:val="21"/>
          <w:szCs w:val="21"/>
          <w:highlight w:val="none"/>
          <w:lang w:val="en-US" w:eastAsia="zh-CN"/>
        </w:rPr>
        <w:t>货</w:t>
      </w:r>
      <w:r>
        <w:rPr>
          <w:rFonts w:hint="eastAsia" w:ascii="宋体" w:hAnsi="宋体" w:cs="宋体"/>
          <w:color w:val="auto"/>
          <w:sz w:val="21"/>
          <w:szCs w:val="21"/>
          <w:highlight w:val="none"/>
        </w:rPr>
        <w:t>地点：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3B9F410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2.乙方提供不符合竞争性谈判文件规定或者响应文件承诺的和本合同规定的货物，甲方有权拒绝接受。</w:t>
      </w:r>
    </w:p>
    <w:p w14:paraId="1D02BB69">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FF22C9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4.甲方应当在到货（安装、调试完）后</w:t>
      </w:r>
      <w:r>
        <w:rPr>
          <w:rFonts w:hint="eastAsia" w:ascii="宋体" w:hAnsi="宋体" w:cs="宋体"/>
          <w:color w:val="auto"/>
          <w:sz w:val="21"/>
          <w:szCs w:val="21"/>
          <w:highlight w:val="none"/>
          <w:lang w:val="en-US" w:eastAsia="zh-CN"/>
        </w:rPr>
        <w:t>十</w:t>
      </w:r>
      <w:r>
        <w:rPr>
          <w:rFonts w:hint="eastAsia" w:ascii="宋体" w:hAnsi="宋体" w:cs="宋体"/>
          <w:color w:val="auto"/>
          <w:sz w:val="21"/>
          <w:szCs w:val="21"/>
          <w:highlight w:val="none"/>
        </w:rPr>
        <w:t>个工作日内进行验收。验收合格后由甲乙双方签署货物验收单并加盖甲方公章，甲乙双方各执一份。</w:t>
      </w:r>
    </w:p>
    <w:p w14:paraId="31BD4076">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061B8A1D">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6.甲方对验收有异议的，在验收后五个工作日内以书面形式向乙方提出，乙方应自收到甲方书面异议后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日内及时予以解决。</w:t>
      </w:r>
    </w:p>
    <w:p w14:paraId="62C9815B">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第六条　安装和培训</w:t>
      </w:r>
    </w:p>
    <w:p w14:paraId="42A0D1D3">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1.甲方应提供必要安装条件（如场地、电源、水源等）。</w:t>
      </w:r>
    </w:p>
    <w:p w14:paraId="52E34B1E">
      <w:pPr>
        <w:snapToGrid w:val="0"/>
        <w:spacing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2.乙方响应文件承诺负责甲方有关人员的培训。培训时间、地点：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1231E258">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第七条  售后服务、质保期</w:t>
      </w:r>
    </w:p>
    <w:p w14:paraId="04208625">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1.乙方应按照国家有关法律法规和“三包”规定以及本合同所附的《服务承诺》，为甲方提供售后服务。</w:t>
      </w:r>
    </w:p>
    <w:p w14:paraId="10A1374D">
      <w:pPr>
        <w:snapToGrid w:val="0"/>
        <w:spacing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2.货物质保期：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2ACC9D39">
      <w:pPr>
        <w:snapToGrid w:val="0"/>
        <w:spacing w:line="360" w:lineRule="auto"/>
        <w:ind w:firstLine="420" w:firstLineChars="20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3.乙方提供的服务承诺和售后服务及保修期责任等其它具体约定事项。（见合同附件）</w:t>
      </w:r>
    </w:p>
    <w:p w14:paraId="2400FA50">
      <w:pPr>
        <w:snapToGrid w:val="0"/>
        <w:spacing w:line="360" w:lineRule="auto"/>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第八条　付款方式</w:t>
      </w:r>
    </w:p>
    <w:p w14:paraId="6DBB81AF">
      <w:pPr>
        <w:pStyle w:val="13"/>
        <w:snapToGrid w:val="0"/>
        <w:spacing w:line="360" w:lineRule="auto"/>
        <w:ind w:firstLine="420" w:firstLineChars="20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1.本项目无预付款；货物交货安装调试完毕达到使用状态并验收合格后30个工作日内支付合同总价的40%，正常稳定运行六个月后30个工作日内支付合同总价的50%，正常稳定运行1年后第一个月内支付合同总价的10%。</w:t>
      </w:r>
    </w:p>
    <w:p w14:paraId="0F9FC6D8">
      <w:pPr>
        <w:pStyle w:val="13"/>
        <w:snapToGrid w:val="0"/>
        <w:spacing w:line="360" w:lineRule="auto"/>
        <w:ind w:firstLine="420" w:firstLineChars="200"/>
        <w:rPr>
          <w:rFonts w:hint="default" w:hAnsi="宋体" w:cs="宋体"/>
          <w:color w:val="auto"/>
          <w:sz w:val="21"/>
          <w:szCs w:val="21"/>
          <w:highlight w:val="none"/>
          <w:lang w:val="en-US" w:eastAsia="zh-CN"/>
        </w:rPr>
      </w:pPr>
      <w:r>
        <w:rPr>
          <w:rFonts w:hint="eastAsia" w:hAnsi="宋体" w:cs="宋体"/>
          <w:color w:val="auto"/>
          <w:sz w:val="21"/>
          <w:szCs w:val="21"/>
          <w:highlight w:val="none"/>
          <w:lang w:val="en-US" w:eastAsia="zh-CN"/>
        </w:rPr>
        <w:t>2.</w:t>
      </w:r>
      <w:r>
        <w:rPr>
          <w:rFonts w:hint="eastAsia"/>
          <w:color w:val="auto"/>
          <w:highlight w:val="none"/>
          <w:lang w:eastAsia="zh-CN"/>
        </w:rPr>
        <w:t>由乙方发起付款请求，</w:t>
      </w:r>
      <w:r>
        <w:rPr>
          <w:rFonts w:hint="eastAsia" w:hAnsi="宋体" w:cs="宋体"/>
          <w:color w:val="auto"/>
          <w:sz w:val="21"/>
          <w:szCs w:val="21"/>
          <w:highlight w:val="none"/>
          <w:lang w:val="en-US" w:eastAsia="zh-CN"/>
        </w:rPr>
        <w:t>每次付款前，乙方需按甲方要求开具等额发票，否则不予支付。</w:t>
      </w:r>
    </w:p>
    <w:p w14:paraId="5461A1B1">
      <w:pPr>
        <w:snapToGrid w:val="0"/>
        <w:spacing w:line="360" w:lineRule="auto"/>
        <w:ind w:left="-61" w:leftChars="-29" w:firstLine="517" w:firstLineChars="245"/>
        <w:rPr>
          <w:rFonts w:hint="eastAsia" w:ascii="宋体" w:hAnsi="宋体" w:cs="宋体"/>
          <w:b/>
          <w:color w:val="auto"/>
          <w:sz w:val="21"/>
          <w:szCs w:val="21"/>
          <w:highlight w:val="none"/>
        </w:rPr>
      </w:pPr>
      <w:r>
        <w:rPr>
          <w:rFonts w:hint="eastAsia" w:ascii="宋体" w:hAnsi="宋体" w:cs="宋体"/>
          <w:b/>
          <w:color w:val="auto"/>
          <w:sz w:val="21"/>
          <w:szCs w:val="21"/>
          <w:highlight w:val="none"/>
        </w:rPr>
        <w:t>第九条　履约保证金</w:t>
      </w:r>
    </w:p>
    <w:p w14:paraId="5BB7DE83">
      <w:pPr>
        <w:snapToGrid w:val="0"/>
        <w:spacing w:line="360" w:lineRule="auto"/>
        <w:ind w:left="-61" w:firstLine="725" w:firstLineChars="344"/>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无</w:t>
      </w:r>
    </w:p>
    <w:p w14:paraId="726B8E21">
      <w:pPr>
        <w:snapToGrid w:val="0"/>
        <w:spacing w:line="360" w:lineRule="auto"/>
        <w:ind w:left="-61" w:firstLine="514"/>
        <w:rPr>
          <w:rFonts w:hint="eastAsia" w:ascii="宋体" w:hAnsi="宋体" w:cs="宋体"/>
          <w:b/>
          <w:color w:val="auto"/>
          <w:sz w:val="21"/>
          <w:szCs w:val="21"/>
          <w:highlight w:val="none"/>
        </w:rPr>
      </w:pPr>
      <w:r>
        <w:rPr>
          <w:rFonts w:hint="eastAsia" w:ascii="宋体" w:hAnsi="宋体" w:cs="宋体"/>
          <w:b/>
          <w:color w:val="auto"/>
          <w:sz w:val="21"/>
          <w:szCs w:val="21"/>
          <w:highlight w:val="none"/>
        </w:rPr>
        <w:t>第十条  税费</w:t>
      </w:r>
    </w:p>
    <w:p w14:paraId="76BBBC31">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本合同执行中相关的一切税费均由乙方负担，合同另有约定的除外。</w:t>
      </w:r>
    </w:p>
    <w:p w14:paraId="40F56658">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b/>
          <w:color w:val="auto"/>
          <w:sz w:val="21"/>
          <w:szCs w:val="21"/>
          <w:highlight w:val="none"/>
        </w:rPr>
        <w:t>第十一条  质量保证及售后服务</w:t>
      </w:r>
    </w:p>
    <w:p w14:paraId="5D6E2D2B">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bCs/>
          <w:color w:val="auto"/>
          <w:sz w:val="21"/>
          <w:szCs w:val="21"/>
          <w:highlight w:val="none"/>
        </w:rPr>
        <w:t>1.</w:t>
      </w:r>
      <w:r>
        <w:rPr>
          <w:rFonts w:hint="eastAsia" w:hAnsi="宋体" w:cs="宋体"/>
          <w:color w:val="auto"/>
          <w:sz w:val="21"/>
          <w:szCs w:val="21"/>
          <w:highlight w:val="none"/>
        </w:rPr>
        <w:t>乙方应按竞争性谈判文件规定的产品名称、商标品牌、生产厂家、规格型号、技术参数、质量标准向甲方提供未经使用的全新产品。不符合要求的，根据实际情况，经双方协商，可按以下办法处理：</w:t>
      </w:r>
    </w:p>
    <w:p w14:paraId="0A6A96D2">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⑴更换：由乙方承担所发生的全部费用。</w:t>
      </w:r>
    </w:p>
    <w:p w14:paraId="363702B2">
      <w:pPr>
        <w:pStyle w:val="13"/>
        <w:snapToGrid w:val="0"/>
        <w:spacing w:line="360" w:lineRule="auto"/>
        <w:ind w:firstLine="420"/>
        <w:rPr>
          <w:rFonts w:hint="eastAsia" w:hAnsi="宋体" w:cs="宋体"/>
          <w:color w:val="auto"/>
          <w:sz w:val="21"/>
          <w:szCs w:val="21"/>
          <w:highlight w:val="none"/>
        </w:rPr>
      </w:pPr>
      <w:r>
        <w:rPr>
          <w:rFonts w:hint="eastAsia" w:hAnsi="宋体" w:cs="宋体"/>
          <w:color w:val="auto"/>
          <w:sz w:val="21"/>
          <w:szCs w:val="21"/>
          <w:highlight w:val="none"/>
        </w:rPr>
        <w:t>⑵贬值处理：由甲乙双方合议定价。</w:t>
      </w:r>
    </w:p>
    <w:p w14:paraId="5BDAD5F6">
      <w:pPr>
        <w:pStyle w:val="13"/>
        <w:snapToGrid w:val="0"/>
        <w:spacing w:line="360" w:lineRule="auto"/>
        <w:ind w:firstLine="420"/>
        <w:rPr>
          <w:rFonts w:hint="eastAsia" w:hAnsi="宋体" w:cs="宋体"/>
          <w:color w:val="auto"/>
          <w:sz w:val="21"/>
          <w:szCs w:val="21"/>
          <w:highlight w:val="none"/>
        </w:rPr>
      </w:pPr>
      <w:r>
        <w:rPr>
          <w:rFonts w:hint="eastAsia" w:hAnsi="宋体" w:cs="宋体"/>
          <w:color w:val="auto"/>
          <w:sz w:val="21"/>
          <w:szCs w:val="21"/>
          <w:highlight w:val="none"/>
        </w:rPr>
        <w:t>⑶退货处理：乙方应退还甲方支付的合同款，同时应承担该货物的直接费用（运输、保险、检验、货款利息及银行手续费等）。</w:t>
      </w:r>
    </w:p>
    <w:p w14:paraId="7D2FDE88">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2.如在使用过程中发生质量问题，乙方在接到甲方通知后到达甲方现场处理的时间（</w:t>
      </w:r>
      <w:r>
        <w:rPr>
          <w:rFonts w:hint="eastAsia" w:hAnsi="宋体" w:cs="宋体"/>
          <w:color w:val="auto"/>
          <w:sz w:val="21"/>
          <w:szCs w:val="21"/>
          <w:highlight w:val="none"/>
          <w:u w:val="single"/>
        </w:rPr>
        <w:t>按响应文件承诺的数据填写</w:t>
      </w:r>
      <w:r>
        <w:rPr>
          <w:rFonts w:hint="eastAsia" w:hAnsi="宋体" w:cs="宋体"/>
          <w:color w:val="auto"/>
          <w:sz w:val="21"/>
          <w:szCs w:val="21"/>
          <w:highlight w:val="none"/>
        </w:rPr>
        <w:t>）小时内。</w:t>
      </w:r>
    </w:p>
    <w:p w14:paraId="20A03392">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3.在质保期内，乙方应对货物出现的质量及安全问题负责处理解决并承担一切费用。</w:t>
      </w:r>
    </w:p>
    <w:p w14:paraId="3C7ED96C">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4.上述的货物质保期为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年，因人为因素出现的故障不在免费保修范围内。超过保修期的机器设备，终生维修，维修时只收部件成本费。</w:t>
      </w:r>
    </w:p>
    <w:p w14:paraId="55FA9D89">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b/>
          <w:color w:val="auto"/>
          <w:sz w:val="21"/>
          <w:szCs w:val="21"/>
          <w:highlight w:val="none"/>
        </w:rPr>
        <w:t>第十二条  调试和验收（本条款适用于甲方自行验收，委托第三方验收的另行规定）</w:t>
      </w:r>
    </w:p>
    <w:p w14:paraId="49E9565E">
      <w:pPr>
        <w:pStyle w:val="13"/>
        <w:snapToGri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1"/>
          <w:szCs w:val="21"/>
          <w:highlight w:val="none"/>
          <w:lang w:val="en-US" w:eastAsia="zh-CN"/>
        </w:rPr>
        <w:t>十</w:t>
      </w:r>
      <w:r>
        <w:rPr>
          <w:rFonts w:hint="eastAsia" w:hAnsi="宋体" w:cs="宋体"/>
          <w:color w:val="auto"/>
          <w:sz w:val="21"/>
          <w:szCs w:val="21"/>
          <w:highlight w:val="none"/>
        </w:rPr>
        <w:t>个工作日内进行验收。</w:t>
      </w:r>
    </w:p>
    <w:p w14:paraId="42EA25BD">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2.乙方交货前应对产品作出全面检查和对验收文件进行整理，并列出清单，作为甲方收货验收和使用的技术条件依据，检验的结果应随货物交甲方。</w:t>
      </w:r>
    </w:p>
    <w:p w14:paraId="08C38242">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3.甲方对乙方提供的货物在使用前进行调试时，乙方需负责安装并培训甲方的使用操作人员，并协助甲方一起调试，直到符合技术要求，甲方才做最终验收。</w:t>
      </w:r>
    </w:p>
    <w:p w14:paraId="6AE02CF5">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4.对技术复杂的货物，甲方应请国家认可的专业检测机构参与初步验收及最终验收，并由其出具质量检测报告。</w:t>
      </w:r>
    </w:p>
    <w:p w14:paraId="58A3FAE9">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5.验收时乙方必须在现场，验收完毕后作出验收结果报告；验收费用按竞争性谈判文件约定承担方负责。</w:t>
      </w:r>
    </w:p>
    <w:p w14:paraId="2D6D2F6D">
      <w:pPr>
        <w:pStyle w:val="13"/>
        <w:snapToGrid w:val="0"/>
        <w:spacing w:line="360" w:lineRule="auto"/>
        <w:ind w:firstLine="413" w:firstLineChars="196"/>
        <w:rPr>
          <w:rFonts w:hint="eastAsia" w:hAnsi="宋体" w:cs="宋体"/>
          <w:b/>
          <w:color w:val="auto"/>
          <w:sz w:val="21"/>
          <w:szCs w:val="21"/>
          <w:highlight w:val="none"/>
        </w:rPr>
      </w:pPr>
      <w:r>
        <w:rPr>
          <w:rFonts w:hint="eastAsia" w:hAnsi="宋体" w:cs="宋体"/>
          <w:b/>
          <w:color w:val="auto"/>
          <w:sz w:val="21"/>
          <w:szCs w:val="21"/>
          <w:highlight w:val="none"/>
        </w:rPr>
        <w:t>第十三条  货物包装、发运及运输</w:t>
      </w:r>
    </w:p>
    <w:p w14:paraId="691D304C">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1.乙方应在货物发运前对其进行满足运输距离、防潮、防震、防锈和防破损装卸等要求包装，以保证货物安全运达甲方指定地点。</w:t>
      </w:r>
    </w:p>
    <w:p w14:paraId="5BD6D5E8">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2.使用说明书（货物属于进口产品的，供货时应同时附上中文使用说明书）、质量检验证明书、随配附件和工具以及清单一并附于货物内。</w:t>
      </w:r>
    </w:p>
    <w:p w14:paraId="357DE981">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3.乙方在货物发运手续办理完毕后二十四小时内或者货到甲方四十八小时前通知甲方，以准备接货。</w:t>
      </w:r>
    </w:p>
    <w:p w14:paraId="7D6A6893">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4.货物在交付甲方前发生的风险均由乙方负责。</w:t>
      </w:r>
    </w:p>
    <w:p w14:paraId="156EEC48">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5.货物在规定的交付期限内由乙方送达甲方指定的地点视为交付，乙方同时需通知甲方货物已送达。</w:t>
      </w:r>
    </w:p>
    <w:p w14:paraId="28B935AF">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第十四条　违约责任</w:t>
      </w:r>
    </w:p>
    <w:p w14:paraId="25426DA0">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1B2BF480">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2.乙方提供的货物如侵犯了第三方合法权益而引发的任何纠纷或者诉讼，均由乙方负责交涉并承担全部责任。</w:t>
      </w:r>
    </w:p>
    <w:p w14:paraId="59858446">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3.因包装、运输引起的货物损坏，按质量不合格处罚。</w:t>
      </w:r>
    </w:p>
    <w:p w14:paraId="2105FC3A">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4.甲方无故延期接收货物、乙方逾期交货的，每天向对方偿付违约货款额3‰违约金，但违约金累计不得超过违约货款额5%，超过</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天对方有权解除合同，违约方承担因此给对方造成经济损失；甲方延期付货款的，每天向乙方偿付延期货款额3‰滞纳金，但滞纳金累计不得超过延期货款额5%</w:t>
      </w:r>
      <w:r>
        <w:rPr>
          <w:rFonts w:hint="eastAsia" w:hAnsi="宋体" w:cs="宋体"/>
          <w:color w:val="auto"/>
          <w:sz w:val="21"/>
          <w:szCs w:val="21"/>
          <w:highlight w:val="none"/>
          <w:lang w:eastAsia="zh-CN"/>
        </w:rPr>
        <w:t>，乙方超期发起付款请求导致甲方逾期付款的，甲方无需承担延期付款责任。</w:t>
      </w:r>
      <w:r>
        <w:rPr>
          <w:rFonts w:hint="eastAsia" w:hAnsi="宋体" w:cs="宋体"/>
          <w:color w:val="auto"/>
          <w:sz w:val="21"/>
          <w:szCs w:val="21"/>
          <w:highlight w:val="none"/>
        </w:rPr>
        <w:t>甲方无故延期退付履约保证金的，每天向对方偿付未退付履约保证金3‰的违约金。</w:t>
      </w:r>
    </w:p>
    <w:p w14:paraId="04EDBEF7">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5.乙方未按本合同和响应文件中规定的服务承诺提供售后服务的，乙方应按本合同合计金额 5%向甲方支付违约金。</w:t>
      </w:r>
    </w:p>
    <w:p w14:paraId="1348A6EF">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6.乙方提供的货物在质量保证期内，因设计、工艺或者材料的缺陷和其它质量原因造成的问题，由乙方负责，费用从余款或者履约保证金中扣除，不足另补。</w:t>
      </w:r>
    </w:p>
    <w:p w14:paraId="5079D26B">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7.甲乙双方有其它违约行为的，由违约方向对方支付违约内容涉及货款额的5%，违约内容涉及货款额的5%不足以赔偿经济损失的按实际赔偿。</w:t>
      </w:r>
    </w:p>
    <w:p w14:paraId="00CCAB14">
      <w:pPr>
        <w:pStyle w:val="13"/>
        <w:snapToGrid w:val="0"/>
        <w:spacing w:line="360" w:lineRule="auto"/>
        <w:ind w:firstLine="413" w:firstLineChars="196"/>
        <w:rPr>
          <w:rFonts w:hint="eastAsia" w:hAnsi="宋体" w:cs="宋体"/>
          <w:b/>
          <w:color w:val="auto"/>
          <w:sz w:val="21"/>
          <w:szCs w:val="21"/>
          <w:highlight w:val="none"/>
        </w:rPr>
      </w:pPr>
      <w:r>
        <w:rPr>
          <w:rFonts w:hint="eastAsia" w:hAnsi="宋体" w:cs="宋体"/>
          <w:b/>
          <w:color w:val="auto"/>
          <w:sz w:val="21"/>
          <w:szCs w:val="21"/>
          <w:highlight w:val="none"/>
        </w:rPr>
        <w:t>第十五条  不可抗力事件处理</w:t>
      </w:r>
    </w:p>
    <w:p w14:paraId="3BA84A8B">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1.在合同有效期内，任何一方因不可抗力事件导致不能履行合同，则合同履行期可延长，其延长期与不可抗力影响期相同。</w:t>
      </w:r>
    </w:p>
    <w:p w14:paraId="4E0EAC75">
      <w:pPr>
        <w:pStyle w:val="13"/>
        <w:snapToGrid w:val="0"/>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2.不可抗力事件发生后，应立即通知对方，并寄送有关权威机构出具的证明。</w:t>
      </w:r>
    </w:p>
    <w:p w14:paraId="32DBA98C">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3.不可抗力事件延续一百二十天以上，双方应通过友好协商，确定是否继续履行合同。</w:t>
      </w:r>
    </w:p>
    <w:p w14:paraId="660CAB60">
      <w:pPr>
        <w:snapToGrid w:val="0"/>
        <w:spacing w:line="360" w:lineRule="auto"/>
        <w:ind w:firstLine="422" w:firstLineChars="200"/>
        <w:rPr>
          <w:rFonts w:hint="eastAsia" w:ascii="宋体" w:hAnsi="宋体" w:cs="宋体"/>
          <w:color w:val="auto"/>
          <w:sz w:val="21"/>
          <w:szCs w:val="21"/>
          <w:highlight w:val="none"/>
        </w:rPr>
      </w:pPr>
      <w:r>
        <w:rPr>
          <w:rFonts w:hint="eastAsia" w:ascii="宋体" w:hAnsi="宋体" w:cs="宋体"/>
          <w:b/>
          <w:color w:val="auto"/>
          <w:sz w:val="21"/>
          <w:szCs w:val="21"/>
          <w:highlight w:val="none"/>
        </w:rPr>
        <w:t>第十六条  合同争议解决</w:t>
      </w:r>
    </w:p>
    <w:p w14:paraId="3F96729E">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4F2C0153">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2.因履行本合同引起的或者与本合同有关的争议，甲乙双方应首先通过友好协商解决，如果协商不能解决，可向甲方所在地人民法院提起诉讼。</w:t>
      </w:r>
    </w:p>
    <w:p w14:paraId="02B723B8">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3.诉讼期间，本合同继续履行。</w:t>
      </w:r>
    </w:p>
    <w:p w14:paraId="49913DCB">
      <w:pPr>
        <w:pStyle w:val="13"/>
        <w:snapToGrid w:val="0"/>
        <w:spacing w:line="360" w:lineRule="auto"/>
        <w:ind w:firstLine="413" w:firstLineChars="196"/>
        <w:rPr>
          <w:rFonts w:hint="eastAsia" w:hAnsi="宋体" w:cs="宋体"/>
          <w:b/>
          <w:color w:val="auto"/>
          <w:sz w:val="21"/>
          <w:szCs w:val="21"/>
          <w:highlight w:val="none"/>
        </w:rPr>
      </w:pPr>
      <w:r>
        <w:rPr>
          <w:rFonts w:hint="eastAsia" w:hAnsi="宋体" w:cs="宋体"/>
          <w:b/>
          <w:color w:val="auto"/>
          <w:sz w:val="21"/>
          <w:szCs w:val="21"/>
          <w:highlight w:val="none"/>
        </w:rPr>
        <w:t>第十七条  合同生效及其它</w:t>
      </w:r>
    </w:p>
    <w:p w14:paraId="5955580F">
      <w:pPr>
        <w:pStyle w:val="13"/>
        <w:snapToGrid w:val="0"/>
        <w:spacing w:line="360" w:lineRule="auto"/>
        <w:ind w:firstLine="422" w:firstLineChars="200"/>
        <w:rPr>
          <w:rFonts w:hint="eastAsia" w:hAnsi="宋体" w:cs="宋体"/>
          <w:b/>
          <w:color w:val="auto"/>
          <w:sz w:val="21"/>
          <w:szCs w:val="21"/>
          <w:highlight w:val="none"/>
        </w:rPr>
      </w:pPr>
      <w:r>
        <w:rPr>
          <w:rFonts w:hint="eastAsia" w:hAnsi="宋体" w:cs="宋体"/>
          <w:b/>
          <w:color w:val="auto"/>
          <w:sz w:val="21"/>
          <w:szCs w:val="21"/>
          <w:highlight w:val="none"/>
        </w:rPr>
        <w:t>1. 合同经双方法定代表人或者委托代理人签字并加盖单位公章后生效（委托代理人签字的需后附法定代表人授权委托书，格式自拟）。</w:t>
      </w:r>
    </w:p>
    <w:p w14:paraId="1DB0FBC0">
      <w:pPr>
        <w:pStyle w:val="13"/>
        <w:snapToGrid w:val="0"/>
        <w:spacing w:line="360" w:lineRule="auto"/>
        <w:ind w:firstLine="422" w:firstLineChars="200"/>
        <w:rPr>
          <w:rFonts w:hint="eastAsia" w:hAnsi="宋体" w:cs="宋体"/>
          <w:b/>
          <w:color w:val="auto"/>
          <w:sz w:val="21"/>
          <w:szCs w:val="21"/>
          <w:highlight w:val="none"/>
        </w:rPr>
      </w:pPr>
      <w:r>
        <w:rPr>
          <w:rFonts w:hint="eastAsia" w:hAnsi="宋体" w:cs="宋体"/>
          <w:b/>
          <w:color w:val="auto"/>
          <w:sz w:val="21"/>
          <w:szCs w:val="21"/>
          <w:highlight w:val="none"/>
        </w:rPr>
        <w:t>2.合同执行中涉及采购资金和采购内容修改或者补充的，须经财政部门审批，并签书面补充协议报财政部门备案，方可作为主合同不可分割的一部分。</w:t>
      </w:r>
    </w:p>
    <w:p w14:paraId="08441BAC">
      <w:pPr>
        <w:pStyle w:val="13"/>
        <w:snapToGrid w:val="0"/>
        <w:spacing w:line="360" w:lineRule="auto"/>
        <w:ind w:left="283" w:leftChars="135" w:firstLine="143"/>
        <w:rPr>
          <w:rFonts w:hint="eastAsia" w:hAnsi="宋体" w:cs="宋体"/>
          <w:b/>
          <w:color w:val="auto"/>
          <w:sz w:val="21"/>
          <w:szCs w:val="21"/>
          <w:highlight w:val="none"/>
        </w:rPr>
      </w:pPr>
      <w:r>
        <w:rPr>
          <w:rFonts w:hint="eastAsia" w:hAnsi="宋体" w:cs="宋体"/>
          <w:b/>
          <w:color w:val="auto"/>
          <w:sz w:val="21"/>
          <w:szCs w:val="21"/>
          <w:highlight w:val="none"/>
        </w:rPr>
        <w:t>3.本合同未尽事宜，遵照《中华人民共和国民法典》有关条文执行。</w:t>
      </w:r>
    </w:p>
    <w:p w14:paraId="2AE1ADEB">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第十八条　合同的变更、终止与转让</w:t>
      </w:r>
    </w:p>
    <w:p w14:paraId="6CCDFC11">
      <w:pPr>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1.除《中华人民共和国政府采购法》第五十条规定的情形外，本合同一经签订，甲乙双方不得擅自变更、中止或者终止。</w:t>
      </w:r>
    </w:p>
    <w:p w14:paraId="43D3AFE1">
      <w:pPr>
        <w:snapToGrid w:val="0"/>
        <w:spacing w:line="360" w:lineRule="auto"/>
        <w:ind w:left="-61" w:firstLine="514"/>
        <w:rPr>
          <w:rFonts w:hint="eastAsia" w:ascii="宋体" w:hAnsi="宋体" w:cs="宋体"/>
          <w:color w:val="auto"/>
          <w:sz w:val="21"/>
          <w:szCs w:val="21"/>
          <w:highlight w:val="none"/>
        </w:rPr>
      </w:pPr>
      <w:r>
        <w:rPr>
          <w:rFonts w:hint="eastAsia" w:ascii="宋体" w:hAnsi="宋体" w:cs="宋体"/>
          <w:color w:val="auto"/>
          <w:sz w:val="21"/>
          <w:szCs w:val="21"/>
          <w:highlight w:val="none"/>
        </w:rPr>
        <w:t>2.乙方不得擅自转让（无进口资格的供应商委托进口货物除外）其应履行的合同义务。</w:t>
      </w:r>
    </w:p>
    <w:p w14:paraId="1FA3D5FD">
      <w:pPr>
        <w:snapToGrid w:val="0"/>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第十九条　</w:t>
      </w:r>
      <w:r>
        <w:rPr>
          <w:rFonts w:hint="eastAsia" w:ascii="宋体" w:hAnsi="宋体" w:cs="宋体"/>
          <w:b/>
          <w:bCs/>
          <w:color w:val="auto"/>
          <w:kern w:val="0"/>
          <w:sz w:val="21"/>
          <w:szCs w:val="21"/>
          <w:highlight w:val="none"/>
        </w:rPr>
        <w:t>本合同书与下列文件一起构成合同文件</w:t>
      </w:r>
    </w:p>
    <w:p w14:paraId="16A648B6">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1.成交通知书；</w:t>
      </w:r>
    </w:p>
    <w:p w14:paraId="1486BA38">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2.竞标声明；</w:t>
      </w:r>
    </w:p>
    <w:p w14:paraId="57712FF4">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3.商务条款偏离表和技术需求偏离表；</w:t>
      </w:r>
    </w:p>
    <w:p w14:paraId="1956F1B0">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4.采购需求；</w:t>
      </w:r>
    </w:p>
    <w:p w14:paraId="0FB73CD8">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5.竞标报价表；</w:t>
      </w:r>
    </w:p>
    <w:p w14:paraId="0A65FF06">
      <w:pPr>
        <w:pStyle w:val="13"/>
        <w:snapToGrid w:val="0"/>
        <w:spacing w:line="360" w:lineRule="auto"/>
        <w:ind w:left="420" w:leftChars="200"/>
        <w:rPr>
          <w:rFonts w:hint="eastAsia" w:hAnsi="宋体" w:cs="宋体"/>
          <w:color w:val="auto"/>
          <w:sz w:val="21"/>
          <w:szCs w:val="21"/>
          <w:highlight w:val="none"/>
        </w:rPr>
      </w:pPr>
      <w:r>
        <w:rPr>
          <w:rFonts w:hint="eastAsia" w:hAnsi="宋体" w:cs="宋体"/>
          <w:color w:val="auto"/>
          <w:sz w:val="21"/>
          <w:szCs w:val="21"/>
          <w:highlight w:val="none"/>
        </w:rPr>
        <w:t>6.其他合同文件。</w:t>
      </w:r>
    </w:p>
    <w:p w14:paraId="6581966A">
      <w:pPr>
        <w:pStyle w:val="13"/>
        <w:snapToGrid w:val="0"/>
        <w:spacing w:line="360" w:lineRule="auto"/>
        <w:ind w:firstLine="371" w:firstLineChars="177"/>
        <w:rPr>
          <w:rFonts w:hint="eastAsia" w:hAnsi="宋体" w:cs="宋体"/>
          <w:b/>
          <w:color w:val="auto"/>
          <w:sz w:val="21"/>
          <w:szCs w:val="21"/>
          <w:highlight w:val="none"/>
        </w:rPr>
      </w:pPr>
      <w:r>
        <w:rPr>
          <w:rFonts w:hint="eastAsia" w:hAnsi="宋体" w:cs="宋体"/>
          <w:color w:val="auto"/>
          <w:sz w:val="21"/>
          <w:szCs w:val="21"/>
          <w:highlight w:val="none"/>
        </w:rPr>
        <w:t>7.上述合同文件互相补充和解释。如果合同文件之间存在矛盾或者不一致之处，以上述文件的排列顺序在先者为准。</w:t>
      </w:r>
    </w:p>
    <w:p w14:paraId="016E8C81">
      <w:pPr>
        <w:snapToGrid w:val="0"/>
        <w:spacing w:line="360" w:lineRule="auto"/>
        <w:ind w:firstLine="422" w:firstLineChars="200"/>
        <w:rPr>
          <w:rFonts w:hint="eastAsia" w:ascii="宋体" w:hAnsi="宋体"/>
          <w:color w:val="auto"/>
          <w:sz w:val="21"/>
          <w:szCs w:val="21"/>
          <w:highlight w:val="none"/>
        </w:rPr>
      </w:pPr>
      <w:r>
        <w:rPr>
          <w:rFonts w:hint="eastAsia" w:ascii="宋体" w:hAnsi="宋体" w:cs="宋体"/>
          <w:b/>
          <w:color w:val="auto"/>
          <w:sz w:val="21"/>
          <w:szCs w:val="21"/>
          <w:highlight w:val="none"/>
        </w:rPr>
        <w:t>第二十条　</w:t>
      </w:r>
      <w:r>
        <w:rPr>
          <w:rFonts w:hint="eastAsia" w:ascii="宋体" w:hAnsi="宋体"/>
          <w:color w:val="auto"/>
          <w:sz w:val="21"/>
          <w:szCs w:val="21"/>
          <w:highlight w:val="none"/>
        </w:rPr>
        <w:t>本合同一式四份，具有同等法律效力，财政部门（政府采购监管部门）、采购代理机构各一份，甲乙双方各一份（可根据需要另增加）。</w:t>
      </w:r>
    </w:p>
    <w:p w14:paraId="1173C492">
      <w:pPr>
        <w:snapToGrid w:val="0"/>
        <w:spacing w:line="360" w:lineRule="auto"/>
        <w:ind w:left="-61" w:firstLine="514"/>
        <w:rPr>
          <w:rFonts w:hint="eastAsia" w:ascii="宋体" w:hAnsi="宋体" w:cs="宋体"/>
          <w:color w:val="auto"/>
          <w:sz w:val="21"/>
          <w:szCs w:val="21"/>
          <w:highlight w:val="none"/>
        </w:rPr>
      </w:pPr>
      <w:r>
        <w:rPr>
          <w:rFonts w:hint="eastAsia" w:ascii="宋体" w:hAnsi="宋体"/>
          <w:color w:val="auto"/>
          <w:sz w:val="21"/>
          <w:szCs w:val="21"/>
          <w:highlight w:val="none"/>
        </w:rPr>
        <w:t>本合同甲乙双方签字盖章后生效，自签订之日起七个工作日内，甲方应当将合同副本报同级财政部门备案。</w:t>
      </w:r>
    </w:p>
    <w:p w14:paraId="589869A1">
      <w:pPr>
        <w:snapToGrid w:val="0"/>
        <w:spacing w:line="360" w:lineRule="auto"/>
        <w:rPr>
          <w:rFonts w:hint="eastAsia" w:ascii="宋体" w:hAnsi="宋体" w:cs="宋体"/>
          <w:color w:val="auto"/>
          <w:sz w:val="21"/>
          <w:szCs w:val="21"/>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002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43A8E882">
            <w:pPr>
              <w:snapToGrid w:val="0"/>
              <w:spacing w:line="360" w:lineRule="auto"/>
              <w:rPr>
                <w:rFonts w:hint="eastAsia" w:ascii="宋体" w:hAnsi="宋体"/>
                <w:color w:val="auto"/>
                <w:sz w:val="21"/>
                <w:szCs w:val="21"/>
                <w:highlight w:val="none"/>
              </w:rPr>
            </w:pPr>
          </w:p>
          <w:p w14:paraId="3DE22BB1">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 xml:space="preserve">甲方（章）           </w:t>
            </w:r>
          </w:p>
          <w:p w14:paraId="7AB08338">
            <w:pPr>
              <w:snapToGrid w:val="0"/>
              <w:spacing w:line="360" w:lineRule="auto"/>
              <w:rPr>
                <w:rFonts w:hint="eastAsia" w:ascii="宋体" w:hAnsi="宋体"/>
                <w:color w:val="auto"/>
                <w:sz w:val="21"/>
                <w:szCs w:val="21"/>
                <w:highlight w:val="none"/>
              </w:rPr>
            </w:pPr>
          </w:p>
          <w:p w14:paraId="71F1324D">
            <w:pPr>
              <w:snapToGrid w:val="0"/>
              <w:spacing w:line="360" w:lineRule="auto"/>
              <w:ind w:firstLine="945" w:firstLineChars="450"/>
              <w:jc w:val="right"/>
              <w:rPr>
                <w:rFonts w:hint="eastAsia" w:ascii="宋体" w:hAnsi="宋体"/>
                <w:color w:val="auto"/>
                <w:sz w:val="21"/>
                <w:szCs w:val="21"/>
                <w:highlight w:val="none"/>
              </w:rPr>
            </w:pPr>
            <w:r>
              <w:rPr>
                <w:rFonts w:hint="eastAsia" w:ascii="宋体" w:hAnsi="宋体"/>
                <w:color w:val="auto"/>
                <w:sz w:val="21"/>
                <w:szCs w:val="21"/>
                <w:highlight w:val="none"/>
              </w:rPr>
              <w:t>年   月   日</w:t>
            </w:r>
          </w:p>
        </w:tc>
        <w:tc>
          <w:tcPr>
            <w:tcW w:w="4517" w:type="dxa"/>
            <w:noWrap w:val="0"/>
            <w:vAlign w:val="center"/>
          </w:tcPr>
          <w:p w14:paraId="74FCBB12">
            <w:pPr>
              <w:snapToGrid w:val="0"/>
              <w:spacing w:line="360" w:lineRule="auto"/>
              <w:rPr>
                <w:rFonts w:hint="eastAsia" w:ascii="宋体" w:hAnsi="宋体"/>
                <w:color w:val="auto"/>
                <w:sz w:val="21"/>
                <w:szCs w:val="21"/>
                <w:highlight w:val="none"/>
              </w:rPr>
            </w:pPr>
          </w:p>
          <w:p w14:paraId="78D084F5">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 xml:space="preserve">乙方（章）              </w:t>
            </w:r>
          </w:p>
          <w:p w14:paraId="70BD14B4">
            <w:pPr>
              <w:snapToGrid w:val="0"/>
              <w:spacing w:line="360" w:lineRule="auto"/>
              <w:rPr>
                <w:rFonts w:hint="eastAsia" w:ascii="宋体" w:hAnsi="宋体"/>
                <w:color w:val="auto"/>
                <w:sz w:val="21"/>
                <w:szCs w:val="21"/>
                <w:highlight w:val="none"/>
              </w:rPr>
            </w:pPr>
          </w:p>
          <w:p w14:paraId="3E40206A">
            <w:pPr>
              <w:snapToGrid w:val="0"/>
              <w:spacing w:line="36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年   月   日</w:t>
            </w:r>
          </w:p>
        </w:tc>
      </w:tr>
      <w:tr w14:paraId="4310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516" w:type="dxa"/>
            <w:noWrap w:val="0"/>
            <w:vAlign w:val="center"/>
          </w:tcPr>
          <w:p w14:paraId="201A13BF">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单位地址：</w:t>
            </w:r>
          </w:p>
        </w:tc>
        <w:tc>
          <w:tcPr>
            <w:tcW w:w="4517" w:type="dxa"/>
            <w:noWrap w:val="0"/>
            <w:vAlign w:val="center"/>
          </w:tcPr>
          <w:p w14:paraId="499B5ADF">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单位地址：</w:t>
            </w:r>
          </w:p>
        </w:tc>
      </w:tr>
      <w:tr w14:paraId="3B08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234BFA41">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法定代表人或者委托代理人：</w:t>
            </w:r>
          </w:p>
        </w:tc>
        <w:tc>
          <w:tcPr>
            <w:tcW w:w="4517" w:type="dxa"/>
            <w:noWrap w:val="0"/>
            <w:vAlign w:val="top"/>
          </w:tcPr>
          <w:p w14:paraId="4E44FC3F">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法定代表人或者委托代理人：</w:t>
            </w:r>
          </w:p>
        </w:tc>
      </w:tr>
      <w:tr w14:paraId="5AD7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1F905A60">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电话：</w:t>
            </w:r>
          </w:p>
        </w:tc>
        <w:tc>
          <w:tcPr>
            <w:tcW w:w="4517" w:type="dxa"/>
            <w:noWrap w:val="0"/>
            <w:vAlign w:val="center"/>
          </w:tcPr>
          <w:p w14:paraId="286CCDCA">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电话：</w:t>
            </w:r>
          </w:p>
        </w:tc>
      </w:tr>
      <w:tr w14:paraId="2980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3E9DF61A">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电子邮箱：</w:t>
            </w:r>
          </w:p>
        </w:tc>
        <w:tc>
          <w:tcPr>
            <w:tcW w:w="4517" w:type="dxa"/>
            <w:noWrap w:val="0"/>
            <w:vAlign w:val="center"/>
          </w:tcPr>
          <w:p w14:paraId="2635EA10">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电子邮箱：</w:t>
            </w:r>
          </w:p>
        </w:tc>
      </w:tr>
      <w:tr w14:paraId="581C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36025E18">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开户银行：</w:t>
            </w:r>
          </w:p>
        </w:tc>
        <w:tc>
          <w:tcPr>
            <w:tcW w:w="4517" w:type="dxa"/>
            <w:noWrap w:val="0"/>
            <w:vAlign w:val="center"/>
          </w:tcPr>
          <w:p w14:paraId="306AE1A4">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开户银行：</w:t>
            </w:r>
          </w:p>
        </w:tc>
      </w:tr>
      <w:tr w14:paraId="7BE4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5DB8E2E3">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账号：</w:t>
            </w:r>
          </w:p>
        </w:tc>
        <w:tc>
          <w:tcPr>
            <w:tcW w:w="4517" w:type="dxa"/>
            <w:noWrap w:val="0"/>
            <w:vAlign w:val="center"/>
          </w:tcPr>
          <w:p w14:paraId="79AD904D">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账号：</w:t>
            </w:r>
          </w:p>
        </w:tc>
      </w:tr>
      <w:tr w14:paraId="638F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2E8CC966">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邮政编码：</w:t>
            </w:r>
          </w:p>
        </w:tc>
        <w:tc>
          <w:tcPr>
            <w:tcW w:w="4517" w:type="dxa"/>
            <w:noWrap w:val="0"/>
            <w:vAlign w:val="center"/>
          </w:tcPr>
          <w:p w14:paraId="4CF154F7">
            <w:pPr>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邮政编码：</w:t>
            </w:r>
          </w:p>
        </w:tc>
      </w:tr>
    </w:tbl>
    <w:p w14:paraId="2CB345DC">
      <w:pPr>
        <w:snapToGrid w:val="0"/>
        <w:spacing w:line="360" w:lineRule="auto"/>
        <w:ind w:left="480" w:hanging="480" w:hangingChars="200"/>
        <w:rPr>
          <w:rFonts w:hint="eastAsia" w:ascii="宋体" w:hAnsi="宋体"/>
          <w:color w:val="auto"/>
          <w:sz w:val="24"/>
          <w:highlight w:val="none"/>
        </w:rPr>
      </w:pPr>
    </w:p>
    <w:p w14:paraId="03258944">
      <w:pPr>
        <w:snapToGrid w:val="0"/>
        <w:spacing w:line="360" w:lineRule="auto"/>
        <w:ind w:left="480" w:hanging="480" w:hangingChars="200"/>
        <w:rPr>
          <w:rFonts w:hint="eastAsia" w:ascii="宋体" w:hAnsi="宋体"/>
          <w:color w:val="auto"/>
          <w:sz w:val="24"/>
          <w:highlight w:val="none"/>
        </w:rPr>
      </w:pPr>
    </w:p>
    <w:p w14:paraId="180F247F">
      <w:pPr>
        <w:snapToGrid w:val="0"/>
        <w:spacing w:line="360" w:lineRule="auto"/>
        <w:ind w:left="480" w:hanging="480" w:hangingChars="200"/>
        <w:rPr>
          <w:rFonts w:hint="eastAsia" w:ascii="宋体" w:hAnsi="宋体"/>
          <w:color w:val="auto"/>
          <w:sz w:val="24"/>
          <w:highlight w:val="none"/>
        </w:rPr>
      </w:pPr>
    </w:p>
    <w:p w14:paraId="080CC358">
      <w:pPr>
        <w:snapToGrid w:val="0"/>
        <w:spacing w:line="360" w:lineRule="auto"/>
        <w:ind w:left="480" w:hanging="480" w:hangingChars="200"/>
        <w:rPr>
          <w:rFonts w:hint="eastAsia" w:ascii="宋体" w:hAnsi="宋体"/>
          <w:color w:val="auto"/>
          <w:sz w:val="24"/>
          <w:highlight w:val="none"/>
        </w:rPr>
      </w:pPr>
    </w:p>
    <w:p w14:paraId="28174EC5">
      <w:pPr>
        <w:snapToGrid w:val="0"/>
        <w:spacing w:line="360" w:lineRule="auto"/>
        <w:ind w:left="480" w:hanging="480" w:hangingChars="200"/>
        <w:rPr>
          <w:rFonts w:hint="eastAsia" w:ascii="宋体" w:hAnsi="宋体"/>
          <w:color w:val="auto"/>
          <w:sz w:val="24"/>
          <w:highlight w:val="none"/>
        </w:rPr>
      </w:pPr>
    </w:p>
    <w:p w14:paraId="4FAB33BF">
      <w:pPr>
        <w:snapToGrid w:val="0"/>
        <w:spacing w:line="360" w:lineRule="auto"/>
        <w:ind w:left="480" w:hanging="480" w:hangingChars="200"/>
        <w:rPr>
          <w:rFonts w:hint="eastAsia" w:ascii="宋体" w:hAnsi="宋体"/>
          <w:color w:val="auto"/>
          <w:sz w:val="24"/>
          <w:highlight w:val="none"/>
        </w:rPr>
      </w:pPr>
    </w:p>
    <w:p w14:paraId="56476CD2">
      <w:pPr>
        <w:snapToGrid w:val="0"/>
        <w:spacing w:line="360" w:lineRule="auto"/>
        <w:ind w:left="480" w:hanging="480" w:hangingChars="200"/>
        <w:rPr>
          <w:rFonts w:hint="eastAsia" w:ascii="宋体" w:hAnsi="宋体"/>
          <w:color w:val="auto"/>
          <w:sz w:val="24"/>
          <w:highlight w:val="none"/>
        </w:rPr>
      </w:pPr>
    </w:p>
    <w:p w14:paraId="6C6BD180">
      <w:pPr>
        <w:snapToGrid w:val="0"/>
        <w:spacing w:line="360" w:lineRule="auto"/>
        <w:ind w:left="480" w:hanging="480" w:hangingChars="200"/>
        <w:rPr>
          <w:rFonts w:hint="eastAsia" w:ascii="宋体" w:hAnsi="宋体"/>
          <w:color w:val="auto"/>
          <w:sz w:val="24"/>
          <w:highlight w:val="none"/>
        </w:rPr>
      </w:pPr>
    </w:p>
    <w:p w14:paraId="7849C556">
      <w:pPr>
        <w:snapToGrid w:val="0"/>
        <w:spacing w:line="360" w:lineRule="auto"/>
        <w:ind w:left="480" w:hanging="480" w:hangingChars="200"/>
        <w:rPr>
          <w:rFonts w:hint="eastAsia" w:ascii="宋体" w:hAnsi="宋体"/>
          <w:color w:val="auto"/>
          <w:sz w:val="24"/>
          <w:highlight w:val="none"/>
        </w:rPr>
      </w:pPr>
    </w:p>
    <w:p w14:paraId="60979AAB">
      <w:pPr>
        <w:snapToGrid w:val="0"/>
        <w:spacing w:line="360" w:lineRule="auto"/>
        <w:ind w:left="480" w:hanging="480" w:hangingChars="200"/>
        <w:rPr>
          <w:rFonts w:hint="eastAsia" w:ascii="宋体" w:hAnsi="宋体"/>
          <w:color w:val="auto"/>
          <w:sz w:val="24"/>
          <w:highlight w:val="none"/>
        </w:rPr>
      </w:pPr>
    </w:p>
    <w:p w14:paraId="4722221A">
      <w:pPr>
        <w:snapToGrid w:val="0"/>
        <w:spacing w:line="360" w:lineRule="auto"/>
        <w:ind w:left="480" w:hanging="480" w:hangingChars="200"/>
        <w:rPr>
          <w:rFonts w:hint="eastAsia" w:ascii="宋体" w:hAnsi="宋体"/>
          <w:color w:val="auto"/>
          <w:sz w:val="24"/>
          <w:highlight w:val="none"/>
        </w:rPr>
      </w:pPr>
    </w:p>
    <w:p w14:paraId="30118039">
      <w:pPr>
        <w:snapToGrid w:val="0"/>
        <w:spacing w:line="360" w:lineRule="auto"/>
        <w:ind w:left="480" w:hanging="480" w:hangingChars="200"/>
        <w:rPr>
          <w:rFonts w:hint="eastAsia" w:ascii="宋体" w:hAnsi="宋体"/>
          <w:color w:val="auto"/>
          <w:sz w:val="24"/>
          <w:highlight w:val="none"/>
        </w:rPr>
      </w:pPr>
    </w:p>
    <w:p w14:paraId="746453ED">
      <w:pPr>
        <w:snapToGrid w:val="0"/>
        <w:spacing w:line="360" w:lineRule="auto"/>
        <w:jc w:val="center"/>
        <w:rPr>
          <w:rFonts w:hint="eastAsia" w:ascii="宋体" w:hAnsi="宋体"/>
          <w:b/>
          <w:color w:val="auto"/>
          <w:sz w:val="24"/>
          <w:highlight w:val="none"/>
        </w:rPr>
      </w:pPr>
      <w:r>
        <w:rPr>
          <w:rFonts w:hint="eastAsia" w:ascii="宋体" w:hAnsi="宋体"/>
          <w:b/>
          <w:color w:val="auto"/>
          <w:sz w:val="24"/>
          <w:highlight w:val="none"/>
        </w:rPr>
        <w:t>合 同 附 件</w:t>
      </w:r>
    </w:p>
    <w:p w14:paraId="68782427">
      <w:pPr>
        <w:snapToGrid w:val="0"/>
        <w:spacing w:line="360" w:lineRule="auto"/>
        <w:rPr>
          <w:rFonts w:hint="eastAsia" w:ascii="宋体" w:hAnsi="宋体"/>
          <w:color w:val="auto"/>
          <w:sz w:val="24"/>
          <w:highlight w:val="none"/>
        </w:rPr>
      </w:pPr>
      <w:r>
        <w:rPr>
          <w:rFonts w:hint="eastAsia" w:ascii="宋体" w:hAnsi="宋体"/>
          <w:color w:val="auto"/>
          <w:sz w:val="24"/>
          <w:highlight w:val="none"/>
        </w:rPr>
        <w:t>一般货物类</w:t>
      </w:r>
    </w:p>
    <w:tbl>
      <w:tblPr>
        <w:tblStyle w:val="20"/>
        <w:tblW w:w="0" w:type="auto"/>
        <w:jc w:val="center"/>
        <w:tblLayout w:type="fixed"/>
        <w:tblCellMar>
          <w:top w:w="0" w:type="dxa"/>
          <w:left w:w="108" w:type="dxa"/>
          <w:bottom w:w="0" w:type="dxa"/>
          <w:right w:w="108" w:type="dxa"/>
        </w:tblCellMar>
      </w:tblPr>
      <w:tblGrid>
        <w:gridCol w:w="4263"/>
        <w:gridCol w:w="4259"/>
      </w:tblGrid>
      <w:tr w14:paraId="59C720BD">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37899D86">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1. 供应商承诺具体事项：</w:t>
            </w:r>
          </w:p>
        </w:tc>
      </w:tr>
      <w:tr w14:paraId="01621B3A">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38292378">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2. 售后服务具体事项：</w:t>
            </w:r>
          </w:p>
        </w:tc>
      </w:tr>
      <w:tr w14:paraId="31FF9369">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0C01DD68">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3. 保修期责任：</w:t>
            </w:r>
          </w:p>
        </w:tc>
      </w:tr>
      <w:tr w14:paraId="2077D575">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6CD3F109">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4. 其他具体事项：</w:t>
            </w:r>
          </w:p>
        </w:tc>
      </w:tr>
      <w:tr w14:paraId="19B0D58C">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7A79F2D8">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甲方（章）</w:t>
            </w:r>
          </w:p>
          <w:p w14:paraId="4A867C0A">
            <w:pPr>
              <w:snapToGrid w:val="0"/>
              <w:spacing w:line="360" w:lineRule="auto"/>
              <w:ind w:firstLine="482" w:firstLineChars="200"/>
              <w:rPr>
                <w:rFonts w:hint="eastAsia" w:ascii="宋体" w:hAnsi="宋体"/>
                <w:b/>
                <w:color w:val="auto"/>
                <w:sz w:val="24"/>
                <w:highlight w:val="none"/>
              </w:rPr>
            </w:pPr>
          </w:p>
          <w:p w14:paraId="0200A0BD">
            <w:pPr>
              <w:snapToGrid w:val="0"/>
              <w:spacing w:line="360" w:lineRule="auto"/>
              <w:rPr>
                <w:rFonts w:hint="eastAsia" w:ascii="宋体" w:hAnsi="宋体"/>
                <w:b/>
                <w:color w:val="auto"/>
                <w:sz w:val="24"/>
                <w:highlight w:val="none"/>
              </w:rPr>
            </w:pPr>
          </w:p>
          <w:p w14:paraId="3FDB712B">
            <w:pPr>
              <w:snapToGrid w:val="0"/>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225BD52C">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乙方（章）</w:t>
            </w:r>
          </w:p>
          <w:p w14:paraId="73FCCBC5">
            <w:pPr>
              <w:snapToGrid w:val="0"/>
              <w:spacing w:line="360" w:lineRule="auto"/>
              <w:ind w:firstLine="482" w:firstLineChars="200"/>
              <w:rPr>
                <w:rFonts w:hint="eastAsia" w:ascii="宋体" w:hAnsi="宋体"/>
                <w:b/>
                <w:color w:val="auto"/>
                <w:sz w:val="24"/>
                <w:highlight w:val="none"/>
              </w:rPr>
            </w:pPr>
          </w:p>
          <w:p w14:paraId="64FBCD36">
            <w:pPr>
              <w:snapToGrid w:val="0"/>
              <w:spacing w:line="360" w:lineRule="auto"/>
              <w:rPr>
                <w:rFonts w:hint="eastAsia" w:ascii="宋体" w:hAnsi="宋体"/>
                <w:b/>
                <w:color w:val="auto"/>
                <w:sz w:val="24"/>
                <w:highlight w:val="none"/>
              </w:rPr>
            </w:pPr>
          </w:p>
          <w:p w14:paraId="032CDA74">
            <w:pPr>
              <w:snapToGrid w:val="0"/>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 xml:space="preserve">                 年   月   日</w:t>
            </w:r>
          </w:p>
        </w:tc>
      </w:tr>
    </w:tbl>
    <w:p w14:paraId="1A978BE6">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注：售后服务事项填不下时可另加附页</w:t>
      </w:r>
    </w:p>
    <w:p w14:paraId="6847E25D">
      <w:pPr>
        <w:pStyle w:val="31"/>
        <w:numPr>
          <w:ilvl w:val="0"/>
          <w:numId w:val="0"/>
        </w:numPr>
        <w:jc w:val="both"/>
        <w:rPr>
          <w:rFonts w:hint="eastAsia" w:asciiTheme="majorEastAsia" w:hAnsiTheme="majorEastAsia" w:eastAsiaTheme="majorEastAsia" w:cstheme="majorEastAsia"/>
          <w:b/>
          <w:bCs w:val="0"/>
          <w:color w:val="auto"/>
          <w:kern w:val="2"/>
          <w:sz w:val="40"/>
          <w:szCs w:val="52"/>
          <w:highlight w:val="none"/>
          <w:lang w:val="en-US" w:eastAsia="zh-CN" w:bidi="ar-SA"/>
        </w:rPr>
      </w:pPr>
    </w:p>
    <w:sectPr>
      <w:headerReference r:id="rId6" w:type="default"/>
      <w:footerReference r:id="rId7"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8F6A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3FBBA">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FC3FBBA">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AE40">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3F58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C3F58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DBCD">
    <w:pPr>
      <w:pStyle w:val="15"/>
      <w:pBdr>
        <w:bottom w:val="none" w:color="auto" w:sz="0" w:space="1"/>
      </w:pBdr>
      <w:wordWrap w:val="0"/>
      <w:jc w:val="both"/>
      <w:rPr>
        <w:rFonts w:hint="default" w:ascii="仿宋" w:hAnsi="仿宋" w:eastAsia="仿宋" w:cs="仿宋"/>
        <w:sz w:val="21"/>
        <w:szCs w:val="21"/>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C4C27">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5C967">
    <w:pPr>
      <w:pStyle w:val="15"/>
      <w:pBdr>
        <w:bottom w:val="none" w:color="auto" w:sz="0" w:space="1"/>
      </w:pBdr>
      <w:wordWrap w:val="0"/>
      <w:jc w:val="both"/>
      <w:rPr>
        <w:rFonts w:hint="default" w:ascii="仿宋" w:hAnsi="仿宋" w:eastAsia="仿宋" w:cs="仿宋"/>
        <w:sz w:val="21"/>
        <w:szCs w:val="21"/>
        <w:u w:val="singl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79CE4"/>
    <w:multiLevelType w:val="singleLevel"/>
    <w:tmpl w:val="FCD79CE4"/>
    <w:lvl w:ilvl="0" w:tentative="0">
      <w:start w:val="1"/>
      <w:numFmt w:val="decimal"/>
      <w:pStyle w:val="6"/>
      <w:lvlText w:val="%1."/>
      <w:lvlJc w:val="left"/>
      <w:pPr>
        <w:tabs>
          <w:tab w:val="left" w:pos="360"/>
        </w:tabs>
        <w:ind w:left="360" w:hanging="360"/>
      </w:pPr>
    </w:lvl>
  </w:abstractNum>
  <w:abstractNum w:abstractNumId="1">
    <w:nsid w:val="1657E06D"/>
    <w:multiLevelType w:val="singleLevel"/>
    <w:tmpl w:val="1657E06D"/>
    <w:lvl w:ilvl="0" w:tentative="0">
      <w:start w:val="2"/>
      <w:numFmt w:val="decimal"/>
      <w:suff w:val="nothing"/>
      <w:lvlText w:val="（%1）"/>
      <w:lvlJc w:val="left"/>
    </w:lvl>
  </w:abstractNum>
  <w:abstractNum w:abstractNumId="2">
    <w:nsid w:val="297E474B"/>
    <w:multiLevelType w:val="singleLevel"/>
    <w:tmpl w:val="297E474B"/>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dit="forms" w:enforcement="1" w:cryptProviderType="rsaFull" w:cryptAlgorithmClass="hash" w:cryptAlgorithmType="typeAny" w:cryptAlgorithmSid="4" w:cryptSpinCount="0" w:hash="xOn2clASkHcC7/3omrfyWhiYUFk=" w:salt="lX6wAc6vMAQPn9SKa607+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OTI5MzRhYjk4NTBiNjk2MTE2ZjY4MWZkM2JmZTEifQ=="/>
  </w:docVars>
  <w:rsids>
    <w:rsidRoot w:val="319C62C9"/>
    <w:rsid w:val="000273CC"/>
    <w:rsid w:val="00092509"/>
    <w:rsid w:val="000E7B1F"/>
    <w:rsid w:val="00155351"/>
    <w:rsid w:val="00270BE1"/>
    <w:rsid w:val="004B48CF"/>
    <w:rsid w:val="007E2EF7"/>
    <w:rsid w:val="008B73C2"/>
    <w:rsid w:val="00B20DF2"/>
    <w:rsid w:val="00E972B6"/>
    <w:rsid w:val="011B6997"/>
    <w:rsid w:val="012D4559"/>
    <w:rsid w:val="01431A4A"/>
    <w:rsid w:val="01437C9C"/>
    <w:rsid w:val="014A2DD9"/>
    <w:rsid w:val="014F3925"/>
    <w:rsid w:val="015D0C80"/>
    <w:rsid w:val="015E38B5"/>
    <w:rsid w:val="01610122"/>
    <w:rsid w:val="01633E9B"/>
    <w:rsid w:val="0194674A"/>
    <w:rsid w:val="01A71FD9"/>
    <w:rsid w:val="01C0753F"/>
    <w:rsid w:val="01CE3A11"/>
    <w:rsid w:val="01CF7782"/>
    <w:rsid w:val="01F23506"/>
    <w:rsid w:val="02296E92"/>
    <w:rsid w:val="023F0464"/>
    <w:rsid w:val="025C1016"/>
    <w:rsid w:val="026954E1"/>
    <w:rsid w:val="02B608A3"/>
    <w:rsid w:val="02E42DB9"/>
    <w:rsid w:val="03011BBD"/>
    <w:rsid w:val="030516AD"/>
    <w:rsid w:val="03090537"/>
    <w:rsid w:val="030E55E6"/>
    <w:rsid w:val="0334789D"/>
    <w:rsid w:val="038A7E04"/>
    <w:rsid w:val="038F0F77"/>
    <w:rsid w:val="03977E2B"/>
    <w:rsid w:val="03BB7FBE"/>
    <w:rsid w:val="03E74406"/>
    <w:rsid w:val="03F57086"/>
    <w:rsid w:val="0414147C"/>
    <w:rsid w:val="04245B63"/>
    <w:rsid w:val="042C2C6A"/>
    <w:rsid w:val="04616815"/>
    <w:rsid w:val="04657F2A"/>
    <w:rsid w:val="047749F8"/>
    <w:rsid w:val="048830F0"/>
    <w:rsid w:val="049F343C"/>
    <w:rsid w:val="04A10F62"/>
    <w:rsid w:val="04A942BA"/>
    <w:rsid w:val="04B2316F"/>
    <w:rsid w:val="04EB042F"/>
    <w:rsid w:val="04FC43EA"/>
    <w:rsid w:val="05047743"/>
    <w:rsid w:val="05191440"/>
    <w:rsid w:val="05291032"/>
    <w:rsid w:val="0530678A"/>
    <w:rsid w:val="053A4F12"/>
    <w:rsid w:val="053C512E"/>
    <w:rsid w:val="054516BB"/>
    <w:rsid w:val="054A784B"/>
    <w:rsid w:val="05574915"/>
    <w:rsid w:val="059F2256"/>
    <w:rsid w:val="05AD3936"/>
    <w:rsid w:val="05CD222A"/>
    <w:rsid w:val="05D62E8D"/>
    <w:rsid w:val="05EC4117"/>
    <w:rsid w:val="0612484F"/>
    <w:rsid w:val="061D6D0E"/>
    <w:rsid w:val="06471FDD"/>
    <w:rsid w:val="0648365F"/>
    <w:rsid w:val="064A5629"/>
    <w:rsid w:val="06E44FFB"/>
    <w:rsid w:val="06EB6E0C"/>
    <w:rsid w:val="070829EF"/>
    <w:rsid w:val="07177C01"/>
    <w:rsid w:val="078A03D3"/>
    <w:rsid w:val="0798355F"/>
    <w:rsid w:val="079B438E"/>
    <w:rsid w:val="07CC3798"/>
    <w:rsid w:val="08007CEA"/>
    <w:rsid w:val="08420CAE"/>
    <w:rsid w:val="085422C2"/>
    <w:rsid w:val="08566507"/>
    <w:rsid w:val="08670714"/>
    <w:rsid w:val="08DF474E"/>
    <w:rsid w:val="08F04266"/>
    <w:rsid w:val="08F66031"/>
    <w:rsid w:val="09302681"/>
    <w:rsid w:val="096609CC"/>
    <w:rsid w:val="096E162E"/>
    <w:rsid w:val="097C3D4B"/>
    <w:rsid w:val="0983332C"/>
    <w:rsid w:val="09972BE4"/>
    <w:rsid w:val="09A03EDE"/>
    <w:rsid w:val="09B37E23"/>
    <w:rsid w:val="09CB082F"/>
    <w:rsid w:val="09D27E0F"/>
    <w:rsid w:val="09D516AE"/>
    <w:rsid w:val="09E901AD"/>
    <w:rsid w:val="09F77876"/>
    <w:rsid w:val="0A1B0C75"/>
    <w:rsid w:val="0A215939"/>
    <w:rsid w:val="0A2763AD"/>
    <w:rsid w:val="0A2C751F"/>
    <w:rsid w:val="0A6C0C3C"/>
    <w:rsid w:val="0A7964DD"/>
    <w:rsid w:val="0A870BFA"/>
    <w:rsid w:val="0AA479FE"/>
    <w:rsid w:val="0AE20526"/>
    <w:rsid w:val="0AE75B3C"/>
    <w:rsid w:val="0B2E5519"/>
    <w:rsid w:val="0B867103"/>
    <w:rsid w:val="0B8769D7"/>
    <w:rsid w:val="0B976719"/>
    <w:rsid w:val="0BB12C4D"/>
    <w:rsid w:val="0C37664F"/>
    <w:rsid w:val="0C436DA2"/>
    <w:rsid w:val="0C4D19CF"/>
    <w:rsid w:val="0C5C1C12"/>
    <w:rsid w:val="0C776A4C"/>
    <w:rsid w:val="0CAF268A"/>
    <w:rsid w:val="0CC3710E"/>
    <w:rsid w:val="0D0E115E"/>
    <w:rsid w:val="0D42705A"/>
    <w:rsid w:val="0D501777"/>
    <w:rsid w:val="0D646FD0"/>
    <w:rsid w:val="0D7209B3"/>
    <w:rsid w:val="0D797D19"/>
    <w:rsid w:val="0D927FE1"/>
    <w:rsid w:val="0DB461AA"/>
    <w:rsid w:val="0DCD726B"/>
    <w:rsid w:val="0DDE0E45"/>
    <w:rsid w:val="0DE10621"/>
    <w:rsid w:val="0DE620DB"/>
    <w:rsid w:val="0DF267AA"/>
    <w:rsid w:val="0E083E00"/>
    <w:rsid w:val="0E0D7668"/>
    <w:rsid w:val="0E0E518E"/>
    <w:rsid w:val="0E15476E"/>
    <w:rsid w:val="0E56100F"/>
    <w:rsid w:val="0E5B3BEE"/>
    <w:rsid w:val="0E8654CE"/>
    <w:rsid w:val="0EA0228A"/>
    <w:rsid w:val="0EA314D9"/>
    <w:rsid w:val="0EEC54CF"/>
    <w:rsid w:val="0F00541F"/>
    <w:rsid w:val="0F1669F0"/>
    <w:rsid w:val="0F274759"/>
    <w:rsid w:val="0F2E5AE8"/>
    <w:rsid w:val="0F45621F"/>
    <w:rsid w:val="0F672951"/>
    <w:rsid w:val="0F7A0D2D"/>
    <w:rsid w:val="0F8E2A2A"/>
    <w:rsid w:val="0FD6518B"/>
    <w:rsid w:val="0FED14FF"/>
    <w:rsid w:val="1017657C"/>
    <w:rsid w:val="101D790A"/>
    <w:rsid w:val="101E0DC6"/>
    <w:rsid w:val="10466E61"/>
    <w:rsid w:val="10795489"/>
    <w:rsid w:val="10AB4F16"/>
    <w:rsid w:val="10B62239"/>
    <w:rsid w:val="11034D52"/>
    <w:rsid w:val="112F3D99"/>
    <w:rsid w:val="11380EA0"/>
    <w:rsid w:val="11401B02"/>
    <w:rsid w:val="1145536B"/>
    <w:rsid w:val="116A2C99"/>
    <w:rsid w:val="117D2D56"/>
    <w:rsid w:val="119C4B32"/>
    <w:rsid w:val="11A750B7"/>
    <w:rsid w:val="11AE4D38"/>
    <w:rsid w:val="11D65DD3"/>
    <w:rsid w:val="11D87F8D"/>
    <w:rsid w:val="11FC3C7B"/>
    <w:rsid w:val="124F64A1"/>
    <w:rsid w:val="125C08EE"/>
    <w:rsid w:val="12723B30"/>
    <w:rsid w:val="12DE7825"/>
    <w:rsid w:val="12FE7EC7"/>
    <w:rsid w:val="130059ED"/>
    <w:rsid w:val="13337CD2"/>
    <w:rsid w:val="1336140F"/>
    <w:rsid w:val="13390EFF"/>
    <w:rsid w:val="1340228E"/>
    <w:rsid w:val="135A334F"/>
    <w:rsid w:val="136A6F02"/>
    <w:rsid w:val="137A57A0"/>
    <w:rsid w:val="13944C51"/>
    <w:rsid w:val="13B54A2A"/>
    <w:rsid w:val="13E62E35"/>
    <w:rsid w:val="14135ED0"/>
    <w:rsid w:val="142B0848"/>
    <w:rsid w:val="14385FFE"/>
    <w:rsid w:val="14432035"/>
    <w:rsid w:val="1461426A"/>
    <w:rsid w:val="147D6BCA"/>
    <w:rsid w:val="148E0DD7"/>
    <w:rsid w:val="14946D4E"/>
    <w:rsid w:val="14CF38C9"/>
    <w:rsid w:val="14DD6BBD"/>
    <w:rsid w:val="15020A92"/>
    <w:rsid w:val="150A2B53"/>
    <w:rsid w:val="15323E58"/>
    <w:rsid w:val="155F35BD"/>
    <w:rsid w:val="15763D45"/>
    <w:rsid w:val="159348F7"/>
    <w:rsid w:val="1598015F"/>
    <w:rsid w:val="15A44D56"/>
    <w:rsid w:val="15AC7AE7"/>
    <w:rsid w:val="15AE34DE"/>
    <w:rsid w:val="15D05B4B"/>
    <w:rsid w:val="15F5735F"/>
    <w:rsid w:val="16247C45"/>
    <w:rsid w:val="16273291"/>
    <w:rsid w:val="163D2AB4"/>
    <w:rsid w:val="16A843D2"/>
    <w:rsid w:val="16C46D32"/>
    <w:rsid w:val="16C60CFC"/>
    <w:rsid w:val="17092996"/>
    <w:rsid w:val="170A508C"/>
    <w:rsid w:val="17244882"/>
    <w:rsid w:val="172D0D7B"/>
    <w:rsid w:val="1732013F"/>
    <w:rsid w:val="17681DB3"/>
    <w:rsid w:val="177D66AD"/>
    <w:rsid w:val="17884203"/>
    <w:rsid w:val="17A74689"/>
    <w:rsid w:val="17CF1E32"/>
    <w:rsid w:val="17D631C0"/>
    <w:rsid w:val="18885F41"/>
    <w:rsid w:val="18AB63FB"/>
    <w:rsid w:val="18B2182F"/>
    <w:rsid w:val="18F02060"/>
    <w:rsid w:val="18F71640"/>
    <w:rsid w:val="18FE13D9"/>
    <w:rsid w:val="19157D18"/>
    <w:rsid w:val="19531188"/>
    <w:rsid w:val="198F1879"/>
    <w:rsid w:val="19AA220F"/>
    <w:rsid w:val="19CC03D7"/>
    <w:rsid w:val="19D84FCE"/>
    <w:rsid w:val="19EA2F53"/>
    <w:rsid w:val="19ED20BC"/>
    <w:rsid w:val="19EE47F1"/>
    <w:rsid w:val="1A077661"/>
    <w:rsid w:val="1A0C3182"/>
    <w:rsid w:val="1A0E6C42"/>
    <w:rsid w:val="1A2024D1"/>
    <w:rsid w:val="1A361CF4"/>
    <w:rsid w:val="1A3B5670"/>
    <w:rsid w:val="1A6E5932"/>
    <w:rsid w:val="1A7D2861"/>
    <w:rsid w:val="1AB66B07"/>
    <w:rsid w:val="1AB86BAD"/>
    <w:rsid w:val="1AC92B69"/>
    <w:rsid w:val="1AC94917"/>
    <w:rsid w:val="1ACE017F"/>
    <w:rsid w:val="1B02715F"/>
    <w:rsid w:val="1B027E29"/>
    <w:rsid w:val="1B135166"/>
    <w:rsid w:val="1B3501FE"/>
    <w:rsid w:val="1B357064"/>
    <w:rsid w:val="1B50328A"/>
    <w:rsid w:val="1B5C578B"/>
    <w:rsid w:val="1B5F527B"/>
    <w:rsid w:val="1B6D1746"/>
    <w:rsid w:val="1B75684C"/>
    <w:rsid w:val="1BA809D0"/>
    <w:rsid w:val="1BB76E65"/>
    <w:rsid w:val="1BC77472"/>
    <w:rsid w:val="1BC872C4"/>
    <w:rsid w:val="1BD52408"/>
    <w:rsid w:val="1C2838BF"/>
    <w:rsid w:val="1C5823F6"/>
    <w:rsid w:val="1C654B13"/>
    <w:rsid w:val="1C6C5EA1"/>
    <w:rsid w:val="1C817B9F"/>
    <w:rsid w:val="1CC7132A"/>
    <w:rsid w:val="1CF322CF"/>
    <w:rsid w:val="1D1F1166"/>
    <w:rsid w:val="1D5801D4"/>
    <w:rsid w:val="1D5968F4"/>
    <w:rsid w:val="1D5C4168"/>
    <w:rsid w:val="1D954F84"/>
    <w:rsid w:val="1DA33B45"/>
    <w:rsid w:val="1DB573D4"/>
    <w:rsid w:val="1DBC49FF"/>
    <w:rsid w:val="1DCD471E"/>
    <w:rsid w:val="1DE81558"/>
    <w:rsid w:val="1E012619"/>
    <w:rsid w:val="1E193E07"/>
    <w:rsid w:val="1E1E141D"/>
    <w:rsid w:val="1E2E78B2"/>
    <w:rsid w:val="1E71779F"/>
    <w:rsid w:val="1E74103D"/>
    <w:rsid w:val="1E7D4396"/>
    <w:rsid w:val="1E82018E"/>
    <w:rsid w:val="1E890F8D"/>
    <w:rsid w:val="1EA731C1"/>
    <w:rsid w:val="1EEC32CA"/>
    <w:rsid w:val="1EF67CA4"/>
    <w:rsid w:val="1F1A26E3"/>
    <w:rsid w:val="1F1B770B"/>
    <w:rsid w:val="1F2760B0"/>
    <w:rsid w:val="1F615A66"/>
    <w:rsid w:val="1F686748"/>
    <w:rsid w:val="1FC009DE"/>
    <w:rsid w:val="1FC71331"/>
    <w:rsid w:val="1FCA360B"/>
    <w:rsid w:val="1FD53D5E"/>
    <w:rsid w:val="1FF73CD4"/>
    <w:rsid w:val="1FF937B7"/>
    <w:rsid w:val="1FF93EF0"/>
    <w:rsid w:val="1FFC0434"/>
    <w:rsid w:val="1FFC753C"/>
    <w:rsid w:val="20191E9C"/>
    <w:rsid w:val="202F631A"/>
    <w:rsid w:val="203C3DDD"/>
    <w:rsid w:val="205A26D6"/>
    <w:rsid w:val="20764E4F"/>
    <w:rsid w:val="20783067"/>
    <w:rsid w:val="20C55B80"/>
    <w:rsid w:val="20D364EF"/>
    <w:rsid w:val="20D44015"/>
    <w:rsid w:val="20EB1A8B"/>
    <w:rsid w:val="20F66153"/>
    <w:rsid w:val="20FB1B4D"/>
    <w:rsid w:val="21020B82"/>
    <w:rsid w:val="21280E80"/>
    <w:rsid w:val="21311468"/>
    <w:rsid w:val="21466CC1"/>
    <w:rsid w:val="21472A39"/>
    <w:rsid w:val="214B077B"/>
    <w:rsid w:val="21582E98"/>
    <w:rsid w:val="21952548"/>
    <w:rsid w:val="21A275CB"/>
    <w:rsid w:val="21AF0D0A"/>
    <w:rsid w:val="21C1459A"/>
    <w:rsid w:val="21E604A4"/>
    <w:rsid w:val="22032E04"/>
    <w:rsid w:val="22196184"/>
    <w:rsid w:val="22543660"/>
    <w:rsid w:val="22592A24"/>
    <w:rsid w:val="2265761B"/>
    <w:rsid w:val="227E4604"/>
    <w:rsid w:val="22AC524A"/>
    <w:rsid w:val="22C205C9"/>
    <w:rsid w:val="22CA2E35"/>
    <w:rsid w:val="230A1F70"/>
    <w:rsid w:val="23144B9D"/>
    <w:rsid w:val="232805BF"/>
    <w:rsid w:val="233D40F4"/>
    <w:rsid w:val="23425BAE"/>
    <w:rsid w:val="23445482"/>
    <w:rsid w:val="23696C97"/>
    <w:rsid w:val="236C49D9"/>
    <w:rsid w:val="239301B8"/>
    <w:rsid w:val="23D42CAA"/>
    <w:rsid w:val="23D5257E"/>
    <w:rsid w:val="23F073B8"/>
    <w:rsid w:val="23F95F8C"/>
    <w:rsid w:val="23FF75FB"/>
    <w:rsid w:val="24793A7F"/>
    <w:rsid w:val="247B1377"/>
    <w:rsid w:val="249B1C33"/>
    <w:rsid w:val="24AA3A0B"/>
    <w:rsid w:val="24AC1531"/>
    <w:rsid w:val="24BB79C6"/>
    <w:rsid w:val="24BE3012"/>
    <w:rsid w:val="24CD14A7"/>
    <w:rsid w:val="24F133E8"/>
    <w:rsid w:val="24F730F1"/>
    <w:rsid w:val="2513335E"/>
    <w:rsid w:val="251F7F55"/>
    <w:rsid w:val="25245D32"/>
    <w:rsid w:val="2533755C"/>
    <w:rsid w:val="253A3226"/>
    <w:rsid w:val="25407ECB"/>
    <w:rsid w:val="256B59EC"/>
    <w:rsid w:val="25BA7C7E"/>
    <w:rsid w:val="26064C71"/>
    <w:rsid w:val="261366EB"/>
    <w:rsid w:val="261C26E6"/>
    <w:rsid w:val="26322122"/>
    <w:rsid w:val="26695200"/>
    <w:rsid w:val="26B66697"/>
    <w:rsid w:val="26D1527F"/>
    <w:rsid w:val="26D22DA5"/>
    <w:rsid w:val="26EA0A6E"/>
    <w:rsid w:val="26F7280B"/>
    <w:rsid w:val="27016379"/>
    <w:rsid w:val="2702368A"/>
    <w:rsid w:val="270C62B7"/>
    <w:rsid w:val="27135897"/>
    <w:rsid w:val="27257379"/>
    <w:rsid w:val="272730F1"/>
    <w:rsid w:val="273D2914"/>
    <w:rsid w:val="275163C0"/>
    <w:rsid w:val="2753038A"/>
    <w:rsid w:val="27547C5E"/>
    <w:rsid w:val="27767BD4"/>
    <w:rsid w:val="27906EE8"/>
    <w:rsid w:val="27983FEE"/>
    <w:rsid w:val="27A044DA"/>
    <w:rsid w:val="27B801ED"/>
    <w:rsid w:val="28036F75"/>
    <w:rsid w:val="281A6228"/>
    <w:rsid w:val="28215D92"/>
    <w:rsid w:val="283D6944"/>
    <w:rsid w:val="2840244E"/>
    <w:rsid w:val="286B1703"/>
    <w:rsid w:val="289A5B44"/>
    <w:rsid w:val="28A47B7E"/>
    <w:rsid w:val="28A80261"/>
    <w:rsid w:val="28AB6F01"/>
    <w:rsid w:val="28B210E0"/>
    <w:rsid w:val="29253660"/>
    <w:rsid w:val="295E7EF8"/>
    <w:rsid w:val="29826D04"/>
    <w:rsid w:val="29C3329E"/>
    <w:rsid w:val="29D84079"/>
    <w:rsid w:val="2A4B5348"/>
    <w:rsid w:val="2A64465C"/>
    <w:rsid w:val="2A64640A"/>
    <w:rsid w:val="2A691C72"/>
    <w:rsid w:val="2A9E78DF"/>
    <w:rsid w:val="2ABE32E0"/>
    <w:rsid w:val="2AC84BEB"/>
    <w:rsid w:val="2ACD2201"/>
    <w:rsid w:val="2AE1754E"/>
    <w:rsid w:val="2AF43C32"/>
    <w:rsid w:val="2B471FB3"/>
    <w:rsid w:val="2B514BE0"/>
    <w:rsid w:val="2B6568DD"/>
    <w:rsid w:val="2B7959FD"/>
    <w:rsid w:val="2B7F799F"/>
    <w:rsid w:val="2B82659B"/>
    <w:rsid w:val="2BAE3DE1"/>
    <w:rsid w:val="2BF57C61"/>
    <w:rsid w:val="2BFD6B16"/>
    <w:rsid w:val="2C1D0987"/>
    <w:rsid w:val="2C2062A9"/>
    <w:rsid w:val="2C286702"/>
    <w:rsid w:val="2C3047F6"/>
    <w:rsid w:val="2C622E1D"/>
    <w:rsid w:val="2C6426F1"/>
    <w:rsid w:val="2CC55886"/>
    <w:rsid w:val="2CD417DC"/>
    <w:rsid w:val="2CDC2BCF"/>
    <w:rsid w:val="2CEA709A"/>
    <w:rsid w:val="2D652BC5"/>
    <w:rsid w:val="2DA90D03"/>
    <w:rsid w:val="2DAF3344"/>
    <w:rsid w:val="2DCA0C7A"/>
    <w:rsid w:val="2DCE2518"/>
    <w:rsid w:val="2DDE64D3"/>
    <w:rsid w:val="2DE6194D"/>
    <w:rsid w:val="2E2A34C6"/>
    <w:rsid w:val="2E3A195C"/>
    <w:rsid w:val="2E545937"/>
    <w:rsid w:val="2E8B21B7"/>
    <w:rsid w:val="2ED26038"/>
    <w:rsid w:val="2EE45D6B"/>
    <w:rsid w:val="2EF35FAE"/>
    <w:rsid w:val="2F034443"/>
    <w:rsid w:val="2F4B7B98"/>
    <w:rsid w:val="2F5729E1"/>
    <w:rsid w:val="2F617036"/>
    <w:rsid w:val="2F6F1AD9"/>
    <w:rsid w:val="2F803CE6"/>
    <w:rsid w:val="2F826C47"/>
    <w:rsid w:val="2F8C62F0"/>
    <w:rsid w:val="2FB53924"/>
    <w:rsid w:val="30085A89"/>
    <w:rsid w:val="30185CCC"/>
    <w:rsid w:val="301D32E3"/>
    <w:rsid w:val="30281C88"/>
    <w:rsid w:val="30393E95"/>
    <w:rsid w:val="30621723"/>
    <w:rsid w:val="30E520E5"/>
    <w:rsid w:val="30FB781C"/>
    <w:rsid w:val="310426F5"/>
    <w:rsid w:val="311A3CC6"/>
    <w:rsid w:val="31374878"/>
    <w:rsid w:val="3150593A"/>
    <w:rsid w:val="315471D8"/>
    <w:rsid w:val="31701B38"/>
    <w:rsid w:val="31927700"/>
    <w:rsid w:val="319C62C9"/>
    <w:rsid w:val="31CD2AE7"/>
    <w:rsid w:val="31DE1822"/>
    <w:rsid w:val="31E3230A"/>
    <w:rsid w:val="31E7004C"/>
    <w:rsid w:val="321150C9"/>
    <w:rsid w:val="32146967"/>
    <w:rsid w:val="32221084"/>
    <w:rsid w:val="322272D6"/>
    <w:rsid w:val="323B2146"/>
    <w:rsid w:val="324E004C"/>
    <w:rsid w:val="325B6344"/>
    <w:rsid w:val="326F3B9E"/>
    <w:rsid w:val="327D62BB"/>
    <w:rsid w:val="32AD103A"/>
    <w:rsid w:val="32B85545"/>
    <w:rsid w:val="32C4038E"/>
    <w:rsid w:val="32D560F7"/>
    <w:rsid w:val="334119DE"/>
    <w:rsid w:val="33633703"/>
    <w:rsid w:val="33661445"/>
    <w:rsid w:val="33B74356"/>
    <w:rsid w:val="33E02FA5"/>
    <w:rsid w:val="33E34843"/>
    <w:rsid w:val="34014CC9"/>
    <w:rsid w:val="34056568"/>
    <w:rsid w:val="341744ED"/>
    <w:rsid w:val="342A0638"/>
    <w:rsid w:val="344057F2"/>
    <w:rsid w:val="34473024"/>
    <w:rsid w:val="34637732"/>
    <w:rsid w:val="346F60D7"/>
    <w:rsid w:val="348A3F3C"/>
    <w:rsid w:val="348F0527"/>
    <w:rsid w:val="349A75F8"/>
    <w:rsid w:val="34B35455"/>
    <w:rsid w:val="34DF500B"/>
    <w:rsid w:val="34E02B31"/>
    <w:rsid w:val="34E138A4"/>
    <w:rsid w:val="352B0250"/>
    <w:rsid w:val="352C3FC8"/>
    <w:rsid w:val="354C2B84"/>
    <w:rsid w:val="35514528"/>
    <w:rsid w:val="355E2B46"/>
    <w:rsid w:val="35775243"/>
    <w:rsid w:val="35A203CD"/>
    <w:rsid w:val="35BC534C"/>
    <w:rsid w:val="35C30488"/>
    <w:rsid w:val="35CF176B"/>
    <w:rsid w:val="35EE36C5"/>
    <w:rsid w:val="35FB1672"/>
    <w:rsid w:val="360D5BA8"/>
    <w:rsid w:val="36134AB5"/>
    <w:rsid w:val="361707D4"/>
    <w:rsid w:val="3632560E"/>
    <w:rsid w:val="363732CB"/>
    <w:rsid w:val="364C66D0"/>
    <w:rsid w:val="365612FD"/>
    <w:rsid w:val="36595E81"/>
    <w:rsid w:val="36B10CBA"/>
    <w:rsid w:val="36C62CE7"/>
    <w:rsid w:val="36CE5337"/>
    <w:rsid w:val="36D5079B"/>
    <w:rsid w:val="36DD557A"/>
    <w:rsid w:val="36F62AE0"/>
    <w:rsid w:val="370B658B"/>
    <w:rsid w:val="37272C99"/>
    <w:rsid w:val="372F0988"/>
    <w:rsid w:val="375021F0"/>
    <w:rsid w:val="379D6FCC"/>
    <w:rsid w:val="37BA536C"/>
    <w:rsid w:val="37D7646D"/>
    <w:rsid w:val="37DD15AA"/>
    <w:rsid w:val="381551E7"/>
    <w:rsid w:val="381A01DE"/>
    <w:rsid w:val="382C33B7"/>
    <w:rsid w:val="383C09C6"/>
    <w:rsid w:val="383E473E"/>
    <w:rsid w:val="385176F1"/>
    <w:rsid w:val="389425B0"/>
    <w:rsid w:val="38A04AB1"/>
    <w:rsid w:val="38A85352"/>
    <w:rsid w:val="38B13162"/>
    <w:rsid w:val="38B8629F"/>
    <w:rsid w:val="38C2711D"/>
    <w:rsid w:val="38D62BC9"/>
    <w:rsid w:val="38F8669B"/>
    <w:rsid w:val="39074B30"/>
    <w:rsid w:val="3908000B"/>
    <w:rsid w:val="39096AFA"/>
    <w:rsid w:val="39162FC5"/>
    <w:rsid w:val="392576AC"/>
    <w:rsid w:val="392C27E9"/>
    <w:rsid w:val="393022D9"/>
    <w:rsid w:val="3934169D"/>
    <w:rsid w:val="39495149"/>
    <w:rsid w:val="3967406D"/>
    <w:rsid w:val="39697599"/>
    <w:rsid w:val="39700927"/>
    <w:rsid w:val="398E0DAD"/>
    <w:rsid w:val="3995038E"/>
    <w:rsid w:val="39C8780C"/>
    <w:rsid w:val="39F350B4"/>
    <w:rsid w:val="3A190FBF"/>
    <w:rsid w:val="3A2A31CC"/>
    <w:rsid w:val="3A60099C"/>
    <w:rsid w:val="3A6D4E67"/>
    <w:rsid w:val="3A7C154E"/>
    <w:rsid w:val="3A7E52C6"/>
    <w:rsid w:val="3A80103E"/>
    <w:rsid w:val="3A8A77C7"/>
    <w:rsid w:val="3AD273C0"/>
    <w:rsid w:val="3B111C96"/>
    <w:rsid w:val="3B11613A"/>
    <w:rsid w:val="3B222190"/>
    <w:rsid w:val="3B451940"/>
    <w:rsid w:val="3B4B07C6"/>
    <w:rsid w:val="3B567FF1"/>
    <w:rsid w:val="3B64626A"/>
    <w:rsid w:val="3B6A7363"/>
    <w:rsid w:val="3B7039C9"/>
    <w:rsid w:val="3B7D557D"/>
    <w:rsid w:val="3BA90120"/>
    <w:rsid w:val="3BB735F3"/>
    <w:rsid w:val="3BB865B6"/>
    <w:rsid w:val="3BC136BC"/>
    <w:rsid w:val="3C0D06AF"/>
    <w:rsid w:val="3C2B322B"/>
    <w:rsid w:val="3C3814A4"/>
    <w:rsid w:val="3C447E49"/>
    <w:rsid w:val="3C53008C"/>
    <w:rsid w:val="3C553E04"/>
    <w:rsid w:val="3C5A58BF"/>
    <w:rsid w:val="3C6127A9"/>
    <w:rsid w:val="3C6E4EC6"/>
    <w:rsid w:val="3C793F97"/>
    <w:rsid w:val="3CC4358B"/>
    <w:rsid w:val="3CCA2A44"/>
    <w:rsid w:val="3CCD42E3"/>
    <w:rsid w:val="3CD70CBD"/>
    <w:rsid w:val="3CEC29BB"/>
    <w:rsid w:val="3CED6733"/>
    <w:rsid w:val="3CF47AC1"/>
    <w:rsid w:val="3D0D2931"/>
    <w:rsid w:val="3D3B2FFA"/>
    <w:rsid w:val="3D711112"/>
    <w:rsid w:val="3D762284"/>
    <w:rsid w:val="3D78424E"/>
    <w:rsid w:val="3D7B6CF2"/>
    <w:rsid w:val="3D7E738B"/>
    <w:rsid w:val="3D8B460F"/>
    <w:rsid w:val="3D9B7F3D"/>
    <w:rsid w:val="3DC254CA"/>
    <w:rsid w:val="3DD35929"/>
    <w:rsid w:val="3DDD2303"/>
    <w:rsid w:val="3E1D6BA4"/>
    <w:rsid w:val="3E2B12C1"/>
    <w:rsid w:val="3EB47508"/>
    <w:rsid w:val="3EB556A0"/>
    <w:rsid w:val="3F1A4063"/>
    <w:rsid w:val="3F220667"/>
    <w:rsid w:val="3F4A5777"/>
    <w:rsid w:val="3F7B5704"/>
    <w:rsid w:val="3FA4132B"/>
    <w:rsid w:val="400E49F6"/>
    <w:rsid w:val="402B37FA"/>
    <w:rsid w:val="402C30CE"/>
    <w:rsid w:val="40354679"/>
    <w:rsid w:val="40642868"/>
    <w:rsid w:val="40664832"/>
    <w:rsid w:val="40664C83"/>
    <w:rsid w:val="40813AF9"/>
    <w:rsid w:val="40B76E3C"/>
    <w:rsid w:val="40C31C84"/>
    <w:rsid w:val="40C35D06"/>
    <w:rsid w:val="40C61775"/>
    <w:rsid w:val="40C81049"/>
    <w:rsid w:val="40D75730"/>
    <w:rsid w:val="40FC3DE3"/>
    <w:rsid w:val="40FE0F0E"/>
    <w:rsid w:val="40FE1C08"/>
    <w:rsid w:val="41241B61"/>
    <w:rsid w:val="41265D6F"/>
    <w:rsid w:val="416D1BF0"/>
    <w:rsid w:val="4191768D"/>
    <w:rsid w:val="419D24D5"/>
    <w:rsid w:val="41C537DA"/>
    <w:rsid w:val="41D61E66"/>
    <w:rsid w:val="41E40104"/>
    <w:rsid w:val="420F2CA7"/>
    <w:rsid w:val="42154762"/>
    <w:rsid w:val="42426BD9"/>
    <w:rsid w:val="426A33B0"/>
    <w:rsid w:val="427B20EB"/>
    <w:rsid w:val="4286040B"/>
    <w:rsid w:val="42975177"/>
    <w:rsid w:val="429C278D"/>
    <w:rsid w:val="42B06238"/>
    <w:rsid w:val="42B15B0D"/>
    <w:rsid w:val="42B51AA1"/>
    <w:rsid w:val="42C97F05"/>
    <w:rsid w:val="42DA5063"/>
    <w:rsid w:val="42DF08CC"/>
    <w:rsid w:val="42E303BC"/>
    <w:rsid w:val="42E3216A"/>
    <w:rsid w:val="42E32FE6"/>
    <w:rsid w:val="42E433D1"/>
    <w:rsid w:val="431762B8"/>
    <w:rsid w:val="4329772D"/>
    <w:rsid w:val="433504EC"/>
    <w:rsid w:val="436677F5"/>
    <w:rsid w:val="437E617E"/>
    <w:rsid w:val="438A3A9C"/>
    <w:rsid w:val="43B23B1B"/>
    <w:rsid w:val="43CA50D8"/>
    <w:rsid w:val="43CE7979"/>
    <w:rsid w:val="43E51F12"/>
    <w:rsid w:val="443469F5"/>
    <w:rsid w:val="44620007"/>
    <w:rsid w:val="446E0159"/>
    <w:rsid w:val="447A4D50"/>
    <w:rsid w:val="4487121B"/>
    <w:rsid w:val="44CD4E80"/>
    <w:rsid w:val="44F22EB0"/>
    <w:rsid w:val="450A282F"/>
    <w:rsid w:val="450A60D4"/>
    <w:rsid w:val="4513485D"/>
    <w:rsid w:val="45232CF2"/>
    <w:rsid w:val="453F5652"/>
    <w:rsid w:val="4550160D"/>
    <w:rsid w:val="45611A6C"/>
    <w:rsid w:val="458C7B99"/>
    <w:rsid w:val="45951F22"/>
    <w:rsid w:val="45A57BAB"/>
    <w:rsid w:val="45BB117C"/>
    <w:rsid w:val="45CF69D6"/>
    <w:rsid w:val="46032B23"/>
    <w:rsid w:val="461E170B"/>
    <w:rsid w:val="462431C5"/>
    <w:rsid w:val="462B6129"/>
    <w:rsid w:val="466510E8"/>
    <w:rsid w:val="466A4950"/>
    <w:rsid w:val="468679DC"/>
    <w:rsid w:val="4691012F"/>
    <w:rsid w:val="46A71700"/>
    <w:rsid w:val="46B1432D"/>
    <w:rsid w:val="46BB51AC"/>
    <w:rsid w:val="46C2478C"/>
    <w:rsid w:val="46C35A00"/>
    <w:rsid w:val="46D02A05"/>
    <w:rsid w:val="46EA4B04"/>
    <w:rsid w:val="46F942D0"/>
    <w:rsid w:val="46FE3A16"/>
    <w:rsid w:val="47217705"/>
    <w:rsid w:val="47264D1B"/>
    <w:rsid w:val="474927B8"/>
    <w:rsid w:val="47543636"/>
    <w:rsid w:val="47941C85"/>
    <w:rsid w:val="479E6FA7"/>
    <w:rsid w:val="47B75562"/>
    <w:rsid w:val="47E32C0C"/>
    <w:rsid w:val="480B1886"/>
    <w:rsid w:val="480C5CBF"/>
    <w:rsid w:val="48174664"/>
    <w:rsid w:val="48345216"/>
    <w:rsid w:val="4845777A"/>
    <w:rsid w:val="486C0E54"/>
    <w:rsid w:val="486F624E"/>
    <w:rsid w:val="4871646A"/>
    <w:rsid w:val="487F0B87"/>
    <w:rsid w:val="48BB1D99"/>
    <w:rsid w:val="48D569F9"/>
    <w:rsid w:val="48E1714C"/>
    <w:rsid w:val="49153299"/>
    <w:rsid w:val="491D214E"/>
    <w:rsid w:val="491F2BC5"/>
    <w:rsid w:val="49227764"/>
    <w:rsid w:val="493C25D4"/>
    <w:rsid w:val="494E2307"/>
    <w:rsid w:val="49656C92"/>
    <w:rsid w:val="498B70B7"/>
    <w:rsid w:val="498E0956"/>
    <w:rsid w:val="49A34401"/>
    <w:rsid w:val="49AA39E1"/>
    <w:rsid w:val="49B4660E"/>
    <w:rsid w:val="49F24201"/>
    <w:rsid w:val="4A4A2ACF"/>
    <w:rsid w:val="4A7F7B63"/>
    <w:rsid w:val="4A8B6CBC"/>
    <w:rsid w:val="4ABA40F8"/>
    <w:rsid w:val="4AE45E3B"/>
    <w:rsid w:val="4AE72A13"/>
    <w:rsid w:val="4AF64A04"/>
    <w:rsid w:val="4B1F3F5B"/>
    <w:rsid w:val="4B425E9C"/>
    <w:rsid w:val="4B58121B"/>
    <w:rsid w:val="4B5D6832"/>
    <w:rsid w:val="4B6034AB"/>
    <w:rsid w:val="4B6A5537"/>
    <w:rsid w:val="4B71239F"/>
    <w:rsid w:val="4B895879"/>
    <w:rsid w:val="4B8E2E8F"/>
    <w:rsid w:val="4B92297F"/>
    <w:rsid w:val="4BAF3531"/>
    <w:rsid w:val="4BBD40F2"/>
    <w:rsid w:val="4BD20FCE"/>
    <w:rsid w:val="4BD50ABE"/>
    <w:rsid w:val="4BE86A43"/>
    <w:rsid w:val="4BF4363A"/>
    <w:rsid w:val="4C1635B0"/>
    <w:rsid w:val="4C2A2BB8"/>
    <w:rsid w:val="4C2D08FA"/>
    <w:rsid w:val="4C7958ED"/>
    <w:rsid w:val="4C7C718B"/>
    <w:rsid w:val="4C995F8F"/>
    <w:rsid w:val="4CA516A4"/>
    <w:rsid w:val="4CA54934"/>
    <w:rsid w:val="4CAA1871"/>
    <w:rsid w:val="4CC669AF"/>
    <w:rsid w:val="4CC90623"/>
    <w:rsid w:val="4CED451C"/>
    <w:rsid w:val="4D023B34"/>
    <w:rsid w:val="4D111242"/>
    <w:rsid w:val="4D8F30F2"/>
    <w:rsid w:val="4DB27309"/>
    <w:rsid w:val="4DD92AE7"/>
    <w:rsid w:val="4DF416CF"/>
    <w:rsid w:val="4DF71F15"/>
    <w:rsid w:val="4E0336C0"/>
    <w:rsid w:val="4E0F02B7"/>
    <w:rsid w:val="4E233D62"/>
    <w:rsid w:val="4E261AA5"/>
    <w:rsid w:val="4E353A96"/>
    <w:rsid w:val="4E4168DE"/>
    <w:rsid w:val="4E546612"/>
    <w:rsid w:val="4E9B7D9D"/>
    <w:rsid w:val="4ED27537"/>
    <w:rsid w:val="4ED908C5"/>
    <w:rsid w:val="4F2C42CE"/>
    <w:rsid w:val="4F572329"/>
    <w:rsid w:val="4F5B1A36"/>
    <w:rsid w:val="4F6463E1"/>
    <w:rsid w:val="4F7A3E56"/>
    <w:rsid w:val="4FAD7940"/>
    <w:rsid w:val="4FE6773D"/>
    <w:rsid w:val="4FE87012"/>
    <w:rsid w:val="4FF70CEB"/>
    <w:rsid w:val="50086AA3"/>
    <w:rsid w:val="503009B9"/>
    <w:rsid w:val="5043249A"/>
    <w:rsid w:val="50463D38"/>
    <w:rsid w:val="506863A4"/>
    <w:rsid w:val="506D40B9"/>
    <w:rsid w:val="50811214"/>
    <w:rsid w:val="50947199"/>
    <w:rsid w:val="5099030C"/>
    <w:rsid w:val="50A218B6"/>
    <w:rsid w:val="50AE54F4"/>
    <w:rsid w:val="50F1639A"/>
    <w:rsid w:val="51004D18"/>
    <w:rsid w:val="511624B4"/>
    <w:rsid w:val="512E314A"/>
    <w:rsid w:val="513719A2"/>
    <w:rsid w:val="51385D77"/>
    <w:rsid w:val="515B7CB7"/>
    <w:rsid w:val="51703763"/>
    <w:rsid w:val="52027175"/>
    <w:rsid w:val="52412A09"/>
    <w:rsid w:val="524501AB"/>
    <w:rsid w:val="524E3378"/>
    <w:rsid w:val="52972F71"/>
    <w:rsid w:val="52BE22AC"/>
    <w:rsid w:val="52D03D8D"/>
    <w:rsid w:val="52EC6E19"/>
    <w:rsid w:val="532D11DF"/>
    <w:rsid w:val="53514ECE"/>
    <w:rsid w:val="536410A5"/>
    <w:rsid w:val="53664C1B"/>
    <w:rsid w:val="53894668"/>
    <w:rsid w:val="53C4216D"/>
    <w:rsid w:val="53EC2E48"/>
    <w:rsid w:val="53FD6E04"/>
    <w:rsid w:val="540006A2"/>
    <w:rsid w:val="545A24A8"/>
    <w:rsid w:val="545F361A"/>
    <w:rsid w:val="546724CF"/>
    <w:rsid w:val="5479292E"/>
    <w:rsid w:val="547C241E"/>
    <w:rsid w:val="54841126"/>
    <w:rsid w:val="54870688"/>
    <w:rsid w:val="548D63DA"/>
    <w:rsid w:val="54962022"/>
    <w:rsid w:val="54AD639B"/>
    <w:rsid w:val="54D67D81"/>
    <w:rsid w:val="54DE6C35"/>
    <w:rsid w:val="54E029AD"/>
    <w:rsid w:val="54E56216"/>
    <w:rsid w:val="54ED50CA"/>
    <w:rsid w:val="55264138"/>
    <w:rsid w:val="55306D65"/>
    <w:rsid w:val="55346855"/>
    <w:rsid w:val="55482300"/>
    <w:rsid w:val="554C3B9F"/>
    <w:rsid w:val="555B0286"/>
    <w:rsid w:val="555C2FF7"/>
    <w:rsid w:val="55683492"/>
    <w:rsid w:val="556A6812"/>
    <w:rsid w:val="556B321E"/>
    <w:rsid w:val="55B1434A"/>
    <w:rsid w:val="55C67DF5"/>
    <w:rsid w:val="55D3606E"/>
    <w:rsid w:val="55F3226C"/>
    <w:rsid w:val="55F45FE4"/>
    <w:rsid w:val="56024BA5"/>
    <w:rsid w:val="56102E1E"/>
    <w:rsid w:val="561A09E9"/>
    <w:rsid w:val="561F12B3"/>
    <w:rsid w:val="5632548A"/>
    <w:rsid w:val="563C1138"/>
    <w:rsid w:val="56576C9F"/>
    <w:rsid w:val="56713456"/>
    <w:rsid w:val="56847368"/>
    <w:rsid w:val="568E01E7"/>
    <w:rsid w:val="56A143BE"/>
    <w:rsid w:val="56E322E1"/>
    <w:rsid w:val="56E50C32"/>
    <w:rsid w:val="56FB756F"/>
    <w:rsid w:val="57607DD5"/>
    <w:rsid w:val="57721714"/>
    <w:rsid w:val="57911D3D"/>
    <w:rsid w:val="57A75A04"/>
    <w:rsid w:val="57AE6D93"/>
    <w:rsid w:val="57B1418D"/>
    <w:rsid w:val="57CF2865"/>
    <w:rsid w:val="57D533EA"/>
    <w:rsid w:val="57F4740D"/>
    <w:rsid w:val="580A1AEF"/>
    <w:rsid w:val="580B6F63"/>
    <w:rsid w:val="58474AF1"/>
    <w:rsid w:val="58823D7B"/>
    <w:rsid w:val="58A56CFB"/>
    <w:rsid w:val="58BA52C3"/>
    <w:rsid w:val="58BF0568"/>
    <w:rsid w:val="58CA542C"/>
    <w:rsid w:val="58D82BC7"/>
    <w:rsid w:val="590824D3"/>
    <w:rsid w:val="59146CAD"/>
    <w:rsid w:val="592320C4"/>
    <w:rsid w:val="59527BF2"/>
    <w:rsid w:val="597A1831"/>
    <w:rsid w:val="598B7F46"/>
    <w:rsid w:val="599D45AB"/>
    <w:rsid w:val="59A246D5"/>
    <w:rsid w:val="59BD71FE"/>
    <w:rsid w:val="59C12681"/>
    <w:rsid w:val="59DB3743"/>
    <w:rsid w:val="59F23246"/>
    <w:rsid w:val="59F91E1B"/>
    <w:rsid w:val="59F97D2D"/>
    <w:rsid w:val="5A137381"/>
    <w:rsid w:val="5A53777D"/>
    <w:rsid w:val="5A700A66"/>
    <w:rsid w:val="5A783688"/>
    <w:rsid w:val="5AA93841"/>
    <w:rsid w:val="5AC32B55"/>
    <w:rsid w:val="5AD05272"/>
    <w:rsid w:val="5AD85ED5"/>
    <w:rsid w:val="5ADF3707"/>
    <w:rsid w:val="5AEE394A"/>
    <w:rsid w:val="5AF22BC6"/>
    <w:rsid w:val="5AF30F60"/>
    <w:rsid w:val="5AF669C0"/>
    <w:rsid w:val="5B0647F0"/>
    <w:rsid w:val="5B092532"/>
    <w:rsid w:val="5B174C4F"/>
    <w:rsid w:val="5B270145"/>
    <w:rsid w:val="5B3A6B8F"/>
    <w:rsid w:val="5B5639C9"/>
    <w:rsid w:val="5B8B1199"/>
    <w:rsid w:val="5B922527"/>
    <w:rsid w:val="5BB16E51"/>
    <w:rsid w:val="5BBB7CD0"/>
    <w:rsid w:val="5BD85FBF"/>
    <w:rsid w:val="5BED59B0"/>
    <w:rsid w:val="5BEF1728"/>
    <w:rsid w:val="5BFE7BBD"/>
    <w:rsid w:val="5C0C22DA"/>
    <w:rsid w:val="5C1178F0"/>
    <w:rsid w:val="5C5A1297"/>
    <w:rsid w:val="5C643663"/>
    <w:rsid w:val="5C6C5EDB"/>
    <w:rsid w:val="5C9A5B38"/>
    <w:rsid w:val="5CA644DC"/>
    <w:rsid w:val="5CDA23D8"/>
    <w:rsid w:val="5CE310D8"/>
    <w:rsid w:val="5D016EBB"/>
    <w:rsid w:val="5D647EF4"/>
    <w:rsid w:val="5D7E0FB5"/>
    <w:rsid w:val="5D8B5480"/>
    <w:rsid w:val="5DAF59B0"/>
    <w:rsid w:val="5DB03139"/>
    <w:rsid w:val="5DCB3ACF"/>
    <w:rsid w:val="5DDB1F64"/>
    <w:rsid w:val="5DE16CBE"/>
    <w:rsid w:val="5E196F30"/>
    <w:rsid w:val="5E3272FF"/>
    <w:rsid w:val="5E914D18"/>
    <w:rsid w:val="5EB04382"/>
    <w:rsid w:val="5EBB7FE7"/>
    <w:rsid w:val="5F0F018F"/>
    <w:rsid w:val="5F1C2834"/>
    <w:rsid w:val="5F1F1D16"/>
    <w:rsid w:val="5F357D99"/>
    <w:rsid w:val="5F4E49B7"/>
    <w:rsid w:val="5F845B87"/>
    <w:rsid w:val="5F9E593F"/>
    <w:rsid w:val="5FDA449D"/>
    <w:rsid w:val="5FE315A4"/>
    <w:rsid w:val="600F3F91"/>
    <w:rsid w:val="60250737"/>
    <w:rsid w:val="602D281F"/>
    <w:rsid w:val="605E50CE"/>
    <w:rsid w:val="6062696C"/>
    <w:rsid w:val="60791251"/>
    <w:rsid w:val="607E751E"/>
    <w:rsid w:val="60D1523C"/>
    <w:rsid w:val="60F0521D"/>
    <w:rsid w:val="60FC0949"/>
    <w:rsid w:val="60FF5F74"/>
    <w:rsid w:val="61137C66"/>
    <w:rsid w:val="61630BEE"/>
    <w:rsid w:val="61860438"/>
    <w:rsid w:val="618E553F"/>
    <w:rsid w:val="61BF394A"/>
    <w:rsid w:val="61CF0031"/>
    <w:rsid w:val="620A19A7"/>
    <w:rsid w:val="620D0B5A"/>
    <w:rsid w:val="62304E3C"/>
    <w:rsid w:val="623A1223"/>
    <w:rsid w:val="623E0D13"/>
    <w:rsid w:val="624502F4"/>
    <w:rsid w:val="62970423"/>
    <w:rsid w:val="62976675"/>
    <w:rsid w:val="62996FF1"/>
    <w:rsid w:val="62A019CE"/>
    <w:rsid w:val="62BF0A61"/>
    <w:rsid w:val="62E55633"/>
    <w:rsid w:val="631321A0"/>
    <w:rsid w:val="63260125"/>
    <w:rsid w:val="63302D52"/>
    <w:rsid w:val="63400ABB"/>
    <w:rsid w:val="635602DE"/>
    <w:rsid w:val="6377272F"/>
    <w:rsid w:val="63822E81"/>
    <w:rsid w:val="6388493C"/>
    <w:rsid w:val="63A31776"/>
    <w:rsid w:val="63AE3C76"/>
    <w:rsid w:val="63BA4E72"/>
    <w:rsid w:val="63E44E96"/>
    <w:rsid w:val="63EB6C79"/>
    <w:rsid w:val="63F0603D"/>
    <w:rsid w:val="64033FC2"/>
    <w:rsid w:val="64095351"/>
    <w:rsid w:val="64394B9A"/>
    <w:rsid w:val="6449399F"/>
    <w:rsid w:val="64542A70"/>
    <w:rsid w:val="64633285"/>
    <w:rsid w:val="64680AA0"/>
    <w:rsid w:val="64990483"/>
    <w:rsid w:val="649B069F"/>
    <w:rsid w:val="649C62B2"/>
    <w:rsid w:val="64C54D8A"/>
    <w:rsid w:val="64CA0F84"/>
    <w:rsid w:val="64CF0348"/>
    <w:rsid w:val="650A75D2"/>
    <w:rsid w:val="651D10B4"/>
    <w:rsid w:val="652C12F7"/>
    <w:rsid w:val="6530528B"/>
    <w:rsid w:val="6532281F"/>
    <w:rsid w:val="654143F4"/>
    <w:rsid w:val="65476131"/>
    <w:rsid w:val="656942F9"/>
    <w:rsid w:val="657C227E"/>
    <w:rsid w:val="65847385"/>
    <w:rsid w:val="659C4368"/>
    <w:rsid w:val="65A72CDE"/>
    <w:rsid w:val="65C129C2"/>
    <w:rsid w:val="65DB7C52"/>
    <w:rsid w:val="65E10333"/>
    <w:rsid w:val="65EB11B2"/>
    <w:rsid w:val="6632293D"/>
    <w:rsid w:val="66342B59"/>
    <w:rsid w:val="66794A10"/>
    <w:rsid w:val="66A7157D"/>
    <w:rsid w:val="66B27F22"/>
    <w:rsid w:val="66B43C9A"/>
    <w:rsid w:val="66C8504F"/>
    <w:rsid w:val="66DA41AF"/>
    <w:rsid w:val="66ED2D08"/>
    <w:rsid w:val="66FE4F15"/>
    <w:rsid w:val="67292AA1"/>
    <w:rsid w:val="672F1572"/>
    <w:rsid w:val="673E5311"/>
    <w:rsid w:val="67543564"/>
    <w:rsid w:val="67571DA6"/>
    <w:rsid w:val="676F196F"/>
    <w:rsid w:val="67977A23"/>
    <w:rsid w:val="67C714E8"/>
    <w:rsid w:val="67FB7E4E"/>
    <w:rsid w:val="6841155D"/>
    <w:rsid w:val="68476448"/>
    <w:rsid w:val="688F22C8"/>
    <w:rsid w:val="689A2A1B"/>
    <w:rsid w:val="68A044D6"/>
    <w:rsid w:val="68A42EEF"/>
    <w:rsid w:val="68AF64C7"/>
    <w:rsid w:val="68C83A2C"/>
    <w:rsid w:val="68DC3034"/>
    <w:rsid w:val="69382960"/>
    <w:rsid w:val="69450BD9"/>
    <w:rsid w:val="696C3AD2"/>
    <w:rsid w:val="69715E72"/>
    <w:rsid w:val="69913E1E"/>
    <w:rsid w:val="699833FF"/>
    <w:rsid w:val="69B47B0D"/>
    <w:rsid w:val="6A445335"/>
    <w:rsid w:val="6A5A4B58"/>
    <w:rsid w:val="6AAB53B4"/>
    <w:rsid w:val="6AAF6C52"/>
    <w:rsid w:val="6AD94673"/>
    <w:rsid w:val="6AE368FC"/>
    <w:rsid w:val="6AED777A"/>
    <w:rsid w:val="6AFE1987"/>
    <w:rsid w:val="6B182A49"/>
    <w:rsid w:val="6B2111D2"/>
    <w:rsid w:val="6B286A04"/>
    <w:rsid w:val="6B317667"/>
    <w:rsid w:val="6B3C78EE"/>
    <w:rsid w:val="6B4A24D7"/>
    <w:rsid w:val="6B567D4A"/>
    <w:rsid w:val="6B607F4C"/>
    <w:rsid w:val="6BDF5315"/>
    <w:rsid w:val="6BE20961"/>
    <w:rsid w:val="6BEC5C84"/>
    <w:rsid w:val="6C1D5E3D"/>
    <w:rsid w:val="6C2C6080"/>
    <w:rsid w:val="6C325A4F"/>
    <w:rsid w:val="6C401173"/>
    <w:rsid w:val="6C507FC1"/>
    <w:rsid w:val="6C68355C"/>
    <w:rsid w:val="6C735A5D"/>
    <w:rsid w:val="6C7672FB"/>
    <w:rsid w:val="6C865790"/>
    <w:rsid w:val="6CAB3449"/>
    <w:rsid w:val="6CB56076"/>
    <w:rsid w:val="6D077E98"/>
    <w:rsid w:val="6D1549D0"/>
    <w:rsid w:val="6D1833A0"/>
    <w:rsid w:val="6D192AA9"/>
    <w:rsid w:val="6D282E54"/>
    <w:rsid w:val="6D34343E"/>
    <w:rsid w:val="6D42779B"/>
    <w:rsid w:val="6D875C64"/>
    <w:rsid w:val="6DA2484C"/>
    <w:rsid w:val="6DB95988"/>
    <w:rsid w:val="6DC5678C"/>
    <w:rsid w:val="6DE9247B"/>
    <w:rsid w:val="6DF809A5"/>
    <w:rsid w:val="6E11552E"/>
    <w:rsid w:val="6E1967BA"/>
    <w:rsid w:val="6E1B7732"/>
    <w:rsid w:val="6E201C15"/>
    <w:rsid w:val="6E287290"/>
    <w:rsid w:val="6E447EB8"/>
    <w:rsid w:val="6E69536A"/>
    <w:rsid w:val="6E8B38FA"/>
    <w:rsid w:val="6E971ED7"/>
    <w:rsid w:val="6ED547AD"/>
    <w:rsid w:val="6EE175F6"/>
    <w:rsid w:val="6EEE586F"/>
    <w:rsid w:val="6EF95D98"/>
    <w:rsid w:val="6F411E43"/>
    <w:rsid w:val="6F457B85"/>
    <w:rsid w:val="6F571666"/>
    <w:rsid w:val="6F751AEC"/>
    <w:rsid w:val="6FA23218"/>
    <w:rsid w:val="6FA81EC2"/>
    <w:rsid w:val="6FAD74D8"/>
    <w:rsid w:val="6FC34F4E"/>
    <w:rsid w:val="6FCD36D6"/>
    <w:rsid w:val="6FFE0CC2"/>
    <w:rsid w:val="7007308C"/>
    <w:rsid w:val="705B6F34"/>
    <w:rsid w:val="707D50FC"/>
    <w:rsid w:val="709B37D5"/>
    <w:rsid w:val="70AD5896"/>
    <w:rsid w:val="70E37655"/>
    <w:rsid w:val="70E64A50"/>
    <w:rsid w:val="70F03B20"/>
    <w:rsid w:val="70FA499F"/>
    <w:rsid w:val="710B44B6"/>
    <w:rsid w:val="711710AD"/>
    <w:rsid w:val="71236291"/>
    <w:rsid w:val="71265794"/>
    <w:rsid w:val="71353C29"/>
    <w:rsid w:val="716B31A7"/>
    <w:rsid w:val="71CD5C10"/>
    <w:rsid w:val="71E05943"/>
    <w:rsid w:val="721D26F3"/>
    <w:rsid w:val="722717C4"/>
    <w:rsid w:val="723A3EB4"/>
    <w:rsid w:val="72415230"/>
    <w:rsid w:val="724573D2"/>
    <w:rsid w:val="7251239D"/>
    <w:rsid w:val="726227FC"/>
    <w:rsid w:val="72C07522"/>
    <w:rsid w:val="72C963D7"/>
    <w:rsid w:val="730B4C41"/>
    <w:rsid w:val="73190ECB"/>
    <w:rsid w:val="731E2CB7"/>
    <w:rsid w:val="7338355D"/>
    <w:rsid w:val="733E6DC5"/>
    <w:rsid w:val="736B1EFA"/>
    <w:rsid w:val="736C74EB"/>
    <w:rsid w:val="737E5413"/>
    <w:rsid w:val="73830C7C"/>
    <w:rsid w:val="739F45B1"/>
    <w:rsid w:val="73A429A0"/>
    <w:rsid w:val="73AE6296"/>
    <w:rsid w:val="73D414D7"/>
    <w:rsid w:val="73D74B24"/>
    <w:rsid w:val="740645C4"/>
    <w:rsid w:val="741D2E7E"/>
    <w:rsid w:val="743837D4"/>
    <w:rsid w:val="746C7962"/>
    <w:rsid w:val="747131CA"/>
    <w:rsid w:val="747E1443"/>
    <w:rsid w:val="74844CAB"/>
    <w:rsid w:val="74A02440"/>
    <w:rsid w:val="74CE23CA"/>
    <w:rsid w:val="74CF315B"/>
    <w:rsid w:val="74DC1EAE"/>
    <w:rsid w:val="74E05C5A"/>
    <w:rsid w:val="74F17E67"/>
    <w:rsid w:val="75041948"/>
    <w:rsid w:val="753B10E2"/>
    <w:rsid w:val="755521A4"/>
    <w:rsid w:val="756F2B31"/>
    <w:rsid w:val="75862CA5"/>
    <w:rsid w:val="75873824"/>
    <w:rsid w:val="75AC3A25"/>
    <w:rsid w:val="75AE7B06"/>
    <w:rsid w:val="75E46CF5"/>
    <w:rsid w:val="75EA3234"/>
    <w:rsid w:val="75F06371"/>
    <w:rsid w:val="760B6D06"/>
    <w:rsid w:val="763150E5"/>
    <w:rsid w:val="76BE1FCB"/>
    <w:rsid w:val="76D37824"/>
    <w:rsid w:val="77045C52"/>
    <w:rsid w:val="776970F2"/>
    <w:rsid w:val="776C1A27"/>
    <w:rsid w:val="776E39F1"/>
    <w:rsid w:val="7771703D"/>
    <w:rsid w:val="77974CF6"/>
    <w:rsid w:val="77976AA4"/>
    <w:rsid w:val="779F1DFC"/>
    <w:rsid w:val="77A15B74"/>
    <w:rsid w:val="77C43611"/>
    <w:rsid w:val="782567A5"/>
    <w:rsid w:val="785E5813"/>
    <w:rsid w:val="78762B5D"/>
    <w:rsid w:val="788039DC"/>
    <w:rsid w:val="78811502"/>
    <w:rsid w:val="78E141D6"/>
    <w:rsid w:val="78EE4DE9"/>
    <w:rsid w:val="78FB5963"/>
    <w:rsid w:val="79450275"/>
    <w:rsid w:val="799C4845"/>
    <w:rsid w:val="79AB4A88"/>
    <w:rsid w:val="79B768C5"/>
    <w:rsid w:val="79C618C2"/>
    <w:rsid w:val="79D43189"/>
    <w:rsid w:val="79F006ED"/>
    <w:rsid w:val="79F857F4"/>
    <w:rsid w:val="7A036672"/>
    <w:rsid w:val="7A064BE3"/>
    <w:rsid w:val="7A0D5743"/>
    <w:rsid w:val="7A0F51F1"/>
    <w:rsid w:val="7A560E98"/>
    <w:rsid w:val="7A7E3F4B"/>
    <w:rsid w:val="7ABE5DB4"/>
    <w:rsid w:val="7ABE6A3D"/>
    <w:rsid w:val="7AD324E9"/>
    <w:rsid w:val="7AEE5BE4"/>
    <w:rsid w:val="7AF97A75"/>
    <w:rsid w:val="7B114DBF"/>
    <w:rsid w:val="7B446F42"/>
    <w:rsid w:val="7B6B0973"/>
    <w:rsid w:val="7B7F61CD"/>
    <w:rsid w:val="7BDA3403"/>
    <w:rsid w:val="7BE44282"/>
    <w:rsid w:val="7BE6624C"/>
    <w:rsid w:val="7C6303BA"/>
    <w:rsid w:val="7C7033EC"/>
    <w:rsid w:val="7CA103C5"/>
    <w:rsid w:val="7CCD4D16"/>
    <w:rsid w:val="7D221166"/>
    <w:rsid w:val="7D311748"/>
    <w:rsid w:val="7D380D29"/>
    <w:rsid w:val="7D3C46D8"/>
    <w:rsid w:val="7D5B089E"/>
    <w:rsid w:val="7D6332C7"/>
    <w:rsid w:val="7D733B0F"/>
    <w:rsid w:val="7D7F0706"/>
    <w:rsid w:val="7D935F5F"/>
    <w:rsid w:val="7DA93795"/>
    <w:rsid w:val="7DB14637"/>
    <w:rsid w:val="7DDB16B4"/>
    <w:rsid w:val="7DFE760C"/>
    <w:rsid w:val="7E0A2064"/>
    <w:rsid w:val="7E0B01EB"/>
    <w:rsid w:val="7E292420"/>
    <w:rsid w:val="7E413C0D"/>
    <w:rsid w:val="7E464D80"/>
    <w:rsid w:val="7E574CEE"/>
    <w:rsid w:val="7E663674"/>
    <w:rsid w:val="7E77762F"/>
    <w:rsid w:val="7E7900C8"/>
    <w:rsid w:val="7E8C5AC4"/>
    <w:rsid w:val="7EAA3325"/>
    <w:rsid w:val="7EAA7A04"/>
    <w:rsid w:val="7EC01AA7"/>
    <w:rsid w:val="7ED22AB7"/>
    <w:rsid w:val="7EED45E6"/>
    <w:rsid w:val="7EEF71C5"/>
    <w:rsid w:val="7EF173E1"/>
    <w:rsid w:val="7F3B2257"/>
    <w:rsid w:val="7F5931D8"/>
    <w:rsid w:val="7F6C2672"/>
    <w:rsid w:val="7F7B314F"/>
    <w:rsid w:val="7F9B10FB"/>
    <w:rsid w:val="7FAA68F3"/>
    <w:rsid w:val="7FB14DC3"/>
    <w:rsid w:val="7FD91C23"/>
    <w:rsid w:val="7FE05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6">
    <w:name w:val="List Number"/>
    <w:basedOn w:val="1"/>
    <w:qFormat/>
    <w:uiPriority w:val="0"/>
    <w:pPr>
      <w:numPr>
        <w:ilvl w:val="0"/>
        <w:numId w:val="1"/>
      </w:numPr>
    </w:pPr>
  </w:style>
  <w:style w:type="paragraph" w:styleId="7">
    <w:name w:val="Normal Indent"/>
    <w:basedOn w:val="1"/>
    <w:next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
    <w:qFormat/>
    <w:uiPriority w:val="1"/>
    <w:pPr>
      <w:autoSpaceDE w:val="0"/>
      <w:autoSpaceDN w:val="0"/>
      <w:adjustRightInd w:val="0"/>
      <w:jc w:val="left"/>
    </w:pPr>
    <w:rPr>
      <w:rFonts w:ascii="宋体" w:cs="宋体"/>
      <w:kern w:val="0"/>
      <w:sz w:val="28"/>
      <w:szCs w:val="28"/>
    </w:r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qFormat/>
    <w:uiPriority w:val="0"/>
    <w:rPr>
      <w:rFonts w:ascii="宋体" w:hAnsi="Courier New"/>
      <w:kern w:val="0"/>
      <w:sz w:val="20"/>
      <w:szCs w:val="21"/>
    </w:rPr>
  </w:style>
  <w:style w:type="paragraph" w:styleId="14">
    <w:name w:val="footer"/>
    <w:basedOn w:val="1"/>
    <w:qFormat/>
    <w:uiPriority w:val="0"/>
    <w:pPr>
      <w:tabs>
        <w:tab w:val="center" w:pos="4153"/>
        <w:tab w:val="right" w:pos="8306"/>
      </w:tabs>
      <w:snapToGrid w:val="0"/>
      <w:jc w:val="left"/>
    </w:pPr>
    <w:rPr>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0"/>
  </w:style>
  <w:style w:type="paragraph" w:styleId="17">
    <w:name w:val="Body Text 2"/>
    <w:basedOn w:val="1"/>
    <w:qFormat/>
    <w:uiPriority w:val="0"/>
    <w:pPr>
      <w:spacing w:after="120" w:line="480" w:lineRule="auto"/>
    </w:pPr>
    <w:rPr>
      <w:rFonts w:ascii="Times New Roman" w:hAnsi="Times New Roman" w:eastAsia="宋体" w:cs="Times New Roman"/>
      <w:kern w:val="0"/>
      <w:sz w:val="20"/>
      <w:szCs w:val="24"/>
    </w:rPr>
  </w:style>
  <w:style w:type="paragraph" w:styleId="18">
    <w:name w:val="Normal (Web)"/>
    <w:basedOn w:val="1"/>
    <w:qFormat/>
    <w:uiPriority w:val="99"/>
    <w:pPr>
      <w:spacing w:before="75" w:after="75"/>
      <w:jc w:val="left"/>
    </w:pPr>
    <w:rPr>
      <w:kern w:val="0"/>
      <w:sz w:val="24"/>
    </w:rPr>
  </w:style>
  <w:style w:type="paragraph" w:styleId="19">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qFormat/>
    <w:uiPriority w:val="0"/>
    <w:rPr>
      <w:color w:val="0000FF"/>
      <w:u w:val="single"/>
    </w:rPr>
  </w:style>
  <w:style w:type="character" w:styleId="24">
    <w:name w:val="HTML Sample"/>
    <w:basedOn w:val="22"/>
    <w:qFormat/>
    <w:uiPriority w:val="0"/>
    <w:rPr>
      <w:rFonts w:ascii="Courier New" w:hAnsi="Courier New"/>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6">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 w:type="paragraph" w:styleId="29">
    <w:name w:val="List Paragraph"/>
    <w:basedOn w:val="1"/>
    <w:qFormat/>
    <w:uiPriority w:val="1"/>
    <w:pPr>
      <w:autoSpaceDE w:val="0"/>
      <w:autoSpaceDN w:val="0"/>
      <w:adjustRightInd w:val="0"/>
      <w:spacing w:before="5"/>
      <w:ind w:left="106"/>
      <w:jc w:val="left"/>
    </w:pPr>
    <w:rPr>
      <w:rFonts w:ascii="宋体" w:cs="宋体"/>
      <w:kern w:val="0"/>
      <w:sz w:val="24"/>
    </w:rPr>
  </w:style>
  <w:style w:type="paragraph" w:customStyle="1" w:styleId="30">
    <w:name w:val="Table Paragraph"/>
    <w:basedOn w:val="1"/>
    <w:qFormat/>
    <w:uiPriority w:val="1"/>
    <w:pPr>
      <w:autoSpaceDE w:val="0"/>
      <w:autoSpaceDN w:val="0"/>
      <w:adjustRightInd w:val="0"/>
      <w:jc w:val="left"/>
    </w:pPr>
    <w:rPr>
      <w:rFonts w:ascii="宋体" w:cs="宋体"/>
      <w:kern w:val="0"/>
      <w:sz w:val="24"/>
    </w:rPr>
  </w:style>
  <w:style w:type="paragraph" w:customStyle="1" w:styleId="31">
    <w:name w:val="表格文字"/>
    <w:basedOn w:val="1"/>
    <w:qFormat/>
    <w:uiPriority w:val="0"/>
    <w:pPr>
      <w:spacing w:before="25" w:after="25"/>
      <w:jc w:val="left"/>
    </w:pPr>
    <w:rPr>
      <w:rFonts w:ascii="Verdana" w:hAnsi="Verdana"/>
      <w:bCs/>
      <w:spacing w:val="10"/>
      <w:kern w:val="0"/>
      <w:sz w:val="24"/>
    </w:rPr>
  </w:style>
  <w:style w:type="paragraph" w:customStyle="1" w:styleId="32">
    <w:name w:val="Body text|1"/>
    <w:basedOn w:val="1"/>
    <w:qFormat/>
    <w:uiPriority w:val="0"/>
    <w:pPr>
      <w:widowControl w:val="0"/>
      <w:shd w:val="clear" w:color="auto" w:fill="auto"/>
      <w:spacing w:line="382" w:lineRule="auto"/>
      <w:ind w:firstLine="400"/>
    </w:pPr>
    <w:rPr>
      <w:rFonts w:ascii="宋体" w:hAnsi="宋体" w:eastAsia="宋体" w:cs="宋体"/>
      <w:sz w:val="20"/>
      <w:szCs w:val="20"/>
      <w:u w:val="none"/>
      <w:shd w:val="clear" w:color="auto" w:fill="auto"/>
      <w:lang w:val="zh-TW" w:eastAsia="zh-TW" w:bidi="zh-TW"/>
    </w:rPr>
  </w:style>
  <w:style w:type="paragraph" w:styleId="3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34">
    <w:name w:val="网格型1"/>
    <w:basedOn w:val="2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Table Text"/>
    <w:basedOn w:val="1"/>
    <w:semiHidden/>
    <w:qFormat/>
    <w:uiPriority w:val="0"/>
    <w:rPr>
      <w:rFonts w:ascii="宋体" w:hAnsi="宋体" w:eastAsia="宋体" w:cs="宋体"/>
      <w:sz w:val="24"/>
      <w:szCs w:val="24"/>
      <w:lang w:val="en-US" w:eastAsia="en-US" w:bidi="ar-SA"/>
    </w:r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广西分公司</Company>
  <Pages>73</Pages>
  <Words>6324</Words>
  <Characters>7000</Characters>
  <Lines>0</Lines>
  <Paragraphs>0</Paragraphs>
  <TotalTime>40</TotalTime>
  <ScaleCrop>false</ScaleCrop>
  <LinksUpToDate>false</LinksUpToDate>
  <CharactersWithSpaces>7396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2024-09-19T00:57:00Z</dcterms:created>
  <dc:creator>Administrator</dc:creator>
  <cp:lastModifiedBy>Administrator</cp:lastModifiedBy>
  <cp:lastPrinted>2026-08-10T01:36:00Z</cp:lastPrinted>
  <dcterms:modified xsi:type="dcterms:W3CDTF">2026-08-10T01:55:10Z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D618834D44814FCBAB3B61F24DAA8E2B_13</vt:lpwstr>
  </property>
  <property fmtid="{D5CDD505-2E9C-101B-9397-08002B2CF9AE}" pid="4" name="KSOTemplateDocerSaveRecord">
    <vt:lpwstr>eyJoZGlkIjoiZmFiNzgwYWQ5YWQwY2UzOGQ0NTQyM2JmMmZlYmRkMDkiLCJ1c2VySWQiOiI0MDMzNzI1MTYifQ==</vt:lpwstr>
  </property>
</Properties>
</file>